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003" w:rsidRPr="001D0003" w:rsidRDefault="001D0003">
      <w:pPr>
        <w:rPr>
          <w:rFonts w:ascii="Times New Roman" w:hAnsi="Times New Roman" w:cs="Times New Roman"/>
          <w:sz w:val="24"/>
          <w:szCs w:val="24"/>
        </w:rPr>
      </w:pPr>
      <w:bookmarkStart w:id="0" w:name="_GoBack"/>
      <w:bookmarkEnd w:id="0"/>
      <w:r w:rsidRPr="001D0003">
        <w:rPr>
          <w:rFonts w:ascii="Times New Roman" w:hAnsi="Times New Roman" w:cs="Times New Roman"/>
          <w:sz w:val="24"/>
          <w:szCs w:val="24"/>
        </w:rPr>
        <w:t xml:space="preserve">Audizione </w:t>
      </w:r>
      <w:r>
        <w:rPr>
          <w:rFonts w:ascii="Times New Roman" w:hAnsi="Times New Roman" w:cs="Times New Roman"/>
          <w:sz w:val="24"/>
          <w:szCs w:val="24"/>
        </w:rPr>
        <w:t xml:space="preserve">delle </w:t>
      </w:r>
      <w:r w:rsidRPr="001D0003">
        <w:rPr>
          <w:rStyle w:val="il"/>
          <w:rFonts w:ascii="Times New Roman" w:hAnsi="Times New Roman" w:cs="Times New Roman"/>
          <w:sz w:val="24"/>
          <w:szCs w:val="24"/>
        </w:rPr>
        <w:t>Commissioni</w:t>
      </w:r>
      <w:r w:rsidRPr="001D0003">
        <w:rPr>
          <w:rFonts w:ascii="Times New Roman" w:hAnsi="Times New Roman" w:cs="Times New Roman"/>
          <w:sz w:val="24"/>
          <w:szCs w:val="24"/>
        </w:rPr>
        <w:t xml:space="preserve"> riunite XI (Lavoro pubblico e privato) e XII (Affari sociali)</w:t>
      </w:r>
      <w:r>
        <w:t xml:space="preserve"> </w:t>
      </w:r>
      <w:r w:rsidRPr="001D0003">
        <w:rPr>
          <w:rFonts w:ascii="Times New Roman" w:hAnsi="Times New Roman" w:cs="Times New Roman"/>
          <w:sz w:val="24"/>
          <w:szCs w:val="24"/>
        </w:rPr>
        <w:t>relativa a “Delega recante norme relative al contrasto della povertà, al riordino delle prestazioni e al sistema degli interventi e dei servizi sociali (collegato alla legge di stabilità 2016)</w:t>
      </w:r>
    </w:p>
    <w:p w:rsidR="007F409A" w:rsidRPr="007767F5" w:rsidRDefault="001D0003">
      <w:pPr>
        <w:rPr>
          <w:rFonts w:ascii="Times New Roman" w:hAnsi="Times New Roman" w:cs="Times New Roman"/>
          <w:sz w:val="24"/>
          <w:szCs w:val="24"/>
        </w:rPr>
      </w:pPr>
      <w:r>
        <w:rPr>
          <w:rFonts w:ascii="Times New Roman" w:hAnsi="Times New Roman" w:cs="Times New Roman"/>
          <w:sz w:val="24"/>
          <w:szCs w:val="24"/>
        </w:rPr>
        <w:t xml:space="preserve">Materiale per </w:t>
      </w:r>
      <w:r w:rsidR="00384060" w:rsidRPr="007767F5">
        <w:rPr>
          <w:rFonts w:ascii="Times New Roman" w:hAnsi="Times New Roman" w:cs="Times New Roman"/>
          <w:sz w:val="24"/>
          <w:szCs w:val="24"/>
        </w:rPr>
        <w:t xml:space="preserve"> audizione del 11.4.2016</w:t>
      </w:r>
    </w:p>
    <w:p w:rsidR="00384060" w:rsidRPr="007767F5" w:rsidRDefault="00384060">
      <w:pPr>
        <w:rPr>
          <w:rFonts w:ascii="Times New Roman" w:hAnsi="Times New Roman" w:cs="Times New Roman"/>
          <w:sz w:val="24"/>
          <w:szCs w:val="24"/>
        </w:rPr>
      </w:pPr>
      <w:r w:rsidRPr="007767F5">
        <w:rPr>
          <w:rFonts w:ascii="Times New Roman" w:hAnsi="Times New Roman" w:cs="Times New Roman"/>
          <w:sz w:val="24"/>
          <w:szCs w:val="24"/>
        </w:rPr>
        <w:t>Chiara Saraceno</w:t>
      </w:r>
    </w:p>
    <w:p w:rsidR="00384060" w:rsidRPr="007767F5" w:rsidRDefault="00384060" w:rsidP="00384060">
      <w:pPr>
        <w:rPr>
          <w:rFonts w:ascii="Times New Roman" w:hAnsi="Times New Roman" w:cs="Times New Roman"/>
          <w:i/>
          <w:sz w:val="24"/>
          <w:szCs w:val="24"/>
        </w:rPr>
      </w:pPr>
      <w:r w:rsidRPr="007767F5">
        <w:rPr>
          <w:rFonts w:ascii="Times New Roman" w:hAnsi="Times New Roman" w:cs="Times New Roman"/>
          <w:i/>
          <w:sz w:val="24"/>
          <w:szCs w:val="24"/>
        </w:rPr>
        <w:t>Alcune osservazioni sul contesto e le caratteristiche della povertà assoluta in Italia</w:t>
      </w:r>
    </w:p>
    <w:p w:rsidR="00384060" w:rsidRPr="007767F5" w:rsidRDefault="00384060" w:rsidP="00384060">
      <w:pPr>
        <w:rPr>
          <w:rFonts w:ascii="Times New Roman" w:hAnsi="Times New Roman" w:cs="Times New Roman"/>
          <w:sz w:val="24"/>
          <w:szCs w:val="24"/>
        </w:rPr>
      </w:pPr>
      <w:r w:rsidRPr="007767F5">
        <w:rPr>
          <w:rFonts w:ascii="Times New Roman" w:hAnsi="Times New Roman" w:cs="Times New Roman"/>
          <w:sz w:val="24"/>
          <w:szCs w:val="24"/>
        </w:rPr>
        <w:t>La povertà, sia relativa sia assoluta, in Italia è caratterizzata da:</w:t>
      </w:r>
    </w:p>
    <w:p w:rsidR="00384060" w:rsidRPr="007767F5" w:rsidRDefault="00384060" w:rsidP="00384060">
      <w:pPr>
        <w:pStyle w:val="Paragrafoelenco"/>
        <w:numPr>
          <w:ilvl w:val="0"/>
          <w:numId w:val="4"/>
        </w:numPr>
        <w:rPr>
          <w:rFonts w:ascii="Times New Roman" w:hAnsi="Times New Roman" w:cs="Times New Roman"/>
          <w:sz w:val="24"/>
          <w:szCs w:val="24"/>
        </w:rPr>
      </w:pPr>
      <w:r w:rsidRPr="007767F5">
        <w:rPr>
          <w:rFonts w:ascii="Times New Roman" w:hAnsi="Times New Roman" w:cs="Times New Roman"/>
          <w:sz w:val="24"/>
          <w:szCs w:val="24"/>
        </w:rPr>
        <w:t xml:space="preserve">Forte concentrazione territoriale, con un tasso di povertà assoluta nel Mezzogiorno doppio di quello del centro-Nord: 8,6 per cento </w:t>
      </w:r>
      <w:r w:rsidR="00F90061">
        <w:rPr>
          <w:rFonts w:ascii="Times New Roman" w:hAnsi="Times New Roman" w:cs="Times New Roman"/>
          <w:sz w:val="24"/>
          <w:szCs w:val="24"/>
        </w:rPr>
        <w:t xml:space="preserve">delle famiglie </w:t>
      </w:r>
      <w:r w:rsidRPr="007767F5">
        <w:rPr>
          <w:rFonts w:ascii="Times New Roman" w:hAnsi="Times New Roman" w:cs="Times New Roman"/>
          <w:sz w:val="24"/>
          <w:szCs w:val="24"/>
        </w:rPr>
        <w:t xml:space="preserve">a fronte del 4,2 per cento del Nord e al 4,8 per cento del </w:t>
      </w:r>
      <w:r w:rsidR="00F90061">
        <w:rPr>
          <w:rFonts w:ascii="Times New Roman" w:hAnsi="Times New Roman" w:cs="Times New Roman"/>
          <w:sz w:val="24"/>
          <w:szCs w:val="24"/>
        </w:rPr>
        <w:t>Centro</w:t>
      </w:r>
      <w:r w:rsidRPr="007767F5">
        <w:rPr>
          <w:rFonts w:ascii="Times New Roman" w:hAnsi="Times New Roman" w:cs="Times New Roman"/>
          <w:sz w:val="24"/>
          <w:szCs w:val="24"/>
        </w:rPr>
        <w:t>. Allo stesso tempo, mentre nel Mezzogiorno c’è un grosso scarto tra incidenza della povertà assoluta e inc</w:t>
      </w:r>
      <w:r w:rsidR="007F4688" w:rsidRPr="007767F5">
        <w:rPr>
          <w:rFonts w:ascii="Times New Roman" w:hAnsi="Times New Roman" w:cs="Times New Roman"/>
          <w:sz w:val="24"/>
          <w:szCs w:val="24"/>
        </w:rPr>
        <w:t>i</w:t>
      </w:r>
      <w:r w:rsidRPr="007767F5">
        <w:rPr>
          <w:rFonts w:ascii="Times New Roman" w:hAnsi="Times New Roman" w:cs="Times New Roman"/>
          <w:sz w:val="24"/>
          <w:szCs w:val="24"/>
        </w:rPr>
        <w:t>denza della povertà relativa, nel Nord i due tassi quasi si sovrappongono, ovvero nel Nord l’incidenza della povertà è minore, ma è quasi sempre assoluta.</w:t>
      </w:r>
    </w:p>
    <w:p w:rsidR="007F4688" w:rsidRPr="007767F5" w:rsidRDefault="00384060" w:rsidP="006D748D">
      <w:pPr>
        <w:pStyle w:val="Paragrafoelenco"/>
        <w:numPr>
          <w:ilvl w:val="0"/>
          <w:numId w:val="4"/>
        </w:numPr>
        <w:rPr>
          <w:rFonts w:ascii="Times New Roman" w:hAnsi="Times New Roman" w:cs="Times New Roman"/>
          <w:sz w:val="24"/>
          <w:szCs w:val="24"/>
        </w:rPr>
      </w:pPr>
      <w:r w:rsidRPr="007767F5">
        <w:rPr>
          <w:rFonts w:ascii="Times New Roman" w:hAnsi="Times New Roman" w:cs="Times New Roman"/>
          <w:sz w:val="24"/>
          <w:szCs w:val="24"/>
        </w:rPr>
        <w:t xml:space="preserve">Forte incidenza della povertà minorile, dovuta soprattutto alla </w:t>
      </w:r>
      <w:r w:rsidR="007F4688" w:rsidRPr="007767F5">
        <w:rPr>
          <w:rFonts w:ascii="Times New Roman" w:hAnsi="Times New Roman" w:cs="Times New Roman"/>
          <w:sz w:val="24"/>
          <w:szCs w:val="24"/>
        </w:rPr>
        <w:t>diffusione della povertà n</w:t>
      </w:r>
      <w:r w:rsidRPr="007767F5">
        <w:rPr>
          <w:rFonts w:ascii="Times New Roman" w:hAnsi="Times New Roman" w:cs="Times New Roman"/>
          <w:sz w:val="24"/>
          <w:szCs w:val="24"/>
        </w:rPr>
        <w:t>elle famiglie con tre o più figli</w:t>
      </w:r>
      <w:r w:rsidR="007F4688" w:rsidRPr="007767F5">
        <w:rPr>
          <w:rFonts w:ascii="Times New Roman" w:hAnsi="Times New Roman" w:cs="Times New Roman"/>
          <w:sz w:val="24"/>
          <w:szCs w:val="24"/>
        </w:rPr>
        <w:t>. Complessivamente, è in povertà assoluta l 10% di tutti i minori.</w:t>
      </w:r>
    </w:p>
    <w:p w:rsidR="00384060" w:rsidRPr="007767F5" w:rsidRDefault="007F4688" w:rsidP="007F4688">
      <w:pPr>
        <w:pStyle w:val="Paragrafoelenco"/>
        <w:numPr>
          <w:ilvl w:val="0"/>
          <w:numId w:val="4"/>
        </w:numPr>
        <w:rPr>
          <w:rFonts w:ascii="Times New Roman" w:hAnsi="Times New Roman" w:cs="Times New Roman"/>
          <w:sz w:val="24"/>
          <w:szCs w:val="24"/>
        </w:rPr>
      </w:pPr>
      <w:r w:rsidRPr="007767F5">
        <w:rPr>
          <w:rFonts w:ascii="Times New Roman" w:hAnsi="Times New Roman" w:cs="Times New Roman"/>
          <w:sz w:val="24"/>
          <w:szCs w:val="24"/>
        </w:rPr>
        <w:t>Presenza significativa di famiglie di lavoratori poveri. Si trova in povertà assoluta il 5.2% delle famiglie con persona di riferimento occupata</w:t>
      </w:r>
      <w:r w:rsidR="00F90061">
        <w:rPr>
          <w:rFonts w:ascii="Times New Roman" w:hAnsi="Times New Roman" w:cs="Times New Roman"/>
          <w:sz w:val="24"/>
          <w:szCs w:val="24"/>
        </w:rPr>
        <w:t xml:space="preserve"> (poco meno della percentuale riguardante tutte le famiglie, 57%</w:t>
      </w:r>
      <w:r w:rsidR="0053356B">
        <w:rPr>
          <w:rFonts w:ascii="Times New Roman" w:hAnsi="Times New Roman" w:cs="Times New Roman"/>
          <w:sz w:val="24"/>
          <w:szCs w:val="24"/>
        </w:rPr>
        <w:t>)</w:t>
      </w:r>
      <w:r w:rsidRPr="007767F5">
        <w:rPr>
          <w:rFonts w:ascii="Times New Roman" w:hAnsi="Times New Roman" w:cs="Times New Roman"/>
          <w:sz w:val="24"/>
          <w:szCs w:val="24"/>
        </w:rPr>
        <w:t xml:space="preserve">, che sale al 9,7% se </w:t>
      </w:r>
      <w:r w:rsidR="00F90061">
        <w:rPr>
          <w:rFonts w:ascii="Times New Roman" w:hAnsi="Times New Roman" w:cs="Times New Roman"/>
          <w:sz w:val="24"/>
          <w:szCs w:val="24"/>
        </w:rPr>
        <w:t xml:space="preserve">quella persona è </w:t>
      </w:r>
      <w:r w:rsidRPr="007767F5">
        <w:rPr>
          <w:rFonts w:ascii="Times New Roman" w:hAnsi="Times New Roman" w:cs="Times New Roman"/>
          <w:sz w:val="24"/>
          <w:szCs w:val="24"/>
        </w:rPr>
        <w:t xml:space="preserve">operaio o assimilato. Per quanto riguarda i minori, la povertà assoluta riguarda il 24,5 di coloro che vivono una famiglia in cui nessun adulto è occupato, l’11,6% di quelli che vivono con un solo occupato, il 5,9% di coloro che vivono in famiglie con due o più occupati. La maggioranza dei minori in povertà assoluta vive in famiglie in cui c’è almeno un occupato, ma spesso solo uno. Ciò significa che un reddito da lavoro non sempre è sufficiente a mantenere una famiglia. </w:t>
      </w:r>
      <w:r w:rsidR="00CF400B" w:rsidRPr="007767F5">
        <w:rPr>
          <w:rFonts w:ascii="Times New Roman" w:hAnsi="Times New Roman" w:cs="Times New Roman"/>
          <w:sz w:val="24"/>
          <w:szCs w:val="24"/>
        </w:rPr>
        <w:t>Occorre aumentare il numero di occupati per famiglia, favorendo l’occupazione materna con politiche di conciliazione famiglia-lavoro. Ma occorre anche ripensare ai trasferimenti di reddito destinati alle famiglie con figli (assegni al nucleo famigliare, detrazioni fiscali per i figli a carico). Questi, infatti, o sono categoriali o non sono fruiti dagli incapienti.</w:t>
      </w:r>
    </w:p>
    <w:p w:rsidR="00CF400B" w:rsidRPr="007767F5" w:rsidRDefault="00CF400B" w:rsidP="007F4688">
      <w:pPr>
        <w:pStyle w:val="Paragrafoelenco"/>
        <w:numPr>
          <w:ilvl w:val="0"/>
          <w:numId w:val="4"/>
        </w:numPr>
        <w:rPr>
          <w:rFonts w:ascii="Times New Roman" w:hAnsi="Times New Roman" w:cs="Times New Roman"/>
          <w:sz w:val="24"/>
          <w:szCs w:val="24"/>
        </w:rPr>
      </w:pPr>
      <w:r w:rsidRPr="007767F5">
        <w:rPr>
          <w:rFonts w:ascii="Times New Roman" w:hAnsi="Times New Roman" w:cs="Times New Roman"/>
          <w:sz w:val="24"/>
          <w:szCs w:val="24"/>
        </w:rPr>
        <w:t>Forte concentrazione della povertà tra la popolazione straniera. Tra le famiglie di stranieri l’incidenza della povertà assoluta è quasi sei volte quella tra gli autoctoni, 23,4 per cento rispetto a 4,3 per cento. Ciò avviene perché tra la popolazione straniere è molto presente il fenomeno della povertà nonostante il lavoro, in famiglie di ampiezza mediamente più grande che tra gli autoctoni.</w:t>
      </w:r>
    </w:p>
    <w:p w:rsidR="00CF400B" w:rsidRPr="007767F5" w:rsidRDefault="00CF400B" w:rsidP="00CF400B">
      <w:pPr>
        <w:rPr>
          <w:rFonts w:ascii="Times New Roman" w:hAnsi="Times New Roman" w:cs="Times New Roman"/>
          <w:sz w:val="24"/>
          <w:szCs w:val="24"/>
        </w:rPr>
      </w:pPr>
    </w:p>
    <w:p w:rsidR="00CF400B" w:rsidRPr="007767F5" w:rsidRDefault="00415EB4" w:rsidP="00CF400B">
      <w:pPr>
        <w:rPr>
          <w:rFonts w:ascii="Times New Roman" w:hAnsi="Times New Roman" w:cs="Times New Roman"/>
          <w:i/>
          <w:sz w:val="24"/>
          <w:szCs w:val="24"/>
        </w:rPr>
      </w:pPr>
      <w:r w:rsidRPr="007767F5">
        <w:rPr>
          <w:rFonts w:ascii="Times New Roman" w:hAnsi="Times New Roman" w:cs="Times New Roman"/>
          <w:i/>
          <w:sz w:val="24"/>
          <w:szCs w:val="24"/>
        </w:rPr>
        <w:t>Osservazioni sulla presentazione del disegno di legge: riferimenti normativi, individuazione delle misure che andrebbero razionalizzate</w:t>
      </w:r>
    </w:p>
    <w:p w:rsidR="003B24B6" w:rsidRDefault="00415EB4" w:rsidP="00CF400B">
      <w:pPr>
        <w:rPr>
          <w:rFonts w:ascii="Times New Roman" w:hAnsi="Times New Roman" w:cs="Times New Roman"/>
          <w:sz w:val="24"/>
          <w:szCs w:val="24"/>
        </w:rPr>
      </w:pPr>
      <w:r w:rsidRPr="007767F5">
        <w:rPr>
          <w:rFonts w:ascii="Times New Roman" w:hAnsi="Times New Roman" w:cs="Times New Roman"/>
          <w:sz w:val="24"/>
          <w:szCs w:val="24"/>
        </w:rPr>
        <w:t xml:space="preserve">Proprio perché si vuole andare verso una razionalizzazione in direzione di un “universalismo selettivo”, che </w:t>
      </w:r>
      <w:r w:rsidR="001007B2" w:rsidRPr="007767F5">
        <w:rPr>
          <w:rFonts w:ascii="Times New Roman" w:hAnsi="Times New Roman" w:cs="Times New Roman"/>
          <w:sz w:val="24"/>
          <w:szCs w:val="24"/>
        </w:rPr>
        <w:t>elimini sia la frammentazione degli interventi, sia la categorializzazione spinta, sia effetti contro-redistributivi, è opportuno fare un esame attento e il più completo possibile di tutte le misure legate al reddito che esistono attualmente, per valutarne l’appropriatezza. Non è detto che tutti vadano eliminati e neppure riformati, ma prima di introdurre una nuova misura è bene accertarsi di verificare in che quadro si inserisce, chi saranno i destinatari non solo teorici, ma effettivi e così via. Un caso esemplare è quello dei trasferimenti per i figli. Al momento ne esistono quattro, con criteri e platee in parte diverse, e con scarsi effetti redistributivi: asseg</w:t>
      </w:r>
      <w:r w:rsidR="002C1D6B" w:rsidRPr="007767F5">
        <w:rPr>
          <w:rFonts w:ascii="Times New Roman" w:hAnsi="Times New Roman" w:cs="Times New Roman"/>
          <w:sz w:val="24"/>
          <w:szCs w:val="24"/>
        </w:rPr>
        <w:t>n</w:t>
      </w:r>
      <w:r w:rsidR="001007B2" w:rsidRPr="007767F5">
        <w:rPr>
          <w:rFonts w:ascii="Times New Roman" w:hAnsi="Times New Roman" w:cs="Times New Roman"/>
          <w:sz w:val="24"/>
          <w:szCs w:val="24"/>
        </w:rPr>
        <w:t xml:space="preserve">o al nucleo </w:t>
      </w:r>
      <w:r w:rsidR="001007B2" w:rsidRPr="007767F5">
        <w:rPr>
          <w:rFonts w:ascii="Times New Roman" w:hAnsi="Times New Roman" w:cs="Times New Roman"/>
          <w:sz w:val="24"/>
          <w:szCs w:val="24"/>
        </w:rPr>
        <w:lastRenderedPageBreak/>
        <w:t>famigliare, destinato ai lavoratori dipendenti e assimilati a basso reddito famigliare assegno a terzo figlio, destinato a famiglie a basso reddito (accertato in modi diverso dall’assegno al nucleo familiare) con almeno tre figli tutti minori, bonus bebé, per i nati o adottati nel triennio 2015-2018, detrazioni per i figli a carico. Un lavoratore autonomo a basso reddito con due soli figli, o con tre figli di cui uno maggiorenne ancorché a carico non riceve nulla: nessun assegno, perchè non è tra i destinatari, nessuna detrazione perché incapiente e non è prevista una imposta negativa. Un lavoratore dipendente a basso reddito con tre figli tutti minori, di cui uno nato nel triennio può prendere tre diversi assegni.</w:t>
      </w:r>
      <w:r w:rsidR="002C1D6B" w:rsidRPr="007767F5">
        <w:rPr>
          <w:rFonts w:ascii="Times New Roman" w:hAnsi="Times New Roman" w:cs="Times New Roman"/>
          <w:sz w:val="24"/>
          <w:szCs w:val="24"/>
        </w:rPr>
        <w:t xml:space="preserve"> Se invece di introdurre il bonus bebé si fossero utilizzati quei fondi per una riforma degli assegni al nucleo famigliare (in cui includere anche l’assegno per il terzo figlio) che introduca assegni per i figli di importo calante al crescere del reddito famigliare, da ricevere in alternativa alla detrazione fiscale (come avviene in Germania), si sarebbe fatto un’opera di razionalizzazione in chiave universalistica  ed insieme redistributiva verso i più poveri, Secondo stime IRS/CAPP una riforma di questo genere porterebbe fuori dalla povertà una quota significativa di famiglie con figli a carico.</w:t>
      </w:r>
    </w:p>
    <w:p w:rsidR="00F90061" w:rsidRPr="007767F5" w:rsidRDefault="00F90061" w:rsidP="00CF400B">
      <w:pPr>
        <w:rPr>
          <w:rFonts w:ascii="Times New Roman" w:hAnsi="Times New Roman" w:cs="Times New Roman"/>
          <w:sz w:val="24"/>
          <w:szCs w:val="24"/>
        </w:rPr>
      </w:pPr>
      <w:r>
        <w:rPr>
          <w:rFonts w:ascii="Times New Roman" w:hAnsi="Times New Roman" w:cs="Times New Roman"/>
          <w:sz w:val="24"/>
          <w:szCs w:val="24"/>
        </w:rPr>
        <w:t>Le conseguenze di questa frammentazione e categorialismo spinto dei traferimenti monetari sono paradossali dal punto di vista dell’equità e del contrasto alla povertà. Secondo una stima recente di IRS/CAPP, a fronte di 72 miliardi di spesa latamente assistenziale (cfr. anche audizione di Brambilla9, il 24% per cento delle famiglie in povertà  relativa e il 44% delle famiglie in povertà assoluta non ricevono nessun tipo di sostegno monetario.</w:t>
      </w:r>
    </w:p>
    <w:p w:rsidR="002C1D6B" w:rsidRPr="007767F5" w:rsidRDefault="002C1D6B" w:rsidP="00CF400B">
      <w:pPr>
        <w:rPr>
          <w:rFonts w:ascii="Times New Roman" w:hAnsi="Times New Roman" w:cs="Times New Roman"/>
          <w:sz w:val="24"/>
          <w:szCs w:val="24"/>
        </w:rPr>
      </w:pPr>
      <w:r w:rsidRPr="007767F5">
        <w:rPr>
          <w:rFonts w:ascii="Times New Roman" w:hAnsi="Times New Roman" w:cs="Times New Roman"/>
          <w:sz w:val="24"/>
          <w:szCs w:val="24"/>
        </w:rPr>
        <w:t>Alla luce di queste osservazioni</w:t>
      </w:r>
    </w:p>
    <w:p w:rsidR="002C1D6B" w:rsidRPr="007767F5" w:rsidRDefault="002C1D6B" w:rsidP="002C1D6B">
      <w:pPr>
        <w:pStyle w:val="Paragrafoelenco"/>
        <w:numPr>
          <w:ilvl w:val="0"/>
          <w:numId w:val="4"/>
        </w:numPr>
        <w:rPr>
          <w:rFonts w:ascii="Times New Roman" w:hAnsi="Times New Roman" w:cs="Times New Roman"/>
          <w:sz w:val="24"/>
          <w:szCs w:val="24"/>
        </w:rPr>
      </w:pPr>
      <w:r w:rsidRPr="007767F5">
        <w:rPr>
          <w:rFonts w:ascii="Times New Roman" w:hAnsi="Times New Roman" w:cs="Times New Roman"/>
          <w:sz w:val="24"/>
          <w:szCs w:val="24"/>
        </w:rPr>
        <w:t xml:space="preserve">I riferimenti legislativi alle leggi nazionali in materia di politiche sociali mi sembrano molto riduttivi. Manca infatti ogni riferimento non solo alle norme che riguardano </w:t>
      </w:r>
      <w:r w:rsidR="00681867">
        <w:rPr>
          <w:rFonts w:ascii="Times New Roman" w:hAnsi="Times New Roman" w:cs="Times New Roman"/>
          <w:sz w:val="24"/>
          <w:szCs w:val="24"/>
        </w:rPr>
        <w:t xml:space="preserve">l’assegno sociale/pensione sociale, la pensione di invalidità civile </w:t>
      </w:r>
      <w:r w:rsidRPr="007767F5">
        <w:rPr>
          <w:rFonts w:ascii="Times New Roman" w:hAnsi="Times New Roman" w:cs="Times New Roman"/>
          <w:sz w:val="24"/>
          <w:szCs w:val="24"/>
        </w:rPr>
        <w:t xml:space="preserve"> e le pensioni integrate al minimo, ma anche alle norme che regolano </w:t>
      </w:r>
      <w:r w:rsidR="00681867">
        <w:rPr>
          <w:rFonts w:ascii="Times New Roman" w:hAnsi="Times New Roman" w:cs="Times New Roman"/>
          <w:sz w:val="24"/>
          <w:szCs w:val="24"/>
        </w:rPr>
        <w:t>gl</w:t>
      </w:r>
      <w:r w:rsidRPr="007767F5">
        <w:rPr>
          <w:rFonts w:ascii="Times New Roman" w:hAnsi="Times New Roman" w:cs="Times New Roman"/>
          <w:sz w:val="24"/>
          <w:szCs w:val="24"/>
        </w:rPr>
        <w:t xml:space="preserve">i </w:t>
      </w:r>
      <w:r w:rsidR="00681867">
        <w:rPr>
          <w:rFonts w:ascii="Times New Roman" w:hAnsi="Times New Roman" w:cs="Times New Roman"/>
          <w:sz w:val="24"/>
          <w:szCs w:val="24"/>
        </w:rPr>
        <w:t>altri</w:t>
      </w:r>
      <w:r w:rsidR="0053356B">
        <w:rPr>
          <w:rFonts w:ascii="Times New Roman" w:hAnsi="Times New Roman" w:cs="Times New Roman"/>
          <w:sz w:val="24"/>
          <w:szCs w:val="24"/>
        </w:rPr>
        <w:t xml:space="preserve"> </w:t>
      </w:r>
      <w:r w:rsidRPr="007767F5">
        <w:rPr>
          <w:rFonts w:ascii="Times New Roman" w:hAnsi="Times New Roman" w:cs="Times New Roman"/>
          <w:sz w:val="24"/>
          <w:szCs w:val="24"/>
        </w:rPr>
        <w:t xml:space="preserve">vari trasferimenti legati al reddito in essere: assegno al nucleo famigliare, assegno per il terzo figlio, assegno di maternità per le non indennizzate, </w:t>
      </w:r>
      <w:r w:rsidR="003B24B6" w:rsidRPr="007767F5">
        <w:rPr>
          <w:rFonts w:ascii="Times New Roman" w:hAnsi="Times New Roman" w:cs="Times New Roman"/>
          <w:sz w:val="24"/>
          <w:szCs w:val="24"/>
        </w:rPr>
        <w:t>bonus bebé, 80 euro per i lavoratori dipendenti a basso reddito, ASDI</w:t>
      </w:r>
      <w:r w:rsidR="007767F5">
        <w:rPr>
          <w:rFonts w:ascii="Times New Roman" w:hAnsi="Times New Roman" w:cs="Times New Roman"/>
          <w:sz w:val="24"/>
          <w:szCs w:val="24"/>
        </w:rPr>
        <w:t>.</w:t>
      </w:r>
    </w:p>
    <w:p w:rsidR="003B24B6" w:rsidRDefault="003B24B6" w:rsidP="002C1D6B">
      <w:pPr>
        <w:pStyle w:val="Paragrafoelenco"/>
        <w:numPr>
          <w:ilvl w:val="0"/>
          <w:numId w:val="4"/>
        </w:numPr>
        <w:rPr>
          <w:rFonts w:ascii="Times New Roman" w:hAnsi="Times New Roman" w:cs="Times New Roman"/>
          <w:sz w:val="24"/>
          <w:szCs w:val="24"/>
        </w:rPr>
      </w:pPr>
      <w:r w:rsidRPr="007767F5">
        <w:rPr>
          <w:rFonts w:ascii="Times New Roman" w:hAnsi="Times New Roman" w:cs="Times New Roman"/>
          <w:sz w:val="24"/>
          <w:szCs w:val="24"/>
        </w:rPr>
        <w:t>Non si capisce perché si faccia riferimento alla legge 53/2000 (che chiaramente non è una misura né assistenziale, né legata al reddito) e alla legge 285/97, che ormai non è più rifinanziata da anni, e non al piano nazionale asili nido, se si vuole parlare di servizi.</w:t>
      </w:r>
    </w:p>
    <w:p w:rsidR="002C1D6B" w:rsidRPr="007767F5" w:rsidRDefault="003B24B6" w:rsidP="00B142CF">
      <w:pPr>
        <w:pStyle w:val="Paragrafoelenco"/>
        <w:numPr>
          <w:ilvl w:val="0"/>
          <w:numId w:val="4"/>
        </w:numPr>
        <w:spacing w:line="240" w:lineRule="auto"/>
        <w:rPr>
          <w:rFonts w:ascii="Times New Roman" w:hAnsi="Times New Roman" w:cs="Times New Roman"/>
          <w:sz w:val="24"/>
          <w:szCs w:val="24"/>
        </w:rPr>
      </w:pPr>
      <w:r w:rsidRPr="007767F5">
        <w:rPr>
          <w:rFonts w:ascii="Times New Roman" w:hAnsi="Times New Roman" w:cs="Times New Roman"/>
          <w:sz w:val="24"/>
          <w:szCs w:val="24"/>
        </w:rPr>
        <w:t>Tra i riferimenti normativi andrebbero richiamati anche. due commi dell’art. 2 della Costituzione:</w:t>
      </w:r>
    </w:p>
    <w:p w:rsidR="003B24B6" w:rsidRPr="003B24B6" w:rsidRDefault="003B24B6" w:rsidP="00B142CF">
      <w:pPr>
        <w:pStyle w:val="Paragrafoelenco"/>
        <w:spacing w:line="240" w:lineRule="auto"/>
        <w:rPr>
          <w:rFonts w:ascii="Times New Roman" w:eastAsia="Times New Roman" w:hAnsi="Times New Roman"/>
          <w:sz w:val="24"/>
        </w:rPr>
      </w:pPr>
      <w:r w:rsidRPr="003B24B6">
        <w:rPr>
          <w:rFonts w:ascii="Times New Roman" w:eastAsia="Times New Roman" w:hAnsi="Times New Roman"/>
          <w:sz w:val="24"/>
        </w:rPr>
        <w:t>" La repubblica riconosce e garantisce i diritti inviolabili dell'uomo, sia come singolo, sia nelle formazioni sociali ove si svolge la</w:t>
      </w:r>
      <w:r w:rsidR="007767F5">
        <w:rPr>
          <w:rFonts w:ascii="Times New Roman" w:eastAsia="Times New Roman" w:hAnsi="Times New Roman"/>
          <w:sz w:val="24"/>
        </w:rPr>
        <w:t xml:space="preserve"> sua </w:t>
      </w:r>
      <w:r w:rsidRPr="003B24B6">
        <w:rPr>
          <w:rFonts w:ascii="Times New Roman" w:eastAsia="Times New Roman" w:hAnsi="Times New Roman"/>
          <w:sz w:val="24"/>
        </w:rPr>
        <w:t>personalità e richiede l'adempimento dei doveri inderogabili di solidarietà politica,</w:t>
      </w:r>
      <w:r w:rsidR="007767F5">
        <w:rPr>
          <w:rFonts w:ascii="Times New Roman" w:eastAsia="Times New Roman" w:hAnsi="Times New Roman"/>
          <w:sz w:val="24"/>
        </w:rPr>
        <w:t xml:space="preserve"> </w:t>
      </w:r>
      <w:r w:rsidRPr="003B24B6">
        <w:rPr>
          <w:rFonts w:ascii="Times New Roman" w:eastAsia="Times New Roman" w:hAnsi="Times New Roman"/>
          <w:sz w:val="24"/>
        </w:rPr>
        <w:t>economica e sociale"</w:t>
      </w:r>
    </w:p>
    <w:p w:rsidR="003B24B6" w:rsidRDefault="003B24B6" w:rsidP="00B142CF">
      <w:pPr>
        <w:pStyle w:val="Paragrafoelenco"/>
        <w:spacing w:line="240" w:lineRule="auto"/>
        <w:rPr>
          <w:rFonts w:ascii="Times New Roman" w:eastAsia="Times New Roman" w:hAnsi="Times New Roman"/>
          <w:sz w:val="24"/>
        </w:rPr>
      </w:pPr>
      <w:r w:rsidRPr="003B24B6">
        <w:rPr>
          <w:rFonts w:ascii="Times New Roman" w:eastAsia="Times New Roman" w:hAnsi="Times New Roman"/>
          <w:sz w:val="24"/>
        </w:rPr>
        <w:t>" È compito della Repubblica rimuovere gli ostacoli di ordine economico e sociale che, limitando di fatto la libertà e l'uguaglianza dei cittadini, impediscono il pieno sviluppo della persona umana e l'effettiva partecipazione di tutti i lavoratori all'organizzazione politica, economica e sociale del paese."</w:t>
      </w:r>
      <w:r>
        <w:rPr>
          <w:rFonts w:ascii="Times New Roman" w:eastAsia="Times New Roman" w:hAnsi="Times New Roman"/>
          <w:sz w:val="24"/>
        </w:rPr>
        <w:t xml:space="preserve"> </w:t>
      </w:r>
    </w:p>
    <w:p w:rsidR="003B24B6" w:rsidRDefault="003B24B6" w:rsidP="00B142CF">
      <w:pPr>
        <w:spacing w:line="240" w:lineRule="auto"/>
        <w:ind w:left="708"/>
        <w:rPr>
          <w:rFonts w:ascii="Times New Roman" w:eastAsia="Times New Roman" w:hAnsi="Times New Roman"/>
          <w:sz w:val="24"/>
        </w:rPr>
      </w:pPr>
      <w:r>
        <w:rPr>
          <w:rFonts w:ascii="Times New Roman" w:eastAsia="Times New Roman" w:hAnsi="Times New Roman"/>
          <w:sz w:val="24"/>
        </w:rPr>
        <w:t>Ed anche la Carta di Nizza che, art</w:t>
      </w:r>
      <w:r w:rsidR="007767F5">
        <w:rPr>
          <w:rFonts w:ascii="Times New Roman" w:eastAsia="Times New Roman" w:hAnsi="Times New Roman"/>
          <w:sz w:val="24"/>
        </w:rPr>
        <w:t>.</w:t>
      </w:r>
      <w:r>
        <w:rPr>
          <w:rFonts w:ascii="Times New Roman" w:eastAsia="Times New Roman" w:hAnsi="Times New Roman"/>
          <w:sz w:val="24"/>
        </w:rPr>
        <w:t xml:space="preserve"> 34 impone all'Unione il "fine di lottare contro l'esclusione sociale e la povertà"</w:t>
      </w:r>
      <w:r w:rsidR="007767F5">
        <w:rPr>
          <w:rFonts w:ascii="Times New Roman" w:eastAsia="Times New Roman" w:hAnsi="Times New Roman"/>
          <w:sz w:val="24"/>
        </w:rPr>
        <w:t xml:space="preserve"> </w:t>
      </w:r>
      <w:r>
        <w:rPr>
          <w:rFonts w:ascii="Times New Roman" w:eastAsia="Times New Roman" w:hAnsi="Times New Roman"/>
          <w:sz w:val="24"/>
        </w:rPr>
        <w:t>e a tal fine "riconosce il diritto all'assistenza sociale e all'assistenza abitativa volte a garantire un'esistenza dignitosa a tutti coloro che non dispongono di risorse sufficienti."</w:t>
      </w:r>
    </w:p>
    <w:p w:rsidR="007767F5" w:rsidRPr="00B142CF" w:rsidRDefault="00037C9B" w:rsidP="00B142CF">
      <w:pPr>
        <w:pStyle w:val="Paragrafoelenco"/>
        <w:numPr>
          <w:ilvl w:val="0"/>
          <w:numId w:val="4"/>
        </w:numPr>
        <w:autoSpaceDE w:val="0"/>
        <w:autoSpaceDN w:val="0"/>
        <w:adjustRightInd w:val="0"/>
        <w:spacing w:after="0" w:line="240" w:lineRule="auto"/>
        <w:ind w:left="714" w:hanging="357"/>
        <w:rPr>
          <w:rFonts w:ascii="Times New Roman" w:eastAsia="Times New Roman" w:hAnsi="Times New Roman" w:cs="Times New Roman"/>
          <w:sz w:val="24"/>
          <w:szCs w:val="24"/>
        </w:rPr>
      </w:pPr>
      <w:r w:rsidRPr="00E20A75">
        <w:rPr>
          <w:rFonts w:ascii="Times New Roman" w:eastAsia="Times New Roman" w:hAnsi="Times New Roman" w:cs="Times New Roman"/>
          <w:sz w:val="24"/>
          <w:szCs w:val="24"/>
        </w:rPr>
        <w:t xml:space="preserve">Sembra inopportuno escludere le pensioni e gli assegni sociali dalla </w:t>
      </w:r>
      <w:r w:rsidRPr="00E20A75">
        <w:rPr>
          <w:rFonts w:ascii="Times New Roman" w:hAnsi="Times New Roman" w:cs="Times New Roman"/>
          <w:sz w:val="24"/>
          <w:szCs w:val="24"/>
        </w:rPr>
        <w:t xml:space="preserve"> Delega sul  contrasto della povertà, al riordino delle prestazioni e al sistema degli interventi e dei servizi sociali. La ragione addotta nella presentazione del DL  p. 15 - “reputando preferibile che un tale riordino avvenga contestualmente alla ridefinizione del sistema dei servizi dedicati alle </w:t>
      </w:r>
      <w:r w:rsidRPr="00E20A75">
        <w:rPr>
          <w:rFonts w:ascii="Times New Roman" w:hAnsi="Times New Roman" w:cs="Times New Roman"/>
          <w:sz w:val="24"/>
          <w:szCs w:val="24"/>
        </w:rPr>
        <w:lastRenderedPageBreak/>
        <w:t xml:space="preserve">persone con disabilità o non autosufficienti.” – non mi sembra sufficiente, innanzitutto perché </w:t>
      </w:r>
      <w:r w:rsidR="00681867">
        <w:rPr>
          <w:rFonts w:ascii="Times New Roman" w:hAnsi="Times New Roman" w:cs="Times New Roman"/>
          <w:sz w:val="24"/>
          <w:szCs w:val="24"/>
        </w:rPr>
        <w:t>l’assegno sociale/pensione sociale</w:t>
      </w:r>
      <w:r w:rsidRPr="00E20A75">
        <w:rPr>
          <w:rFonts w:ascii="Times New Roman" w:hAnsi="Times New Roman" w:cs="Times New Roman"/>
          <w:sz w:val="24"/>
          <w:szCs w:val="24"/>
        </w:rPr>
        <w:t xml:space="preserve"> no</w:t>
      </w:r>
      <w:r w:rsidR="00E20A75" w:rsidRPr="00E20A75">
        <w:rPr>
          <w:rFonts w:ascii="Times New Roman" w:hAnsi="Times New Roman" w:cs="Times New Roman"/>
          <w:sz w:val="24"/>
          <w:szCs w:val="24"/>
        </w:rPr>
        <w:t>n sempre riguarda i disabili, ma solo quelli  anziani. I non anziani</w:t>
      </w:r>
      <w:r w:rsidR="00681867">
        <w:rPr>
          <w:rFonts w:ascii="Times New Roman" w:hAnsi="Times New Roman" w:cs="Times New Roman"/>
          <w:sz w:val="24"/>
          <w:szCs w:val="24"/>
        </w:rPr>
        <w:t xml:space="preserve"> disabili</w:t>
      </w:r>
      <w:r w:rsidR="00C766D1">
        <w:rPr>
          <w:rFonts w:ascii="Times New Roman" w:hAnsi="Times New Roman" w:cs="Times New Roman"/>
          <w:sz w:val="24"/>
          <w:szCs w:val="24"/>
        </w:rPr>
        <w:t xml:space="preserve"> al 100 o tra il 74 e il 99%</w:t>
      </w:r>
      <w:r w:rsidR="00E20A75" w:rsidRPr="00E20A75">
        <w:rPr>
          <w:rFonts w:ascii="Times New Roman" w:hAnsi="Times New Roman" w:cs="Times New Roman"/>
          <w:sz w:val="24"/>
          <w:szCs w:val="24"/>
        </w:rPr>
        <w:t xml:space="preserve"> ricevono </w:t>
      </w:r>
      <w:r w:rsidR="00681867">
        <w:rPr>
          <w:rFonts w:ascii="Times New Roman" w:hAnsi="Times New Roman" w:cs="Times New Roman"/>
          <w:sz w:val="24"/>
          <w:szCs w:val="24"/>
        </w:rPr>
        <w:t>la pensione di inabili</w:t>
      </w:r>
      <w:r w:rsidR="00C766D1">
        <w:rPr>
          <w:rFonts w:ascii="Times New Roman" w:hAnsi="Times New Roman" w:cs="Times New Roman"/>
          <w:sz w:val="24"/>
          <w:szCs w:val="24"/>
        </w:rPr>
        <w:t>tà</w:t>
      </w:r>
      <w:r w:rsidR="00E20A75" w:rsidRPr="00E20A75">
        <w:rPr>
          <w:rFonts w:ascii="Times New Roman" w:hAnsi="Times New Roman" w:cs="Times New Roman"/>
          <w:sz w:val="24"/>
          <w:szCs w:val="24"/>
        </w:rPr>
        <w:t xml:space="preserve">. </w:t>
      </w:r>
      <w:r w:rsidR="00C766D1">
        <w:rPr>
          <w:rFonts w:ascii="Times New Roman" w:hAnsi="Times New Roman" w:cs="Times New Roman"/>
          <w:sz w:val="24"/>
          <w:szCs w:val="24"/>
        </w:rPr>
        <w:t xml:space="preserve">I criteri di reddito sono diversi e vi </w:t>
      </w:r>
      <w:r w:rsidR="00E20A75" w:rsidRPr="00E20A75">
        <w:rPr>
          <w:rFonts w:ascii="Times New Roman" w:hAnsi="Times New Roman" w:cs="Times New Roman"/>
          <w:sz w:val="24"/>
          <w:szCs w:val="24"/>
        </w:rPr>
        <w:t>sono disuguaglianze incomprensibili tra diversi tipi di disabilità (perché un cieco totale ha un assegno più alto di un tetraplegico?). Può essere ragionevole soprassedere alla riforma dell’assegno di accompagnamento in vista della riforma del sistema dei servizi in questo campo</w:t>
      </w:r>
      <w:r w:rsidR="00C766D1">
        <w:rPr>
          <w:rFonts w:ascii="Times New Roman" w:hAnsi="Times New Roman" w:cs="Times New Roman"/>
          <w:sz w:val="24"/>
          <w:szCs w:val="24"/>
        </w:rPr>
        <w:t>, ma non ad un riordino del settore per quanto riguarda importi e criteri di reddito</w:t>
      </w:r>
      <w:r w:rsidR="00E20A75" w:rsidRPr="00E20A75">
        <w:rPr>
          <w:rFonts w:ascii="Times New Roman" w:hAnsi="Times New Roman" w:cs="Times New Roman"/>
          <w:sz w:val="24"/>
          <w:szCs w:val="24"/>
        </w:rPr>
        <w:t>.</w:t>
      </w:r>
    </w:p>
    <w:p w:rsidR="00B142CF" w:rsidRPr="00E20A75" w:rsidRDefault="00B142CF" w:rsidP="00B142CF">
      <w:pPr>
        <w:pStyle w:val="Paragrafoelenco"/>
        <w:autoSpaceDE w:val="0"/>
        <w:autoSpaceDN w:val="0"/>
        <w:adjustRightInd w:val="0"/>
        <w:spacing w:after="0" w:line="240" w:lineRule="auto"/>
        <w:ind w:left="714"/>
        <w:rPr>
          <w:rFonts w:ascii="Times New Roman" w:eastAsia="Times New Roman" w:hAnsi="Times New Roman" w:cs="Times New Roman"/>
          <w:sz w:val="24"/>
          <w:szCs w:val="24"/>
        </w:rPr>
      </w:pPr>
    </w:p>
    <w:p w:rsidR="00E20A75" w:rsidRDefault="00E20A75" w:rsidP="00B142CF">
      <w:pPr>
        <w:pStyle w:val="Paragrafoelenco"/>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riordino deve riguardare anche il sostegno al costo dei figli</w:t>
      </w:r>
      <w:r w:rsidR="00B142CF">
        <w:rPr>
          <w:rFonts w:ascii="Times New Roman" w:eastAsia="Times New Roman" w:hAnsi="Times New Roman" w:cs="Times New Roman"/>
          <w:sz w:val="24"/>
          <w:szCs w:val="24"/>
        </w:rPr>
        <w:t xml:space="preserve">. </w:t>
      </w:r>
    </w:p>
    <w:p w:rsidR="00B142CF" w:rsidRPr="00B142CF" w:rsidRDefault="00B142CF" w:rsidP="00B142CF">
      <w:pPr>
        <w:pStyle w:val="Paragrafoelenco"/>
        <w:rPr>
          <w:rFonts w:ascii="Times New Roman" w:eastAsia="Times New Roman" w:hAnsi="Times New Roman" w:cs="Times New Roman"/>
          <w:sz w:val="24"/>
          <w:szCs w:val="24"/>
        </w:rPr>
      </w:pPr>
    </w:p>
    <w:p w:rsidR="00B142CF" w:rsidRDefault="00B142CF" w:rsidP="00B142CF">
      <w:pPr>
        <w:pStyle w:val="Paragrafoelenco"/>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Occorre chiarire in che rapporto sta il nuovo reddito minimo con l’Asdi (personalmente io sarei favorevole ad un’unica misura, non ad una categoriale e un’altra tendenzialmente universalistica).</w:t>
      </w:r>
    </w:p>
    <w:p w:rsidR="00B142CF" w:rsidRPr="00B142CF" w:rsidRDefault="00B142CF" w:rsidP="00B142CF">
      <w:pPr>
        <w:pStyle w:val="Paragrafoelenco"/>
        <w:rPr>
          <w:rFonts w:ascii="Times New Roman" w:eastAsia="Times New Roman" w:hAnsi="Times New Roman" w:cs="Times New Roman"/>
          <w:sz w:val="24"/>
          <w:szCs w:val="24"/>
        </w:rPr>
      </w:pPr>
    </w:p>
    <w:p w:rsidR="00B142CF" w:rsidRDefault="00B5570C" w:rsidP="00B5570C">
      <w:pPr>
        <w:autoSpaceDE w:val="0"/>
        <w:autoSpaceDN w:val="0"/>
        <w:adjustRightInd w:val="0"/>
        <w:spacing w:after="0" w:line="240" w:lineRule="auto"/>
        <w:rPr>
          <w:rFonts w:ascii="Times New Roman" w:eastAsia="Times New Roman" w:hAnsi="Times New Roman" w:cs="Times New Roman"/>
          <w:i/>
          <w:sz w:val="24"/>
          <w:szCs w:val="24"/>
        </w:rPr>
      </w:pPr>
      <w:r w:rsidRPr="00B5570C">
        <w:rPr>
          <w:rFonts w:ascii="Times New Roman" w:eastAsia="Times New Roman" w:hAnsi="Times New Roman" w:cs="Times New Roman"/>
          <w:i/>
          <w:sz w:val="24"/>
          <w:szCs w:val="24"/>
        </w:rPr>
        <w:t>Per quanto riguarda il finanziamento</w:t>
      </w:r>
    </w:p>
    <w:p w:rsidR="00B5570C" w:rsidRPr="00D2450A" w:rsidRDefault="00B5570C" w:rsidP="00B5570C">
      <w:pPr>
        <w:autoSpaceDE w:val="0"/>
        <w:autoSpaceDN w:val="0"/>
        <w:adjustRightInd w:val="0"/>
        <w:spacing w:after="0" w:line="240" w:lineRule="auto"/>
        <w:rPr>
          <w:rFonts w:ascii="Times New Roman" w:hAnsi="Times New Roman" w:cs="Times New Roman"/>
          <w:sz w:val="24"/>
          <w:szCs w:val="24"/>
        </w:rPr>
      </w:pPr>
      <w:r w:rsidRPr="00D2450A">
        <w:rPr>
          <w:rFonts w:ascii="Times New Roman" w:hAnsi="Times New Roman" w:cs="Times New Roman"/>
          <w:sz w:val="24"/>
          <w:szCs w:val="24"/>
        </w:rPr>
        <w:t>Non si può pensare che l’estensione della platea e l’adeguatezza del sostegno per i poveri possano essere vincolati solo alle risorse derivanti dalla razionalizzazione stessa, quindi da spostamenti interni all’esistente. Occorre rivedere i vari trasferimenti diretti e indiretti introdotti in questi anni, spesso a favore dei più abbienti (vedi eliminazione TASI su prima casa e in parte anche gli 80 euro, che è stato stimato vadano in larga misure a famiglie dei decili più alti</w:t>
      </w:r>
      <w:r w:rsidR="00D2450A" w:rsidRPr="00D2450A">
        <w:rPr>
          <w:rFonts w:ascii="Times New Roman" w:hAnsi="Times New Roman" w:cs="Times New Roman"/>
          <w:sz w:val="24"/>
          <w:szCs w:val="24"/>
        </w:rPr>
        <w:t>, dove ci sono più lavoratori, escludendo molte dei decili più bassi con figli minori</w:t>
      </w:r>
      <w:r w:rsidRPr="00D2450A">
        <w:rPr>
          <w:rFonts w:ascii="Times New Roman" w:hAnsi="Times New Roman" w:cs="Times New Roman"/>
          <w:sz w:val="24"/>
          <w:szCs w:val="24"/>
        </w:rPr>
        <w:t>) e che configurano grossi impegni di spesa</w:t>
      </w:r>
      <w:r w:rsidR="00D2450A" w:rsidRPr="00D2450A">
        <w:rPr>
          <w:rFonts w:ascii="Times New Roman" w:hAnsi="Times New Roman" w:cs="Times New Roman"/>
          <w:sz w:val="24"/>
          <w:szCs w:val="24"/>
        </w:rPr>
        <w:t>. Ricordo che è stato stimato che per coprire tutti coloro che si trovano in povertà assoluta sarebbero necessari 6-7000 euro solo per il sostegno al reddito</w:t>
      </w:r>
      <w:r w:rsidR="00DF3716">
        <w:rPr>
          <w:rFonts w:ascii="Times New Roman" w:hAnsi="Times New Roman" w:cs="Times New Roman"/>
          <w:sz w:val="24"/>
          <w:szCs w:val="24"/>
        </w:rPr>
        <w:t xml:space="preserve">. Va poi aggiunto </w:t>
      </w:r>
      <w:r w:rsidR="00D2450A" w:rsidRPr="00D2450A">
        <w:rPr>
          <w:rFonts w:ascii="Times New Roman" w:hAnsi="Times New Roman" w:cs="Times New Roman"/>
          <w:sz w:val="24"/>
          <w:szCs w:val="24"/>
        </w:rPr>
        <w:t xml:space="preserve"> quanto occorre per le misure di attivazione.</w:t>
      </w:r>
      <w:r w:rsidR="00DF3716">
        <w:rPr>
          <w:rFonts w:ascii="Times New Roman" w:hAnsi="Times New Roman" w:cs="Times New Roman"/>
          <w:sz w:val="24"/>
          <w:szCs w:val="24"/>
        </w:rPr>
        <w:t xml:space="preserve"> Ovviamente, per quanto riguarda questa seconda spesa, accanto ai fondi europei richiamati dal disegno di legge, si può contare su quanto già attualmente spendno gli enti locali in questo campo. Ma esistono forti difformità territoriali.</w:t>
      </w:r>
    </w:p>
    <w:p w:rsidR="00D2450A" w:rsidRPr="00D2450A" w:rsidRDefault="00D2450A" w:rsidP="00B5570C">
      <w:pPr>
        <w:autoSpaceDE w:val="0"/>
        <w:autoSpaceDN w:val="0"/>
        <w:adjustRightInd w:val="0"/>
        <w:spacing w:after="0" w:line="240" w:lineRule="auto"/>
        <w:rPr>
          <w:rFonts w:ascii="Times New Roman" w:hAnsi="Times New Roman" w:cs="Times New Roman"/>
          <w:sz w:val="24"/>
          <w:szCs w:val="24"/>
        </w:rPr>
      </w:pPr>
    </w:p>
    <w:p w:rsidR="00D2450A" w:rsidRPr="00D2450A" w:rsidRDefault="00D2450A" w:rsidP="00B5570C">
      <w:pPr>
        <w:autoSpaceDE w:val="0"/>
        <w:autoSpaceDN w:val="0"/>
        <w:adjustRightInd w:val="0"/>
        <w:spacing w:after="0" w:line="240" w:lineRule="auto"/>
        <w:rPr>
          <w:rFonts w:ascii="Times New Roman" w:hAnsi="Times New Roman" w:cs="Times New Roman"/>
          <w:sz w:val="24"/>
          <w:szCs w:val="24"/>
        </w:rPr>
      </w:pPr>
      <w:r w:rsidRPr="00D2450A">
        <w:rPr>
          <w:rFonts w:ascii="Times New Roman" w:hAnsi="Times New Roman" w:cs="Times New Roman"/>
          <w:sz w:val="24"/>
          <w:szCs w:val="24"/>
        </w:rPr>
        <w:t>Alcuni punti di attenzione per quanto riguarderà le deleghe attuative:</w:t>
      </w:r>
    </w:p>
    <w:p w:rsidR="00D2450A" w:rsidRDefault="00D2450A" w:rsidP="00B5570C">
      <w:pPr>
        <w:autoSpaceDE w:val="0"/>
        <w:autoSpaceDN w:val="0"/>
        <w:adjustRightInd w:val="0"/>
        <w:spacing w:after="0" w:line="240" w:lineRule="auto"/>
        <w:rPr>
          <w:rFonts w:ascii="AsterStcc-Regular" w:hAnsi="AsterStcc-Regular" w:cs="AsterStcc-Regular"/>
          <w:sz w:val="21"/>
          <w:szCs w:val="21"/>
        </w:rPr>
      </w:pPr>
    </w:p>
    <w:p w:rsidR="00D2450A" w:rsidRDefault="00D2450A" w:rsidP="00D2450A">
      <w:pPr>
        <w:pStyle w:val="Paragrafoelenco"/>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Bisogna evitare di dare una somma fissa, a prescindere dalla distanza dalla soglia (come si intende fare per il SIA esteso a tutto il territorio nazionale). Sarebbe ingiusto e incomprensibile. Piuttosto si può valutare se dare un “premio” a chi ottiene un po’ di reddito lavorando, in modo da evitare che per ogni euro guadagnato se ne perda uno di assistenza (vedi meccanismi inglese e francese in questo senso)</w:t>
      </w:r>
    </w:p>
    <w:p w:rsidR="00D2450A" w:rsidRDefault="00D2450A" w:rsidP="00D2450A">
      <w:pPr>
        <w:pStyle w:val="Paragrafoelenco"/>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 misure di accompagnamento/attivazione in linea di principio devono coinvolgere in modo appropriato tutti i componenti la famiglia e non riguardare solo l’accompagnamento al lavoro, ma anche la scolarità, i servizi di cura, ecc.</w:t>
      </w:r>
    </w:p>
    <w:p w:rsidR="00D2450A" w:rsidRDefault="00D2450A" w:rsidP="00D2450A">
      <w:pPr>
        <w:pStyle w:val="Paragrafoelenco"/>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Nella definizione e organizzazione delle iniziative di accompagnamento non va coinvolto solo il terzo settore, ma anche le imprese e associazioni imprenditoriali a livello locale e la scuola.</w:t>
      </w:r>
    </w:p>
    <w:p w:rsidR="00DF3716" w:rsidRDefault="00DF3716" w:rsidP="00D2450A">
      <w:pPr>
        <w:pStyle w:val="Paragrafoelenco"/>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Benché l’attivazione in direzione della partecipazione al mercato del lavoro non sempre sia l’unica possibile, necessaria o sufficiente, essa rimane centrale. Per questo richiede che la riforma delle agenzie del lavoro sia portata a termine contestualmente.</w:t>
      </w:r>
    </w:p>
    <w:p w:rsidR="00DF3716" w:rsidRDefault="00DF3716" w:rsidP="00D2450A">
      <w:pPr>
        <w:pStyle w:val="Paragrafoelenco"/>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generale, occorre fare attenzione a non lasciare esclusivamente al settore dell’assistenza sociale il disegno e attuazione delle misure di attivaz</w:t>
      </w:r>
      <w:r w:rsidR="009101FB">
        <w:rPr>
          <w:rFonts w:ascii="Times New Roman" w:eastAsia="Times New Roman" w:hAnsi="Times New Roman" w:cs="Times New Roman"/>
          <w:sz w:val="24"/>
          <w:szCs w:val="24"/>
        </w:rPr>
        <w:t>i</w:t>
      </w:r>
      <w:r>
        <w:rPr>
          <w:rFonts w:ascii="Times New Roman" w:eastAsia="Times New Roman" w:hAnsi="Times New Roman" w:cs="Times New Roman"/>
          <w:sz w:val="24"/>
          <w:szCs w:val="24"/>
        </w:rPr>
        <w:t>one. Questo è stato a suo tempo uno dei limiti della sperimentazione del RMI, non per colpa degli a</w:t>
      </w:r>
      <w:r w:rsidR="009101FB">
        <w:rPr>
          <w:rFonts w:ascii="Times New Roman" w:eastAsia="Times New Roman" w:hAnsi="Times New Roman" w:cs="Times New Roman"/>
          <w:sz w:val="24"/>
          <w:szCs w:val="24"/>
        </w:rPr>
        <w:t>ssistenti sociali, ma perché uffici scolastici, uffici del lavoro ecc. delegavano loro ogni attività riguardante i beneficiari del RMI.</w:t>
      </w:r>
    </w:p>
    <w:p w:rsidR="009101FB" w:rsidRPr="00D2450A" w:rsidRDefault="009101FB" w:rsidP="009101FB">
      <w:pPr>
        <w:pStyle w:val="Paragrafoelenco"/>
        <w:autoSpaceDE w:val="0"/>
        <w:autoSpaceDN w:val="0"/>
        <w:adjustRightInd w:val="0"/>
        <w:spacing w:after="0" w:line="240" w:lineRule="auto"/>
        <w:rPr>
          <w:rFonts w:ascii="Times New Roman" w:eastAsia="Times New Roman" w:hAnsi="Times New Roman" w:cs="Times New Roman"/>
          <w:sz w:val="24"/>
          <w:szCs w:val="24"/>
        </w:rPr>
      </w:pPr>
    </w:p>
    <w:p w:rsidR="00B5570C" w:rsidRDefault="00B5570C" w:rsidP="00B5570C">
      <w:pPr>
        <w:autoSpaceDE w:val="0"/>
        <w:autoSpaceDN w:val="0"/>
        <w:adjustRightInd w:val="0"/>
        <w:spacing w:after="0" w:line="240" w:lineRule="auto"/>
        <w:rPr>
          <w:rFonts w:ascii="Times New Roman" w:eastAsia="Times New Roman" w:hAnsi="Times New Roman" w:cs="Times New Roman"/>
          <w:sz w:val="24"/>
          <w:szCs w:val="24"/>
        </w:rPr>
      </w:pPr>
    </w:p>
    <w:p w:rsidR="00C766D1" w:rsidRDefault="00C766D1" w:rsidP="00B5570C">
      <w:pPr>
        <w:autoSpaceDE w:val="0"/>
        <w:autoSpaceDN w:val="0"/>
        <w:adjustRightInd w:val="0"/>
        <w:spacing w:after="0" w:line="240" w:lineRule="auto"/>
        <w:rPr>
          <w:rFonts w:ascii="Times New Roman" w:eastAsia="Times New Roman" w:hAnsi="Times New Roman" w:cs="Times New Roman"/>
          <w:sz w:val="24"/>
          <w:szCs w:val="24"/>
        </w:rPr>
      </w:pPr>
    </w:p>
    <w:p w:rsidR="00C766D1" w:rsidRDefault="00C766D1" w:rsidP="00B5570C">
      <w:pPr>
        <w:autoSpaceDE w:val="0"/>
        <w:autoSpaceDN w:val="0"/>
        <w:adjustRightInd w:val="0"/>
        <w:spacing w:after="0" w:line="240" w:lineRule="auto"/>
        <w:rPr>
          <w:rFonts w:ascii="Times New Roman" w:eastAsia="Times New Roman" w:hAnsi="Times New Roman" w:cs="Times New Roman"/>
          <w:sz w:val="24"/>
          <w:szCs w:val="24"/>
        </w:rPr>
      </w:pPr>
    </w:p>
    <w:p w:rsidR="00C766D1" w:rsidRDefault="00C766D1" w:rsidP="00B5570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 permetto di segnalare un testo in cui ho affrontato questi argomenti:</w:t>
      </w:r>
    </w:p>
    <w:p w:rsidR="00C766D1" w:rsidRDefault="00C766D1" w:rsidP="00B5570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Chiara Saraceno, </w:t>
      </w:r>
      <w:r w:rsidRPr="00A06311">
        <w:rPr>
          <w:rFonts w:ascii="Times New Roman" w:eastAsia="Times New Roman" w:hAnsi="Times New Roman" w:cs="Times New Roman"/>
          <w:i/>
          <w:sz w:val="24"/>
          <w:szCs w:val="24"/>
        </w:rPr>
        <w:t>il lavoro non basta, la povertà in Eur</w:t>
      </w:r>
      <w:r w:rsidR="00DF3716">
        <w:rPr>
          <w:rFonts w:ascii="Times New Roman" w:eastAsia="Times New Roman" w:hAnsi="Times New Roman" w:cs="Times New Roman"/>
          <w:i/>
          <w:sz w:val="24"/>
          <w:szCs w:val="24"/>
        </w:rPr>
        <w:t>o</w:t>
      </w:r>
      <w:r w:rsidRPr="00A06311">
        <w:rPr>
          <w:rFonts w:ascii="Times New Roman" w:eastAsia="Times New Roman" w:hAnsi="Times New Roman" w:cs="Times New Roman"/>
          <w:i/>
          <w:sz w:val="24"/>
          <w:szCs w:val="24"/>
        </w:rPr>
        <w:t>pa negli anni della crisi</w:t>
      </w:r>
      <w:r>
        <w:rPr>
          <w:rFonts w:ascii="Times New Roman" w:eastAsia="Times New Roman" w:hAnsi="Times New Roman" w:cs="Times New Roman"/>
          <w:sz w:val="24"/>
          <w:szCs w:val="24"/>
        </w:rPr>
        <w:t>, il Mulino 2015, in particolare l’ultimo capitolo, sull’Italia.</w:t>
      </w:r>
    </w:p>
    <w:p w:rsidR="00C766D1" w:rsidRDefault="00C766D1" w:rsidP="00B5570C">
      <w:pPr>
        <w:autoSpaceDE w:val="0"/>
        <w:autoSpaceDN w:val="0"/>
        <w:adjustRightInd w:val="0"/>
        <w:spacing w:after="0" w:line="240" w:lineRule="auto"/>
        <w:rPr>
          <w:rFonts w:ascii="Times New Roman" w:eastAsia="Times New Roman" w:hAnsi="Times New Roman" w:cs="Times New Roman"/>
          <w:sz w:val="24"/>
          <w:szCs w:val="24"/>
        </w:rPr>
      </w:pPr>
    </w:p>
    <w:p w:rsidR="00C766D1" w:rsidRDefault="00C766D1" w:rsidP="00B5570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Sulla esperienza del RMI, si può trovare una sintesi della valutazione effettuata a suo tempo dall’Istituto cui era stata affidata in </w:t>
      </w:r>
    </w:p>
    <w:p w:rsidR="00C766D1" w:rsidRDefault="00C766D1" w:rsidP="00B5570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 di Indagine sull’esclusione sociale, </w:t>
      </w:r>
      <w:r w:rsidRPr="00A06311">
        <w:rPr>
          <w:rFonts w:ascii="Times New Roman" w:eastAsia="Times New Roman" w:hAnsi="Times New Roman" w:cs="Times New Roman"/>
          <w:i/>
          <w:sz w:val="24"/>
          <w:szCs w:val="24"/>
        </w:rPr>
        <w:t>Rapporto sulle politiche contro la povertà e l’esclusione sociale. 1997-200</w:t>
      </w:r>
      <w:r>
        <w:rPr>
          <w:rFonts w:ascii="Times New Roman" w:eastAsia="Times New Roman" w:hAnsi="Times New Roman" w:cs="Times New Roman"/>
          <w:sz w:val="24"/>
          <w:szCs w:val="24"/>
        </w:rPr>
        <w:t>1</w:t>
      </w:r>
      <w:r w:rsidR="00A06311">
        <w:rPr>
          <w:rFonts w:ascii="Times New Roman" w:eastAsia="Times New Roman" w:hAnsi="Times New Roman" w:cs="Times New Roman"/>
          <w:sz w:val="24"/>
          <w:szCs w:val="24"/>
        </w:rPr>
        <w:t xml:space="preserve"> (a cura di C. Saraceno)</w:t>
      </w:r>
      <w:r>
        <w:rPr>
          <w:rFonts w:ascii="Times New Roman" w:eastAsia="Times New Roman" w:hAnsi="Times New Roman" w:cs="Times New Roman"/>
          <w:sz w:val="24"/>
          <w:szCs w:val="24"/>
        </w:rPr>
        <w:t>, Carocci 2002</w:t>
      </w:r>
      <w:r w:rsidR="00A06311">
        <w:rPr>
          <w:rFonts w:ascii="Times New Roman" w:eastAsia="Times New Roman" w:hAnsi="Times New Roman" w:cs="Times New Roman"/>
          <w:sz w:val="24"/>
          <w:szCs w:val="24"/>
        </w:rPr>
        <w:t>, cap. 2</w:t>
      </w:r>
    </w:p>
    <w:p w:rsidR="00A06311" w:rsidRDefault="00A06311" w:rsidP="00B5570C">
      <w:pPr>
        <w:autoSpaceDE w:val="0"/>
        <w:autoSpaceDN w:val="0"/>
        <w:adjustRightInd w:val="0"/>
        <w:spacing w:after="0" w:line="240" w:lineRule="auto"/>
        <w:rPr>
          <w:rFonts w:ascii="Times New Roman" w:eastAsia="Times New Roman" w:hAnsi="Times New Roman" w:cs="Times New Roman"/>
          <w:sz w:val="24"/>
          <w:szCs w:val="24"/>
        </w:rPr>
      </w:pPr>
    </w:p>
    <w:p w:rsidR="007F4688" w:rsidRDefault="00A06311" w:rsidP="0053356B">
      <w:pPr>
        <w:autoSpaceDE w:val="0"/>
        <w:autoSpaceDN w:val="0"/>
        <w:adjustRightInd w:val="0"/>
        <w:spacing w:after="0" w:line="240" w:lineRule="auto"/>
      </w:pPr>
      <w:r>
        <w:rPr>
          <w:rFonts w:ascii="Times New Roman" w:eastAsia="Times New Roman" w:hAnsi="Times New Roman" w:cs="Times New Roman"/>
          <w:sz w:val="24"/>
          <w:szCs w:val="24"/>
        </w:rPr>
        <w:t xml:space="preserve">Si può vedere anche la proposta di riforma del welfare in direzione universalistica e relativi spostamenti interni della spesa assistenziale, largamente congruente con la filosofia del disegno di legge, avanzata da IRS/CAPP </w:t>
      </w:r>
      <w:r w:rsidR="00C01F8C" w:rsidRPr="00C01F8C">
        <w:rPr>
          <w:rFonts w:ascii="Times New Roman" w:eastAsia="Times New Roman" w:hAnsi="Times New Roman" w:cs="Times New Roman"/>
          <w:i/>
          <w:sz w:val="24"/>
          <w:szCs w:val="24"/>
        </w:rPr>
        <w:t>Costruiamo il welfare dei diritti</w:t>
      </w:r>
      <w:r w:rsidR="00C01F8C">
        <w:rPr>
          <w:rFonts w:ascii="Times New Roman" w:eastAsia="Times New Roman" w:hAnsi="Times New Roman" w:cs="Times New Roman"/>
          <w:sz w:val="24"/>
          <w:szCs w:val="24"/>
        </w:rPr>
        <w:t>, in “Prospettive sociali e sanitarie”, 2, 2016</w:t>
      </w:r>
      <w:r w:rsidR="0053356B">
        <w:rPr>
          <w:rFonts w:ascii="Times New Roman" w:eastAsia="Times New Roman" w:hAnsi="Times New Roman" w:cs="Times New Roman"/>
          <w:sz w:val="24"/>
          <w:szCs w:val="24"/>
        </w:rPr>
        <w:t>.</w:t>
      </w:r>
    </w:p>
    <w:sectPr w:rsidR="007F468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373" w:rsidRDefault="00284373" w:rsidP="005E2C7C">
      <w:pPr>
        <w:spacing w:after="0" w:line="240" w:lineRule="auto"/>
      </w:pPr>
      <w:r>
        <w:separator/>
      </w:r>
    </w:p>
  </w:endnote>
  <w:endnote w:type="continuationSeparator" w:id="0">
    <w:p w:rsidR="00284373" w:rsidRDefault="00284373" w:rsidP="005E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AsterStcc-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46237"/>
      <w:docPartObj>
        <w:docPartGallery w:val="Page Numbers (Bottom of Page)"/>
        <w:docPartUnique/>
      </w:docPartObj>
    </w:sdtPr>
    <w:sdtEndPr/>
    <w:sdtContent>
      <w:p w:rsidR="005E2C7C" w:rsidRDefault="005E2C7C">
        <w:pPr>
          <w:pStyle w:val="Pidipagina"/>
          <w:jc w:val="right"/>
        </w:pPr>
        <w:r>
          <w:fldChar w:fldCharType="begin"/>
        </w:r>
        <w:r>
          <w:instrText>PAGE   \* MERGEFORMAT</w:instrText>
        </w:r>
        <w:r>
          <w:fldChar w:fldCharType="separate"/>
        </w:r>
        <w:r w:rsidR="00151D33">
          <w:rPr>
            <w:noProof/>
          </w:rPr>
          <w:t>1</w:t>
        </w:r>
        <w:r>
          <w:fldChar w:fldCharType="end"/>
        </w:r>
      </w:p>
    </w:sdtContent>
  </w:sdt>
  <w:p w:rsidR="005E2C7C" w:rsidRDefault="005E2C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373" w:rsidRDefault="00284373" w:rsidP="005E2C7C">
      <w:pPr>
        <w:spacing w:after="0" w:line="240" w:lineRule="auto"/>
      </w:pPr>
      <w:r>
        <w:separator/>
      </w:r>
    </w:p>
  </w:footnote>
  <w:footnote w:type="continuationSeparator" w:id="0">
    <w:p w:rsidR="00284373" w:rsidRDefault="00284373" w:rsidP="005E2C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2116B"/>
    <w:multiLevelType w:val="hybridMultilevel"/>
    <w:tmpl w:val="D00E30F6"/>
    <w:lvl w:ilvl="0" w:tplc="BDD89838">
      <w:start w:val="1"/>
      <w:numFmt w:val="bullet"/>
      <w:lvlText w:val=""/>
      <w:lvlJc w:val="left"/>
      <w:pPr>
        <w:tabs>
          <w:tab w:val="num" w:pos="720"/>
        </w:tabs>
        <w:ind w:left="720" w:hanging="360"/>
      </w:pPr>
      <w:rPr>
        <w:rFonts w:ascii="Wingdings" w:hAnsi="Wingdings" w:hint="default"/>
      </w:rPr>
    </w:lvl>
    <w:lvl w:ilvl="1" w:tplc="1A4C5096" w:tentative="1">
      <w:start w:val="1"/>
      <w:numFmt w:val="bullet"/>
      <w:lvlText w:val=""/>
      <w:lvlJc w:val="left"/>
      <w:pPr>
        <w:tabs>
          <w:tab w:val="num" w:pos="1440"/>
        </w:tabs>
        <w:ind w:left="1440" w:hanging="360"/>
      </w:pPr>
      <w:rPr>
        <w:rFonts w:ascii="Wingdings" w:hAnsi="Wingdings" w:hint="default"/>
      </w:rPr>
    </w:lvl>
    <w:lvl w:ilvl="2" w:tplc="009EF0C2" w:tentative="1">
      <w:start w:val="1"/>
      <w:numFmt w:val="bullet"/>
      <w:lvlText w:val=""/>
      <w:lvlJc w:val="left"/>
      <w:pPr>
        <w:tabs>
          <w:tab w:val="num" w:pos="2160"/>
        </w:tabs>
        <w:ind w:left="2160" w:hanging="360"/>
      </w:pPr>
      <w:rPr>
        <w:rFonts w:ascii="Wingdings" w:hAnsi="Wingdings" w:hint="default"/>
      </w:rPr>
    </w:lvl>
    <w:lvl w:ilvl="3" w:tplc="DAFEEC34" w:tentative="1">
      <w:start w:val="1"/>
      <w:numFmt w:val="bullet"/>
      <w:lvlText w:val=""/>
      <w:lvlJc w:val="left"/>
      <w:pPr>
        <w:tabs>
          <w:tab w:val="num" w:pos="2880"/>
        </w:tabs>
        <w:ind w:left="2880" w:hanging="360"/>
      </w:pPr>
      <w:rPr>
        <w:rFonts w:ascii="Wingdings" w:hAnsi="Wingdings" w:hint="default"/>
      </w:rPr>
    </w:lvl>
    <w:lvl w:ilvl="4" w:tplc="05EEBA72" w:tentative="1">
      <w:start w:val="1"/>
      <w:numFmt w:val="bullet"/>
      <w:lvlText w:val=""/>
      <w:lvlJc w:val="left"/>
      <w:pPr>
        <w:tabs>
          <w:tab w:val="num" w:pos="3600"/>
        </w:tabs>
        <w:ind w:left="3600" w:hanging="360"/>
      </w:pPr>
      <w:rPr>
        <w:rFonts w:ascii="Wingdings" w:hAnsi="Wingdings" w:hint="default"/>
      </w:rPr>
    </w:lvl>
    <w:lvl w:ilvl="5" w:tplc="18AA9402" w:tentative="1">
      <w:start w:val="1"/>
      <w:numFmt w:val="bullet"/>
      <w:lvlText w:val=""/>
      <w:lvlJc w:val="left"/>
      <w:pPr>
        <w:tabs>
          <w:tab w:val="num" w:pos="4320"/>
        </w:tabs>
        <w:ind w:left="4320" w:hanging="360"/>
      </w:pPr>
      <w:rPr>
        <w:rFonts w:ascii="Wingdings" w:hAnsi="Wingdings" w:hint="default"/>
      </w:rPr>
    </w:lvl>
    <w:lvl w:ilvl="6" w:tplc="BF92E73C" w:tentative="1">
      <w:start w:val="1"/>
      <w:numFmt w:val="bullet"/>
      <w:lvlText w:val=""/>
      <w:lvlJc w:val="left"/>
      <w:pPr>
        <w:tabs>
          <w:tab w:val="num" w:pos="5040"/>
        </w:tabs>
        <w:ind w:left="5040" w:hanging="360"/>
      </w:pPr>
      <w:rPr>
        <w:rFonts w:ascii="Wingdings" w:hAnsi="Wingdings" w:hint="default"/>
      </w:rPr>
    </w:lvl>
    <w:lvl w:ilvl="7" w:tplc="773471E8" w:tentative="1">
      <w:start w:val="1"/>
      <w:numFmt w:val="bullet"/>
      <w:lvlText w:val=""/>
      <w:lvlJc w:val="left"/>
      <w:pPr>
        <w:tabs>
          <w:tab w:val="num" w:pos="5760"/>
        </w:tabs>
        <w:ind w:left="5760" w:hanging="360"/>
      </w:pPr>
      <w:rPr>
        <w:rFonts w:ascii="Wingdings" w:hAnsi="Wingdings" w:hint="default"/>
      </w:rPr>
    </w:lvl>
    <w:lvl w:ilvl="8" w:tplc="2BD842D4" w:tentative="1">
      <w:start w:val="1"/>
      <w:numFmt w:val="bullet"/>
      <w:lvlText w:val=""/>
      <w:lvlJc w:val="left"/>
      <w:pPr>
        <w:tabs>
          <w:tab w:val="num" w:pos="6480"/>
        </w:tabs>
        <w:ind w:left="6480" w:hanging="360"/>
      </w:pPr>
      <w:rPr>
        <w:rFonts w:ascii="Wingdings" w:hAnsi="Wingdings" w:hint="default"/>
      </w:rPr>
    </w:lvl>
  </w:abstractNum>
  <w:abstractNum w:abstractNumId="1">
    <w:nsid w:val="4B833527"/>
    <w:multiLevelType w:val="hybridMultilevel"/>
    <w:tmpl w:val="BF0EFB1C"/>
    <w:lvl w:ilvl="0" w:tplc="413E4FE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1075118"/>
    <w:multiLevelType w:val="hybridMultilevel"/>
    <w:tmpl w:val="6F882BDE"/>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1934521"/>
    <w:multiLevelType w:val="hybridMultilevel"/>
    <w:tmpl w:val="089464E2"/>
    <w:lvl w:ilvl="0" w:tplc="DF64C242">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A745E8E"/>
    <w:multiLevelType w:val="hybridMultilevel"/>
    <w:tmpl w:val="105A8C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060"/>
    <w:rsid w:val="00037C9B"/>
    <w:rsid w:val="001007B2"/>
    <w:rsid w:val="00151D33"/>
    <w:rsid w:val="001D0003"/>
    <w:rsid w:val="00284373"/>
    <w:rsid w:val="002C1D6B"/>
    <w:rsid w:val="00384060"/>
    <w:rsid w:val="003B24B6"/>
    <w:rsid w:val="00415EB4"/>
    <w:rsid w:val="005111AB"/>
    <w:rsid w:val="0053356B"/>
    <w:rsid w:val="005667C7"/>
    <w:rsid w:val="005E2C7C"/>
    <w:rsid w:val="00681867"/>
    <w:rsid w:val="007767F5"/>
    <w:rsid w:val="007F409A"/>
    <w:rsid w:val="007F4688"/>
    <w:rsid w:val="009101FB"/>
    <w:rsid w:val="00A06311"/>
    <w:rsid w:val="00B142CF"/>
    <w:rsid w:val="00B5570C"/>
    <w:rsid w:val="00BC746D"/>
    <w:rsid w:val="00C01F8C"/>
    <w:rsid w:val="00C766D1"/>
    <w:rsid w:val="00CF400B"/>
    <w:rsid w:val="00D2450A"/>
    <w:rsid w:val="00DF3716"/>
    <w:rsid w:val="00E20A75"/>
    <w:rsid w:val="00F90061"/>
    <w:rsid w:val="00FD5E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4060"/>
    <w:pPr>
      <w:ind w:left="720"/>
      <w:contextualSpacing/>
    </w:pPr>
  </w:style>
  <w:style w:type="paragraph" w:styleId="Intestazione">
    <w:name w:val="header"/>
    <w:basedOn w:val="Normale"/>
    <w:link w:val="IntestazioneCarattere"/>
    <w:uiPriority w:val="99"/>
    <w:unhideWhenUsed/>
    <w:rsid w:val="005E2C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2C7C"/>
  </w:style>
  <w:style w:type="paragraph" w:styleId="Pidipagina">
    <w:name w:val="footer"/>
    <w:basedOn w:val="Normale"/>
    <w:link w:val="PidipaginaCarattere"/>
    <w:uiPriority w:val="99"/>
    <w:unhideWhenUsed/>
    <w:rsid w:val="005E2C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2C7C"/>
  </w:style>
  <w:style w:type="character" w:customStyle="1" w:styleId="il">
    <w:name w:val="il"/>
    <w:basedOn w:val="Carpredefinitoparagrafo"/>
    <w:rsid w:val="001D0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4060"/>
    <w:pPr>
      <w:ind w:left="720"/>
      <w:contextualSpacing/>
    </w:pPr>
  </w:style>
  <w:style w:type="paragraph" w:styleId="Intestazione">
    <w:name w:val="header"/>
    <w:basedOn w:val="Normale"/>
    <w:link w:val="IntestazioneCarattere"/>
    <w:uiPriority w:val="99"/>
    <w:unhideWhenUsed/>
    <w:rsid w:val="005E2C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2C7C"/>
  </w:style>
  <w:style w:type="paragraph" w:styleId="Pidipagina">
    <w:name w:val="footer"/>
    <w:basedOn w:val="Normale"/>
    <w:link w:val="PidipaginaCarattere"/>
    <w:uiPriority w:val="99"/>
    <w:unhideWhenUsed/>
    <w:rsid w:val="005E2C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2C7C"/>
  </w:style>
  <w:style w:type="character" w:customStyle="1" w:styleId="il">
    <w:name w:val="il"/>
    <w:basedOn w:val="Carpredefinitoparagrafo"/>
    <w:rsid w:val="001D0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1787</Words>
  <Characters>10186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UNITO</Company>
  <LinksUpToDate>false</LinksUpToDate>
  <CharactersWithSpaces>11950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Saraceno</dc:creator>
  <cp:lastModifiedBy>caturegli_g</cp:lastModifiedBy>
  <cp:revision>2</cp:revision>
  <dcterms:created xsi:type="dcterms:W3CDTF">2016-04-12T10:53:00Z</dcterms:created>
  <dcterms:modified xsi:type="dcterms:W3CDTF">2016-04-12T10:53:00Z</dcterms:modified>
</cp:coreProperties>
</file>