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charts/chart4.xml" ContentType="application/vnd.openxmlformats-officedocument.drawingml.chart+xml"/>
  <Override PartName="/word/header25.xml" ContentType="application/vnd.openxmlformats-officedocument.wordprocessingml.head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header30.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7.xml" ContentType="application/vnd.openxmlformats-officedocument.wordprocessingml.footer+xml"/>
  <Override PartName="/word/header33.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509C" w:rsidRPr="004E1627" w:rsidRDefault="00CB09A6" w:rsidP="00CB09A6">
      <w:pPr>
        <w:tabs>
          <w:tab w:val="left" w:pos="8450"/>
        </w:tabs>
        <w:rPr>
          <w:rFonts w:ascii="Bodoni MT" w:hAnsi="Bodoni MT"/>
        </w:rPr>
      </w:pPr>
      <w:bookmarkStart w:id="0" w:name="_GoBack"/>
      <w:bookmarkEnd w:id="0"/>
      <w:r>
        <w:rPr>
          <w:rFonts w:ascii="Bodoni MT" w:hAnsi="Bodoni MT"/>
        </w:rPr>
        <w:tab/>
      </w: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520ED8">
      <w:pPr>
        <w:rPr>
          <w:rFonts w:ascii="Bodoni MT" w:hAnsi="Bodoni MT"/>
        </w:rPr>
      </w:pPr>
      <w:r>
        <w:rPr>
          <w:noProof/>
          <w:lang w:eastAsia="it-IT"/>
        </w:rPr>
        <mc:AlternateContent>
          <mc:Choice Requires="wps">
            <w:drawing>
              <wp:anchor distT="0" distB="0" distL="114300" distR="114300" simplePos="0" relativeHeight="251661312" behindDoc="0" locked="0" layoutInCell="1" allowOverlap="1">
                <wp:simplePos x="0" y="0"/>
                <wp:positionH relativeFrom="page">
                  <wp:posOffset>448574</wp:posOffset>
                </wp:positionH>
                <wp:positionV relativeFrom="page">
                  <wp:posOffset>2044460</wp:posOffset>
                </wp:positionV>
                <wp:extent cx="6853555" cy="948906"/>
                <wp:effectExtent l="0" t="0" r="0" b="3810"/>
                <wp:wrapNone/>
                <wp:docPr id="3"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94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59E0" w:rsidRPr="00075BD0" w:rsidRDefault="004A59E0" w:rsidP="00ED2A9C">
                            <w:pPr>
                              <w:pStyle w:val="CdcIntestazionecopertina"/>
                              <w:jc w:val="center"/>
                            </w:pPr>
                            <w:r>
                              <w:t>SEZIONE REGIONALE DI CONTROLLO PER LA SARDEGNA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asella di testo 1" o:spid="_x0000_s1026" type="#_x0000_t202" style="position:absolute;margin-left:35.3pt;margin-top:161pt;width:539.65pt;height:74.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Y5zugIAAMEFAAAOAAAAZHJzL2Uyb0RvYy54bWysVG1vmzAQ/j5p/8HydwokhgAqmdoQpknd&#10;i9TtBzhggjWwme2EdNP++84mSdNWk6ZtfLBs3/m5e+4e7vrNoe/QninNpchxeBVgxEQlay62Of7y&#10;ufQSjLShoqadFCzHD0zjN8vXr67HIWMz2cquZgoBiNDZOOS4NWbIfF9XLeupvpIDE2BspOqpgaPa&#10;+rWiI6D3nT8LgtgfpaoHJSumNdwWkxEvHX7TsMp8bBrNDOpyDLkZtyq3buzqL69ptlV0aHl1TIP+&#10;RRY95QKCnqEKaijaKf4CqueVklo25qqSvS+bhlfMcQA2YfCMzX1LB+a4QHH0cC6T/n+w1Yf9J4V4&#10;neM5RoL20KIV1azrKKo5MkwbiUJbpXHQGTjfD+BuDrfyAN12jPVwJ6uvGgm5aqnYshul5NgyWkOW&#10;7qV/8XTC0RZkM76XNYSjOyMd0KFRvS0hFAUBOnTr4dwhdjCogss4ieZRFGFUgS0lSRrENjmfZqfX&#10;g9LmLZM9spscK1CAQ6f7O20m15OLDSZkybvOqaATTy4Ac7qB2PDU2mwWrqk/0iBdJ+uEeGQWrz0S&#10;FIV3U66IF5fhIirmxWpVhD9t3JBkLa9rJmyYk8BC8mcNPEp9ksZZYlp2vLZwNiWttptVp9CegsBL&#10;9x0LcuHmP03D1Qu4PKMUzkhwO0u9Mk4WHilJ5KWLIPGCML1N44CkpCifUrrjgv07JTRCW+dRMInp&#10;t9wC973kRrOeGxghHe9znJydaGYluBa1a62hvJv2F6Ww6T+WAtp9arQTrNXopFZz2BwAxap4I+sH&#10;kK6SoCzQJ8w92LRSfcdohBmSY/1tRxXDqHsnQP5pSIgdOu5AosUMDurSsrm0UFEBVI4NRtN2ZaZB&#10;tRsU37YQafrhhLyBX6bhTs2PWQEVe4A54UgdZ5odRJdn5/U4eZe/AAAA//8DAFBLAwQUAAYACAAA&#10;ACEA34RHKuMAAAALAQAADwAAAGRycy9kb3ducmV2LnhtbEyPy07DMBBF90j8gzVI7KiTEPpI41RV&#10;pAoJ0UVLN+wm8TSJ6keI3Tbw9bgrWI7m6N5z89WoFbvQ4DprBMSTCBiZ2srONAIOH5unOTDn0UhU&#10;1pCAb3KwKu7vcsykvZodXfa+YSHEuAwFtN73Geeubkmjm9ieTPgd7aDRh3NouBzwGsK14kkUTbnG&#10;zoSGFnsqW6pP+7MW8FZutrirEj3/UeXr+3Hdfx0+X4R4fBjXS2CeRv8Hw00/qEMRnCp7NtIxJWAW&#10;TQMp4DlJwqYbEKeLBbBKQDqLU+BFzv9vKH4BAAD//wMAUEsBAi0AFAAGAAgAAAAhALaDOJL+AAAA&#10;4QEAABMAAAAAAAAAAAAAAAAAAAAAAFtDb250ZW50X1R5cGVzXS54bWxQSwECLQAUAAYACAAAACEA&#10;OP0h/9YAAACUAQAACwAAAAAAAAAAAAAAAAAvAQAAX3JlbHMvLnJlbHNQSwECLQAUAAYACAAAACEA&#10;+eGOc7oCAADBBQAADgAAAAAAAAAAAAAAAAAuAgAAZHJzL2Uyb0RvYy54bWxQSwECLQAUAAYACAAA&#10;ACEA34RHKuMAAAALAQAADwAAAAAAAAAAAAAAAAAUBQAAZHJzL2Rvd25yZXYueG1sUEsFBgAAAAAE&#10;AAQA8wAAACQGAAAAAA==&#10;" filled="f" stroked="f" strokeweight=".5pt">
                <v:textbox>
                  <w:txbxContent>
                    <w:p w:rsidR="004A59E0" w:rsidRPr="00075BD0" w:rsidRDefault="004A59E0" w:rsidP="00ED2A9C">
                      <w:pPr>
                        <w:pStyle w:val="CdcIntestazionecopertina"/>
                        <w:jc w:val="center"/>
                      </w:pPr>
                      <w:r>
                        <w:t>SEZIONE REGIONALE DI CONTROLLO PER LA SARDEGNA</w:t>
                      </w:r>
                    </w:p>
                  </w:txbxContent>
                </v:textbox>
                <w10:wrap anchorx="page" anchory="page"/>
              </v:shape>
            </w:pict>
          </mc:Fallback>
        </mc:AlternateContent>
      </w: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ED2A9C">
      <w:pPr>
        <w:rPr>
          <w:rFonts w:ascii="Bodoni MT" w:hAnsi="Bodoni MT"/>
        </w:rPr>
      </w:pPr>
      <w:r>
        <w:rPr>
          <w:rFonts w:ascii="Bodoni MT" w:hAnsi="Bodoni MT"/>
          <w:noProof/>
          <w:lang w:eastAsia="it-IT"/>
        </w:rPr>
        <mc:AlternateContent>
          <mc:Choice Requires="wps">
            <w:drawing>
              <wp:anchor distT="45720" distB="45720" distL="114300" distR="114300" simplePos="0" relativeHeight="251669504" behindDoc="0" locked="0" layoutInCell="1" allowOverlap="1" wp14:anchorId="04ADCEEE" wp14:editId="1AE8343D">
                <wp:simplePos x="0" y="0"/>
                <wp:positionH relativeFrom="page">
                  <wp:posOffset>7620</wp:posOffset>
                </wp:positionH>
                <wp:positionV relativeFrom="paragraph">
                  <wp:posOffset>2802890</wp:posOffset>
                </wp:positionV>
                <wp:extent cx="7555230" cy="540385"/>
                <wp:effectExtent l="0" t="0" r="0" b="0"/>
                <wp:wrapSquare wrapText="bothSides"/>
                <wp:docPr id="2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540385"/>
                        </a:xfrm>
                        <a:prstGeom prst="rect">
                          <a:avLst/>
                        </a:prstGeom>
                        <a:noFill/>
                        <a:ln w="9525">
                          <a:noFill/>
                          <a:miter lim="800000"/>
                          <a:headEnd/>
                          <a:tailEnd/>
                        </a:ln>
                      </wps:spPr>
                      <wps:txbx>
                        <w:txbxContent>
                          <w:p w:rsidR="004A59E0" w:rsidRPr="00A25201" w:rsidRDefault="004A59E0" w:rsidP="00ED2A9C">
                            <w:pPr>
                              <w:pStyle w:val="CdcAnnoInaugurazioneParificaQuadrimestrale"/>
                              <w:rPr>
                                <w:color w:val="FFFFFF" w:themeColor="background1"/>
                              </w:rPr>
                            </w:pPr>
                            <w:r w:rsidRPr="00A25201">
                              <w:rPr>
                                <w:color w:val="FFFFFF" w:themeColor="background1"/>
                              </w:rPr>
                              <w:t>ESERCIZIO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ADCEEE" id="Casella di testo 2" o:spid="_x0000_s1027" type="#_x0000_t202" style="position:absolute;margin-left:.6pt;margin-top:220.7pt;width:594.9pt;height:42.5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p1EwIAAAIEAAAOAAAAZHJzL2Uyb0RvYy54bWysU8tu2zAQvBfoPxC815IVq3EEy0HqNEWB&#10;9AGk/YA1RVlESa5K0pbcr++SchyjvRXVgeBqubM7w+HqdjSaHaTzCm3N57OcM2kFNsruav7928Ob&#10;JWc+gG1Ao5U1P0rPb9evX62GvpIFdqgb6RiBWF8Nfc27EPoqy7zopAE/w15aSrboDAQK3S5rHAyE&#10;bnRW5PnbbEDX9A6F9J7+3k9Jvk74bStF+NK2Xgama06zhbS6tG7jmq1XUO0c9J0SpzHgH6YwoCw1&#10;PUPdQwC2d+ovKKOEQ49tmAk0GbatEjJxIDbz/A82Tx30MnEhcXx/lsn/P1jx+fDVMdXUvLjmzIKh&#10;O9qAl1oDaxQL0gdkRZRp6H1Fp596Oh/GdzjSdSfKvn9E8cMzi5sO7E7eOYdDJ6GhMeexMrsonXB8&#10;BNkOn7ChdrAPmIDG1pmoIanCCJ2u63i+IjkGJujndVmWxRWlBOXKRX61LFMLqJ6re+fDB4mGxU3N&#10;HVkgocPh0Yc4DVTPR2Iziw9K62QDbdlQ85uyKFPBRcaoQC7VytR8mcdv8k0k+d42qTiA0tOeGmh7&#10;Yh2JTpTDuB2TzkmSqMgWmyPJ4HAyJT0i2nTofnE2kCFr7n/uwUnO9EdLUt7MF4vo4BQsyuuCAneZ&#10;2V5mwAqCqnngbNpuQnL9RPmOJG9VUuNlktPIZLQk0ulRRCdfxunUy9Nd/wYAAP//AwBQSwMEFAAG&#10;AAgAAAAhAIoryIfdAAAACgEAAA8AAABkcnMvZG93bnJldi54bWxMj8FOwzAQRO9I/IO1SNyonSip&#10;2hCnqoq4gigUiZsbb5OIeB3FbhP+nu0JjqMZzbwpN7PrxQXH0HnSkCwUCKTa244aDR/vzw8rECEa&#10;sqb3hBp+MMCmur0pTWH9RG942cdGcAmFwmhoYxwKKUPdojNh4Qck9k5+dCayHBtpRzNxuetlqtRS&#10;OtMRL7RmwF2L9ff+7DQcXk5fn5l6bZ5cPkx+VpLcWmp9fzdvH0FEnONfGK74jA4VMx39mWwQPeuU&#10;gxqyLMlAXP1knfC5o4Y8XeYgq1L+v1D9AgAA//8DAFBLAQItABQABgAIAAAAIQC2gziS/gAAAOEB&#10;AAATAAAAAAAAAAAAAAAAAAAAAABbQ29udGVudF9UeXBlc10ueG1sUEsBAi0AFAAGAAgAAAAhADj9&#10;If/WAAAAlAEAAAsAAAAAAAAAAAAAAAAALwEAAF9yZWxzLy5yZWxzUEsBAi0AFAAGAAgAAAAhAA/A&#10;OnUTAgAAAgQAAA4AAAAAAAAAAAAAAAAALgIAAGRycy9lMm9Eb2MueG1sUEsBAi0AFAAGAAgAAAAh&#10;AIoryIfdAAAACgEAAA8AAAAAAAAAAAAAAAAAbQQAAGRycy9kb3ducmV2LnhtbFBLBQYAAAAABAAE&#10;APMAAAB3BQAAAAA=&#10;" filled="f" stroked="f">
                <v:textbox>
                  <w:txbxContent>
                    <w:p w:rsidR="004A59E0" w:rsidRPr="00A25201" w:rsidRDefault="004A59E0" w:rsidP="00ED2A9C">
                      <w:pPr>
                        <w:pStyle w:val="CdcAnnoInaugurazioneParificaQuadrimestrale"/>
                        <w:rPr>
                          <w:color w:val="FFFFFF" w:themeColor="background1"/>
                        </w:rPr>
                      </w:pPr>
                      <w:r w:rsidRPr="00A25201">
                        <w:rPr>
                          <w:color w:val="FFFFFF" w:themeColor="background1"/>
                        </w:rPr>
                        <w:t>ESERCIZIO 2016</w:t>
                      </w:r>
                    </w:p>
                  </w:txbxContent>
                </v:textbox>
                <w10:wrap type="square" anchorx="page"/>
              </v:shape>
            </w:pict>
          </mc:Fallback>
        </mc:AlternateContent>
      </w:r>
    </w:p>
    <w:p w:rsidR="004B0B8B" w:rsidRPr="004E1627" w:rsidRDefault="00201284">
      <w:pPr>
        <w:rPr>
          <w:rFonts w:ascii="Bodoni MT" w:hAnsi="Bodoni MT"/>
        </w:rPr>
      </w:pPr>
      <w:r w:rsidRPr="00880E31">
        <w:rPr>
          <w:rFonts w:ascii="Bodoni MT" w:hAnsi="Bodoni MT"/>
          <w:noProof/>
          <w:lang w:eastAsia="it-IT"/>
        </w:rPr>
        <mc:AlternateContent>
          <mc:Choice Requires="wps">
            <w:drawing>
              <wp:anchor distT="45720" distB="45720" distL="114300" distR="114300" simplePos="0" relativeHeight="251665408" behindDoc="0" locked="0" layoutInCell="1" allowOverlap="1" wp14:anchorId="196B77A7" wp14:editId="4AD9F1B2">
                <wp:simplePos x="0" y="0"/>
                <wp:positionH relativeFrom="page">
                  <wp:posOffset>7620</wp:posOffset>
                </wp:positionH>
                <wp:positionV relativeFrom="paragraph">
                  <wp:posOffset>407670</wp:posOffset>
                </wp:positionV>
                <wp:extent cx="7554595" cy="1796415"/>
                <wp:effectExtent l="0" t="0" r="0" b="0"/>
                <wp:wrapSquare wrapText="bothSides"/>
                <wp:docPr id="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595" cy="1796415"/>
                        </a:xfrm>
                        <a:prstGeom prst="rect">
                          <a:avLst/>
                        </a:prstGeom>
                        <a:noFill/>
                        <a:ln w="9525">
                          <a:noFill/>
                          <a:miter lim="800000"/>
                          <a:headEnd/>
                          <a:tailEnd/>
                        </a:ln>
                      </wps:spPr>
                      <wps:txbx>
                        <w:txbxContent>
                          <w:p w:rsidR="004A59E0" w:rsidRPr="00790580" w:rsidRDefault="004A59E0" w:rsidP="00ED2A9C">
                            <w:pPr>
                              <w:pStyle w:val="titoloCopertina"/>
                            </w:pPr>
                            <w:r>
                              <w:rPr>
                                <w:sz w:val="58"/>
                                <w:szCs w:val="58"/>
                              </w:rPr>
                              <w:t xml:space="preserve">VERIFICA DEL RENDICONTO GENERALE DELLA REGIONE AUTONOMA DELLA SARDEGNA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6B77A7" id="_x0000_s1028" type="#_x0000_t202" style="position:absolute;margin-left:.6pt;margin-top:32.1pt;width:594.85pt;height:141.45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wOEwIAAAIEAAAOAAAAZHJzL2Uyb0RvYy54bWysU9uO2yAQfa/Uf0C8N06ieLOx4qy22W5V&#10;aXuRtv2ACcYxKjAUSOz06zvgbBq1b1X9gMDDnJlz5rC+G4xmR+mDQlvz2WTKmbQCG2X3Nf/29fHN&#10;LWchgm1Ao5U1P8nA7zavX617V8k5dqgb6RmB2FD1ruZdjK4qiiA6aSBM0ElLwRa9gUhHvy8aDz2h&#10;G13Mp9ObokffOI9ChkB/H8Yg32T8tpUifm7bICPTNafeYl59XndpLTZrqPYeXKfEuQ34hy4MKEtF&#10;L1APEIEdvPoLyijhMWAbJwJNgW2rhMwciM1s+geb5w6czFxInOAuMoX/Bys+Hb94ppqal5xZMDSi&#10;LQSpNbBGsShDRDZPKvUuVHT52dH1OLzFgaadGQf3hOJ7YBa3Hdi9vPce+05CQ13OUmZxlTrihASy&#10;6z9iQ+XgEDEDDa03SUIShRE6Tet0mZAcIhP0c1mWi3JFrQqKzZarm8WszDWgekl3PsT3Eg1Lm5p7&#10;skCGh+NTiKkdqF6upGoWH5XW2Qbasr7mq3Je5oSriFGRXKqVqfntNH2jbxLLd7bJyRGUHvdUQNsz&#10;7cR05ByH3ZB1vqi5w+ZEOngcTUmPiDYd+p+c9WTImocfB/CSM/3Bkpar2WKRHJwPi3I5p4O/juyu&#10;I2AFQdU8cjZutzG7fqR8T5q3KquRhjN2cm6ZjJZFOj+K5OTrc771++lufgEAAP//AwBQSwMEFAAG&#10;AAgAAAAhAE71GXPdAAAACQEAAA8AAABkcnMvZG93bnJldi54bWxMj8FOwzAQRO9I/IO1SNyonRIK&#10;CXEqBOJK1RaQuLnxNomI11HsNuHvuz3R02o0o9k3xXJynTjiEFpPGpKZAoFUedtSreFz+373BCJE&#10;Q9Z0nlDDHwZYltdXhcmtH2mNx02sBZdQyI2GJsY+lzJUDToTZr5HYm/vB2ciy6GWdjAjl7tOzpVa&#10;SGda4g+N6fG1wep3c3Aavj72P9+pWtVv7qEf/aQkuUxqfXszvTyDiDjF/zCc8RkdSmba+QPZIDrW&#10;cw5qWKR8z3aSqQzETsN9+piALAt5uaA8AQAA//8DAFBLAQItABQABgAIAAAAIQC2gziS/gAAAOEB&#10;AAATAAAAAAAAAAAAAAAAAAAAAABbQ29udGVudF9UeXBlc10ueG1sUEsBAi0AFAAGAAgAAAAhADj9&#10;If/WAAAAlAEAAAsAAAAAAAAAAAAAAAAALwEAAF9yZWxzLy5yZWxzUEsBAi0AFAAGAAgAAAAhAKUs&#10;zA4TAgAAAgQAAA4AAAAAAAAAAAAAAAAALgIAAGRycy9lMm9Eb2MueG1sUEsBAi0AFAAGAAgAAAAh&#10;AE71GXPdAAAACQEAAA8AAAAAAAAAAAAAAAAAbQQAAGRycy9kb3ducmV2LnhtbFBLBQYAAAAABAAE&#10;APMAAAB3BQAAAAA=&#10;" filled="f" stroked="f">
                <v:textbox>
                  <w:txbxContent>
                    <w:p w:rsidR="004A59E0" w:rsidRPr="00790580" w:rsidRDefault="004A59E0" w:rsidP="00ED2A9C">
                      <w:pPr>
                        <w:pStyle w:val="titoloCopertina"/>
                      </w:pPr>
                      <w:r>
                        <w:rPr>
                          <w:sz w:val="58"/>
                          <w:szCs w:val="58"/>
                        </w:rPr>
                        <w:t xml:space="preserve">VERIFICA DEL RENDICONTO GENERALE DELLA REGIONE AUTONOMA DELLA SARDEGNA </w:t>
                      </w:r>
                    </w:p>
                  </w:txbxContent>
                </v:textbox>
                <w10:wrap type="square" anchorx="page"/>
              </v:shape>
            </w:pict>
          </mc:Fallback>
        </mc:AlternateContent>
      </w:r>
    </w:p>
    <w:p w:rsidR="0062750A" w:rsidRDefault="0062750A" w:rsidP="00201284">
      <w:pPr>
        <w:pStyle w:val="CdcSottotiloCopertinaInaugurazioneParificaQuadrimestrale"/>
        <w:rPr>
          <w:b/>
          <w:i/>
          <w:sz w:val="44"/>
          <w:szCs w:val="44"/>
        </w:rPr>
      </w:pPr>
    </w:p>
    <w:p w:rsidR="008942C4" w:rsidRDefault="008942C4" w:rsidP="00201284">
      <w:pPr>
        <w:pStyle w:val="CdcSottotiloCopertinaInaugurazioneParificaQuadrimestrale"/>
        <w:rPr>
          <w:b/>
          <w:i/>
          <w:sz w:val="44"/>
          <w:szCs w:val="44"/>
        </w:rPr>
      </w:pPr>
    </w:p>
    <w:p w:rsidR="00201284" w:rsidRPr="00A25201" w:rsidRDefault="00201284" w:rsidP="00201284">
      <w:pPr>
        <w:pStyle w:val="CdcSottotiloCopertinaInaugurazioneParificaQuadrimestrale"/>
        <w:rPr>
          <w:b/>
          <w:i/>
          <w:color w:val="FFFFFF" w:themeColor="background1"/>
          <w:sz w:val="44"/>
          <w:szCs w:val="44"/>
        </w:rPr>
      </w:pPr>
      <w:r w:rsidRPr="00A25201">
        <w:rPr>
          <w:b/>
          <w:i/>
          <w:color w:val="FFFFFF" w:themeColor="background1"/>
          <w:sz w:val="44"/>
          <w:szCs w:val="44"/>
        </w:rPr>
        <w:t>Relatore</w:t>
      </w:r>
    </w:p>
    <w:p w:rsidR="004B0B8B" w:rsidRPr="00A25201" w:rsidRDefault="00201284" w:rsidP="00201284">
      <w:pPr>
        <w:jc w:val="center"/>
        <w:rPr>
          <w:rFonts w:ascii="Arial" w:hAnsi="Arial" w:cs="Arial"/>
          <w:color w:val="FFFFFF" w:themeColor="background1"/>
          <w:sz w:val="44"/>
          <w:szCs w:val="44"/>
        </w:rPr>
      </w:pPr>
      <w:r w:rsidRPr="00A25201">
        <w:rPr>
          <w:rFonts w:ascii="Arial" w:hAnsi="Arial" w:cs="Arial"/>
          <w:b/>
          <w:i/>
          <w:color w:val="FFFFFF" w:themeColor="background1"/>
          <w:sz w:val="44"/>
          <w:szCs w:val="44"/>
        </w:rPr>
        <w:t>Consigliere Maria Paola MARCIA</w:t>
      </w:r>
    </w:p>
    <w:p w:rsidR="004B0B8B" w:rsidRDefault="004B0B8B" w:rsidP="00FB3AAA">
      <w:pPr>
        <w:pStyle w:val="CdcTesto"/>
      </w:pPr>
    </w:p>
    <w:p w:rsidR="00201284" w:rsidRPr="004E1627" w:rsidRDefault="00201284" w:rsidP="00FB3AAA">
      <w:pPr>
        <w:pStyle w:val="CdcTesto"/>
        <w:sectPr w:rsidR="00201284" w:rsidRPr="004E1627" w:rsidSect="009B73AF">
          <w:headerReference w:type="even" r:id="rId9"/>
          <w:headerReference w:type="default" r:id="rId10"/>
          <w:headerReference w:type="first" r:id="rId11"/>
          <w:pgSz w:w="11906" w:h="16838"/>
          <w:pgMar w:top="1418" w:right="1134" w:bottom="1134" w:left="851" w:header="709" w:footer="709" w:gutter="0"/>
          <w:cols w:space="708"/>
          <w:titlePg/>
          <w:docGrid w:linePitch="360"/>
        </w:sectPr>
      </w:pPr>
    </w:p>
    <w:p w:rsidR="004B0B8B" w:rsidRPr="004E1627" w:rsidRDefault="00C239AC">
      <w:pPr>
        <w:rPr>
          <w:rFonts w:ascii="Bodoni MT" w:hAnsi="Bodoni MT"/>
        </w:rPr>
      </w:pPr>
      <w:r w:rsidRPr="00201284">
        <w:rPr>
          <w:rFonts w:ascii="Arial" w:hAnsi="Arial" w:cs="Arial"/>
          <w:i/>
          <w:noProof/>
          <w:lang w:eastAsia="it-IT"/>
        </w:rPr>
        <w:lastRenderedPageBreak/>
        <mc:AlternateContent>
          <mc:Choice Requires="wps">
            <w:drawing>
              <wp:anchor distT="0" distB="0" distL="114300" distR="114300" simplePos="0" relativeHeight="251656192" behindDoc="0" locked="0" layoutInCell="1" allowOverlap="1">
                <wp:simplePos x="0" y="0"/>
                <wp:positionH relativeFrom="margin">
                  <wp:posOffset>33547</wp:posOffset>
                </wp:positionH>
                <wp:positionV relativeFrom="paragraph">
                  <wp:posOffset>510864</wp:posOffset>
                </wp:positionV>
                <wp:extent cx="6639560" cy="416817"/>
                <wp:effectExtent l="0" t="0" r="0" b="2540"/>
                <wp:wrapNone/>
                <wp:docPr id="29" name="Casella di tes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9560" cy="416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59E0" w:rsidRPr="00201284" w:rsidRDefault="004A59E0" w:rsidP="00201284">
                            <w:pPr>
                              <w:pStyle w:val="UdienzaCopertina"/>
                              <w:rPr>
                                <w:rFonts w:ascii="Myriad Pro" w:hAnsi="Myriad Pro"/>
                                <w:i/>
                              </w:rPr>
                            </w:pPr>
                            <w:r w:rsidRPr="00201284">
                              <w:rPr>
                                <w:rStyle w:val="udinzaCopertinaCarattere"/>
                                <w:i/>
                              </w:rPr>
                              <w:t xml:space="preserve">Adunanza del </w:t>
                            </w:r>
                            <w:r>
                              <w:rPr>
                                <w:rStyle w:val="udinzaCopertinaCarattere"/>
                                <w:i/>
                              </w:rPr>
                              <w:t>15 febbraio 201</w:t>
                            </w:r>
                            <w:r w:rsidR="00D57AA5">
                              <w:rPr>
                                <w:rStyle w:val="udinzaCopertinaCarattere"/>
                                <w:i/>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asella di testo 3" o:spid="_x0000_s1029" type="#_x0000_t202" style="position:absolute;margin-left:2.65pt;margin-top:40.25pt;width:522.8pt;height:32.8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BkkwIAAIsFAAAOAAAAZHJzL2Uyb0RvYy54bWysVN9P2zAQfp+0/8Hy+0hTSoGIFHVFTJMq&#10;QIOJZ9exqYXj82y3SffXc3aStmJ7YdpLYvu++/3dXV23tSZb4bwCU9L8ZESJMBwqZV5K+vPp9ssF&#10;JT4wUzENRpR0Jzy9nn3+dNXYQoxhDboSjqAR44vGlnQdgi2yzPO1qJk/ASsMCiW4mgW8upescqxB&#10;67XOxqPRNGvAVdYBF97j600npLNkX0rBw72UXgSiS4qxhfR16buK32x2xYoXx+xa8T4M9g9R1EwZ&#10;dLo3dcMCIxun/jBVK+7AgwwnHOoMpFRcpBwwm3z0LpvHNbMi5YLF8XZfJv//zPK77YMjqirp+JIS&#10;w2rs0YJ5oTUjlSJB+ADkNJapsb5A9KNFfGi/QovtTil7uwT+6hGSHWE6BY/oWJZWujr+MWGCitiJ&#10;3b76og2E4+N0enp5NkURR9kkn17k59FvdtC2zodvAmoSDyV12N0UAdsufeigAyQ6M3CrtMZ3VmhD&#10;GvRwejZKCnsJGtcmAkTiSm8mptFFnk5hp0Vn5IeQWKuUQHxILBUL7ciWIb8Y58KEvA9aG0RHlMQg&#10;PqLY4w9RfUS5y2PwDCbslWtlwHUNi8N1CLt6HUKWHb5vpO/yjiUI7apNJNkzYQXVDongoJsob/mt&#10;wqYsmQ8PzOEIYR9xLYR7/EgNWHzoT5Sswf3+23vEI7NRSkmDI1lS/2vDnKBEfzfI+ct8MokznC6T&#10;s/MxXtyxZHUsMZt6AdiVHBeQ5ekY8UEPR+mgfsbtMY9eUcQMR98lDcNxEbpFgduHi/k8gXBqLQtL&#10;82j5wP9Iuaf2mTnb8zIgo+9gGF5WvKNnh43tNTDfBJAqcTfWuatqX3+c+MT+fjvFlXJ8T6jDDp29&#10;AQAA//8DAFBLAwQUAAYACAAAACEAP+Fded8AAAAJAQAADwAAAGRycy9kb3ducmV2LnhtbEyPwU7D&#10;MBBE70j8g7VI3KhdIG0IcaoKwQUJVZRKFTc3XuKAvQ6224a/xz3BbVYzmnlbL0Zn2QFD7D1JmE4E&#10;MKTW6546CZu3p6sSWEyKtLKeUMIPRlg052e1qrQ/0ise1qljuYRipSSYlIaK89gadCpO/ICUvQ8f&#10;nEr5DB3XQR1zubP8WogZd6qnvGDUgA8G26/13kmYl+/afIbncbN9WX6b1cDto+JSXl6My3tgCcf0&#10;F4YTfkaHJjPt/J50ZFZCcZODEkpRADvZohB3wHZZ3c6mwJua//+g+QUAAP//AwBQSwECLQAUAAYA&#10;CAAAACEAtoM4kv4AAADhAQAAEwAAAAAAAAAAAAAAAAAAAAAAW0NvbnRlbnRfVHlwZXNdLnhtbFBL&#10;AQItABQABgAIAAAAIQA4/SH/1gAAAJQBAAALAAAAAAAAAAAAAAAAAC8BAABfcmVscy8ucmVsc1BL&#10;AQItABQABgAIAAAAIQAPMKBkkwIAAIsFAAAOAAAAAAAAAAAAAAAAAC4CAABkcnMvZTJvRG9jLnht&#10;bFBLAQItABQABgAIAAAAIQA/4V153wAAAAkBAAAPAAAAAAAAAAAAAAAAAO0EAABkcnMvZG93bnJl&#10;di54bWxQSwUGAAAAAAQABADzAAAA+QUAAAAA&#10;" filled="f" stroked="f" strokeweight=".5pt">
                <v:path arrowok="t"/>
                <v:textbox>
                  <w:txbxContent>
                    <w:p w:rsidR="004A59E0" w:rsidRPr="00201284" w:rsidRDefault="004A59E0" w:rsidP="00201284">
                      <w:pPr>
                        <w:pStyle w:val="UdienzaCopertina"/>
                        <w:rPr>
                          <w:rFonts w:ascii="Myriad Pro" w:hAnsi="Myriad Pro"/>
                          <w:i/>
                        </w:rPr>
                      </w:pPr>
                      <w:r w:rsidRPr="00201284">
                        <w:rPr>
                          <w:rStyle w:val="udinzaCopertinaCarattere"/>
                          <w:i/>
                        </w:rPr>
                        <w:t xml:space="preserve">Adunanza del </w:t>
                      </w:r>
                      <w:r>
                        <w:rPr>
                          <w:rStyle w:val="udinzaCopertinaCarattere"/>
                          <w:i/>
                        </w:rPr>
                        <w:t>15 febbraio 201</w:t>
                      </w:r>
                      <w:r w:rsidR="00D57AA5">
                        <w:rPr>
                          <w:rStyle w:val="udinzaCopertinaCarattere"/>
                          <w:i/>
                        </w:rPr>
                        <w:t>8</w:t>
                      </w:r>
                    </w:p>
                  </w:txbxContent>
                </v:textbox>
                <w10:wrap anchorx="margin"/>
              </v:shape>
            </w:pict>
          </mc:Fallback>
        </mc:AlternateContent>
      </w: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4B0B8B" w:rsidRPr="004E1627" w:rsidRDefault="004B0B8B">
      <w:pPr>
        <w:rPr>
          <w:rFonts w:ascii="Bodoni MT" w:hAnsi="Bodoni MT"/>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D109F2" w:rsidRPr="004E1627" w:rsidRDefault="00D109F2" w:rsidP="00D109F2">
      <w:pPr>
        <w:pStyle w:val="Paragrafobase"/>
        <w:rPr>
          <w:rFonts w:ascii="Bodoni MT" w:hAnsi="Bodoni MT" w:cs="Bodoni MT"/>
          <w:caps/>
          <w:sz w:val="22"/>
          <w:szCs w:val="22"/>
        </w:rPr>
      </w:pPr>
    </w:p>
    <w:p w:rsidR="004E1627" w:rsidRPr="004E1627" w:rsidRDefault="004E1627">
      <w:pPr>
        <w:rPr>
          <w:rFonts w:ascii="Bodoni MT" w:hAnsi="Bodoni MT"/>
        </w:rPr>
      </w:pPr>
    </w:p>
    <w:p w:rsidR="004E1627" w:rsidRPr="004E1627" w:rsidRDefault="004E1627">
      <w:pPr>
        <w:rPr>
          <w:rFonts w:ascii="Bodoni MT" w:hAnsi="Bodoni MT"/>
        </w:rPr>
      </w:pPr>
    </w:p>
    <w:p w:rsidR="004E1627" w:rsidRPr="004E1627" w:rsidRDefault="004E1627">
      <w:pPr>
        <w:rPr>
          <w:rFonts w:ascii="Bodoni MT" w:hAnsi="Bodoni MT"/>
        </w:rPr>
      </w:pPr>
    </w:p>
    <w:p w:rsidR="003E77C8" w:rsidRDefault="003E77C8" w:rsidP="009B73AF">
      <w:pPr>
        <w:pStyle w:val="Paragrafobase"/>
        <w:rPr>
          <w:rFonts w:ascii="Bodoni MT" w:hAnsi="Bodoni MT" w:cs="Bodoni MT"/>
          <w:caps/>
          <w:sz w:val="22"/>
          <w:szCs w:val="22"/>
        </w:rPr>
      </w:pPr>
    </w:p>
    <w:p w:rsidR="003E77C8" w:rsidRDefault="003E77C8" w:rsidP="009B73AF">
      <w:pPr>
        <w:pStyle w:val="Paragrafobase"/>
        <w:rPr>
          <w:rFonts w:ascii="Bodoni MT" w:hAnsi="Bodoni MT" w:cs="Bodoni MT"/>
          <w:caps/>
          <w:sz w:val="22"/>
          <w:szCs w:val="22"/>
        </w:rPr>
        <w:sectPr w:rsidR="003E77C8" w:rsidSect="003E77C8">
          <w:headerReference w:type="default" r:id="rId12"/>
          <w:footerReference w:type="default" r:id="rId13"/>
          <w:type w:val="continuous"/>
          <w:pgSz w:w="11906" w:h="16838"/>
          <w:pgMar w:top="1418" w:right="1134" w:bottom="1134" w:left="851" w:header="709" w:footer="709" w:gutter="0"/>
          <w:pgNumType w:start="1"/>
          <w:cols w:space="708"/>
          <w:docGrid w:linePitch="360"/>
        </w:sectPr>
      </w:pPr>
    </w:p>
    <w:p w:rsidR="009B73AF" w:rsidRPr="004E1627" w:rsidRDefault="009B73AF" w:rsidP="009B73AF">
      <w:pPr>
        <w:pStyle w:val="Paragrafobase"/>
        <w:rPr>
          <w:rFonts w:ascii="Bodoni MT" w:hAnsi="Bodoni MT" w:cs="Bodoni MT"/>
          <w:caps/>
          <w:sz w:val="22"/>
          <w:szCs w:val="22"/>
        </w:rPr>
      </w:pPr>
    </w:p>
    <w:p w:rsidR="00906115" w:rsidRDefault="00CF3D3E">
      <w:pPr>
        <w:rPr>
          <w:rFonts w:ascii="Bodoni MT" w:hAnsi="Bodoni MT"/>
        </w:rPr>
      </w:pPr>
      <w:r w:rsidRPr="00CF3D3E">
        <w:rPr>
          <w:rFonts w:ascii="Bodoni MT" w:hAnsi="Bodoni MT"/>
          <w:noProof/>
          <w:lang w:eastAsia="it-IT"/>
        </w:rPr>
        <w:drawing>
          <wp:anchor distT="0" distB="0" distL="114300" distR="114300" simplePos="0" relativeHeight="251681792" behindDoc="1" locked="0" layoutInCell="1" allowOverlap="1">
            <wp:simplePos x="0" y="0"/>
            <wp:positionH relativeFrom="page">
              <wp:align>center</wp:align>
            </wp:positionH>
            <wp:positionV relativeFrom="margin">
              <wp:posOffset>-3283</wp:posOffset>
            </wp:positionV>
            <wp:extent cx="2436196" cy="1561381"/>
            <wp:effectExtent l="0" t="0" r="5080" b="0"/>
            <wp:wrapNone/>
            <wp:docPr id="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Cdc_senzaScud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33600" cy="1562400"/>
                    </a:xfrm>
                    <a:prstGeom prst="rect">
                      <a:avLst/>
                    </a:prstGeom>
                  </pic:spPr>
                </pic:pic>
              </a:graphicData>
            </a:graphic>
          </wp:anchor>
        </w:drawing>
      </w:r>
    </w:p>
    <w:p w:rsidR="00FB3AAA" w:rsidRDefault="00FB3AAA">
      <w:pPr>
        <w:rPr>
          <w:rFonts w:ascii="Bodoni MT" w:hAnsi="Bodoni MT"/>
        </w:rPr>
      </w:pPr>
    </w:p>
    <w:p w:rsidR="00FB3AAA" w:rsidRDefault="00FB3AAA">
      <w:pPr>
        <w:rPr>
          <w:rFonts w:ascii="Bodoni MT" w:hAnsi="Bodoni MT"/>
        </w:rPr>
      </w:pPr>
    </w:p>
    <w:p w:rsidR="00FB3AAA" w:rsidRDefault="00FB3AAA">
      <w:pPr>
        <w:rPr>
          <w:rFonts w:ascii="Bodoni MT" w:hAnsi="Bodoni MT"/>
        </w:rPr>
      </w:pPr>
    </w:p>
    <w:p w:rsidR="00FB3AAA" w:rsidRDefault="00525FB3">
      <w:pPr>
        <w:rPr>
          <w:rFonts w:ascii="Bodoni MT" w:hAnsi="Bodoni MT"/>
        </w:rPr>
      </w:pPr>
      <w:r>
        <w:rPr>
          <w:rFonts w:ascii="Bodoni MT" w:hAnsi="Bodoni MT"/>
          <w:noProof/>
          <w:lang w:eastAsia="it-IT"/>
        </w:rPr>
        <mc:AlternateContent>
          <mc:Choice Requires="wps">
            <w:drawing>
              <wp:anchor distT="0" distB="0" distL="114300" distR="114300" simplePos="0" relativeHeight="251682816" behindDoc="0" locked="0" layoutInCell="1" allowOverlap="1">
                <wp:simplePos x="0" y="0"/>
                <wp:positionH relativeFrom="column">
                  <wp:posOffset>-539115</wp:posOffset>
                </wp:positionH>
                <wp:positionV relativeFrom="paragraph">
                  <wp:posOffset>248285</wp:posOffset>
                </wp:positionV>
                <wp:extent cx="7562850" cy="643255"/>
                <wp:effectExtent l="1270" t="0" r="0" b="0"/>
                <wp:wrapNone/>
                <wp:docPr id="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643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59E0" w:rsidRPr="00075BD0" w:rsidRDefault="004A59E0" w:rsidP="00CF3D3E">
                            <w:pPr>
                              <w:pStyle w:val="CdcIntestazionecopertina"/>
                              <w:jc w:val="center"/>
                            </w:pPr>
                            <w:r>
                              <w:t>SEZIONE REGIONALE DI CONTROLLO PER LA SARDEGNA</w:t>
                            </w:r>
                          </w:p>
                          <w:p w:rsidR="004A59E0" w:rsidRDefault="004A59E0" w:rsidP="00CF3D3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2" o:spid="_x0000_s1030" type="#_x0000_t202" style="position:absolute;margin-left:-42.45pt;margin-top:19.55pt;width:595.5pt;height:5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rIhwIAABcFAAAOAAAAZHJzL2Uyb0RvYy54bWysVNuO2yAQfa/Uf0C8Z31ZO4mtOKu9NFWl&#10;7UXa7QcQg2NUDBRI7O2q/94BJ1n38lBV9QMGZjicmTnD6mroBDowY7mSFU4uYoyYrBXlclfhz4+b&#10;2RIj64ikRCjJKvzELL5av3616nXJUtUqQZlBACJt2esKt87pMops3bKO2AulmQRjo0xHHCzNLqKG&#10;9IDeiSiN43nUK0O1UTWzFnbvRiNeB/ymYbX72DSWOSQqDNxcGE0Yt36M1itS7gzRLa+PNMg/sOgI&#10;l3DpGeqOOIL2hv8G1fHaKKsad1GrLlJNw2sWYoBokviXaB5aolmIBZJj9TlN9v/B1h8OnwziFGqH&#10;kSQdlOiRDQ7dqAFdpj49vbYleD1o8HMD7HtXH6rV96r+YpFUty2RO3ZtjOpbRijQS/zJaHJ0xLEe&#10;ZNu/VxTuIXunAtDQmM4DQjYQoEOZns6l8Vxq2Fzk83SZg6kG2zy7TPM8XEHK02ltrHvLVIf8pMIG&#10;Sh/QyeHeOs+GlCeXwF4JTjdciLAwu+2tMOhAQCab8B3R7dRNSO8slT82Io47QBLu8DZPN5T9uUjS&#10;LL5Ji9lmvlzMsk2Wz4pFvJzFSXFTzOOsyO423z3BJCtbTimT91yykwST7O9KfGyGUTxBhKivcJGn&#10;+ViiKXs7DTIO35+C7LiDjhS8q/Dy7ERKX9g3kkLYpHSEi3Ee/Uw/ZBlycPqHrAQZ+MqPGnDDdgiC&#10;y/ztXiJbRZ9AF0ZB2aDC8JrApFXmG0Y9dGaF7dc9MQwj8U6Ctooky3wrh0WWL1JYmKllO7UQWQNU&#10;hR1G4/TWje2/14bvWrhpVLNU16DHhgepvLA6qhi6L8R0fCl8e0/XwevlPVv/AAAA//8DAFBLAwQU&#10;AAYACAAAACEA7IKdM98AAAALAQAADwAAAGRycy9kb3ducmV2LnhtbEyPwU6DQBCG7ya+w2ZMvJh2&#10;QZEWytKoicZrax9gYadAys4Sdlvo2zs96e2fzJd/vim2s+3FBUffOVIQLyMQSLUzHTUKDj+fizUI&#10;HzQZ3TtCBVf0sC3v7wqdGzfRDi/70AguIZ9rBW0IQy6lr1u02i/dgMS7oxutDjyOjTSjnrjc9vI5&#10;ilJpdUd8odUDfrRYn/Znq+D4PT29ZlP1FQ6rXZK+625VuatSjw/z2wZEwDn8wXDTZ3Uo2alyZzJe&#10;9AoW6yRjVMFLFoO4AXGUcqo4JVECsizk/x/KXwAAAP//AwBQSwECLQAUAAYACAAAACEAtoM4kv4A&#10;AADhAQAAEwAAAAAAAAAAAAAAAAAAAAAAW0NvbnRlbnRfVHlwZXNdLnhtbFBLAQItABQABgAIAAAA&#10;IQA4/SH/1gAAAJQBAAALAAAAAAAAAAAAAAAAAC8BAABfcmVscy8ucmVsc1BLAQItABQABgAIAAAA&#10;IQArtArIhwIAABcFAAAOAAAAAAAAAAAAAAAAAC4CAABkcnMvZTJvRG9jLnhtbFBLAQItABQABgAI&#10;AAAAIQDsgp0z3wAAAAsBAAAPAAAAAAAAAAAAAAAAAOEEAABkcnMvZG93bnJldi54bWxQSwUGAAAA&#10;AAQABADzAAAA7QUAAAAA&#10;" stroked="f">
                <v:textbox>
                  <w:txbxContent>
                    <w:p w:rsidR="004A59E0" w:rsidRPr="00075BD0" w:rsidRDefault="004A59E0" w:rsidP="00CF3D3E">
                      <w:pPr>
                        <w:pStyle w:val="CdcIntestazionecopertina"/>
                        <w:jc w:val="center"/>
                      </w:pPr>
                      <w:r>
                        <w:t>SEZIONE REGIONALE DI CONTROLLO PER LA SARDEGNA</w:t>
                      </w:r>
                    </w:p>
                    <w:p w:rsidR="004A59E0" w:rsidRDefault="004A59E0" w:rsidP="00CF3D3E">
                      <w:pPr>
                        <w:jc w:val="center"/>
                      </w:pPr>
                    </w:p>
                  </w:txbxContent>
                </v:textbox>
              </v:shape>
            </w:pict>
          </mc:Fallback>
        </mc:AlternateContent>
      </w:r>
    </w:p>
    <w:p w:rsidR="00FB3AAA" w:rsidRDefault="00FB3AAA">
      <w:pPr>
        <w:rPr>
          <w:rFonts w:ascii="Bodoni MT" w:hAnsi="Bodoni MT"/>
        </w:rPr>
      </w:pPr>
    </w:p>
    <w:p w:rsidR="00FB3AAA" w:rsidRPr="004E1627" w:rsidRDefault="00FB3AAA">
      <w:pPr>
        <w:rPr>
          <w:rFonts w:ascii="Bodoni MT" w:hAnsi="Bodoni MT"/>
        </w:rPr>
      </w:pPr>
    </w:p>
    <w:p w:rsidR="004E1627" w:rsidRDefault="00525FB3">
      <w:pPr>
        <w:rPr>
          <w:rFonts w:ascii="Bodoni MT" w:hAnsi="Bodoni MT"/>
        </w:rPr>
      </w:pPr>
      <w:r>
        <w:rPr>
          <w:rFonts w:ascii="Bodoni MT" w:hAnsi="Bodoni MT"/>
          <w:noProof/>
          <w:lang w:eastAsia="it-IT"/>
        </w:rPr>
        <mc:AlternateContent>
          <mc:Choice Requires="wps">
            <w:drawing>
              <wp:anchor distT="0" distB="0" distL="114300" distR="114300" simplePos="0" relativeHeight="251683840" behindDoc="0" locked="0" layoutInCell="1" allowOverlap="1">
                <wp:simplePos x="0" y="0"/>
                <wp:positionH relativeFrom="margin">
                  <wp:posOffset>-540385</wp:posOffset>
                </wp:positionH>
                <wp:positionV relativeFrom="paragraph">
                  <wp:posOffset>267012</wp:posOffset>
                </wp:positionV>
                <wp:extent cx="7562850" cy="1319841"/>
                <wp:effectExtent l="0" t="0" r="0" b="0"/>
                <wp:wrapNone/>
                <wp:docPr id="7" name="Casella di tes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2850" cy="13198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59E0" w:rsidRDefault="004A59E0" w:rsidP="00201284">
                            <w:pPr>
                              <w:pStyle w:val="Paragrafobase"/>
                              <w:jc w:val="center"/>
                              <w:rPr>
                                <w:rFonts w:ascii="Bodoni MT" w:hAnsi="Bodoni MT" w:cs="Bodoni MT"/>
                                <w:b/>
                                <w:bCs/>
                                <w:sz w:val="68"/>
                                <w:szCs w:val="68"/>
                              </w:rPr>
                            </w:pPr>
                            <w:r>
                              <w:rPr>
                                <w:rFonts w:ascii="Bodoni MT" w:hAnsi="Bodoni MT" w:cs="Bodoni MT"/>
                                <w:b/>
                                <w:bCs/>
                                <w:sz w:val="68"/>
                                <w:szCs w:val="68"/>
                              </w:rPr>
                              <w:t xml:space="preserve">Verifica del Rendiconto della </w:t>
                            </w:r>
                          </w:p>
                          <w:p w:rsidR="004A59E0" w:rsidRDefault="004A59E0" w:rsidP="00201284">
                            <w:pPr>
                              <w:pStyle w:val="CdcTitolofrontespizio"/>
                              <w:jc w:val="center"/>
                            </w:pPr>
                            <w:r>
                              <w:t>Regione Autonoma della Sardegna</w:t>
                            </w:r>
                          </w:p>
                          <w:p w:rsidR="004A59E0" w:rsidRDefault="004A59E0" w:rsidP="00CF3D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asella di testo 6" o:spid="_x0000_s1031" type="#_x0000_t202" style="position:absolute;margin-left:-42.55pt;margin-top:21pt;width:595.5pt;height:103.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oSNlAIAAIsFAAAOAAAAZHJzL2Uyb0RvYy54bWysVN9v2jAQfp+0/8Hy+wihQGnUUDEqpkmo&#10;rdZOfTaOXaI6Ps82JOyv39lJgHV76bSX5Hz3+Xw/vrvrm6ZSZC+sK0HnNB0MKRGaQ1Hql5x+f1p9&#10;mlHiPNMFU6BFTg/C0Zv5xw/XtcnECLagCmEJOtEuq01Ot96bLEkc34qKuQEYodEowVbM49G+JIVl&#10;NXqvVDIaDqdJDbYwFrhwDrW3rZHOo38pBff3Ujrhicopxubj18bvJnyT+TXLXiwz25J3YbB/iKJi&#10;pcZHj65umWdkZ8s/XFUlt+BA+gGHKgEpSy5iDphNOnyTzeOWGRFzweI4cyyT+39u+d3+wZKyyOkl&#10;JZpV2KIlc0IpRoqSeOE8kGmoUm1chuBHg3DffIYGux0zdmYN/NUhJDnDtBccokNVGmmr8Md8CV7E&#10;RhyOxReNJxyVl5PpaDZBE0dbepFezcZpeDg5XTfW+S8CKhKEnFrsbgyB7dfOt9AeEl7TsCqVQj3L&#10;lCZ1TqcX6P83CzpXOmhE5ErnJuTRhh4lf1CidfJNSKxVzCAoIkvFUlmyZ8gvxrnQvg9aaUQHlMQg&#10;3nOxw5+ies/lNo/+ZdD+eLkqNdi2Y2G4TmEXr33IssV3nXRt3qEEvtk0kSSTngobKA7IBAvtRDnD&#10;VyU2Zc2cf2AWRwgbiWvB3+NHKsDiQydRsgX782/6gEdmo5WSGkcyp+7HjllBifqqkfNX6XgcZjge&#10;xpPLER7suWVzbtG7agnYlRQXkOFRDHivelFaqJ5xeyzCq2himuPbOfW9uPTtosDtw8ViEUE4tYb5&#10;tX40vB+AQLmn5plZ0/HSI6XvoB9elr2hZ4sN7dWw2HmQZeRuqHNb1a7+OPGR/d12Civl/BxRpx06&#10;/wUAAP//AwBQSwMEFAAGAAgAAAAhAPNv95zhAAAACwEAAA8AAABkcnMvZG93bnJldi54bWxMj8FO&#10;wzAQRO9I/IO1SNxaJ1ELaRqnqhBckBBqqYR628YmDtjrYLtt+HvcExxX+zTzpl6N1rCT8qF3JCCf&#10;ZsAUtU721AnYvT1NSmAhIkk0jpSAHxVg1Vxf1VhJd6aNOm1jx1IIhQoF6BiHivPQamUxTN2gKP0+&#10;nLcY0+k7Lj2eU7g1vMiyO26xp9SgcVAPWrVf26MVcF/upf70z+Pu/WX9rV8Hbh6RC3F7M66XwKIa&#10;4x8MF/2kDk1yOrgjycCMgEk5zxMqYFakTRcgz+YLYAcBxWxRAm9q/n9D8wsAAP//AwBQSwECLQAU&#10;AAYACAAAACEAtoM4kv4AAADhAQAAEwAAAAAAAAAAAAAAAAAAAAAAW0NvbnRlbnRfVHlwZXNdLnht&#10;bFBLAQItABQABgAIAAAAIQA4/SH/1gAAAJQBAAALAAAAAAAAAAAAAAAAAC8BAABfcmVscy8ucmVs&#10;c1BLAQItABQABgAIAAAAIQAW5oSNlAIAAIsFAAAOAAAAAAAAAAAAAAAAAC4CAABkcnMvZTJvRG9j&#10;LnhtbFBLAQItABQABgAIAAAAIQDzb/ec4QAAAAsBAAAPAAAAAAAAAAAAAAAAAO4EAABkcnMvZG93&#10;bnJldi54bWxQSwUGAAAAAAQABADzAAAA/AUAAAAA&#10;" filled="f" stroked="f" strokeweight=".5pt">
                <v:path arrowok="t"/>
                <v:textbox>
                  <w:txbxContent>
                    <w:p w:rsidR="004A59E0" w:rsidRDefault="004A59E0" w:rsidP="00201284">
                      <w:pPr>
                        <w:pStyle w:val="Paragrafobase"/>
                        <w:jc w:val="center"/>
                        <w:rPr>
                          <w:rFonts w:ascii="Bodoni MT" w:hAnsi="Bodoni MT" w:cs="Bodoni MT"/>
                          <w:b/>
                          <w:bCs/>
                          <w:sz w:val="68"/>
                          <w:szCs w:val="68"/>
                        </w:rPr>
                      </w:pPr>
                      <w:r>
                        <w:rPr>
                          <w:rFonts w:ascii="Bodoni MT" w:hAnsi="Bodoni MT" w:cs="Bodoni MT"/>
                          <w:b/>
                          <w:bCs/>
                          <w:sz w:val="68"/>
                          <w:szCs w:val="68"/>
                        </w:rPr>
                        <w:t xml:space="preserve">Verifica del Rendiconto della </w:t>
                      </w:r>
                    </w:p>
                    <w:p w:rsidR="004A59E0" w:rsidRDefault="004A59E0" w:rsidP="00201284">
                      <w:pPr>
                        <w:pStyle w:val="CdcTitolofrontespizio"/>
                        <w:jc w:val="center"/>
                      </w:pPr>
                      <w:r>
                        <w:t>Regione Autonoma della Sardegna</w:t>
                      </w:r>
                    </w:p>
                    <w:p w:rsidR="004A59E0" w:rsidRDefault="004A59E0" w:rsidP="00CF3D3E">
                      <w:pPr>
                        <w:jc w:val="center"/>
                      </w:pPr>
                    </w:p>
                  </w:txbxContent>
                </v:textbox>
                <w10:wrap anchorx="margin"/>
              </v:shape>
            </w:pict>
          </mc:Fallback>
        </mc:AlternateContent>
      </w: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201284">
      <w:pPr>
        <w:rPr>
          <w:rFonts w:ascii="Bodoni MT" w:hAnsi="Bodoni MT"/>
        </w:rPr>
      </w:pPr>
      <w:r>
        <w:rPr>
          <w:rFonts w:ascii="Bodoni MT" w:hAnsi="Bodoni MT"/>
          <w:noProof/>
          <w:lang w:eastAsia="it-IT"/>
        </w:rPr>
        <mc:AlternateContent>
          <mc:Choice Requires="wps">
            <w:drawing>
              <wp:anchor distT="0" distB="0" distL="114300" distR="114300" simplePos="0" relativeHeight="251659264" behindDoc="0" locked="0" layoutInCell="1" allowOverlap="1">
                <wp:simplePos x="0" y="0"/>
                <wp:positionH relativeFrom="margin">
                  <wp:posOffset>-540385</wp:posOffset>
                </wp:positionH>
                <wp:positionV relativeFrom="paragraph">
                  <wp:posOffset>360321</wp:posOffset>
                </wp:positionV>
                <wp:extent cx="7562850" cy="556094"/>
                <wp:effectExtent l="0" t="0" r="0" b="0"/>
                <wp:wrapNone/>
                <wp:docPr id="10" name="Casella di tes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2850" cy="5560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59E0" w:rsidRDefault="004A59E0" w:rsidP="00CF3D3E">
                            <w:pPr>
                              <w:pStyle w:val="CdcSottotitolofrontespizio"/>
                              <w:rPr>
                                <w:sz w:val="48"/>
                                <w:szCs w:val="48"/>
                              </w:rPr>
                            </w:pPr>
                            <w:r>
                              <w:t>ESERCIZIO 2016</w:t>
                            </w:r>
                          </w:p>
                          <w:p w:rsidR="004A59E0" w:rsidRDefault="004A59E0" w:rsidP="00CF3D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asella di testo 7" o:spid="_x0000_s1032" type="#_x0000_t202" style="position:absolute;margin-left:-42.55pt;margin-top:28.35pt;width:595.5pt;height:43.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XuCkgIAAIsFAAAOAAAAZHJzL2Uyb0RvYy54bWysVN9v2jAQfp+0/8Hy+xpgQNuooWJUnSah&#10;tVo79dk4donq+Dz7gLC/fmcnAdbtpdNeEtv33e/v7uq6qQ3bKh8qsAUfng04U1ZCWdnngn9/vP1w&#10;wVlAYUthwKqC71Xg17P37652LlcjWIMplWdkxIZ85wq+RnR5lgW5VrUIZ+CUJaEGXwukq3/OSi92&#10;ZL022WgwmGY78KXzIFUI9HrTCvks2ddaSbzTOihkpuAUG6avT99V/GazK5E/e+HWlezCEP8QRS0q&#10;S04Ppm4ECrbx1R+m6kp6CKDxTEKdgdaVVCkHymY4eJXNw1o4lXKh4gR3KFP4f2bl1+29Z1VJvaPy&#10;WFFTjxYiKGMEKyuGKiCw81imnQs5oR8c4bH5BA2ppJSDW4J8CQTJTjCtQiB0LEujfR3/lDAjRXK1&#10;P1RfNcgkPZ5PpqOLCYkkySaT6eByHP1mR23nA35WULN4KLin7qYIxHYZsIX2kOjMwm1lDL2L3Fi2&#10;K/j0I5n/TULGjY0vKnGlMxPTaCNPJ9wb1Rr5pjTVKiUQHxJL1cJ4thXELyGlsjjsgjaW0BGlKYi3&#10;KHb4Y1RvUW7z6D2DxYNyXVnwbcPicB3DLl/6kHWL7xoZ2rxjCbBZNYkk054JKyj3RAQP7UQFJ28r&#10;aspSBLwXnkaI+khrAe/oow1Q8aE7cbYG//Nv7xFPzCYpZzsayYKHHxvhFWfmiyXOXw7HYzKL6TKe&#10;nI/o4k8lq1OJ3dQLoK4MaQE5mY4Rj6Y/ag/1E22PefRKImEl+S449scFtouCto9U83kC0dQ6gUv7&#10;4GTP/0i5x+ZJeNfxEonRX6EfXpG/omeLje21MN8g6CpxN9a5rWpXf5r4xP5uO8WVcnpPqOMOnf0C&#10;AAD//wMAUEsDBBQABgAIAAAAIQC8GGDh4gAAAAsBAAAPAAAAZHJzL2Rvd25yZXYueG1sTI/LTsMw&#10;EEX3SPyDNUjsWifQtGmIU1UINkgIUSqh7qbxEAf8CLbbhr/HXcFuRnN059x6NRrNjuRD76yAfJoB&#10;I9s62dtOwPbtcVICCxGtRO0sCfihAKvm8qLGSrqTfaXjJnYshdhQoQAV41BxHlpFBsPUDWTT7cN5&#10;gzGtvuPS4ymFG81vsmzODfY2fVA40L2i9mtzMAIW5U6qT/80bt+f19/qZeD6AbkQ11fj+g5YpDH+&#10;wXDWT+rQJKe9O1gZmBYwKYs8oQKK+QLYGcizYglsn6bZ7BZ4U/P/HZpfAAAA//8DAFBLAQItABQA&#10;BgAIAAAAIQC2gziS/gAAAOEBAAATAAAAAAAAAAAAAAAAAAAAAABbQ29udGVudF9UeXBlc10ueG1s&#10;UEsBAi0AFAAGAAgAAAAhADj9If/WAAAAlAEAAAsAAAAAAAAAAAAAAAAALwEAAF9yZWxzLy5yZWxz&#10;UEsBAi0AFAAGAAgAAAAhALjde4KSAgAAiwUAAA4AAAAAAAAAAAAAAAAALgIAAGRycy9lMm9Eb2Mu&#10;eG1sUEsBAi0AFAAGAAgAAAAhALwYYOHiAAAACwEAAA8AAAAAAAAAAAAAAAAA7AQAAGRycy9kb3du&#10;cmV2LnhtbFBLBQYAAAAABAAEAPMAAAD7BQAAAAA=&#10;" filled="f" stroked="f" strokeweight=".5pt">
                <v:path arrowok="t"/>
                <v:textbox>
                  <w:txbxContent>
                    <w:p w:rsidR="004A59E0" w:rsidRDefault="004A59E0" w:rsidP="00CF3D3E">
                      <w:pPr>
                        <w:pStyle w:val="CdcSottotitolofrontespizio"/>
                        <w:rPr>
                          <w:sz w:val="48"/>
                          <w:szCs w:val="48"/>
                        </w:rPr>
                      </w:pPr>
                      <w:r>
                        <w:t>ESERCIZIO 2016</w:t>
                      </w:r>
                    </w:p>
                    <w:p w:rsidR="004A59E0" w:rsidRDefault="004A59E0" w:rsidP="00CF3D3E">
                      <w:pPr>
                        <w:jc w:val="center"/>
                      </w:pPr>
                    </w:p>
                  </w:txbxContent>
                </v:textbox>
                <w10:wrap anchorx="margin"/>
              </v:shape>
            </w:pict>
          </mc:Fallback>
        </mc:AlternateContent>
      </w: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CF3D3E">
      <w:pPr>
        <w:rPr>
          <w:rFonts w:ascii="Bodoni MT" w:hAnsi="Bodoni MT"/>
        </w:rPr>
      </w:pPr>
    </w:p>
    <w:p w:rsidR="00CF3D3E" w:rsidRDefault="00525FB3">
      <w:pPr>
        <w:rPr>
          <w:rFonts w:ascii="Bodoni MT" w:hAnsi="Bodoni MT"/>
        </w:rPr>
      </w:pPr>
      <w:r>
        <w:rPr>
          <w:rFonts w:ascii="Bodoni MT" w:hAnsi="Bodoni MT"/>
          <w:noProof/>
          <w:lang w:eastAsia="it-IT"/>
        </w:rPr>
        <mc:AlternateContent>
          <mc:Choice Requires="wps">
            <w:drawing>
              <wp:anchor distT="0" distB="0" distL="114300" distR="114300" simplePos="0" relativeHeight="251685888" behindDoc="0" locked="0" layoutInCell="1" allowOverlap="1">
                <wp:simplePos x="0" y="0"/>
                <wp:positionH relativeFrom="page">
                  <wp:posOffset>0</wp:posOffset>
                </wp:positionH>
                <wp:positionV relativeFrom="paragraph">
                  <wp:posOffset>281305</wp:posOffset>
                </wp:positionV>
                <wp:extent cx="7562850" cy="393700"/>
                <wp:effectExtent l="0" t="0" r="0" b="6350"/>
                <wp:wrapNone/>
                <wp:docPr id="12" name="Casella di tes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285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59E0" w:rsidRPr="00DC71CC" w:rsidRDefault="004A59E0" w:rsidP="00C239AC">
                            <w:pPr>
                              <w:pStyle w:val="CdcIntestazionecopertina"/>
                              <w:jc w:val="center"/>
                              <w:rPr>
                                <w:rFonts w:cs="Bodoni MT"/>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asella di testo 9" o:spid="_x0000_s1033" type="#_x0000_t202" style="position:absolute;margin-left:0;margin-top:22.15pt;width:595.5pt;height:31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sGlAIAAIsFAAAOAAAAZHJzL2Uyb0RvYy54bWysVEtv2zAMvg/YfxB0X52kjzRGnSJL0WFA&#10;0BZrh54VWWqMyqImMYmzXz9KtpOs26XDLrYkfnx/5NV1Uxu2UT5UYAs+PBlwpqyEsrIvBf/+dPvp&#10;krOAwpbCgFUF36nAr6cfP1xtXa5GsAJTKs/IiA351hV8hejyLAtypWoRTsApS0INvhZIV/+SlV5s&#10;yXptstFgcJFtwZfOg1Qh0OtNK+TTZF9rJfFe66CQmYJTbJi+Pn2X8ZtNr0T+4oVbVbILQ/xDFLWo&#10;LDndm7oRKNjaV3+YqivpIYDGEwl1BlpXUqUcKJvh4E02jyvhVMqFihPcvkzh/5mVd5sHz6qSejfi&#10;zIqaejQXQRkjWFkxVAGBTWKZti7khH50hMfmMzSkklIObgHyNRAkO8K0CoHQsSyN9nX8U8KMFKkT&#10;u331VYNM0uP4/GJ0eU4iSbLTyel4kNqTHbSdD/hFQc3ioeCeupsiEJtFwOhf5D0kOrNwWxmTOmws&#10;2xb84pTM/yYhDWPji0pc6czENNrI0wl3RkWMsd+UplqlBOJDYqmaG882gvglpFQWh7FYyS6hI0pT&#10;EO9R7PCHqN6j3ObRewaLe+W6suDbhsXhOoRdvvYh6xbfNTK0eccSYLNsEknGPROWUO6ICB7aiQpO&#10;3lbUlIUI+CA8jRD1kdYC3tNHG6DiQ3fibAX+59/eI56YTVLOtjSSBQ8/1sIrzsxXS5yfDM/O4gyn&#10;y9n5eEQXfyxZHkvsup4DdWVIC8jJdIx4NP1Re6ifaXvMolcSCSvJd8GxP86xXRS0faSazRKIptYJ&#10;XNhHJ3v+R8o9Nc/Cu46XSIy+g354Rf6Gni02ttfCbI2gq8TdWOe2ql39aeITkbrtFFfK8T2hDjt0&#10;+gsAAP//AwBQSwMEFAAGAAgAAAAhAJcd7oLeAAAACAEAAA8AAABkcnMvZG93bnJldi54bWxMj0FP&#10;wzAMhe9I/IfISNxYWjaNUZpOE4ILEkIbkxC3rDFNIXFKkm3l3+Od4Gb7PT1/r16O3okDxtQHUlBO&#10;ChBIbTA9dQq2r49XCxApazLaBUIFP5hg2Zyf1boy4UhrPGxyJziEUqUV2JyHSsrUWvQ6TcKAxNpH&#10;iF5nXmMnTdRHDvdOXhfFXHrdE3+wesB7i+3XZu8V3Czejf2MT+P27Xn1bV8G6R60VOryYlzdgcg4&#10;5j8znPAZHRpm2oU9mSScAi6SFcxmUxAntbwt+bLjqZhPQTa1/F+g+QUAAP//AwBQSwECLQAUAAYA&#10;CAAAACEAtoM4kv4AAADhAQAAEwAAAAAAAAAAAAAAAAAAAAAAW0NvbnRlbnRfVHlwZXNdLnhtbFBL&#10;AQItABQABgAIAAAAIQA4/SH/1gAAAJQBAAALAAAAAAAAAAAAAAAAAC8BAABfcmVscy8ucmVsc1BL&#10;AQItABQABgAIAAAAIQBTjWsGlAIAAIsFAAAOAAAAAAAAAAAAAAAAAC4CAABkcnMvZTJvRG9jLnht&#10;bFBLAQItABQABgAIAAAAIQCXHe6C3gAAAAgBAAAPAAAAAAAAAAAAAAAAAO4EAABkcnMvZG93bnJl&#10;di54bWxQSwUGAAAAAAQABADzAAAA+QUAAAAA&#10;" filled="f" stroked="f" strokeweight=".5pt">
                <v:path arrowok="t"/>
                <v:textbox>
                  <w:txbxContent>
                    <w:p w:rsidR="004A59E0" w:rsidRPr="00DC71CC" w:rsidRDefault="004A59E0" w:rsidP="00C239AC">
                      <w:pPr>
                        <w:pStyle w:val="CdcIntestazionecopertina"/>
                        <w:jc w:val="center"/>
                        <w:rPr>
                          <w:rFonts w:cs="Bodoni MT"/>
                          <w:sz w:val="48"/>
                          <w:szCs w:val="48"/>
                        </w:rPr>
                      </w:pPr>
                    </w:p>
                  </w:txbxContent>
                </v:textbox>
                <w10:wrap anchorx="page"/>
              </v:shape>
            </w:pict>
          </mc:Fallback>
        </mc:AlternateContent>
      </w:r>
    </w:p>
    <w:p w:rsidR="008F04DE" w:rsidRDefault="008F04DE">
      <w:pPr>
        <w:rPr>
          <w:rFonts w:ascii="Bodoni MT" w:hAnsi="Bodoni MT"/>
        </w:rPr>
      </w:pPr>
    </w:p>
    <w:p w:rsidR="00CF3D3E" w:rsidRDefault="00CF3D3E">
      <w:pPr>
        <w:rPr>
          <w:rFonts w:ascii="Bodoni MT" w:hAnsi="Bodoni MT"/>
        </w:rPr>
      </w:pPr>
    </w:p>
    <w:p w:rsidR="003E77C8" w:rsidRDefault="003E77C8"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pStyle w:val="CdcTesto"/>
      </w:pPr>
    </w:p>
    <w:p w:rsidR="004B535D" w:rsidRDefault="004B535D" w:rsidP="004B535D">
      <w:pPr>
        <w:tabs>
          <w:tab w:val="left" w:pos="2123"/>
          <w:tab w:val="left" w:pos="4120"/>
          <w:tab w:val="left" w:pos="5873"/>
          <w:tab w:val="left" w:pos="7748"/>
        </w:tabs>
        <w:rPr>
          <w:rFonts w:ascii="Bodoni MT" w:hAnsi="Bodoni MT"/>
          <w:sz w:val="24"/>
          <w:szCs w:val="24"/>
        </w:rPr>
      </w:pPr>
      <w:r w:rsidRPr="00BD0C2A">
        <w:rPr>
          <w:rFonts w:ascii="Bodoni MT" w:hAnsi="Bodoni MT"/>
          <w:sz w:val="24"/>
          <w:szCs w:val="24"/>
        </w:rPr>
        <w:t xml:space="preserve">Revisione </w:t>
      </w:r>
      <w:r>
        <w:rPr>
          <w:rFonts w:ascii="Bodoni MT" w:hAnsi="Bodoni MT"/>
          <w:sz w:val="24"/>
          <w:szCs w:val="24"/>
        </w:rPr>
        <w:t>e analisi economico–finanziaria F</w:t>
      </w:r>
      <w:r w:rsidRPr="00BD0C2A">
        <w:rPr>
          <w:rFonts w:ascii="Bodoni MT" w:hAnsi="Bodoni MT"/>
          <w:sz w:val="24"/>
          <w:szCs w:val="24"/>
        </w:rPr>
        <w:t xml:space="preserve">unzionari: </w:t>
      </w:r>
    </w:p>
    <w:p w:rsidR="004B535D" w:rsidRPr="00BD0C2A" w:rsidRDefault="004B535D" w:rsidP="004B535D">
      <w:pPr>
        <w:tabs>
          <w:tab w:val="left" w:pos="2123"/>
          <w:tab w:val="left" w:pos="4120"/>
          <w:tab w:val="left" w:pos="5873"/>
          <w:tab w:val="left" w:pos="7748"/>
        </w:tabs>
        <w:rPr>
          <w:rFonts w:ascii="Bodoni MT" w:hAnsi="Bodoni MT"/>
          <w:sz w:val="24"/>
          <w:szCs w:val="24"/>
        </w:rPr>
      </w:pPr>
      <w:r w:rsidRPr="00BD0C2A">
        <w:rPr>
          <w:rFonts w:ascii="Bodoni MT" w:hAnsi="Bodoni MT"/>
          <w:sz w:val="24"/>
          <w:szCs w:val="24"/>
        </w:rPr>
        <w:t>Sig.</w:t>
      </w:r>
      <w:r w:rsidRPr="00BD0C2A">
        <w:rPr>
          <w:rFonts w:ascii="Bodoni MT" w:hAnsi="Bodoni MT"/>
          <w:sz w:val="24"/>
          <w:szCs w:val="24"/>
          <w:vertAlign w:val="superscript"/>
        </w:rPr>
        <w:t>ra</w:t>
      </w:r>
      <w:r w:rsidRPr="00BD0C2A">
        <w:rPr>
          <w:rFonts w:ascii="Bodoni MT" w:hAnsi="Bodoni MT"/>
          <w:sz w:val="24"/>
          <w:szCs w:val="24"/>
        </w:rPr>
        <w:t xml:space="preserve"> Rita Dore</w:t>
      </w:r>
    </w:p>
    <w:p w:rsidR="004B535D" w:rsidRDefault="004B535D" w:rsidP="004B535D">
      <w:pPr>
        <w:tabs>
          <w:tab w:val="left" w:pos="2123"/>
          <w:tab w:val="left" w:pos="4120"/>
          <w:tab w:val="left" w:pos="5873"/>
          <w:tab w:val="left" w:pos="7748"/>
        </w:tabs>
        <w:rPr>
          <w:rFonts w:ascii="Bodoni MT" w:hAnsi="Bodoni MT"/>
          <w:sz w:val="24"/>
          <w:szCs w:val="24"/>
        </w:rPr>
      </w:pPr>
      <w:r w:rsidRPr="00BD0C2A">
        <w:rPr>
          <w:rFonts w:ascii="Bodoni MT" w:hAnsi="Bodoni MT"/>
          <w:sz w:val="24"/>
          <w:szCs w:val="24"/>
        </w:rPr>
        <w:t>Sig.</w:t>
      </w:r>
      <w:r w:rsidRPr="00BD0C2A">
        <w:rPr>
          <w:rFonts w:ascii="Bodoni MT" w:hAnsi="Bodoni MT"/>
          <w:sz w:val="24"/>
          <w:szCs w:val="24"/>
          <w:vertAlign w:val="superscript"/>
        </w:rPr>
        <w:t>ra</w:t>
      </w:r>
      <w:r w:rsidRPr="00BD0C2A">
        <w:rPr>
          <w:rFonts w:ascii="Bodoni MT" w:hAnsi="Bodoni MT"/>
          <w:sz w:val="24"/>
          <w:szCs w:val="24"/>
        </w:rPr>
        <w:t xml:space="preserve"> Giovanna Medici</w:t>
      </w:r>
    </w:p>
    <w:p w:rsidR="004B535D" w:rsidRPr="00BD0C2A" w:rsidRDefault="004B535D" w:rsidP="004B535D">
      <w:pPr>
        <w:tabs>
          <w:tab w:val="left" w:pos="2123"/>
          <w:tab w:val="left" w:pos="4120"/>
          <w:tab w:val="left" w:pos="5873"/>
          <w:tab w:val="left" w:pos="7748"/>
        </w:tabs>
        <w:rPr>
          <w:rFonts w:ascii="Bodoni MT" w:hAnsi="Bodoni MT"/>
          <w:sz w:val="24"/>
          <w:szCs w:val="24"/>
        </w:rPr>
      </w:pPr>
      <w:r w:rsidRPr="00BD0C2A">
        <w:rPr>
          <w:rFonts w:ascii="Bodoni MT" w:hAnsi="Bodoni MT"/>
          <w:sz w:val="24"/>
          <w:szCs w:val="24"/>
        </w:rPr>
        <w:t>Sig. Ignazio Soriga</w:t>
      </w:r>
    </w:p>
    <w:p w:rsidR="004B535D" w:rsidRDefault="004B535D" w:rsidP="004B535D">
      <w:pPr>
        <w:tabs>
          <w:tab w:val="left" w:pos="2123"/>
          <w:tab w:val="left" w:pos="4120"/>
          <w:tab w:val="left" w:pos="5873"/>
          <w:tab w:val="left" w:pos="7748"/>
        </w:tabs>
        <w:rPr>
          <w:rFonts w:ascii="Bodoni MT" w:hAnsi="Bodoni MT"/>
          <w:sz w:val="24"/>
          <w:szCs w:val="24"/>
        </w:rPr>
      </w:pPr>
    </w:p>
    <w:p w:rsidR="004B535D" w:rsidRDefault="004B535D" w:rsidP="004B535D">
      <w:pPr>
        <w:rPr>
          <w:rFonts w:ascii="Bodoni MT" w:hAnsi="Bodoni MT"/>
        </w:rPr>
      </w:pPr>
      <w:r w:rsidRPr="00BD0C2A">
        <w:rPr>
          <w:rFonts w:ascii="Bodoni MT" w:hAnsi="Bodoni MT"/>
          <w:sz w:val="24"/>
          <w:szCs w:val="24"/>
        </w:rPr>
        <w:t>Impostazione grafica: Sig.</w:t>
      </w:r>
      <w:r w:rsidRPr="00BD0C2A">
        <w:rPr>
          <w:rFonts w:ascii="Bodoni MT" w:hAnsi="Bodoni MT"/>
          <w:sz w:val="24"/>
          <w:szCs w:val="24"/>
          <w:vertAlign w:val="superscript"/>
        </w:rPr>
        <w:t>ra</w:t>
      </w:r>
      <w:r>
        <w:rPr>
          <w:rFonts w:ascii="Bodoni MT" w:hAnsi="Bodoni MT"/>
          <w:sz w:val="24"/>
          <w:szCs w:val="24"/>
        </w:rPr>
        <w:t xml:space="preserve"> </w:t>
      </w:r>
      <w:r w:rsidRPr="00BD0C2A">
        <w:rPr>
          <w:rFonts w:ascii="Bodoni MT" w:hAnsi="Bodoni MT"/>
          <w:sz w:val="24"/>
          <w:szCs w:val="24"/>
        </w:rPr>
        <w:t>Daniela Scardigli</w:t>
      </w:r>
    </w:p>
    <w:p w:rsidR="004B535D" w:rsidRDefault="004B535D" w:rsidP="004B535D">
      <w:pPr>
        <w:pStyle w:val="CdcTesto"/>
      </w:pPr>
    </w:p>
    <w:p w:rsidR="004B535D" w:rsidRDefault="004B535D" w:rsidP="004B535D">
      <w:pPr>
        <w:pStyle w:val="CdcTesto"/>
      </w:pPr>
    </w:p>
    <w:p w:rsidR="009118B0" w:rsidRDefault="009118B0" w:rsidP="0062750A">
      <w:pPr>
        <w:pStyle w:val="CdcIndici"/>
        <w:sectPr w:rsidR="009118B0" w:rsidSect="003E77C8">
          <w:headerReference w:type="default" r:id="rId15"/>
          <w:footerReference w:type="default" r:id="rId16"/>
          <w:type w:val="oddPage"/>
          <w:pgSz w:w="11906" w:h="16838"/>
          <w:pgMar w:top="1418" w:right="1134" w:bottom="1134" w:left="851" w:header="709" w:footer="709" w:gutter="0"/>
          <w:pgNumType w:start="1"/>
          <w:cols w:space="708"/>
          <w:docGrid w:linePitch="360"/>
        </w:sectPr>
      </w:pPr>
    </w:p>
    <w:p w:rsidR="0062750A" w:rsidRDefault="0062750A" w:rsidP="0062750A">
      <w:pPr>
        <w:pStyle w:val="CdcIndici"/>
      </w:pPr>
      <w:r w:rsidRPr="00462E40">
        <w:lastRenderedPageBreak/>
        <w:t xml:space="preserve">INDICE </w:t>
      </w:r>
    </w:p>
    <w:p w:rsidR="00D44A2C" w:rsidRDefault="00CD4593">
      <w:pPr>
        <w:pStyle w:val="Sommario1"/>
        <w:rPr>
          <w:noProof/>
        </w:rPr>
      </w:pPr>
      <w:r>
        <w:t xml:space="preserve"> </w:t>
      </w:r>
      <w:r w:rsidR="00A77528">
        <w:fldChar w:fldCharType="begin"/>
      </w:r>
      <w:r w:rsidR="00A77528">
        <w:instrText xml:space="preserve"> TOC \o "1-5" \h \z \u </w:instrText>
      </w:r>
      <w:r w:rsidR="00A77528">
        <w:fldChar w:fldCharType="separate"/>
      </w:r>
    </w:p>
    <w:p w:rsidR="00D44A2C" w:rsidRDefault="00B90472">
      <w:pPr>
        <w:pStyle w:val="Sommario1"/>
        <w:rPr>
          <w:rFonts w:asciiTheme="minorHAnsi" w:hAnsiTheme="minorHAnsi"/>
          <w:noProof/>
          <w:sz w:val="22"/>
          <w:szCs w:val="22"/>
          <w:lang w:eastAsia="it-IT"/>
        </w:rPr>
      </w:pPr>
      <w:hyperlink w:anchor="_Toc507422604" w:history="1">
        <w:r w:rsidR="00D44A2C" w:rsidRPr="00643049">
          <w:rPr>
            <w:rStyle w:val="Collegamentoipertestuale"/>
            <w:noProof/>
          </w:rPr>
          <w:t>VALUTAZIONI CONCLUSIVE</w:t>
        </w:r>
        <w:r w:rsidR="00D44A2C">
          <w:rPr>
            <w:noProof/>
            <w:webHidden/>
          </w:rPr>
          <w:tab/>
        </w:r>
        <w:r w:rsidR="00D44A2C">
          <w:rPr>
            <w:noProof/>
            <w:webHidden/>
          </w:rPr>
          <w:fldChar w:fldCharType="begin"/>
        </w:r>
        <w:r w:rsidR="00D44A2C">
          <w:rPr>
            <w:noProof/>
            <w:webHidden/>
          </w:rPr>
          <w:instrText xml:space="preserve"> PAGEREF _Toc507422604 \h </w:instrText>
        </w:r>
        <w:r w:rsidR="00D44A2C">
          <w:rPr>
            <w:noProof/>
            <w:webHidden/>
          </w:rPr>
        </w:r>
        <w:r w:rsidR="00D44A2C">
          <w:rPr>
            <w:noProof/>
            <w:webHidden/>
          </w:rPr>
          <w:fldChar w:fldCharType="separate"/>
        </w:r>
        <w:r w:rsidR="008616B3">
          <w:rPr>
            <w:noProof/>
            <w:webHidden/>
          </w:rPr>
          <w:t>I</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05" w:history="1">
        <w:r w:rsidR="00D44A2C" w:rsidRPr="00643049">
          <w:rPr>
            <w:rStyle w:val="Collegamentoipertestuale"/>
            <w:noProof/>
          </w:rPr>
          <w:t>PARTE I</w:t>
        </w:r>
        <w:r w:rsidR="00D44A2C">
          <w:rPr>
            <w:noProof/>
            <w:webHidden/>
          </w:rPr>
          <w:tab/>
        </w:r>
        <w:r w:rsidR="00D44A2C">
          <w:rPr>
            <w:noProof/>
            <w:webHidden/>
          </w:rPr>
          <w:fldChar w:fldCharType="begin"/>
        </w:r>
        <w:r w:rsidR="00D44A2C">
          <w:rPr>
            <w:noProof/>
            <w:webHidden/>
          </w:rPr>
          <w:instrText xml:space="preserve"> PAGEREF _Toc507422605 \h </w:instrText>
        </w:r>
        <w:r w:rsidR="00D44A2C">
          <w:rPr>
            <w:noProof/>
            <w:webHidden/>
          </w:rPr>
        </w:r>
        <w:r w:rsidR="00D44A2C">
          <w:rPr>
            <w:noProof/>
            <w:webHidden/>
          </w:rPr>
          <w:fldChar w:fldCharType="separate"/>
        </w:r>
        <w:r w:rsidR="008616B3">
          <w:rPr>
            <w:noProof/>
            <w:webHidden/>
          </w:rPr>
          <w:t>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06" w:history="1">
        <w:r w:rsidR="00D44A2C" w:rsidRPr="00643049">
          <w:rPr>
            <w:rStyle w:val="Collegamentoipertestuale"/>
            <w:noProof/>
          </w:rPr>
          <w:t>L’EVOLUZIONE DELLE PREVISIONI DI BILANCIO</w:t>
        </w:r>
        <w:r w:rsidR="00D44A2C">
          <w:rPr>
            <w:noProof/>
            <w:webHidden/>
          </w:rPr>
          <w:tab/>
        </w:r>
        <w:r w:rsidR="00D44A2C">
          <w:rPr>
            <w:noProof/>
            <w:webHidden/>
          </w:rPr>
          <w:fldChar w:fldCharType="begin"/>
        </w:r>
        <w:r w:rsidR="00D44A2C">
          <w:rPr>
            <w:noProof/>
            <w:webHidden/>
          </w:rPr>
          <w:instrText xml:space="preserve"> PAGEREF _Toc507422606 \h </w:instrText>
        </w:r>
        <w:r w:rsidR="00D44A2C">
          <w:rPr>
            <w:noProof/>
            <w:webHidden/>
          </w:rPr>
        </w:r>
        <w:r w:rsidR="00D44A2C">
          <w:rPr>
            <w:noProof/>
            <w:webHidden/>
          </w:rPr>
          <w:fldChar w:fldCharType="separate"/>
        </w:r>
        <w:r w:rsidR="008616B3">
          <w:rPr>
            <w:noProof/>
            <w:webHidden/>
          </w:rPr>
          <w:t>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07" w:history="1">
        <w:r w:rsidR="00D44A2C" w:rsidRPr="00643049">
          <w:rPr>
            <w:rStyle w:val="Collegamentoipertestuale"/>
            <w:noProof/>
          </w:rPr>
          <w:t>DELL’ESERCIZIO 2016</w:t>
        </w:r>
        <w:r w:rsidR="00D44A2C">
          <w:rPr>
            <w:noProof/>
            <w:webHidden/>
          </w:rPr>
          <w:tab/>
        </w:r>
        <w:r w:rsidR="00D44A2C">
          <w:rPr>
            <w:noProof/>
            <w:webHidden/>
          </w:rPr>
          <w:fldChar w:fldCharType="begin"/>
        </w:r>
        <w:r w:rsidR="00D44A2C">
          <w:rPr>
            <w:noProof/>
            <w:webHidden/>
          </w:rPr>
          <w:instrText xml:space="preserve"> PAGEREF _Toc507422607 \h </w:instrText>
        </w:r>
        <w:r w:rsidR="00D44A2C">
          <w:rPr>
            <w:noProof/>
            <w:webHidden/>
          </w:rPr>
        </w:r>
        <w:r w:rsidR="00D44A2C">
          <w:rPr>
            <w:noProof/>
            <w:webHidden/>
          </w:rPr>
          <w:fldChar w:fldCharType="separate"/>
        </w:r>
        <w:r w:rsidR="008616B3">
          <w:rPr>
            <w:noProof/>
            <w:webHidden/>
          </w:rPr>
          <w:t>1</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08" w:history="1">
        <w:r w:rsidR="00D44A2C" w:rsidRPr="00643049">
          <w:rPr>
            <w:rStyle w:val="Collegamentoipertestuale"/>
            <w:noProof/>
          </w:rPr>
          <w:t>1</w:t>
        </w:r>
        <w:r w:rsidR="00D44A2C">
          <w:rPr>
            <w:rFonts w:asciiTheme="minorHAnsi" w:hAnsiTheme="minorHAnsi"/>
            <w:noProof/>
            <w:sz w:val="22"/>
            <w:szCs w:val="22"/>
            <w:lang w:eastAsia="it-IT"/>
          </w:rPr>
          <w:tab/>
        </w:r>
        <w:r w:rsidR="00D44A2C" w:rsidRPr="00643049">
          <w:rPr>
            <w:rStyle w:val="Collegamentoipertestuale"/>
            <w:noProof/>
          </w:rPr>
          <w:t>OSSERVAZIONI PRELIMINARI: IL CICLO DI BILANCIO</w:t>
        </w:r>
        <w:r w:rsidR="00D44A2C">
          <w:rPr>
            <w:noProof/>
            <w:webHidden/>
          </w:rPr>
          <w:tab/>
        </w:r>
        <w:r w:rsidR="00D44A2C">
          <w:rPr>
            <w:noProof/>
            <w:webHidden/>
          </w:rPr>
          <w:fldChar w:fldCharType="begin"/>
        </w:r>
        <w:r w:rsidR="00D44A2C">
          <w:rPr>
            <w:noProof/>
            <w:webHidden/>
          </w:rPr>
          <w:instrText xml:space="preserve"> PAGEREF _Toc507422608 \h </w:instrText>
        </w:r>
        <w:r w:rsidR="00D44A2C">
          <w:rPr>
            <w:noProof/>
            <w:webHidden/>
          </w:rPr>
        </w:r>
        <w:r w:rsidR="00D44A2C">
          <w:rPr>
            <w:noProof/>
            <w:webHidden/>
          </w:rPr>
          <w:fldChar w:fldCharType="separate"/>
        </w:r>
        <w:r w:rsidR="008616B3">
          <w:rPr>
            <w:noProof/>
            <w:webHidden/>
          </w:rPr>
          <w:t>1</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09" w:history="1">
        <w:r w:rsidR="00D44A2C" w:rsidRPr="00643049">
          <w:rPr>
            <w:rStyle w:val="Collegamentoipertestuale"/>
            <w:noProof/>
          </w:rPr>
          <w:t>2</w:t>
        </w:r>
        <w:r w:rsidR="00D44A2C">
          <w:rPr>
            <w:rFonts w:asciiTheme="minorHAnsi" w:hAnsiTheme="minorHAnsi"/>
            <w:noProof/>
            <w:sz w:val="22"/>
            <w:szCs w:val="22"/>
            <w:lang w:eastAsia="it-IT"/>
          </w:rPr>
          <w:tab/>
        </w:r>
        <w:r w:rsidR="00D44A2C" w:rsidRPr="00643049">
          <w:rPr>
            <w:rStyle w:val="Collegamentoipertestuale"/>
            <w:noProof/>
          </w:rPr>
          <w:t>LA LEGGE DI BILANCIO DELL’ESERCIZIO 2016</w:t>
        </w:r>
        <w:r w:rsidR="00D44A2C">
          <w:rPr>
            <w:noProof/>
            <w:webHidden/>
          </w:rPr>
          <w:tab/>
        </w:r>
        <w:r w:rsidR="00D44A2C">
          <w:rPr>
            <w:noProof/>
            <w:webHidden/>
          </w:rPr>
          <w:fldChar w:fldCharType="begin"/>
        </w:r>
        <w:r w:rsidR="00D44A2C">
          <w:rPr>
            <w:noProof/>
            <w:webHidden/>
          </w:rPr>
          <w:instrText xml:space="preserve"> PAGEREF _Toc507422609 \h </w:instrText>
        </w:r>
        <w:r w:rsidR="00D44A2C">
          <w:rPr>
            <w:noProof/>
            <w:webHidden/>
          </w:rPr>
        </w:r>
        <w:r w:rsidR="00D44A2C">
          <w:rPr>
            <w:noProof/>
            <w:webHidden/>
          </w:rPr>
          <w:fldChar w:fldCharType="separate"/>
        </w:r>
        <w:r w:rsidR="008616B3">
          <w:rPr>
            <w:noProof/>
            <w:webHidden/>
          </w:rPr>
          <w:t>5</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10" w:history="1">
        <w:r w:rsidR="00D44A2C" w:rsidRPr="00643049">
          <w:rPr>
            <w:rStyle w:val="Collegamentoipertestuale"/>
            <w:noProof/>
          </w:rPr>
          <w:t>3</w:t>
        </w:r>
        <w:r w:rsidR="00D44A2C">
          <w:rPr>
            <w:rFonts w:asciiTheme="minorHAnsi" w:hAnsiTheme="minorHAnsi"/>
            <w:noProof/>
            <w:sz w:val="22"/>
            <w:szCs w:val="22"/>
            <w:lang w:eastAsia="it-IT"/>
          </w:rPr>
          <w:tab/>
        </w:r>
        <w:r w:rsidR="00D44A2C" w:rsidRPr="00643049">
          <w:rPr>
            <w:rStyle w:val="Collegamentoipertestuale"/>
            <w:noProof/>
          </w:rPr>
          <w:t>GLI EFFETTI DEL RIACCERTAMENTO ORDINARIO SUL BILANCIO DI PREVISIONE</w:t>
        </w:r>
        <w:r w:rsidR="00D44A2C">
          <w:rPr>
            <w:noProof/>
            <w:webHidden/>
          </w:rPr>
          <w:tab/>
        </w:r>
        <w:r w:rsidR="00D44A2C">
          <w:rPr>
            <w:noProof/>
            <w:webHidden/>
          </w:rPr>
          <w:fldChar w:fldCharType="begin"/>
        </w:r>
        <w:r w:rsidR="00D44A2C">
          <w:rPr>
            <w:noProof/>
            <w:webHidden/>
          </w:rPr>
          <w:instrText xml:space="preserve"> PAGEREF _Toc507422610 \h </w:instrText>
        </w:r>
        <w:r w:rsidR="00D44A2C">
          <w:rPr>
            <w:noProof/>
            <w:webHidden/>
          </w:rPr>
        </w:r>
        <w:r w:rsidR="00D44A2C">
          <w:rPr>
            <w:noProof/>
            <w:webHidden/>
          </w:rPr>
          <w:fldChar w:fldCharType="separate"/>
        </w:r>
        <w:r w:rsidR="008616B3">
          <w:rPr>
            <w:noProof/>
            <w:webHidden/>
          </w:rPr>
          <w:t>7</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11" w:history="1">
        <w:r w:rsidR="00D44A2C" w:rsidRPr="00643049">
          <w:rPr>
            <w:rStyle w:val="Collegamentoipertestuale"/>
            <w:noProof/>
          </w:rPr>
          <w:t>3.1</w:t>
        </w:r>
        <w:r w:rsidR="00D44A2C">
          <w:rPr>
            <w:rFonts w:asciiTheme="minorHAnsi" w:hAnsiTheme="minorHAnsi"/>
            <w:noProof/>
            <w:sz w:val="22"/>
            <w:szCs w:val="22"/>
            <w:lang w:eastAsia="it-IT"/>
          </w:rPr>
          <w:tab/>
        </w:r>
        <w:r w:rsidR="00D44A2C" w:rsidRPr="00643049">
          <w:rPr>
            <w:rStyle w:val="Collegamentoipertestuale"/>
            <w:noProof/>
          </w:rPr>
          <w:t>Gli effetti del Riaccertamento Ordinario dei residui al 31/12/2015</w:t>
        </w:r>
        <w:r w:rsidR="00D44A2C">
          <w:rPr>
            <w:noProof/>
            <w:webHidden/>
          </w:rPr>
          <w:tab/>
        </w:r>
        <w:r w:rsidR="00D44A2C">
          <w:rPr>
            <w:noProof/>
            <w:webHidden/>
          </w:rPr>
          <w:fldChar w:fldCharType="begin"/>
        </w:r>
        <w:r w:rsidR="00D44A2C">
          <w:rPr>
            <w:noProof/>
            <w:webHidden/>
          </w:rPr>
          <w:instrText xml:space="preserve"> PAGEREF _Toc507422611 \h </w:instrText>
        </w:r>
        <w:r w:rsidR="00D44A2C">
          <w:rPr>
            <w:noProof/>
            <w:webHidden/>
          </w:rPr>
        </w:r>
        <w:r w:rsidR="00D44A2C">
          <w:rPr>
            <w:noProof/>
            <w:webHidden/>
          </w:rPr>
          <w:fldChar w:fldCharType="separate"/>
        </w:r>
        <w:r w:rsidR="008616B3">
          <w:rPr>
            <w:noProof/>
            <w:webHidden/>
          </w:rPr>
          <w:t>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12" w:history="1">
        <w:r w:rsidR="00D44A2C" w:rsidRPr="00643049">
          <w:rPr>
            <w:rStyle w:val="Collegamentoipertestuale"/>
            <w:noProof/>
          </w:rPr>
          <w:t>3.1.1</w:t>
        </w:r>
        <w:r w:rsidR="00D44A2C">
          <w:rPr>
            <w:rFonts w:asciiTheme="minorHAnsi" w:hAnsiTheme="minorHAnsi"/>
            <w:noProof/>
            <w:sz w:val="22"/>
            <w:szCs w:val="22"/>
            <w:lang w:eastAsia="it-IT"/>
          </w:rPr>
          <w:tab/>
        </w:r>
        <w:r w:rsidR="00D44A2C" w:rsidRPr="00643049">
          <w:rPr>
            <w:rStyle w:val="Collegamentoipertestuale"/>
            <w:noProof/>
          </w:rPr>
          <w:t>I residui al 31/12/2015</w:t>
        </w:r>
        <w:r w:rsidR="00D44A2C">
          <w:rPr>
            <w:noProof/>
            <w:webHidden/>
          </w:rPr>
          <w:tab/>
        </w:r>
        <w:r w:rsidR="00D44A2C">
          <w:rPr>
            <w:noProof/>
            <w:webHidden/>
          </w:rPr>
          <w:fldChar w:fldCharType="begin"/>
        </w:r>
        <w:r w:rsidR="00D44A2C">
          <w:rPr>
            <w:noProof/>
            <w:webHidden/>
          </w:rPr>
          <w:instrText xml:space="preserve"> PAGEREF _Toc507422612 \h </w:instrText>
        </w:r>
        <w:r w:rsidR="00D44A2C">
          <w:rPr>
            <w:noProof/>
            <w:webHidden/>
          </w:rPr>
        </w:r>
        <w:r w:rsidR="00D44A2C">
          <w:rPr>
            <w:noProof/>
            <w:webHidden/>
          </w:rPr>
          <w:fldChar w:fldCharType="separate"/>
        </w:r>
        <w:r w:rsidR="008616B3">
          <w:rPr>
            <w:noProof/>
            <w:webHidden/>
          </w:rPr>
          <w:t>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13" w:history="1">
        <w:r w:rsidR="00D44A2C" w:rsidRPr="00643049">
          <w:rPr>
            <w:rStyle w:val="Collegamentoipertestuale"/>
            <w:noProof/>
          </w:rPr>
          <w:t>3.1.2</w:t>
        </w:r>
        <w:r w:rsidR="00D44A2C">
          <w:rPr>
            <w:rFonts w:asciiTheme="minorHAnsi" w:hAnsiTheme="minorHAnsi"/>
            <w:noProof/>
            <w:sz w:val="22"/>
            <w:szCs w:val="22"/>
            <w:lang w:eastAsia="it-IT"/>
          </w:rPr>
          <w:tab/>
        </w:r>
        <w:r w:rsidR="00D44A2C" w:rsidRPr="00643049">
          <w:rPr>
            <w:rStyle w:val="Collegamentoipertestuale"/>
            <w:noProof/>
          </w:rPr>
          <w:t>Le reimputazioni dei debiti e dei crediti derivanti dalla competenza 2015 che non hanno generato FPV</w:t>
        </w:r>
        <w:r w:rsidR="00D44A2C">
          <w:rPr>
            <w:noProof/>
            <w:webHidden/>
          </w:rPr>
          <w:tab/>
        </w:r>
        <w:r w:rsidR="00D44A2C">
          <w:rPr>
            <w:noProof/>
            <w:webHidden/>
          </w:rPr>
          <w:fldChar w:fldCharType="begin"/>
        </w:r>
        <w:r w:rsidR="00D44A2C">
          <w:rPr>
            <w:noProof/>
            <w:webHidden/>
          </w:rPr>
          <w:instrText xml:space="preserve"> PAGEREF _Toc507422613 \h </w:instrText>
        </w:r>
        <w:r w:rsidR="00D44A2C">
          <w:rPr>
            <w:noProof/>
            <w:webHidden/>
          </w:rPr>
        </w:r>
        <w:r w:rsidR="00D44A2C">
          <w:rPr>
            <w:noProof/>
            <w:webHidden/>
          </w:rPr>
          <w:fldChar w:fldCharType="separate"/>
        </w:r>
        <w:r w:rsidR="008616B3">
          <w:rPr>
            <w:noProof/>
            <w:webHidden/>
          </w:rPr>
          <w:t>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14" w:history="1">
        <w:r w:rsidR="00D44A2C" w:rsidRPr="00643049">
          <w:rPr>
            <w:rStyle w:val="Collegamentoipertestuale"/>
            <w:noProof/>
          </w:rPr>
          <w:t>3.1.3</w:t>
        </w:r>
        <w:r w:rsidR="00D44A2C">
          <w:rPr>
            <w:rFonts w:asciiTheme="minorHAnsi" w:hAnsiTheme="minorHAnsi"/>
            <w:noProof/>
            <w:sz w:val="22"/>
            <w:szCs w:val="22"/>
            <w:lang w:eastAsia="it-IT"/>
          </w:rPr>
          <w:tab/>
        </w:r>
        <w:r w:rsidR="00D44A2C" w:rsidRPr="00643049">
          <w:rPr>
            <w:rStyle w:val="Collegamentoipertestuale"/>
            <w:noProof/>
          </w:rPr>
          <w:t>Il Fondo Pluriennale Vincolato al 31/12/2015</w:t>
        </w:r>
        <w:r w:rsidR="00D44A2C">
          <w:rPr>
            <w:noProof/>
            <w:webHidden/>
          </w:rPr>
          <w:tab/>
        </w:r>
        <w:r w:rsidR="00D44A2C">
          <w:rPr>
            <w:noProof/>
            <w:webHidden/>
          </w:rPr>
          <w:fldChar w:fldCharType="begin"/>
        </w:r>
        <w:r w:rsidR="00D44A2C">
          <w:rPr>
            <w:noProof/>
            <w:webHidden/>
          </w:rPr>
          <w:instrText xml:space="preserve"> PAGEREF _Toc507422614 \h </w:instrText>
        </w:r>
        <w:r w:rsidR="00D44A2C">
          <w:rPr>
            <w:noProof/>
            <w:webHidden/>
          </w:rPr>
        </w:r>
        <w:r w:rsidR="00D44A2C">
          <w:rPr>
            <w:noProof/>
            <w:webHidden/>
          </w:rPr>
          <w:fldChar w:fldCharType="separate"/>
        </w:r>
        <w:r w:rsidR="008616B3">
          <w:rPr>
            <w:noProof/>
            <w:webHidden/>
          </w:rPr>
          <w:t>8</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15" w:history="1">
        <w:r w:rsidR="00D44A2C" w:rsidRPr="00643049">
          <w:rPr>
            <w:rStyle w:val="Collegamentoipertestuale"/>
            <w:noProof/>
          </w:rPr>
          <w:t>3.1.4</w:t>
        </w:r>
        <w:r w:rsidR="00D44A2C">
          <w:rPr>
            <w:rFonts w:asciiTheme="minorHAnsi" w:hAnsiTheme="minorHAnsi"/>
            <w:noProof/>
            <w:sz w:val="22"/>
            <w:szCs w:val="22"/>
            <w:lang w:eastAsia="it-IT"/>
          </w:rPr>
          <w:tab/>
        </w:r>
        <w:r w:rsidR="00D44A2C" w:rsidRPr="00643049">
          <w:rPr>
            <w:rStyle w:val="Collegamentoipertestuale"/>
            <w:noProof/>
          </w:rPr>
          <w:t>Il Risultato di Amministrazione al 31/12/2015</w:t>
        </w:r>
        <w:r w:rsidR="00D44A2C">
          <w:rPr>
            <w:noProof/>
            <w:webHidden/>
          </w:rPr>
          <w:tab/>
        </w:r>
        <w:r w:rsidR="00D44A2C">
          <w:rPr>
            <w:noProof/>
            <w:webHidden/>
          </w:rPr>
          <w:fldChar w:fldCharType="begin"/>
        </w:r>
        <w:r w:rsidR="00D44A2C">
          <w:rPr>
            <w:noProof/>
            <w:webHidden/>
          </w:rPr>
          <w:instrText xml:space="preserve"> PAGEREF _Toc507422615 \h </w:instrText>
        </w:r>
        <w:r w:rsidR="00D44A2C">
          <w:rPr>
            <w:noProof/>
            <w:webHidden/>
          </w:rPr>
        </w:r>
        <w:r w:rsidR="00D44A2C">
          <w:rPr>
            <w:noProof/>
            <w:webHidden/>
          </w:rPr>
          <w:fldChar w:fldCharType="separate"/>
        </w:r>
        <w:r w:rsidR="008616B3">
          <w:rPr>
            <w:noProof/>
            <w:webHidden/>
          </w:rPr>
          <w:t>8</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16" w:history="1">
        <w:r w:rsidR="00D44A2C" w:rsidRPr="00643049">
          <w:rPr>
            <w:rStyle w:val="Collegamentoipertestuale"/>
            <w:noProof/>
          </w:rPr>
          <w:t>4</w:t>
        </w:r>
        <w:r w:rsidR="00D44A2C">
          <w:rPr>
            <w:rFonts w:asciiTheme="minorHAnsi" w:hAnsiTheme="minorHAnsi"/>
            <w:noProof/>
            <w:sz w:val="22"/>
            <w:szCs w:val="22"/>
            <w:lang w:eastAsia="it-IT"/>
          </w:rPr>
          <w:tab/>
        </w:r>
        <w:r w:rsidR="00D44A2C" w:rsidRPr="00643049">
          <w:rPr>
            <w:rStyle w:val="Collegamentoipertestuale"/>
            <w:noProof/>
          </w:rPr>
          <w:t>L’ASSESTAMENTO DEL BILANCIO E LE PREVISIONI DEFINITIVE DELL’ESERCIZIO 2016</w:t>
        </w:r>
        <w:r w:rsidR="00D44A2C">
          <w:rPr>
            <w:noProof/>
            <w:webHidden/>
          </w:rPr>
          <w:tab/>
        </w:r>
        <w:r w:rsidR="00D44A2C">
          <w:rPr>
            <w:noProof/>
            <w:webHidden/>
          </w:rPr>
          <w:fldChar w:fldCharType="begin"/>
        </w:r>
        <w:r w:rsidR="00D44A2C">
          <w:rPr>
            <w:noProof/>
            <w:webHidden/>
          </w:rPr>
          <w:instrText xml:space="preserve"> PAGEREF _Toc507422616 \h </w:instrText>
        </w:r>
        <w:r w:rsidR="00D44A2C">
          <w:rPr>
            <w:noProof/>
            <w:webHidden/>
          </w:rPr>
        </w:r>
        <w:r w:rsidR="00D44A2C">
          <w:rPr>
            <w:noProof/>
            <w:webHidden/>
          </w:rPr>
          <w:fldChar w:fldCharType="separate"/>
        </w:r>
        <w:r w:rsidR="008616B3">
          <w:rPr>
            <w:noProof/>
            <w:webHidden/>
          </w:rPr>
          <w:t>11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17" w:history="1">
        <w:r w:rsidR="00D44A2C" w:rsidRPr="00643049">
          <w:rPr>
            <w:rStyle w:val="Collegamentoipertestuale"/>
            <w:noProof/>
          </w:rPr>
          <w:t>4.1</w:t>
        </w:r>
        <w:r w:rsidR="00D44A2C">
          <w:rPr>
            <w:rFonts w:asciiTheme="minorHAnsi" w:hAnsiTheme="minorHAnsi"/>
            <w:noProof/>
            <w:sz w:val="22"/>
            <w:szCs w:val="22"/>
            <w:lang w:eastAsia="it-IT"/>
          </w:rPr>
          <w:tab/>
        </w:r>
        <w:r w:rsidR="00D44A2C" w:rsidRPr="00643049">
          <w:rPr>
            <w:rStyle w:val="Collegamentoipertestuale"/>
            <w:noProof/>
          </w:rPr>
          <w:t>Le leggi di variazione e assestamento</w:t>
        </w:r>
        <w:r w:rsidR="00D44A2C">
          <w:rPr>
            <w:noProof/>
            <w:webHidden/>
          </w:rPr>
          <w:tab/>
        </w:r>
        <w:r w:rsidR="00D44A2C">
          <w:rPr>
            <w:noProof/>
            <w:webHidden/>
          </w:rPr>
          <w:fldChar w:fldCharType="begin"/>
        </w:r>
        <w:r w:rsidR="00D44A2C">
          <w:rPr>
            <w:noProof/>
            <w:webHidden/>
          </w:rPr>
          <w:instrText xml:space="preserve"> PAGEREF _Toc507422617 \h </w:instrText>
        </w:r>
        <w:r w:rsidR="00D44A2C">
          <w:rPr>
            <w:noProof/>
            <w:webHidden/>
          </w:rPr>
        </w:r>
        <w:r w:rsidR="00D44A2C">
          <w:rPr>
            <w:noProof/>
            <w:webHidden/>
          </w:rPr>
          <w:fldChar w:fldCharType="separate"/>
        </w:r>
        <w:r w:rsidR="008616B3">
          <w:rPr>
            <w:noProof/>
            <w:webHidden/>
          </w:rPr>
          <w:t>11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18" w:history="1">
        <w:r w:rsidR="00D44A2C" w:rsidRPr="00643049">
          <w:rPr>
            <w:rStyle w:val="Collegamentoipertestuale"/>
            <w:noProof/>
          </w:rPr>
          <w:t>4.2</w:t>
        </w:r>
        <w:r w:rsidR="00D44A2C">
          <w:rPr>
            <w:rFonts w:asciiTheme="minorHAnsi" w:hAnsiTheme="minorHAnsi"/>
            <w:noProof/>
            <w:sz w:val="22"/>
            <w:szCs w:val="22"/>
            <w:lang w:eastAsia="it-IT"/>
          </w:rPr>
          <w:tab/>
        </w:r>
        <w:r w:rsidR="00D44A2C" w:rsidRPr="00643049">
          <w:rPr>
            <w:rStyle w:val="Collegamentoipertestuale"/>
            <w:noProof/>
          </w:rPr>
          <w:t>Le variazioni successive all’assestamento</w:t>
        </w:r>
        <w:r w:rsidR="00D44A2C">
          <w:rPr>
            <w:noProof/>
            <w:webHidden/>
          </w:rPr>
          <w:tab/>
        </w:r>
        <w:r w:rsidR="00D44A2C">
          <w:rPr>
            <w:noProof/>
            <w:webHidden/>
          </w:rPr>
          <w:fldChar w:fldCharType="begin"/>
        </w:r>
        <w:r w:rsidR="00D44A2C">
          <w:rPr>
            <w:noProof/>
            <w:webHidden/>
          </w:rPr>
          <w:instrText xml:space="preserve"> PAGEREF _Toc507422618 \h </w:instrText>
        </w:r>
        <w:r w:rsidR="00D44A2C">
          <w:rPr>
            <w:noProof/>
            <w:webHidden/>
          </w:rPr>
        </w:r>
        <w:r w:rsidR="00D44A2C">
          <w:rPr>
            <w:noProof/>
            <w:webHidden/>
          </w:rPr>
          <w:fldChar w:fldCharType="separate"/>
        </w:r>
        <w:r w:rsidR="008616B3">
          <w:rPr>
            <w:noProof/>
            <w:webHidden/>
          </w:rPr>
          <w:t>15</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19" w:history="1">
        <w:r w:rsidR="00D44A2C" w:rsidRPr="00643049">
          <w:rPr>
            <w:rStyle w:val="Collegamentoipertestuale"/>
            <w:noProof/>
          </w:rPr>
          <w:t>4.3</w:t>
        </w:r>
        <w:r w:rsidR="00D44A2C">
          <w:rPr>
            <w:rFonts w:asciiTheme="minorHAnsi" w:hAnsiTheme="minorHAnsi"/>
            <w:noProof/>
            <w:sz w:val="22"/>
            <w:szCs w:val="22"/>
            <w:lang w:eastAsia="it-IT"/>
          </w:rPr>
          <w:tab/>
        </w:r>
        <w:r w:rsidR="00D44A2C" w:rsidRPr="00643049">
          <w:rPr>
            <w:rStyle w:val="Collegamentoipertestuale"/>
            <w:noProof/>
          </w:rPr>
          <w:t>Confronto delle previsioni assestate e definitive di entrata e di spesa – Esercizio 2016</w:t>
        </w:r>
        <w:r w:rsidR="00D44A2C">
          <w:rPr>
            <w:noProof/>
            <w:webHidden/>
          </w:rPr>
          <w:tab/>
        </w:r>
        <w:r w:rsidR="00D44A2C">
          <w:rPr>
            <w:noProof/>
            <w:webHidden/>
          </w:rPr>
          <w:fldChar w:fldCharType="begin"/>
        </w:r>
        <w:r w:rsidR="00D44A2C">
          <w:rPr>
            <w:noProof/>
            <w:webHidden/>
          </w:rPr>
          <w:instrText xml:space="preserve"> PAGEREF _Toc507422619 \h </w:instrText>
        </w:r>
        <w:r w:rsidR="00D44A2C">
          <w:rPr>
            <w:noProof/>
            <w:webHidden/>
          </w:rPr>
        </w:r>
        <w:r w:rsidR="00D44A2C">
          <w:rPr>
            <w:noProof/>
            <w:webHidden/>
          </w:rPr>
          <w:fldChar w:fldCharType="separate"/>
        </w:r>
        <w:r w:rsidR="008616B3">
          <w:rPr>
            <w:noProof/>
            <w:webHidden/>
          </w:rPr>
          <w:t>16</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20" w:history="1">
        <w:r w:rsidR="00D44A2C" w:rsidRPr="00643049">
          <w:rPr>
            <w:rStyle w:val="Collegamentoipertestuale"/>
            <w:noProof/>
          </w:rPr>
          <w:t>4.4</w:t>
        </w:r>
        <w:r w:rsidR="00D44A2C">
          <w:rPr>
            <w:rFonts w:asciiTheme="minorHAnsi" w:hAnsiTheme="minorHAnsi"/>
            <w:noProof/>
            <w:sz w:val="22"/>
            <w:szCs w:val="22"/>
            <w:lang w:eastAsia="it-IT"/>
          </w:rPr>
          <w:tab/>
        </w:r>
        <w:r w:rsidR="00D44A2C" w:rsidRPr="00643049">
          <w:rPr>
            <w:rStyle w:val="Collegamentoipertestuale"/>
            <w:noProof/>
          </w:rPr>
          <w:t>L’analisi delle principali variazioni di bilancio</w:t>
        </w:r>
        <w:r w:rsidR="00D44A2C">
          <w:rPr>
            <w:noProof/>
            <w:webHidden/>
          </w:rPr>
          <w:tab/>
        </w:r>
        <w:r w:rsidR="00D44A2C">
          <w:rPr>
            <w:noProof/>
            <w:webHidden/>
          </w:rPr>
          <w:fldChar w:fldCharType="begin"/>
        </w:r>
        <w:r w:rsidR="00D44A2C">
          <w:rPr>
            <w:noProof/>
            <w:webHidden/>
          </w:rPr>
          <w:instrText xml:space="preserve"> PAGEREF _Toc507422620 \h </w:instrText>
        </w:r>
        <w:r w:rsidR="00D44A2C">
          <w:rPr>
            <w:noProof/>
            <w:webHidden/>
          </w:rPr>
        </w:r>
        <w:r w:rsidR="00D44A2C">
          <w:rPr>
            <w:noProof/>
            <w:webHidden/>
          </w:rPr>
          <w:fldChar w:fldCharType="separate"/>
        </w:r>
        <w:r w:rsidR="008616B3">
          <w:rPr>
            <w:noProof/>
            <w:webHidden/>
          </w:rPr>
          <w:t>22</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21" w:history="1">
        <w:r w:rsidR="00D44A2C" w:rsidRPr="00643049">
          <w:rPr>
            <w:rStyle w:val="Collegamentoipertestuale"/>
            <w:noProof/>
          </w:rPr>
          <w:t>4.5</w:t>
        </w:r>
        <w:r w:rsidR="00D44A2C">
          <w:rPr>
            <w:rFonts w:asciiTheme="minorHAnsi" w:hAnsiTheme="minorHAnsi"/>
            <w:noProof/>
            <w:sz w:val="22"/>
            <w:szCs w:val="22"/>
            <w:lang w:eastAsia="it-IT"/>
          </w:rPr>
          <w:tab/>
        </w:r>
        <w:r w:rsidR="00D44A2C" w:rsidRPr="00643049">
          <w:rPr>
            <w:rStyle w:val="Collegamentoipertestuale"/>
            <w:noProof/>
          </w:rPr>
          <w:t>L’analisi delle previsioni definitive per Missioni</w:t>
        </w:r>
        <w:r w:rsidR="00D44A2C">
          <w:rPr>
            <w:noProof/>
            <w:webHidden/>
          </w:rPr>
          <w:tab/>
        </w:r>
        <w:r w:rsidR="00D44A2C">
          <w:rPr>
            <w:noProof/>
            <w:webHidden/>
          </w:rPr>
          <w:fldChar w:fldCharType="begin"/>
        </w:r>
        <w:r w:rsidR="00D44A2C">
          <w:rPr>
            <w:noProof/>
            <w:webHidden/>
          </w:rPr>
          <w:instrText xml:space="preserve"> PAGEREF _Toc507422621 \h </w:instrText>
        </w:r>
        <w:r w:rsidR="00D44A2C">
          <w:rPr>
            <w:noProof/>
            <w:webHidden/>
          </w:rPr>
        </w:r>
        <w:r w:rsidR="00D44A2C">
          <w:rPr>
            <w:noProof/>
            <w:webHidden/>
          </w:rPr>
          <w:fldChar w:fldCharType="separate"/>
        </w:r>
        <w:r w:rsidR="008616B3">
          <w:rPr>
            <w:noProof/>
            <w:webHidden/>
          </w:rPr>
          <w:t>24</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22" w:history="1">
        <w:r w:rsidR="00D44A2C" w:rsidRPr="00643049">
          <w:rPr>
            <w:rStyle w:val="Collegamentoipertestuale"/>
            <w:noProof/>
          </w:rPr>
          <w:t>4.6</w:t>
        </w:r>
        <w:r w:rsidR="00D44A2C">
          <w:rPr>
            <w:rFonts w:asciiTheme="minorHAnsi" w:hAnsiTheme="minorHAnsi"/>
            <w:noProof/>
            <w:sz w:val="22"/>
            <w:szCs w:val="22"/>
            <w:lang w:eastAsia="it-IT"/>
          </w:rPr>
          <w:tab/>
        </w:r>
        <w:r w:rsidR="00D44A2C" w:rsidRPr="00643049">
          <w:rPr>
            <w:rStyle w:val="Collegamentoipertestuale"/>
            <w:noProof/>
          </w:rPr>
          <w:t>Il confronto delle Previsioni Finali Esercizi 2015 e 2016</w:t>
        </w:r>
        <w:r w:rsidR="00D44A2C">
          <w:rPr>
            <w:noProof/>
            <w:webHidden/>
          </w:rPr>
          <w:tab/>
        </w:r>
        <w:r w:rsidR="00D44A2C">
          <w:rPr>
            <w:noProof/>
            <w:webHidden/>
          </w:rPr>
          <w:fldChar w:fldCharType="begin"/>
        </w:r>
        <w:r w:rsidR="00D44A2C">
          <w:rPr>
            <w:noProof/>
            <w:webHidden/>
          </w:rPr>
          <w:instrText xml:space="preserve"> PAGEREF _Toc507422622 \h </w:instrText>
        </w:r>
        <w:r w:rsidR="00D44A2C">
          <w:rPr>
            <w:noProof/>
            <w:webHidden/>
          </w:rPr>
        </w:r>
        <w:r w:rsidR="00D44A2C">
          <w:rPr>
            <w:noProof/>
            <w:webHidden/>
          </w:rPr>
          <w:fldChar w:fldCharType="separate"/>
        </w:r>
        <w:r w:rsidR="008616B3">
          <w:rPr>
            <w:noProof/>
            <w:webHidden/>
          </w:rPr>
          <w:t>27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23" w:history="1">
        <w:r w:rsidR="00D44A2C" w:rsidRPr="00643049">
          <w:rPr>
            <w:rStyle w:val="Collegamentoipertestuale"/>
            <w:noProof/>
          </w:rPr>
          <w:t>4.6.1</w:t>
        </w:r>
        <w:r w:rsidR="00D44A2C">
          <w:rPr>
            <w:rFonts w:asciiTheme="minorHAnsi" w:hAnsiTheme="minorHAnsi"/>
            <w:noProof/>
            <w:sz w:val="22"/>
            <w:szCs w:val="22"/>
            <w:lang w:eastAsia="it-IT"/>
          </w:rPr>
          <w:tab/>
        </w:r>
        <w:r w:rsidR="00D44A2C" w:rsidRPr="00643049">
          <w:rPr>
            <w:rStyle w:val="Collegamentoipertestuale"/>
            <w:noProof/>
          </w:rPr>
          <w:t>Il confronto fra titoli di entrata e spesa</w:t>
        </w:r>
        <w:r w:rsidR="00D44A2C">
          <w:rPr>
            <w:noProof/>
            <w:webHidden/>
          </w:rPr>
          <w:tab/>
        </w:r>
        <w:r w:rsidR="00D44A2C">
          <w:rPr>
            <w:noProof/>
            <w:webHidden/>
          </w:rPr>
          <w:fldChar w:fldCharType="begin"/>
        </w:r>
        <w:r w:rsidR="00D44A2C">
          <w:rPr>
            <w:noProof/>
            <w:webHidden/>
          </w:rPr>
          <w:instrText xml:space="preserve"> PAGEREF _Toc507422623 \h </w:instrText>
        </w:r>
        <w:r w:rsidR="00D44A2C">
          <w:rPr>
            <w:noProof/>
            <w:webHidden/>
          </w:rPr>
        </w:r>
        <w:r w:rsidR="00D44A2C">
          <w:rPr>
            <w:noProof/>
            <w:webHidden/>
          </w:rPr>
          <w:fldChar w:fldCharType="separate"/>
        </w:r>
        <w:r w:rsidR="008616B3">
          <w:rPr>
            <w:noProof/>
            <w:webHidden/>
          </w:rPr>
          <w:t>27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24" w:history="1">
        <w:r w:rsidR="00D44A2C" w:rsidRPr="00643049">
          <w:rPr>
            <w:rStyle w:val="Collegamentoipertestuale"/>
            <w:rFonts w:cs="Bodoni MT"/>
            <w:noProof/>
          </w:rPr>
          <w:t>4.6.2</w:t>
        </w:r>
        <w:r w:rsidR="00D44A2C">
          <w:rPr>
            <w:rFonts w:asciiTheme="minorHAnsi" w:hAnsiTheme="minorHAnsi"/>
            <w:noProof/>
            <w:sz w:val="22"/>
            <w:szCs w:val="22"/>
            <w:lang w:eastAsia="it-IT"/>
          </w:rPr>
          <w:tab/>
        </w:r>
        <w:r w:rsidR="00D44A2C" w:rsidRPr="00643049">
          <w:rPr>
            <w:rStyle w:val="Collegamentoipertestuale"/>
            <w:rFonts w:cstheme="majorBidi"/>
            <w:noProof/>
          </w:rPr>
          <w:t>Il confronto della spesa per Missioni</w:t>
        </w:r>
        <w:r w:rsidR="00D44A2C">
          <w:rPr>
            <w:noProof/>
            <w:webHidden/>
          </w:rPr>
          <w:tab/>
        </w:r>
        <w:r w:rsidR="00D44A2C">
          <w:rPr>
            <w:noProof/>
            <w:webHidden/>
          </w:rPr>
          <w:fldChar w:fldCharType="begin"/>
        </w:r>
        <w:r w:rsidR="00D44A2C">
          <w:rPr>
            <w:noProof/>
            <w:webHidden/>
          </w:rPr>
          <w:instrText xml:space="preserve"> PAGEREF _Toc507422624 \h </w:instrText>
        </w:r>
        <w:r w:rsidR="00D44A2C">
          <w:rPr>
            <w:noProof/>
            <w:webHidden/>
          </w:rPr>
        </w:r>
        <w:r w:rsidR="00D44A2C">
          <w:rPr>
            <w:noProof/>
            <w:webHidden/>
          </w:rPr>
          <w:fldChar w:fldCharType="separate"/>
        </w:r>
        <w:r w:rsidR="008616B3">
          <w:rPr>
            <w:noProof/>
            <w:webHidden/>
          </w:rPr>
          <w:t>31</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25" w:history="1">
        <w:r w:rsidR="00D44A2C" w:rsidRPr="00643049">
          <w:rPr>
            <w:rStyle w:val="Collegamentoipertestuale"/>
            <w:noProof/>
          </w:rPr>
          <w:t>PARTE II</w:t>
        </w:r>
        <w:r w:rsidR="00D44A2C">
          <w:rPr>
            <w:noProof/>
            <w:webHidden/>
          </w:rPr>
          <w:tab/>
        </w:r>
        <w:r w:rsidR="00D44A2C">
          <w:rPr>
            <w:noProof/>
            <w:webHidden/>
          </w:rPr>
          <w:fldChar w:fldCharType="begin"/>
        </w:r>
        <w:r w:rsidR="00D44A2C">
          <w:rPr>
            <w:noProof/>
            <w:webHidden/>
          </w:rPr>
          <w:instrText xml:space="preserve"> PAGEREF _Toc507422625 \h </w:instrText>
        </w:r>
        <w:r w:rsidR="00D44A2C">
          <w:rPr>
            <w:noProof/>
            <w:webHidden/>
          </w:rPr>
        </w:r>
        <w:r w:rsidR="00D44A2C">
          <w:rPr>
            <w:noProof/>
            <w:webHidden/>
          </w:rPr>
          <w:fldChar w:fldCharType="separate"/>
        </w:r>
        <w:r w:rsidR="008616B3">
          <w:rPr>
            <w:noProof/>
            <w:webHidden/>
          </w:rPr>
          <w:t>35</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26" w:history="1">
        <w:r w:rsidR="00D44A2C" w:rsidRPr="00643049">
          <w:rPr>
            <w:rStyle w:val="Collegamentoipertestuale"/>
            <w:noProof/>
          </w:rPr>
          <w:t>IL RENDICONTO DELLA GESTIONE DELL’ESERCIZIO 2016</w:t>
        </w:r>
        <w:r w:rsidR="00D44A2C">
          <w:rPr>
            <w:noProof/>
            <w:webHidden/>
          </w:rPr>
          <w:tab/>
        </w:r>
        <w:r w:rsidR="00D44A2C">
          <w:rPr>
            <w:noProof/>
            <w:webHidden/>
          </w:rPr>
          <w:fldChar w:fldCharType="begin"/>
        </w:r>
        <w:r w:rsidR="00D44A2C">
          <w:rPr>
            <w:noProof/>
            <w:webHidden/>
          </w:rPr>
          <w:instrText xml:space="preserve"> PAGEREF _Toc507422626 \h </w:instrText>
        </w:r>
        <w:r w:rsidR="00D44A2C">
          <w:rPr>
            <w:noProof/>
            <w:webHidden/>
          </w:rPr>
        </w:r>
        <w:r w:rsidR="00D44A2C">
          <w:rPr>
            <w:noProof/>
            <w:webHidden/>
          </w:rPr>
          <w:fldChar w:fldCharType="separate"/>
        </w:r>
        <w:r w:rsidR="008616B3">
          <w:rPr>
            <w:noProof/>
            <w:webHidden/>
          </w:rPr>
          <w:t>35</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27" w:history="1">
        <w:r w:rsidR="00D44A2C" w:rsidRPr="00643049">
          <w:rPr>
            <w:rStyle w:val="Collegamentoipertestuale"/>
            <w:noProof/>
          </w:rPr>
          <w:t>5</w:t>
        </w:r>
        <w:r w:rsidR="00D44A2C">
          <w:rPr>
            <w:rFonts w:asciiTheme="minorHAnsi" w:hAnsiTheme="minorHAnsi"/>
            <w:noProof/>
            <w:sz w:val="22"/>
            <w:szCs w:val="22"/>
            <w:lang w:eastAsia="it-IT"/>
          </w:rPr>
          <w:tab/>
        </w:r>
        <w:r w:rsidR="00D44A2C" w:rsidRPr="00643049">
          <w:rPr>
            <w:rStyle w:val="Collegamentoipertestuale"/>
            <w:noProof/>
          </w:rPr>
          <w:t>IL RENDICONTO 2016 E GLI ALLEGATI</w:t>
        </w:r>
        <w:r w:rsidR="00D44A2C">
          <w:rPr>
            <w:noProof/>
            <w:webHidden/>
          </w:rPr>
          <w:tab/>
        </w:r>
        <w:r w:rsidR="00D44A2C">
          <w:rPr>
            <w:noProof/>
            <w:webHidden/>
          </w:rPr>
          <w:fldChar w:fldCharType="begin"/>
        </w:r>
        <w:r w:rsidR="00D44A2C">
          <w:rPr>
            <w:noProof/>
            <w:webHidden/>
          </w:rPr>
          <w:instrText xml:space="preserve"> PAGEREF _Toc507422627 \h </w:instrText>
        </w:r>
        <w:r w:rsidR="00D44A2C">
          <w:rPr>
            <w:noProof/>
            <w:webHidden/>
          </w:rPr>
        </w:r>
        <w:r w:rsidR="00D44A2C">
          <w:rPr>
            <w:noProof/>
            <w:webHidden/>
          </w:rPr>
          <w:fldChar w:fldCharType="separate"/>
        </w:r>
        <w:r w:rsidR="008616B3">
          <w:rPr>
            <w:noProof/>
            <w:webHidden/>
          </w:rPr>
          <w:t>37</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28" w:history="1">
        <w:r w:rsidR="00D44A2C" w:rsidRPr="00643049">
          <w:rPr>
            <w:rStyle w:val="Collegamentoipertestuale"/>
            <w:noProof/>
          </w:rPr>
          <w:t>6</w:t>
        </w:r>
        <w:r w:rsidR="00D44A2C">
          <w:rPr>
            <w:rFonts w:asciiTheme="minorHAnsi" w:hAnsiTheme="minorHAnsi"/>
            <w:noProof/>
            <w:sz w:val="22"/>
            <w:szCs w:val="22"/>
            <w:lang w:eastAsia="it-IT"/>
          </w:rPr>
          <w:tab/>
        </w:r>
        <w:r w:rsidR="00D44A2C" w:rsidRPr="00643049">
          <w:rPr>
            <w:rStyle w:val="Collegamentoipertestuale"/>
            <w:noProof/>
          </w:rPr>
          <w:t>I RISULTATI DELLA GESTIONE</w:t>
        </w:r>
        <w:r w:rsidR="00D44A2C">
          <w:rPr>
            <w:noProof/>
            <w:webHidden/>
          </w:rPr>
          <w:tab/>
        </w:r>
        <w:r w:rsidR="00D44A2C">
          <w:rPr>
            <w:noProof/>
            <w:webHidden/>
          </w:rPr>
          <w:fldChar w:fldCharType="begin"/>
        </w:r>
        <w:r w:rsidR="00D44A2C">
          <w:rPr>
            <w:noProof/>
            <w:webHidden/>
          </w:rPr>
          <w:instrText xml:space="preserve"> PAGEREF _Toc507422628 \h </w:instrText>
        </w:r>
        <w:r w:rsidR="00D44A2C">
          <w:rPr>
            <w:noProof/>
            <w:webHidden/>
          </w:rPr>
        </w:r>
        <w:r w:rsidR="00D44A2C">
          <w:rPr>
            <w:noProof/>
            <w:webHidden/>
          </w:rPr>
          <w:fldChar w:fldCharType="separate"/>
        </w:r>
        <w:r w:rsidR="008616B3">
          <w:rPr>
            <w:noProof/>
            <w:webHidden/>
          </w:rPr>
          <w:t>39</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29" w:history="1">
        <w:r w:rsidR="00D44A2C" w:rsidRPr="00643049">
          <w:rPr>
            <w:rStyle w:val="Collegamentoipertestuale"/>
            <w:noProof/>
          </w:rPr>
          <w:t>6.1</w:t>
        </w:r>
        <w:r w:rsidR="00D44A2C">
          <w:rPr>
            <w:rFonts w:asciiTheme="minorHAnsi" w:hAnsiTheme="minorHAnsi"/>
            <w:noProof/>
            <w:sz w:val="22"/>
            <w:szCs w:val="22"/>
            <w:lang w:eastAsia="it-IT"/>
          </w:rPr>
          <w:tab/>
        </w:r>
        <w:r w:rsidR="00D44A2C" w:rsidRPr="00643049">
          <w:rPr>
            <w:rStyle w:val="Collegamentoipertestuale"/>
            <w:noProof/>
          </w:rPr>
          <w:t>La vertenza entrate e la ridefinizione degli accantonamenti</w:t>
        </w:r>
        <w:r w:rsidR="00D44A2C">
          <w:rPr>
            <w:noProof/>
            <w:webHidden/>
          </w:rPr>
          <w:tab/>
        </w:r>
        <w:r w:rsidR="00D44A2C">
          <w:rPr>
            <w:noProof/>
            <w:webHidden/>
          </w:rPr>
          <w:fldChar w:fldCharType="begin"/>
        </w:r>
        <w:r w:rsidR="00D44A2C">
          <w:rPr>
            <w:noProof/>
            <w:webHidden/>
          </w:rPr>
          <w:instrText xml:space="preserve"> PAGEREF _Toc507422629 \h </w:instrText>
        </w:r>
        <w:r w:rsidR="00D44A2C">
          <w:rPr>
            <w:noProof/>
            <w:webHidden/>
          </w:rPr>
        </w:r>
        <w:r w:rsidR="00D44A2C">
          <w:rPr>
            <w:noProof/>
            <w:webHidden/>
          </w:rPr>
          <w:fldChar w:fldCharType="separate"/>
        </w:r>
        <w:r w:rsidR="008616B3">
          <w:rPr>
            <w:noProof/>
            <w:webHidden/>
          </w:rPr>
          <w:t>39</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30" w:history="1">
        <w:r w:rsidR="00D44A2C" w:rsidRPr="00643049">
          <w:rPr>
            <w:rStyle w:val="Collegamentoipertestuale"/>
            <w:noProof/>
          </w:rPr>
          <w:t>6.2</w:t>
        </w:r>
        <w:r w:rsidR="00D44A2C">
          <w:rPr>
            <w:rFonts w:asciiTheme="minorHAnsi" w:hAnsiTheme="minorHAnsi"/>
            <w:noProof/>
            <w:sz w:val="22"/>
            <w:szCs w:val="22"/>
            <w:lang w:eastAsia="it-IT"/>
          </w:rPr>
          <w:tab/>
        </w:r>
        <w:r w:rsidR="00D44A2C" w:rsidRPr="00643049">
          <w:rPr>
            <w:rStyle w:val="Collegamentoipertestuale"/>
            <w:noProof/>
          </w:rPr>
          <w:t>La gestione delle entrate di competenza</w:t>
        </w:r>
        <w:r w:rsidR="00D44A2C">
          <w:rPr>
            <w:noProof/>
            <w:webHidden/>
          </w:rPr>
          <w:tab/>
        </w:r>
        <w:r w:rsidR="00D44A2C">
          <w:rPr>
            <w:noProof/>
            <w:webHidden/>
          </w:rPr>
          <w:fldChar w:fldCharType="begin"/>
        </w:r>
        <w:r w:rsidR="00D44A2C">
          <w:rPr>
            <w:noProof/>
            <w:webHidden/>
          </w:rPr>
          <w:instrText xml:space="preserve"> PAGEREF _Toc507422630 \h </w:instrText>
        </w:r>
        <w:r w:rsidR="00D44A2C">
          <w:rPr>
            <w:noProof/>
            <w:webHidden/>
          </w:rPr>
        </w:r>
        <w:r w:rsidR="00D44A2C">
          <w:rPr>
            <w:noProof/>
            <w:webHidden/>
          </w:rPr>
          <w:fldChar w:fldCharType="separate"/>
        </w:r>
        <w:r w:rsidR="008616B3">
          <w:rPr>
            <w:noProof/>
            <w:webHidden/>
          </w:rPr>
          <w:t>42</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31" w:history="1">
        <w:r w:rsidR="00D44A2C" w:rsidRPr="00643049">
          <w:rPr>
            <w:rStyle w:val="Collegamentoipertestuale"/>
            <w:noProof/>
          </w:rPr>
          <w:t>6.3</w:t>
        </w:r>
        <w:r w:rsidR="00D44A2C">
          <w:rPr>
            <w:rFonts w:asciiTheme="minorHAnsi" w:hAnsiTheme="minorHAnsi"/>
            <w:noProof/>
            <w:sz w:val="22"/>
            <w:szCs w:val="22"/>
            <w:lang w:eastAsia="it-IT"/>
          </w:rPr>
          <w:tab/>
        </w:r>
        <w:r w:rsidR="00D44A2C" w:rsidRPr="00643049">
          <w:rPr>
            <w:rStyle w:val="Collegamentoipertestuale"/>
            <w:noProof/>
          </w:rPr>
          <w:t>La gestione delle spese di competenza</w:t>
        </w:r>
        <w:r w:rsidR="00D44A2C">
          <w:rPr>
            <w:noProof/>
            <w:webHidden/>
          </w:rPr>
          <w:tab/>
        </w:r>
        <w:r w:rsidR="00D44A2C">
          <w:rPr>
            <w:noProof/>
            <w:webHidden/>
          </w:rPr>
          <w:fldChar w:fldCharType="begin"/>
        </w:r>
        <w:r w:rsidR="00D44A2C">
          <w:rPr>
            <w:noProof/>
            <w:webHidden/>
          </w:rPr>
          <w:instrText xml:space="preserve"> PAGEREF _Toc507422631 \h </w:instrText>
        </w:r>
        <w:r w:rsidR="00D44A2C">
          <w:rPr>
            <w:noProof/>
            <w:webHidden/>
          </w:rPr>
        </w:r>
        <w:r w:rsidR="00D44A2C">
          <w:rPr>
            <w:noProof/>
            <w:webHidden/>
          </w:rPr>
          <w:fldChar w:fldCharType="separate"/>
        </w:r>
        <w:r w:rsidR="008616B3">
          <w:rPr>
            <w:noProof/>
            <w:webHidden/>
          </w:rPr>
          <w:t>48</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2" w:history="1">
        <w:r w:rsidR="00D44A2C" w:rsidRPr="00643049">
          <w:rPr>
            <w:rStyle w:val="Collegamentoipertestuale"/>
            <w:noProof/>
          </w:rPr>
          <w:t>6.3.1</w:t>
        </w:r>
        <w:r w:rsidR="00D44A2C">
          <w:rPr>
            <w:rFonts w:asciiTheme="minorHAnsi" w:hAnsiTheme="minorHAnsi"/>
            <w:noProof/>
            <w:sz w:val="22"/>
            <w:szCs w:val="22"/>
            <w:lang w:eastAsia="it-IT"/>
          </w:rPr>
          <w:tab/>
        </w:r>
        <w:r w:rsidR="00D44A2C" w:rsidRPr="00643049">
          <w:rPr>
            <w:rStyle w:val="Collegamentoipertestuale"/>
            <w:noProof/>
          </w:rPr>
          <w:t>L’analisi della spesa per titoli e per fonte</w:t>
        </w:r>
        <w:r w:rsidR="00D44A2C">
          <w:rPr>
            <w:noProof/>
            <w:webHidden/>
          </w:rPr>
          <w:tab/>
        </w:r>
        <w:r w:rsidR="00D44A2C">
          <w:rPr>
            <w:noProof/>
            <w:webHidden/>
          </w:rPr>
          <w:fldChar w:fldCharType="begin"/>
        </w:r>
        <w:r w:rsidR="00D44A2C">
          <w:rPr>
            <w:noProof/>
            <w:webHidden/>
          </w:rPr>
          <w:instrText xml:space="preserve"> PAGEREF _Toc507422632 \h </w:instrText>
        </w:r>
        <w:r w:rsidR="00D44A2C">
          <w:rPr>
            <w:noProof/>
            <w:webHidden/>
          </w:rPr>
        </w:r>
        <w:r w:rsidR="00D44A2C">
          <w:rPr>
            <w:noProof/>
            <w:webHidden/>
          </w:rPr>
          <w:fldChar w:fldCharType="separate"/>
        </w:r>
        <w:r w:rsidR="008616B3">
          <w:rPr>
            <w:noProof/>
            <w:webHidden/>
          </w:rPr>
          <w:t>54</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3" w:history="1">
        <w:r w:rsidR="00D44A2C" w:rsidRPr="00643049">
          <w:rPr>
            <w:rStyle w:val="Collegamentoipertestuale"/>
            <w:noProof/>
          </w:rPr>
          <w:t>6.3.2</w:t>
        </w:r>
        <w:r w:rsidR="00D44A2C">
          <w:rPr>
            <w:rFonts w:asciiTheme="minorHAnsi" w:hAnsiTheme="minorHAnsi"/>
            <w:noProof/>
            <w:sz w:val="22"/>
            <w:szCs w:val="22"/>
            <w:lang w:eastAsia="it-IT"/>
          </w:rPr>
          <w:tab/>
        </w:r>
        <w:r w:rsidR="00D44A2C" w:rsidRPr="00643049">
          <w:rPr>
            <w:rStyle w:val="Collegamentoipertestuale"/>
            <w:noProof/>
          </w:rPr>
          <w:t>L’analisi della spesa per Missioni</w:t>
        </w:r>
        <w:r w:rsidR="00D44A2C">
          <w:rPr>
            <w:noProof/>
            <w:webHidden/>
          </w:rPr>
          <w:tab/>
        </w:r>
        <w:r w:rsidR="00D44A2C">
          <w:rPr>
            <w:noProof/>
            <w:webHidden/>
          </w:rPr>
          <w:fldChar w:fldCharType="begin"/>
        </w:r>
        <w:r w:rsidR="00D44A2C">
          <w:rPr>
            <w:noProof/>
            <w:webHidden/>
          </w:rPr>
          <w:instrText xml:space="preserve"> PAGEREF _Toc507422633 \h </w:instrText>
        </w:r>
        <w:r w:rsidR="00D44A2C">
          <w:rPr>
            <w:noProof/>
            <w:webHidden/>
          </w:rPr>
        </w:r>
        <w:r w:rsidR="00D44A2C">
          <w:rPr>
            <w:noProof/>
            <w:webHidden/>
          </w:rPr>
          <w:fldChar w:fldCharType="separate"/>
        </w:r>
        <w:r w:rsidR="008616B3">
          <w:rPr>
            <w:noProof/>
            <w:webHidden/>
          </w:rPr>
          <w:t>57</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34" w:history="1">
        <w:r w:rsidR="00D44A2C" w:rsidRPr="00643049">
          <w:rPr>
            <w:rStyle w:val="Collegamentoipertestuale"/>
            <w:noProof/>
          </w:rPr>
          <w:t>6.4</w:t>
        </w:r>
        <w:r w:rsidR="00D44A2C">
          <w:rPr>
            <w:rFonts w:asciiTheme="minorHAnsi" w:hAnsiTheme="minorHAnsi"/>
            <w:noProof/>
            <w:sz w:val="22"/>
            <w:szCs w:val="22"/>
            <w:lang w:eastAsia="it-IT"/>
          </w:rPr>
          <w:tab/>
        </w:r>
        <w:r w:rsidR="00D44A2C" w:rsidRPr="00643049">
          <w:rPr>
            <w:rStyle w:val="Collegamentoipertestuale"/>
            <w:noProof/>
          </w:rPr>
          <w:t>La gestione dei residui</w:t>
        </w:r>
        <w:r w:rsidR="00D44A2C">
          <w:rPr>
            <w:noProof/>
            <w:webHidden/>
          </w:rPr>
          <w:tab/>
        </w:r>
        <w:r w:rsidR="00D44A2C">
          <w:rPr>
            <w:noProof/>
            <w:webHidden/>
          </w:rPr>
          <w:fldChar w:fldCharType="begin"/>
        </w:r>
        <w:r w:rsidR="00D44A2C">
          <w:rPr>
            <w:noProof/>
            <w:webHidden/>
          </w:rPr>
          <w:instrText xml:space="preserve"> PAGEREF _Toc507422634 \h </w:instrText>
        </w:r>
        <w:r w:rsidR="00D44A2C">
          <w:rPr>
            <w:noProof/>
            <w:webHidden/>
          </w:rPr>
        </w:r>
        <w:r w:rsidR="00D44A2C">
          <w:rPr>
            <w:noProof/>
            <w:webHidden/>
          </w:rPr>
          <w:fldChar w:fldCharType="separate"/>
        </w:r>
        <w:r w:rsidR="008616B3">
          <w:rPr>
            <w:noProof/>
            <w:webHidden/>
          </w:rPr>
          <w:t>61</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5" w:history="1">
        <w:r w:rsidR="00D44A2C" w:rsidRPr="00643049">
          <w:rPr>
            <w:rStyle w:val="Collegamentoipertestuale"/>
            <w:noProof/>
          </w:rPr>
          <w:t>6.4.1</w:t>
        </w:r>
        <w:r w:rsidR="00D44A2C">
          <w:rPr>
            <w:rFonts w:asciiTheme="minorHAnsi" w:hAnsiTheme="minorHAnsi"/>
            <w:noProof/>
            <w:sz w:val="22"/>
            <w:szCs w:val="22"/>
            <w:lang w:eastAsia="it-IT"/>
          </w:rPr>
          <w:tab/>
        </w:r>
        <w:r w:rsidR="00D44A2C" w:rsidRPr="00643049">
          <w:rPr>
            <w:rStyle w:val="Collegamentoipertestuale"/>
            <w:noProof/>
          </w:rPr>
          <w:t>Il Riaccertamento Ordinario al 31/12/2016</w:t>
        </w:r>
        <w:r w:rsidR="00D44A2C">
          <w:rPr>
            <w:noProof/>
            <w:webHidden/>
          </w:rPr>
          <w:tab/>
        </w:r>
        <w:r w:rsidR="00D44A2C">
          <w:rPr>
            <w:noProof/>
            <w:webHidden/>
          </w:rPr>
          <w:fldChar w:fldCharType="begin"/>
        </w:r>
        <w:r w:rsidR="00D44A2C">
          <w:rPr>
            <w:noProof/>
            <w:webHidden/>
          </w:rPr>
          <w:instrText xml:space="preserve"> PAGEREF _Toc507422635 \h </w:instrText>
        </w:r>
        <w:r w:rsidR="00D44A2C">
          <w:rPr>
            <w:noProof/>
            <w:webHidden/>
          </w:rPr>
        </w:r>
        <w:r w:rsidR="00D44A2C">
          <w:rPr>
            <w:noProof/>
            <w:webHidden/>
          </w:rPr>
          <w:fldChar w:fldCharType="separate"/>
        </w:r>
        <w:r w:rsidR="008616B3">
          <w:rPr>
            <w:noProof/>
            <w:webHidden/>
          </w:rPr>
          <w:t>61</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6" w:history="1">
        <w:r w:rsidR="00D44A2C" w:rsidRPr="00643049">
          <w:rPr>
            <w:rStyle w:val="Collegamentoipertestuale"/>
            <w:noProof/>
          </w:rPr>
          <w:t>6.4.2</w:t>
        </w:r>
        <w:r w:rsidR="00D44A2C">
          <w:rPr>
            <w:rFonts w:asciiTheme="minorHAnsi" w:hAnsiTheme="minorHAnsi"/>
            <w:noProof/>
            <w:sz w:val="22"/>
            <w:szCs w:val="22"/>
            <w:lang w:eastAsia="it-IT"/>
          </w:rPr>
          <w:tab/>
        </w:r>
        <w:r w:rsidR="00D44A2C" w:rsidRPr="00643049">
          <w:rPr>
            <w:rStyle w:val="Collegamentoipertestuale"/>
            <w:noProof/>
          </w:rPr>
          <w:t>L’analisi dei residui attivi e passivi stralciati</w:t>
        </w:r>
        <w:r w:rsidR="00D44A2C">
          <w:rPr>
            <w:noProof/>
            <w:webHidden/>
          </w:rPr>
          <w:tab/>
        </w:r>
        <w:r w:rsidR="00D44A2C">
          <w:rPr>
            <w:noProof/>
            <w:webHidden/>
          </w:rPr>
          <w:fldChar w:fldCharType="begin"/>
        </w:r>
        <w:r w:rsidR="00D44A2C">
          <w:rPr>
            <w:noProof/>
            <w:webHidden/>
          </w:rPr>
          <w:instrText xml:space="preserve"> PAGEREF _Toc507422636 \h </w:instrText>
        </w:r>
        <w:r w:rsidR="00D44A2C">
          <w:rPr>
            <w:noProof/>
            <w:webHidden/>
          </w:rPr>
        </w:r>
        <w:r w:rsidR="00D44A2C">
          <w:rPr>
            <w:noProof/>
            <w:webHidden/>
          </w:rPr>
          <w:fldChar w:fldCharType="separate"/>
        </w:r>
        <w:r w:rsidR="008616B3">
          <w:rPr>
            <w:noProof/>
            <w:webHidden/>
          </w:rPr>
          <w:t>64</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7" w:history="1">
        <w:r w:rsidR="00D44A2C" w:rsidRPr="00643049">
          <w:rPr>
            <w:rStyle w:val="Collegamentoipertestuale"/>
            <w:noProof/>
          </w:rPr>
          <w:t>6.4.3</w:t>
        </w:r>
        <w:r w:rsidR="00D44A2C">
          <w:rPr>
            <w:rFonts w:asciiTheme="minorHAnsi" w:hAnsiTheme="minorHAnsi"/>
            <w:noProof/>
            <w:sz w:val="22"/>
            <w:szCs w:val="22"/>
            <w:lang w:eastAsia="it-IT"/>
          </w:rPr>
          <w:tab/>
        </w:r>
        <w:r w:rsidR="00D44A2C" w:rsidRPr="00643049">
          <w:rPr>
            <w:rStyle w:val="Collegamentoipertestuale"/>
            <w:noProof/>
          </w:rPr>
          <w:t>Le reimputazioni di crediti e debiti</w:t>
        </w:r>
        <w:r w:rsidR="00D44A2C">
          <w:rPr>
            <w:noProof/>
            <w:webHidden/>
          </w:rPr>
          <w:tab/>
        </w:r>
        <w:r w:rsidR="00D44A2C">
          <w:rPr>
            <w:noProof/>
            <w:webHidden/>
          </w:rPr>
          <w:fldChar w:fldCharType="begin"/>
        </w:r>
        <w:r w:rsidR="00D44A2C">
          <w:rPr>
            <w:noProof/>
            <w:webHidden/>
          </w:rPr>
          <w:instrText xml:space="preserve"> PAGEREF _Toc507422637 \h </w:instrText>
        </w:r>
        <w:r w:rsidR="00D44A2C">
          <w:rPr>
            <w:noProof/>
            <w:webHidden/>
          </w:rPr>
        </w:r>
        <w:r w:rsidR="00D44A2C">
          <w:rPr>
            <w:noProof/>
            <w:webHidden/>
          </w:rPr>
          <w:fldChar w:fldCharType="separate"/>
        </w:r>
        <w:r w:rsidR="008616B3">
          <w:rPr>
            <w:noProof/>
            <w:webHidden/>
          </w:rPr>
          <w:t>68</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38" w:history="1">
        <w:r w:rsidR="00D44A2C" w:rsidRPr="00643049">
          <w:rPr>
            <w:rStyle w:val="Collegamentoipertestuale"/>
            <w:noProof/>
          </w:rPr>
          <w:t>6.4.4</w:t>
        </w:r>
        <w:r w:rsidR="00D44A2C">
          <w:rPr>
            <w:rFonts w:asciiTheme="minorHAnsi" w:hAnsiTheme="minorHAnsi"/>
            <w:noProof/>
            <w:sz w:val="22"/>
            <w:szCs w:val="22"/>
            <w:lang w:eastAsia="it-IT"/>
          </w:rPr>
          <w:tab/>
        </w:r>
        <w:r w:rsidR="00D44A2C" w:rsidRPr="00643049">
          <w:rPr>
            <w:rStyle w:val="Collegamentoipertestuale"/>
            <w:noProof/>
          </w:rPr>
          <w:t>I residui attivi</w:t>
        </w:r>
        <w:r w:rsidR="00D44A2C">
          <w:rPr>
            <w:noProof/>
            <w:webHidden/>
          </w:rPr>
          <w:tab/>
        </w:r>
        <w:r w:rsidR="00D44A2C">
          <w:rPr>
            <w:noProof/>
            <w:webHidden/>
          </w:rPr>
          <w:fldChar w:fldCharType="begin"/>
        </w:r>
        <w:r w:rsidR="00D44A2C">
          <w:rPr>
            <w:noProof/>
            <w:webHidden/>
          </w:rPr>
          <w:instrText xml:space="preserve"> PAGEREF _Toc507422638 \h </w:instrText>
        </w:r>
        <w:r w:rsidR="00D44A2C">
          <w:rPr>
            <w:noProof/>
            <w:webHidden/>
          </w:rPr>
        </w:r>
        <w:r w:rsidR="00D44A2C">
          <w:rPr>
            <w:noProof/>
            <w:webHidden/>
          </w:rPr>
          <w:fldChar w:fldCharType="separate"/>
        </w:r>
        <w:r w:rsidR="008616B3">
          <w:rPr>
            <w:noProof/>
            <w:webHidden/>
          </w:rPr>
          <w:t>70</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39" w:history="1">
        <w:r w:rsidR="00D44A2C" w:rsidRPr="00643049">
          <w:rPr>
            <w:rStyle w:val="Collegamentoipertestuale"/>
            <w:noProof/>
          </w:rPr>
          <w:t>6.4.4.1</w:t>
        </w:r>
        <w:r w:rsidR="00D44A2C">
          <w:rPr>
            <w:rFonts w:asciiTheme="minorHAnsi" w:eastAsiaTheme="minorEastAsia" w:hAnsiTheme="minorHAnsi"/>
            <w:noProof/>
            <w:sz w:val="22"/>
            <w:lang w:eastAsia="it-IT"/>
          </w:rPr>
          <w:tab/>
        </w:r>
        <w:r w:rsidR="00D44A2C" w:rsidRPr="00643049">
          <w:rPr>
            <w:rStyle w:val="Collegamentoipertestuale"/>
            <w:noProof/>
          </w:rPr>
          <w:t>L’analisi dell’anzianità dei residui attivi</w:t>
        </w:r>
        <w:r w:rsidR="00D44A2C">
          <w:rPr>
            <w:noProof/>
            <w:webHidden/>
          </w:rPr>
          <w:tab/>
        </w:r>
        <w:r w:rsidR="00D44A2C">
          <w:rPr>
            <w:noProof/>
            <w:webHidden/>
          </w:rPr>
          <w:fldChar w:fldCharType="begin"/>
        </w:r>
        <w:r w:rsidR="00D44A2C">
          <w:rPr>
            <w:noProof/>
            <w:webHidden/>
          </w:rPr>
          <w:instrText xml:space="preserve"> PAGEREF _Toc507422639 \h </w:instrText>
        </w:r>
        <w:r w:rsidR="00D44A2C">
          <w:rPr>
            <w:noProof/>
            <w:webHidden/>
          </w:rPr>
        </w:r>
        <w:r w:rsidR="00D44A2C">
          <w:rPr>
            <w:noProof/>
            <w:webHidden/>
          </w:rPr>
          <w:fldChar w:fldCharType="separate"/>
        </w:r>
        <w:r w:rsidR="008616B3">
          <w:rPr>
            <w:noProof/>
            <w:webHidden/>
          </w:rPr>
          <w:t>72</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40" w:history="1">
        <w:r w:rsidR="00D44A2C" w:rsidRPr="00643049">
          <w:rPr>
            <w:rStyle w:val="Collegamentoipertestuale"/>
            <w:noProof/>
          </w:rPr>
          <w:t>6.4.5</w:t>
        </w:r>
        <w:r w:rsidR="00D44A2C">
          <w:rPr>
            <w:rFonts w:asciiTheme="minorHAnsi" w:hAnsiTheme="minorHAnsi"/>
            <w:noProof/>
            <w:sz w:val="22"/>
            <w:szCs w:val="22"/>
            <w:lang w:eastAsia="it-IT"/>
          </w:rPr>
          <w:tab/>
        </w:r>
        <w:r w:rsidR="00D44A2C" w:rsidRPr="00643049">
          <w:rPr>
            <w:rStyle w:val="Collegamentoipertestuale"/>
            <w:noProof/>
          </w:rPr>
          <w:t>I residui passivi</w:t>
        </w:r>
        <w:r w:rsidR="00D44A2C">
          <w:rPr>
            <w:noProof/>
            <w:webHidden/>
          </w:rPr>
          <w:tab/>
        </w:r>
        <w:r w:rsidR="00D44A2C">
          <w:rPr>
            <w:noProof/>
            <w:webHidden/>
          </w:rPr>
          <w:fldChar w:fldCharType="begin"/>
        </w:r>
        <w:r w:rsidR="00D44A2C">
          <w:rPr>
            <w:noProof/>
            <w:webHidden/>
          </w:rPr>
          <w:instrText xml:space="preserve"> PAGEREF _Toc507422640 \h </w:instrText>
        </w:r>
        <w:r w:rsidR="00D44A2C">
          <w:rPr>
            <w:noProof/>
            <w:webHidden/>
          </w:rPr>
        </w:r>
        <w:r w:rsidR="00D44A2C">
          <w:rPr>
            <w:noProof/>
            <w:webHidden/>
          </w:rPr>
          <w:fldChar w:fldCharType="separate"/>
        </w:r>
        <w:r w:rsidR="008616B3">
          <w:rPr>
            <w:noProof/>
            <w:webHidden/>
          </w:rPr>
          <w:t>74</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41" w:history="1">
        <w:r w:rsidR="00D44A2C" w:rsidRPr="00643049">
          <w:rPr>
            <w:rStyle w:val="Collegamentoipertestuale"/>
            <w:noProof/>
          </w:rPr>
          <w:t>6.4.5.1</w:t>
        </w:r>
        <w:r w:rsidR="00D44A2C">
          <w:rPr>
            <w:rFonts w:asciiTheme="minorHAnsi" w:eastAsiaTheme="minorEastAsia" w:hAnsiTheme="minorHAnsi"/>
            <w:noProof/>
            <w:sz w:val="22"/>
            <w:lang w:eastAsia="it-IT"/>
          </w:rPr>
          <w:tab/>
        </w:r>
        <w:r w:rsidR="00D44A2C" w:rsidRPr="00643049">
          <w:rPr>
            <w:rStyle w:val="Collegamentoipertestuale"/>
            <w:noProof/>
          </w:rPr>
          <w:t>L’analisi dell’anzianità dei residui passivi</w:t>
        </w:r>
        <w:r w:rsidR="00D44A2C">
          <w:rPr>
            <w:noProof/>
            <w:webHidden/>
          </w:rPr>
          <w:tab/>
        </w:r>
        <w:r w:rsidR="00D44A2C">
          <w:rPr>
            <w:noProof/>
            <w:webHidden/>
          </w:rPr>
          <w:fldChar w:fldCharType="begin"/>
        </w:r>
        <w:r w:rsidR="00D44A2C">
          <w:rPr>
            <w:noProof/>
            <w:webHidden/>
          </w:rPr>
          <w:instrText xml:space="preserve"> PAGEREF _Toc507422641 \h </w:instrText>
        </w:r>
        <w:r w:rsidR="00D44A2C">
          <w:rPr>
            <w:noProof/>
            <w:webHidden/>
          </w:rPr>
        </w:r>
        <w:r w:rsidR="00D44A2C">
          <w:rPr>
            <w:noProof/>
            <w:webHidden/>
          </w:rPr>
          <w:fldChar w:fldCharType="separate"/>
        </w:r>
        <w:r w:rsidR="008616B3">
          <w:rPr>
            <w:noProof/>
            <w:webHidden/>
          </w:rPr>
          <w:t>75</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42" w:history="1">
        <w:r w:rsidR="00D44A2C" w:rsidRPr="00643049">
          <w:rPr>
            <w:rStyle w:val="Collegamentoipertestuale"/>
            <w:noProof/>
          </w:rPr>
          <w:t>6.5</w:t>
        </w:r>
        <w:r w:rsidR="00D44A2C">
          <w:rPr>
            <w:rFonts w:asciiTheme="minorHAnsi" w:hAnsiTheme="minorHAnsi"/>
            <w:noProof/>
            <w:sz w:val="22"/>
            <w:szCs w:val="22"/>
            <w:lang w:eastAsia="it-IT"/>
          </w:rPr>
          <w:tab/>
        </w:r>
        <w:r w:rsidR="00D44A2C" w:rsidRPr="00643049">
          <w:rPr>
            <w:rStyle w:val="Collegamentoipertestuale"/>
            <w:noProof/>
          </w:rPr>
          <w:t>I residui passivi perenti</w:t>
        </w:r>
        <w:r w:rsidR="00D44A2C">
          <w:rPr>
            <w:noProof/>
            <w:webHidden/>
          </w:rPr>
          <w:tab/>
        </w:r>
        <w:r w:rsidR="00D44A2C">
          <w:rPr>
            <w:noProof/>
            <w:webHidden/>
          </w:rPr>
          <w:fldChar w:fldCharType="begin"/>
        </w:r>
        <w:r w:rsidR="00D44A2C">
          <w:rPr>
            <w:noProof/>
            <w:webHidden/>
          </w:rPr>
          <w:instrText xml:space="preserve"> PAGEREF _Toc507422642 \h </w:instrText>
        </w:r>
        <w:r w:rsidR="00D44A2C">
          <w:rPr>
            <w:noProof/>
            <w:webHidden/>
          </w:rPr>
        </w:r>
        <w:r w:rsidR="00D44A2C">
          <w:rPr>
            <w:noProof/>
            <w:webHidden/>
          </w:rPr>
          <w:fldChar w:fldCharType="separate"/>
        </w:r>
        <w:r w:rsidR="008616B3">
          <w:rPr>
            <w:noProof/>
            <w:webHidden/>
          </w:rPr>
          <w:t>76</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43" w:history="1">
        <w:r w:rsidR="00D44A2C" w:rsidRPr="00643049">
          <w:rPr>
            <w:rStyle w:val="Collegamentoipertestuale"/>
            <w:noProof/>
          </w:rPr>
          <w:t>6.5.1</w:t>
        </w:r>
        <w:r w:rsidR="00D44A2C">
          <w:rPr>
            <w:rFonts w:asciiTheme="minorHAnsi" w:hAnsiTheme="minorHAnsi"/>
            <w:noProof/>
            <w:sz w:val="22"/>
            <w:szCs w:val="22"/>
            <w:lang w:eastAsia="it-IT"/>
          </w:rPr>
          <w:tab/>
        </w:r>
        <w:r w:rsidR="00D44A2C" w:rsidRPr="00643049">
          <w:rPr>
            <w:rStyle w:val="Collegamentoipertestuale"/>
            <w:noProof/>
          </w:rPr>
          <w:t>L’analisi delle procedure di smaltimento dei residui perenti</w:t>
        </w:r>
        <w:r w:rsidR="00D44A2C">
          <w:rPr>
            <w:noProof/>
            <w:webHidden/>
          </w:rPr>
          <w:tab/>
        </w:r>
        <w:r w:rsidR="00D44A2C">
          <w:rPr>
            <w:noProof/>
            <w:webHidden/>
          </w:rPr>
          <w:fldChar w:fldCharType="begin"/>
        </w:r>
        <w:r w:rsidR="00D44A2C">
          <w:rPr>
            <w:noProof/>
            <w:webHidden/>
          </w:rPr>
          <w:instrText xml:space="preserve"> PAGEREF _Toc507422643 \h </w:instrText>
        </w:r>
        <w:r w:rsidR="00D44A2C">
          <w:rPr>
            <w:noProof/>
            <w:webHidden/>
          </w:rPr>
        </w:r>
        <w:r w:rsidR="00D44A2C">
          <w:rPr>
            <w:noProof/>
            <w:webHidden/>
          </w:rPr>
          <w:fldChar w:fldCharType="separate"/>
        </w:r>
        <w:r w:rsidR="008616B3">
          <w:rPr>
            <w:noProof/>
            <w:webHidden/>
          </w:rPr>
          <w:t>78</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44" w:history="1">
        <w:r w:rsidR="00D44A2C" w:rsidRPr="00643049">
          <w:rPr>
            <w:rStyle w:val="Collegamentoipertestuale"/>
            <w:noProof/>
          </w:rPr>
          <w:t>6.6</w:t>
        </w:r>
        <w:r w:rsidR="00D44A2C">
          <w:rPr>
            <w:rFonts w:asciiTheme="minorHAnsi" w:hAnsiTheme="minorHAnsi"/>
            <w:noProof/>
            <w:sz w:val="22"/>
            <w:szCs w:val="22"/>
            <w:lang w:eastAsia="it-IT"/>
          </w:rPr>
          <w:tab/>
        </w:r>
        <w:r w:rsidR="00D44A2C" w:rsidRPr="00643049">
          <w:rPr>
            <w:rStyle w:val="Collegamentoipertestuale"/>
            <w:noProof/>
          </w:rPr>
          <w:t>La rideterminazione del FPV</w:t>
        </w:r>
        <w:r w:rsidR="00D44A2C">
          <w:rPr>
            <w:noProof/>
            <w:webHidden/>
          </w:rPr>
          <w:tab/>
        </w:r>
        <w:r w:rsidR="00D44A2C">
          <w:rPr>
            <w:noProof/>
            <w:webHidden/>
          </w:rPr>
          <w:fldChar w:fldCharType="begin"/>
        </w:r>
        <w:r w:rsidR="00D44A2C">
          <w:rPr>
            <w:noProof/>
            <w:webHidden/>
          </w:rPr>
          <w:instrText xml:space="preserve"> PAGEREF _Toc507422644 \h </w:instrText>
        </w:r>
        <w:r w:rsidR="00D44A2C">
          <w:rPr>
            <w:noProof/>
            <w:webHidden/>
          </w:rPr>
        </w:r>
        <w:r w:rsidR="00D44A2C">
          <w:rPr>
            <w:noProof/>
            <w:webHidden/>
          </w:rPr>
          <w:fldChar w:fldCharType="separate"/>
        </w:r>
        <w:r w:rsidR="008616B3">
          <w:rPr>
            <w:noProof/>
            <w:webHidden/>
          </w:rPr>
          <w:t>83</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45" w:history="1">
        <w:r w:rsidR="00D44A2C" w:rsidRPr="00643049">
          <w:rPr>
            <w:rStyle w:val="Collegamentoipertestuale"/>
            <w:noProof/>
          </w:rPr>
          <w:t>6.7</w:t>
        </w:r>
        <w:r w:rsidR="00D44A2C">
          <w:rPr>
            <w:rFonts w:asciiTheme="minorHAnsi" w:hAnsiTheme="minorHAnsi"/>
            <w:noProof/>
            <w:sz w:val="22"/>
            <w:szCs w:val="22"/>
            <w:lang w:eastAsia="it-IT"/>
          </w:rPr>
          <w:tab/>
        </w:r>
        <w:r w:rsidR="00D44A2C" w:rsidRPr="00643049">
          <w:rPr>
            <w:rStyle w:val="Collegamentoipertestuale"/>
            <w:noProof/>
          </w:rPr>
          <w:t>La Gestione di cassa</w:t>
        </w:r>
        <w:r w:rsidR="00D44A2C">
          <w:rPr>
            <w:noProof/>
            <w:webHidden/>
          </w:rPr>
          <w:tab/>
        </w:r>
        <w:r w:rsidR="00D44A2C">
          <w:rPr>
            <w:noProof/>
            <w:webHidden/>
          </w:rPr>
          <w:fldChar w:fldCharType="begin"/>
        </w:r>
        <w:r w:rsidR="00D44A2C">
          <w:rPr>
            <w:noProof/>
            <w:webHidden/>
          </w:rPr>
          <w:instrText xml:space="preserve"> PAGEREF _Toc507422645 \h </w:instrText>
        </w:r>
        <w:r w:rsidR="00D44A2C">
          <w:rPr>
            <w:noProof/>
            <w:webHidden/>
          </w:rPr>
        </w:r>
        <w:r w:rsidR="00D44A2C">
          <w:rPr>
            <w:noProof/>
            <w:webHidden/>
          </w:rPr>
          <w:fldChar w:fldCharType="separate"/>
        </w:r>
        <w:r w:rsidR="008616B3">
          <w:rPr>
            <w:noProof/>
            <w:webHidden/>
          </w:rPr>
          <w:t>84</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46" w:history="1">
        <w:r w:rsidR="00D44A2C" w:rsidRPr="00643049">
          <w:rPr>
            <w:rStyle w:val="Collegamentoipertestuale"/>
            <w:rFonts w:eastAsiaTheme="majorEastAsia" w:cstheme="majorBidi"/>
            <w:noProof/>
          </w:rPr>
          <w:t>6.8</w:t>
        </w:r>
        <w:r w:rsidR="00D44A2C">
          <w:rPr>
            <w:rFonts w:asciiTheme="minorHAnsi" w:hAnsiTheme="minorHAnsi"/>
            <w:noProof/>
            <w:sz w:val="22"/>
            <w:szCs w:val="22"/>
            <w:lang w:eastAsia="it-IT"/>
          </w:rPr>
          <w:tab/>
        </w:r>
        <w:r w:rsidR="00D44A2C" w:rsidRPr="00643049">
          <w:rPr>
            <w:rStyle w:val="Collegamentoipertestuale"/>
            <w:rFonts w:eastAsiaTheme="majorEastAsia" w:cstheme="majorBidi"/>
            <w:noProof/>
          </w:rPr>
          <w:t>Il risultato di amministrazione al 31/12/2016</w:t>
        </w:r>
        <w:r w:rsidR="00D44A2C">
          <w:rPr>
            <w:noProof/>
            <w:webHidden/>
          </w:rPr>
          <w:tab/>
        </w:r>
        <w:r w:rsidR="00D44A2C">
          <w:rPr>
            <w:noProof/>
            <w:webHidden/>
          </w:rPr>
          <w:fldChar w:fldCharType="begin"/>
        </w:r>
        <w:r w:rsidR="00D44A2C">
          <w:rPr>
            <w:noProof/>
            <w:webHidden/>
          </w:rPr>
          <w:instrText xml:space="preserve"> PAGEREF _Toc507422646 \h </w:instrText>
        </w:r>
        <w:r w:rsidR="00D44A2C">
          <w:rPr>
            <w:noProof/>
            <w:webHidden/>
          </w:rPr>
        </w:r>
        <w:r w:rsidR="00D44A2C">
          <w:rPr>
            <w:noProof/>
            <w:webHidden/>
          </w:rPr>
          <w:fldChar w:fldCharType="separate"/>
        </w:r>
        <w:r w:rsidR="008616B3">
          <w:rPr>
            <w:noProof/>
            <w:webHidden/>
          </w:rPr>
          <w:t>86</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47" w:history="1">
        <w:r w:rsidR="00D44A2C" w:rsidRPr="00643049">
          <w:rPr>
            <w:rStyle w:val="Collegamentoipertestuale"/>
            <w:noProof/>
          </w:rPr>
          <w:t>6.8.1</w:t>
        </w:r>
        <w:r w:rsidR="00D44A2C">
          <w:rPr>
            <w:rFonts w:asciiTheme="minorHAnsi" w:hAnsiTheme="minorHAnsi"/>
            <w:noProof/>
            <w:sz w:val="22"/>
            <w:szCs w:val="22"/>
            <w:lang w:eastAsia="it-IT"/>
          </w:rPr>
          <w:tab/>
        </w:r>
        <w:r w:rsidR="00D44A2C" w:rsidRPr="00643049">
          <w:rPr>
            <w:rStyle w:val="Collegamentoipertestuale"/>
            <w:noProof/>
          </w:rPr>
          <w:t>Mutuo autorizzato a copertura del disavanzo pregresso</w:t>
        </w:r>
        <w:r w:rsidR="00D44A2C">
          <w:rPr>
            <w:noProof/>
            <w:webHidden/>
          </w:rPr>
          <w:tab/>
        </w:r>
        <w:r w:rsidR="00D44A2C">
          <w:rPr>
            <w:noProof/>
            <w:webHidden/>
          </w:rPr>
          <w:fldChar w:fldCharType="begin"/>
        </w:r>
        <w:r w:rsidR="00D44A2C">
          <w:rPr>
            <w:noProof/>
            <w:webHidden/>
          </w:rPr>
          <w:instrText xml:space="preserve"> PAGEREF _Toc507422647 \h </w:instrText>
        </w:r>
        <w:r w:rsidR="00D44A2C">
          <w:rPr>
            <w:noProof/>
            <w:webHidden/>
          </w:rPr>
        </w:r>
        <w:r w:rsidR="00D44A2C">
          <w:rPr>
            <w:noProof/>
            <w:webHidden/>
          </w:rPr>
          <w:fldChar w:fldCharType="separate"/>
        </w:r>
        <w:r w:rsidR="008616B3">
          <w:rPr>
            <w:noProof/>
            <w:webHidden/>
          </w:rPr>
          <w:t>88</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48" w:history="1">
        <w:r w:rsidR="00D44A2C" w:rsidRPr="00643049">
          <w:rPr>
            <w:rStyle w:val="Collegamentoipertestuale"/>
            <w:noProof/>
          </w:rPr>
          <w:t>6.8.2</w:t>
        </w:r>
        <w:r w:rsidR="00D44A2C">
          <w:rPr>
            <w:rFonts w:asciiTheme="minorHAnsi" w:hAnsiTheme="minorHAnsi"/>
            <w:noProof/>
            <w:sz w:val="22"/>
            <w:szCs w:val="22"/>
            <w:lang w:eastAsia="it-IT"/>
          </w:rPr>
          <w:tab/>
        </w:r>
        <w:r w:rsidR="00D44A2C" w:rsidRPr="00643049">
          <w:rPr>
            <w:rStyle w:val="Collegamentoipertestuale"/>
            <w:noProof/>
          </w:rPr>
          <w:t>Le quote accantonate del risultato di amministrazione</w:t>
        </w:r>
        <w:r w:rsidR="00D44A2C">
          <w:rPr>
            <w:noProof/>
            <w:webHidden/>
          </w:rPr>
          <w:tab/>
        </w:r>
        <w:r w:rsidR="00D44A2C">
          <w:rPr>
            <w:noProof/>
            <w:webHidden/>
          </w:rPr>
          <w:fldChar w:fldCharType="begin"/>
        </w:r>
        <w:r w:rsidR="00D44A2C">
          <w:rPr>
            <w:noProof/>
            <w:webHidden/>
          </w:rPr>
          <w:instrText xml:space="preserve"> PAGEREF _Toc507422648 \h </w:instrText>
        </w:r>
        <w:r w:rsidR="00D44A2C">
          <w:rPr>
            <w:noProof/>
            <w:webHidden/>
          </w:rPr>
        </w:r>
        <w:r w:rsidR="00D44A2C">
          <w:rPr>
            <w:noProof/>
            <w:webHidden/>
          </w:rPr>
          <w:fldChar w:fldCharType="separate"/>
        </w:r>
        <w:r w:rsidR="008616B3">
          <w:rPr>
            <w:noProof/>
            <w:webHidden/>
          </w:rPr>
          <w:t>90</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49" w:history="1">
        <w:r w:rsidR="00D44A2C" w:rsidRPr="00643049">
          <w:rPr>
            <w:rStyle w:val="Collegamentoipertestuale"/>
            <w:noProof/>
          </w:rPr>
          <w:t>6.8.2.1</w:t>
        </w:r>
        <w:r w:rsidR="00D44A2C">
          <w:rPr>
            <w:rFonts w:asciiTheme="minorHAnsi" w:eastAsiaTheme="minorEastAsia" w:hAnsiTheme="minorHAnsi"/>
            <w:noProof/>
            <w:sz w:val="22"/>
            <w:lang w:eastAsia="it-IT"/>
          </w:rPr>
          <w:tab/>
        </w:r>
        <w:r w:rsidR="00D44A2C" w:rsidRPr="00643049">
          <w:rPr>
            <w:rStyle w:val="Collegamentoipertestuale"/>
            <w:noProof/>
          </w:rPr>
          <w:t>Il Fondo Crediti di Dubbia Esigibilità</w:t>
        </w:r>
        <w:r w:rsidR="00D44A2C">
          <w:rPr>
            <w:noProof/>
            <w:webHidden/>
          </w:rPr>
          <w:tab/>
        </w:r>
        <w:r w:rsidR="00D44A2C">
          <w:rPr>
            <w:noProof/>
            <w:webHidden/>
          </w:rPr>
          <w:fldChar w:fldCharType="begin"/>
        </w:r>
        <w:r w:rsidR="00D44A2C">
          <w:rPr>
            <w:noProof/>
            <w:webHidden/>
          </w:rPr>
          <w:instrText xml:space="preserve"> PAGEREF _Toc507422649 \h </w:instrText>
        </w:r>
        <w:r w:rsidR="00D44A2C">
          <w:rPr>
            <w:noProof/>
            <w:webHidden/>
          </w:rPr>
        </w:r>
        <w:r w:rsidR="00D44A2C">
          <w:rPr>
            <w:noProof/>
            <w:webHidden/>
          </w:rPr>
          <w:fldChar w:fldCharType="separate"/>
        </w:r>
        <w:r w:rsidR="008616B3">
          <w:rPr>
            <w:noProof/>
            <w:webHidden/>
          </w:rPr>
          <w:t>90</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50" w:history="1">
        <w:r w:rsidR="00D44A2C" w:rsidRPr="00643049">
          <w:rPr>
            <w:rStyle w:val="Collegamentoipertestuale"/>
            <w:noProof/>
          </w:rPr>
          <w:t>6.8.2.2</w:t>
        </w:r>
        <w:r w:rsidR="00D44A2C">
          <w:rPr>
            <w:rFonts w:asciiTheme="minorHAnsi" w:eastAsiaTheme="minorEastAsia" w:hAnsiTheme="minorHAnsi"/>
            <w:noProof/>
            <w:sz w:val="22"/>
            <w:lang w:eastAsia="it-IT"/>
          </w:rPr>
          <w:tab/>
        </w:r>
        <w:r w:rsidR="00D44A2C" w:rsidRPr="00643049">
          <w:rPr>
            <w:rStyle w:val="Collegamentoipertestuale"/>
            <w:noProof/>
          </w:rPr>
          <w:t>Il Fondo anticipazioni di liquidità D.L. 35/2013 e s.m.</w:t>
        </w:r>
        <w:r w:rsidR="00D44A2C">
          <w:rPr>
            <w:noProof/>
            <w:webHidden/>
          </w:rPr>
          <w:tab/>
        </w:r>
        <w:r w:rsidR="00D44A2C">
          <w:rPr>
            <w:noProof/>
            <w:webHidden/>
          </w:rPr>
          <w:fldChar w:fldCharType="begin"/>
        </w:r>
        <w:r w:rsidR="00D44A2C">
          <w:rPr>
            <w:noProof/>
            <w:webHidden/>
          </w:rPr>
          <w:instrText xml:space="preserve"> PAGEREF _Toc507422650 \h </w:instrText>
        </w:r>
        <w:r w:rsidR="00D44A2C">
          <w:rPr>
            <w:noProof/>
            <w:webHidden/>
          </w:rPr>
        </w:r>
        <w:r w:rsidR="00D44A2C">
          <w:rPr>
            <w:noProof/>
            <w:webHidden/>
          </w:rPr>
          <w:fldChar w:fldCharType="separate"/>
        </w:r>
        <w:r w:rsidR="008616B3">
          <w:rPr>
            <w:noProof/>
            <w:webHidden/>
          </w:rPr>
          <w:t>91</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51" w:history="1">
        <w:r w:rsidR="00D44A2C" w:rsidRPr="00643049">
          <w:rPr>
            <w:rStyle w:val="Collegamentoipertestuale"/>
            <w:noProof/>
          </w:rPr>
          <w:t>6.8.2.3</w:t>
        </w:r>
        <w:r w:rsidR="00D44A2C">
          <w:rPr>
            <w:rFonts w:asciiTheme="minorHAnsi" w:eastAsiaTheme="minorEastAsia" w:hAnsiTheme="minorHAnsi"/>
            <w:noProof/>
            <w:sz w:val="22"/>
            <w:lang w:eastAsia="it-IT"/>
          </w:rPr>
          <w:tab/>
        </w:r>
        <w:r w:rsidR="00D44A2C" w:rsidRPr="00643049">
          <w:rPr>
            <w:rStyle w:val="Collegamentoipertestuale"/>
            <w:noProof/>
          </w:rPr>
          <w:t>Il Fondo a garanzia della reiscrizione dei residui perenti</w:t>
        </w:r>
        <w:r w:rsidR="00D44A2C">
          <w:rPr>
            <w:noProof/>
            <w:webHidden/>
          </w:rPr>
          <w:tab/>
        </w:r>
        <w:r w:rsidR="00D44A2C">
          <w:rPr>
            <w:noProof/>
            <w:webHidden/>
          </w:rPr>
          <w:fldChar w:fldCharType="begin"/>
        </w:r>
        <w:r w:rsidR="00D44A2C">
          <w:rPr>
            <w:noProof/>
            <w:webHidden/>
          </w:rPr>
          <w:instrText xml:space="preserve"> PAGEREF _Toc507422651 \h </w:instrText>
        </w:r>
        <w:r w:rsidR="00D44A2C">
          <w:rPr>
            <w:noProof/>
            <w:webHidden/>
          </w:rPr>
        </w:r>
        <w:r w:rsidR="00D44A2C">
          <w:rPr>
            <w:noProof/>
            <w:webHidden/>
          </w:rPr>
          <w:fldChar w:fldCharType="separate"/>
        </w:r>
        <w:r w:rsidR="008616B3">
          <w:rPr>
            <w:noProof/>
            <w:webHidden/>
          </w:rPr>
          <w:t>91</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52" w:history="1">
        <w:r w:rsidR="00D44A2C" w:rsidRPr="00643049">
          <w:rPr>
            <w:rStyle w:val="Collegamentoipertestuale"/>
            <w:noProof/>
          </w:rPr>
          <w:t>6.8.2.4</w:t>
        </w:r>
        <w:r w:rsidR="00D44A2C">
          <w:rPr>
            <w:rFonts w:asciiTheme="minorHAnsi" w:eastAsiaTheme="minorEastAsia" w:hAnsiTheme="minorHAnsi"/>
            <w:noProof/>
            <w:sz w:val="22"/>
            <w:lang w:eastAsia="it-IT"/>
          </w:rPr>
          <w:tab/>
        </w:r>
        <w:r w:rsidR="00D44A2C" w:rsidRPr="00643049">
          <w:rPr>
            <w:rStyle w:val="Collegamentoipertestuale"/>
            <w:noProof/>
          </w:rPr>
          <w:t>Il Fondo per le perdite delle società partecipate</w:t>
        </w:r>
        <w:r w:rsidR="00D44A2C">
          <w:rPr>
            <w:noProof/>
            <w:webHidden/>
          </w:rPr>
          <w:tab/>
        </w:r>
        <w:r w:rsidR="00D44A2C">
          <w:rPr>
            <w:noProof/>
            <w:webHidden/>
          </w:rPr>
          <w:fldChar w:fldCharType="begin"/>
        </w:r>
        <w:r w:rsidR="00D44A2C">
          <w:rPr>
            <w:noProof/>
            <w:webHidden/>
          </w:rPr>
          <w:instrText xml:space="preserve"> PAGEREF _Toc507422652 \h </w:instrText>
        </w:r>
        <w:r w:rsidR="00D44A2C">
          <w:rPr>
            <w:noProof/>
            <w:webHidden/>
          </w:rPr>
        </w:r>
        <w:r w:rsidR="00D44A2C">
          <w:rPr>
            <w:noProof/>
            <w:webHidden/>
          </w:rPr>
          <w:fldChar w:fldCharType="separate"/>
        </w:r>
        <w:r w:rsidR="008616B3">
          <w:rPr>
            <w:noProof/>
            <w:webHidden/>
          </w:rPr>
          <w:t>92</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53" w:history="1">
        <w:r w:rsidR="00D44A2C" w:rsidRPr="00643049">
          <w:rPr>
            <w:rStyle w:val="Collegamentoipertestuale"/>
            <w:noProof/>
          </w:rPr>
          <w:t>6.8.2.5</w:t>
        </w:r>
        <w:r w:rsidR="00D44A2C">
          <w:rPr>
            <w:rFonts w:asciiTheme="minorHAnsi" w:eastAsiaTheme="minorEastAsia" w:hAnsiTheme="minorHAnsi"/>
            <w:noProof/>
            <w:sz w:val="22"/>
            <w:lang w:eastAsia="it-IT"/>
          </w:rPr>
          <w:tab/>
        </w:r>
        <w:r w:rsidR="00D44A2C" w:rsidRPr="00643049">
          <w:rPr>
            <w:rStyle w:val="Collegamentoipertestuale"/>
            <w:noProof/>
          </w:rPr>
          <w:t>Il Fondo soppressione dei fondi di garanzia</w:t>
        </w:r>
        <w:r w:rsidR="00D44A2C">
          <w:rPr>
            <w:noProof/>
            <w:webHidden/>
          </w:rPr>
          <w:tab/>
        </w:r>
        <w:r w:rsidR="00D44A2C">
          <w:rPr>
            <w:noProof/>
            <w:webHidden/>
          </w:rPr>
          <w:fldChar w:fldCharType="begin"/>
        </w:r>
        <w:r w:rsidR="00D44A2C">
          <w:rPr>
            <w:noProof/>
            <w:webHidden/>
          </w:rPr>
          <w:instrText xml:space="preserve"> PAGEREF _Toc507422653 \h </w:instrText>
        </w:r>
        <w:r w:rsidR="00D44A2C">
          <w:rPr>
            <w:noProof/>
            <w:webHidden/>
          </w:rPr>
        </w:r>
        <w:r w:rsidR="00D44A2C">
          <w:rPr>
            <w:noProof/>
            <w:webHidden/>
          </w:rPr>
          <w:fldChar w:fldCharType="separate"/>
        </w:r>
        <w:r w:rsidR="008616B3">
          <w:rPr>
            <w:noProof/>
            <w:webHidden/>
          </w:rPr>
          <w:t>92</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54" w:history="1">
        <w:r w:rsidR="00D44A2C" w:rsidRPr="00643049">
          <w:rPr>
            <w:rStyle w:val="Collegamentoipertestuale"/>
            <w:noProof/>
          </w:rPr>
          <w:t>6.8.2.6</w:t>
        </w:r>
        <w:r w:rsidR="00D44A2C">
          <w:rPr>
            <w:rFonts w:asciiTheme="minorHAnsi" w:eastAsiaTheme="minorEastAsia" w:hAnsiTheme="minorHAnsi"/>
            <w:noProof/>
            <w:sz w:val="22"/>
            <w:lang w:eastAsia="it-IT"/>
          </w:rPr>
          <w:tab/>
        </w:r>
        <w:r w:rsidR="00D44A2C" w:rsidRPr="00643049">
          <w:rPr>
            <w:rStyle w:val="Collegamentoipertestuale"/>
            <w:noProof/>
          </w:rPr>
          <w:t>Altri accantonamenti</w:t>
        </w:r>
        <w:r w:rsidR="00D44A2C">
          <w:rPr>
            <w:noProof/>
            <w:webHidden/>
          </w:rPr>
          <w:tab/>
        </w:r>
        <w:r w:rsidR="00D44A2C">
          <w:rPr>
            <w:noProof/>
            <w:webHidden/>
          </w:rPr>
          <w:fldChar w:fldCharType="begin"/>
        </w:r>
        <w:r w:rsidR="00D44A2C">
          <w:rPr>
            <w:noProof/>
            <w:webHidden/>
          </w:rPr>
          <w:instrText xml:space="preserve"> PAGEREF _Toc507422654 \h </w:instrText>
        </w:r>
        <w:r w:rsidR="00D44A2C">
          <w:rPr>
            <w:noProof/>
            <w:webHidden/>
          </w:rPr>
        </w:r>
        <w:r w:rsidR="00D44A2C">
          <w:rPr>
            <w:noProof/>
            <w:webHidden/>
          </w:rPr>
          <w:fldChar w:fldCharType="separate"/>
        </w:r>
        <w:r w:rsidR="008616B3">
          <w:rPr>
            <w:noProof/>
            <w:webHidden/>
          </w:rPr>
          <w:t>92</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55" w:history="1">
        <w:r w:rsidR="00D44A2C" w:rsidRPr="00643049">
          <w:rPr>
            <w:rStyle w:val="Collegamentoipertestuale"/>
            <w:noProof/>
          </w:rPr>
          <w:t>6.8.3</w:t>
        </w:r>
        <w:r w:rsidR="00D44A2C">
          <w:rPr>
            <w:rFonts w:asciiTheme="minorHAnsi" w:hAnsiTheme="minorHAnsi"/>
            <w:noProof/>
            <w:sz w:val="22"/>
            <w:szCs w:val="22"/>
            <w:lang w:eastAsia="it-IT"/>
          </w:rPr>
          <w:tab/>
        </w:r>
        <w:r w:rsidR="00D44A2C" w:rsidRPr="00643049">
          <w:rPr>
            <w:rStyle w:val="Collegamentoipertestuale"/>
            <w:noProof/>
          </w:rPr>
          <w:t>Le quote vincolate del risultato di amministrazione</w:t>
        </w:r>
        <w:r w:rsidR="00D44A2C">
          <w:rPr>
            <w:noProof/>
            <w:webHidden/>
          </w:rPr>
          <w:tab/>
        </w:r>
        <w:r w:rsidR="00D44A2C">
          <w:rPr>
            <w:noProof/>
            <w:webHidden/>
          </w:rPr>
          <w:fldChar w:fldCharType="begin"/>
        </w:r>
        <w:r w:rsidR="00D44A2C">
          <w:rPr>
            <w:noProof/>
            <w:webHidden/>
          </w:rPr>
          <w:instrText xml:space="preserve"> PAGEREF _Toc507422655 \h </w:instrText>
        </w:r>
        <w:r w:rsidR="00D44A2C">
          <w:rPr>
            <w:noProof/>
            <w:webHidden/>
          </w:rPr>
        </w:r>
        <w:r w:rsidR="00D44A2C">
          <w:rPr>
            <w:noProof/>
            <w:webHidden/>
          </w:rPr>
          <w:fldChar w:fldCharType="separate"/>
        </w:r>
        <w:r w:rsidR="008616B3">
          <w:rPr>
            <w:noProof/>
            <w:webHidden/>
          </w:rPr>
          <w:t>93</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56" w:history="1">
        <w:r w:rsidR="00D44A2C" w:rsidRPr="00643049">
          <w:rPr>
            <w:rStyle w:val="Collegamentoipertestuale"/>
            <w:noProof/>
          </w:rPr>
          <w:t>6.9</w:t>
        </w:r>
        <w:r w:rsidR="00D44A2C">
          <w:rPr>
            <w:rFonts w:asciiTheme="minorHAnsi" w:hAnsiTheme="minorHAnsi"/>
            <w:noProof/>
            <w:sz w:val="22"/>
            <w:szCs w:val="22"/>
            <w:lang w:eastAsia="it-IT"/>
          </w:rPr>
          <w:tab/>
        </w:r>
        <w:r w:rsidR="00D44A2C" w:rsidRPr="00643049">
          <w:rPr>
            <w:rStyle w:val="Collegamentoipertestuale"/>
            <w:noProof/>
          </w:rPr>
          <w:t>Esiti della verifica dei crediti e debiti reciproci con i propri enti strumentali e le società controllate e partecipate</w:t>
        </w:r>
        <w:r w:rsidR="00D44A2C">
          <w:rPr>
            <w:noProof/>
            <w:webHidden/>
          </w:rPr>
          <w:tab/>
        </w:r>
        <w:r w:rsidR="00D44A2C">
          <w:rPr>
            <w:noProof/>
            <w:webHidden/>
          </w:rPr>
          <w:fldChar w:fldCharType="begin"/>
        </w:r>
        <w:r w:rsidR="00D44A2C">
          <w:rPr>
            <w:noProof/>
            <w:webHidden/>
          </w:rPr>
          <w:instrText xml:space="preserve"> PAGEREF _Toc507422656 \h </w:instrText>
        </w:r>
        <w:r w:rsidR="00D44A2C">
          <w:rPr>
            <w:noProof/>
            <w:webHidden/>
          </w:rPr>
        </w:r>
        <w:r w:rsidR="00D44A2C">
          <w:rPr>
            <w:noProof/>
            <w:webHidden/>
          </w:rPr>
          <w:fldChar w:fldCharType="separate"/>
        </w:r>
        <w:r w:rsidR="008616B3">
          <w:rPr>
            <w:noProof/>
            <w:webHidden/>
          </w:rPr>
          <w:t>93</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57" w:history="1">
        <w:r w:rsidR="00D44A2C" w:rsidRPr="00643049">
          <w:rPr>
            <w:rStyle w:val="Collegamentoipertestuale"/>
            <w:noProof/>
          </w:rPr>
          <w:t>7</w:t>
        </w:r>
        <w:r w:rsidR="00D44A2C">
          <w:rPr>
            <w:rFonts w:asciiTheme="minorHAnsi" w:hAnsiTheme="minorHAnsi"/>
            <w:noProof/>
            <w:sz w:val="22"/>
            <w:szCs w:val="22"/>
            <w:lang w:eastAsia="it-IT"/>
          </w:rPr>
          <w:tab/>
        </w:r>
        <w:r w:rsidR="00D44A2C" w:rsidRPr="00643049">
          <w:rPr>
            <w:rStyle w:val="Collegamentoipertestuale"/>
            <w:noProof/>
          </w:rPr>
          <w:t>IL QUADRO GENERALE RIASSUNTIVO</w:t>
        </w:r>
        <w:r w:rsidR="00D44A2C">
          <w:rPr>
            <w:noProof/>
            <w:webHidden/>
          </w:rPr>
          <w:tab/>
        </w:r>
        <w:r w:rsidR="00D44A2C">
          <w:rPr>
            <w:noProof/>
            <w:webHidden/>
          </w:rPr>
          <w:fldChar w:fldCharType="begin"/>
        </w:r>
        <w:r w:rsidR="00D44A2C">
          <w:rPr>
            <w:noProof/>
            <w:webHidden/>
          </w:rPr>
          <w:instrText xml:space="preserve"> PAGEREF _Toc507422657 \h </w:instrText>
        </w:r>
        <w:r w:rsidR="00D44A2C">
          <w:rPr>
            <w:noProof/>
            <w:webHidden/>
          </w:rPr>
        </w:r>
        <w:r w:rsidR="00D44A2C">
          <w:rPr>
            <w:noProof/>
            <w:webHidden/>
          </w:rPr>
          <w:fldChar w:fldCharType="separate"/>
        </w:r>
        <w:r w:rsidR="008616B3">
          <w:rPr>
            <w:noProof/>
            <w:webHidden/>
          </w:rPr>
          <w:t>95</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58" w:history="1">
        <w:r w:rsidR="00D44A2C" w:rsidRPr="00643049">
          <w:rPr>
            <w:rStyle w:val="Collegamentoipertestuale"/>
            <w:noProof/>
          </w:rPr>
          <w:t>8</w:t>
        </w:r>
        <w:r w:rsidR="00D44A2C">
          <w:rPr>
            <w:rFonts w:asciiTheme="minorHAnsi" w:hAnsiTheme="minorHAnsi"/>
            <w:noProof/>
            <w:sz w:val="22"/>
            <w:szCs w:val="22"/>
            <w:lang w:eastAsia="it-IT"/>
          </w:rPr>
          <w:tab/>
        </w:r>
        <w:r w:rsidR="00D44A2C" w:rsidRPr="00643049">
          <w:rPr>
            <w:rStyle w:val="Collegamentoipertestuale"/>
            <w:noProof/>
          </w:rPr>
          <w:t>GLI EQUILIBRI DI BILANCIO</w:t>
        </w:r>
        <w:r w:rsidR="00D44A2C">
          <w:rPr>
            <w:noProof/>
            <w:webHidden/>
          </w:rPr>
          <w:tab/>
        </w:r>
        <w:r w:rsidR="00D44A2C">
          <w:rPr>
            <w:noProof/>
            <w:webHidden/>
          </w:rPr>
          <w:fldChar w:fldCharType="begin"/>
        </w:r>
        <w:r w:rsidR="00D44A2C">
          <w:rPr>
            <w:noProof/>
            <w:webHidden/>
          </w:rPr>
          <w:instrText xml:space="preserve"> PAGEREF _Toc507422658 \h </w:instrText>
        </w:r>
        <w:r w:rsidR="00D44A2C">
          <w:rPr>
            <w:noProof/>
            <w:webHidden/>
          </w:rPr>
        </w:r>
        <w:r w:rsidR="00D44A2C">
          <w:rPr>
            <w:noProof/>
            <w:webHidden/>
          </w:rPr>
          <w:fldChar w:fldCharType="separate"/>
        </w:r>
        <w:r w:rsidR="008616B3">
          <w:rPr>
            <w:noProof/>
            <w:webHidden/>
          </w:rPr>
          <w:t>97</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59" w:history="1">
        <w:r w:rsidR="00D44A2C" w:rsidRPr="00643049">
          <w:rPr>
            <w:rStyle w:val="Collegamentoipertestuale"/>
            <w:noProof/>
          </w:rPr>
          <w:t>9</w:t>
        </w:r>
        <w:r w:rsidR="00D44A2C">
          <w:rPr>
            <w:rFonts w:asciiTheme="minorHAnsi" w:hAnsiTheme="minorHAnsi"/>
            <w:noProof/>
            <w:sz w:val="22"/>
            <w:szCs w:val="22"/>
            <w:lang w:eastAsia="it-IT"/>
          </w:rPr>
          <w:tab/>
        </w:r>
        <w:r w:rsidR="00D44A2C" w:rsidRPr="00643049">
          <w:rPr>
            <w:rStyle w:val="Collegamentoipertestuale"/>
            <w:noProof/>
          </w:rPr>
          <w:t>IL PAREGGIO DI BILANCIO</w:t>
        </w:r>
        <w:r w:rsidR="00D44A2C">
          <w:rPr>
            <w:noProof/>
            <w:webHidden/>
          </w:rPr>
          <w:tab/>
        </w:r>
        <w:r w:rsidR="00D44A2C">
          <w:rPr>
            <w:noProof/>
            <w:webHidden/>
          </w:rPr>
          <w:fldChar w:fldCharType="begin"/>
        </w:r>
        <w:r w:rsidR="00D44A2C">
          <w:rPr>
            <w:noProof/>
            <w:webHidden/>
          </w:rPr>
          <w:instrText xml:space="preserve"> PAGEREF _Toc507422659 \h </w:instrText>
        </w:r>
        <w:r w:rsidR="00D44A2C">
          <w:rPr>
            <w:noProof/>
            <w:webHidden/>
          </w:rPr>
        </w:r>
        <w:r w:rsidR="00D44A2C">
          <w:rPr>
            <w:noProof/>
            <w:webHidden/>
          </w:rPr>
          <w:fldChar w:fldCharType="separate"/>
        </w:r>
        <w:r w:rsidR="008616B3">
          <w:rPr>
            <w:noProof/>
            <w:webHidden/>
          </w:rPr>
          <w:t>101</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0" w:history="1">
        <w:r w:rsidR="00D44A2C" w:rsidRPr="00643049">
          <w:rPr>
            <w:rStyle w:val="Collegamentoipertestuale"/>
            <w:noProof/>
          </w:rPr>
          <w:t>10</w:t>
        </w:r>
        <w:r w:rsidR="00D44A2C">
          <w:rPr>
            <w:rFonts w:asciiTheme="minorHAnsi" w:hAnsiTheme="minorHAnsi"/>
            <w:noProof/>
            <w:sz w:val="22"/>
            <w:szCs w:val="22"/>
            <w:lang w:eastAsia="it-IT"/>
          </w:rPr>
          <w:tab/>
        </w:r>
        <w:r w:rsidR="00D44A2C" w:rsidRPr="00643049">
          <w:rPr>
            <w:rStyle w:val="Collegamentoipertestuale"/>
            <w:noProof/>
          </w:rPr>
          <w:t>L’INDEBITAMENTO</w:t>
        </w:r>
        <w:r w:rsidR="00D44A2C">
          <w:rPr>
            <w:noProof/>
            <w:webHidden/>
          </w:rPr>
          <w:tab/>
        </w:r>
        <w:r w:rsidR="00D44A2C">
          <w:rPr>
            <w:noProof/>
            <w:webHidden/>
          </w:rPr>
          <w:fldChar w:fldCharType="begin"/>
        </w:r>
        <w:r w:rsidR="00D44A2C">
          <w:rPr>
            <w:noProof/>
            <w:webHidden/>
          </w:rPr>
          <w:instrText xml:space="preserve"> PAGEREF _Toc507422660 \h </w:instrText>
        </w:r>
        <w:r w:rsidR="00D44A2C">
          <w:rPr>
            <w:noProof/>
            <w:webHidden/>
          </w:rPr>
        </w:r>
        <w:r w:rsidR="00D44A2C">
          <w:rPr>
            <w:noProof/>
            <w:webHidden/>
          </w:rPr>
          <w:fldChar w:fldCharType="separate"/>
        </w:r>
        <w:r w:rsidR="008616B3">
          <w:rPr>
            <w:noProof/>
            <w:webHidden/>
          </w:rPr>
          <w:t>105</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1" w:history="1">
        <w:r w:rsidR="00D44A2C" w:rsidRPr="00643049">
          <w:rPr>
            <w:rStyle w:val="Collegamentoipertestuale"/>
            <w:noProof/>
          </w:rPr>
          <w:t>11</w:t>
        </w:r>
        <w:r w:rsidR="00D44A2C">
          <w:rPr>
            <w:rFonts w:asciiTheme="minorHAnsi" w:hAnsiTheme="minorHAnsi"/>
            <w:noProof/>
            <w:sz w:val="22"/>
            <w:szCs w:val="22"/>
            <w:lang w:eastAsia="it-IT"/>
          </w:rPr>
          <w:tab/>
        </w:r>
        <w:r w:rsidR="00D44A2C" w:rsidRPr="00643049">
          <w:rPr>
            <w:rStyle w:val="Collegamentoipertestuale"/>
            <w:noProof/>
          </w:rPr>
          <w:t>LA GESTIONE DEI CREDITI</w:t>
        </w:r>
        <w:r w:rsidR="00D44A2C">
          <w:rPr>
            <w:noProof/>
            <w:webHidden/>
          </w:rPr>
          <w:tab/>
        </w:r>
        <w:r w:rsidR="00D44A2C">
          <w:rPr>
            <w:noProof/>
            <w:webHidden/>
          </w:rPr>
          <w:fldChar w:fldCharType="begin"/>
        </w:r>
        <w:r w:rsidR="00D44A2C">
          <w:rPr>
            <w:noProof/>
            <w:webHidden/>
          </w:rPr>
          <w:instrText xml:space="preserve"> PAGEREF _Toc507422661 \h </w:instrText>
        </w:r>
        <w:r w:rsidR="00D44A2C">
          <w:rPr>
            <w:noProof/>
            <w:webHidden/>
          </w:rPr>
        </w:r>
        <w:r w:rsidR="00D44A2C">
          <w:rPr>
            <w:noProof/>
            <w:webHidden/>
          </w:rPr>
          <w:fldChar w:fldCharType="separate"/>
        </w:r>
        <w:r w:rsidR="008616B3">
          <w:rPr>
            <w:noProof/>
            <w:webHidden/>
          </w:rPr>
          <w:t>115</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62" w:history="1">
        <w:r w:rsidR="00D44A2C" w:rsidRPr="00643049">
          <w:rPr>
            <w:rStyle w:val="Collegamentoipertestuale"/>
            <w:noProof/>
          </w:rPr>
          <w:t>11.1</w:t>
        </w:r>
        <w:r w:rsidR="00D44A2C">
          <w:rPr>
            <w:rFonts w:asciiTheme="minorHAnsi" w:hAnsiTheme="minorHAnsi"/>
            <w:noProof/>
            <w:sz w:val="22"/>
            <w:szCs w:val="22"/>
            <w:lang w:eastAsia="it-IT"/>
          </w:rPr>
          <w:tab/>
        </w:r>
        <w:r w:rsidR="00D44A2C" w:rsidRPr="00643049">
          <w:rPr>
            <w:rStyle w:val="Collegamentoipertestuale"/>
            <w:noProof/>
          </w:rPr>
          <w:t>I crediti patrimoniali</w:t>
        </w:r>
        <w:r w:rsidR="00D44A2C">
          <w:rPr>
            <w:noProof/>
            <w:webHidden/>
          </w:rPr>
          <w:tab/>
        </w:r>
        <w:r w:rsidR="00D44A2C">
          <w:rPr>
            <w:noProof/>
            <w:webHidden/>
          </w:rPr>
          <w:fldChar w:fldCharType="begin"/>
        </w:r>
        <w:r w:rsidR="00D44A2C">
          <w:rPr>
            <w:noProof/>
            <w:webHidden/>
          </w:rPr>
          <w:instrText xml:space="preserve"> PAGEREF _Toc507422662 \h </w:instrText>
        </w:r>
        <w:r w:rsidR="00D44A2C">
          <w:rPr>
            <w:noProof/>
            <w:webHidden/>
          </w:rPr>
        </w:r>
        <w:r w:rsidR="00D44A2C">
          <w:rPr>
            <w:noProof/>
            <w:webHidden/>
          </w:rPr>
          <w:fldChar w:fldCharType="separate"/>
        </w:r>
        <w:r w:rsidR="008616B3">
          <w:rPr>
            <w:noProof/>
            <w:webHidden/>
          </w:rPr>
          <w:t>115</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63" w:history="1">
        <w:r w:rsidR="00D44A2C" w:rsidRPr="00643049">
          <w:rPr>
            <w:rStyle w:val="Collegamentoipertestuale"/>
            <w:noProof/>
          </w:rPr>
          <w:t>11.2</w:t>
        </w:r>
        <w:r w:rsidR="00D44A2C">
          <w:rPr>
            <w:rFonts w:asciiTheme="minorHAnsi" w:hAnsiTheme="minorHAnsi"/>
            <w:noProof/>
            <w:sz w:val="22"/>
            <w:szCs w:val="22"/>
            <w:lang w:eastAsia="it-IT"/>
          </w:rPr>
          <w:tab/>
        </w:r>
        <w:r w:rsidR="00D44A2C" w:rsidRPr="00643049">
          <w:rPr>
            <w:rStyle w:val="Collegamentoipertestuale"/>
            <w:noProof/>
          </w:rPr>
          <w:t>I crediti verso lo Stato e la rendicontazione sul Piano di Rinascita</w:t>
        </w:r>
        <w:r w:rsidR="00D44A2C">
          <w:rPr>
            <w:noProof/>
            <w:webHidden/>
          </w:rPr>
          <w:tab/>
        </w:r>
        <w:r w:rsidR="00D44A2C">
          <w:rPr>
            <w:noProof/>
            <w:webHidden/>
          </w:rPr>
          <w:fldChar w:fldCharType="begin"/>
        </w:r>
        <w:r w:rsidR="00D44A2C">
          <w:rPr>
            <w:noProof/>
            <w:webHidden/>
          </w:rPr>
          <w:instrText xml:space="preserve"> PAGEREF _Toc507422663 \h </w:instrText>
        </w:r>
        <w:r w:rsidR="00D44A2C">
          <w:rPr>
            <w:noProof/>
            <w:webHidden/>
          </w:rPr>
        </w:r>
        <w:r w:rsidR="00D44A2C">
          <w:rPr>
            <w:noProof/>
            <w:webHidden/>
          </w:rPr>
          <w:fldChar w:fldCharType="separate"/>
        </w:r>
        <w:r w:rsidR="008616B3">
          <w:rPr>
            <w:noProof/>
            <w:webHidden/>
          </w:rPr>
          <w:t>116</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64" w:history="1">
        <w:r w:rsidR="00D44A2C" w:rsidRPr="00643049">
          <w:rPr>
            <w:rStyle w:val="Collegamentoipertestuale"/>
            <w:noProof/>
          </w:rPr>
          <w:t>11.3</w:t>
        </w:r>
        <w:r w:rsidR="00D44A2C">
          <w:rPr>
            <w:rFonts w:asciiTheme="minorHAnsi" w:hAnsiTheme="minorHAnsi"/>
            <w:noProof/>
            <w:sz w:val="22"/>
            <w:szCs w:val="22"/>
            <w:lang w:eastAsia="it-IT"/>
          </w:rPr>
          <w:tab/>
        </w:r>
        <w:r w:rsidR="00D44A2C" w:rsidRPr="00643049">
          <w:rPr>
            <w:rStyle w:val="Collegamentoipertestuale"/>
            <w:noProof/>
          </w:rPr>
          <w:t>I crediti non iscritti in bilancio</w:t>
        </w:r>
        <w:r w:rsidR="00D44A2C">
          <w:rPr>
            <w:noProof/>
            <w:webHidden/>
          </w:rPr>
          <w:tab/>
        </w:r>
        <w:r w:rsidR="00D44A2C">
          <w:rPr>
            <w:noProof/>
            <w:webHidden/>
          </w:rPr>
          <w:fldChar w:fldCharType="begin"/>
        </w:r>
        <w:r w:rsidR="00D44A2C">
          <w:rPr>
            <w:noProof/>
            <w:webHidden/>
          </w:rPr>
          <w:instrText xml:space="preserve"> PAGEREF _Toc507422664 \h </w:instrText>
        </w:r>
        <w:r w:rsidR="00D44A2C">
          <w:rPr>
            <w:noProof/>
            <w:webHidden/>
          </w:rPr>
        </w:r>
        <w:r w:rsidR="00D44A2C">
          <w:rPr>
            <w:noProof/>
            <w:webHidden/>
          </w:rPr>
          <w:fldChar w:fldCharType="separate"/>
        </w:r>
        <w:r w:rsidR="008616B3">
          <w:rPr>
            <w:noProof/>
            <w:webHidden/>
          </w:rPr>
          <w:t>117</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5" w:history="1">
        <w:r w:rsidR="00D44A2C" w:rsidRPr="00643049">
          <w:rPr>
            <w:rStyle w:val="Collegamentoipertestuale"/>
            <w:noProof/>
          </w:rPr>
          <w:t>12</w:t>
        </w:r>
        <w:r w:rsidR="00D44A2C">
          <w:rPr>
            <w:rFonts w:asciiTheme="minorHAnsi" w:hAnsiTheme="minorHAnsi"/>
            <w:noProof/>
            <w:sz w:val="22"/>
            <w:szCs w:val="22"/>
            <w:lang w:eastAsia="it-IT"/>
          </w:rPr>
          <w:tab/>
        </w:r>
        <w:r w:rsidR="00D44A2C" w:rsidRPr="00643049">
          <w:rPr>
            <w:rStyle w:val="Collegamentoipertestuale"/>
            <w:noProof/>
          </w:rPr>
          <w:t>IL DEBITO COMMERCIALE E L’ANTICIPAZIONE DI LIQUIDITA’ PER IL PAGAMENTO DEI DEBITI SCADUTI</w:t>
        </w:r>
        <w:r w:rsidR="00D44A2C">
          <w:rPr>
            <w:noProof/>
            <w:webHidden/>
          </w:rPr>
          <w:tab/>
        </w:r>
        <w:r w:rsidR="00D44A2C">
          <w:rPr>
            <w:noProof/>
            <w:webHidden/>
          </w:rPr>
          <w:fldChar w:fldCharType="begin"/>
        </w:r>
        <w:r w:rsidR="00D44A2C">
          <w:rPr>
            <w:noProof/>
            <w:webHidden/>
          </w:rPr>
          <w:instrText xml:space="preserve"> PAGEREF _Toc507422665 \h </w:instrText>
        </w:r>
        <w:r w:rsidR="00D44A2C">
          <w:rPr>
            <w:noProof/>
            <w:webHidden/>
          </w:rPr>
        </w:r>
        <w:r w:rsidR="00D44A2C">
          <w:rPr>
            <w:noProof/>
            <w:webHidden/>
          </w:rPr>
          <w:fldChar w:fldCharType="separate"/>
        </w:r>
        <w:r w:rsidR="008616B3">
          <w:rPr>
            <w:noProof/>
            <w:webHidden/>
          </w:rPr>
          <w:t>121</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6" w:history="1">
        <w:r w:rsidR="00D44A2C" w:rsidRPr="00643049">
          <w:rPr>
            <w:rStyle w:val="Collegamentoipertestuale"/>
            <w:noProof/>
          </w:rPr>
          <w:t>13</w:t>
        </w:r>
        <w:r w:rsidR="00D44A2C">
          <w:rPr>
            <w:rFonts w:asciiTheme="minorHAnsi" w:hAnsiTheme="minorHAnsi"/>
            <w:noProof/>
            <w:sz w:val="22"/>
            <w:szCs w:val="22"/>
            <w:lang w:eastAsia="it-IT"/>
          </w:rPr>
          <w:tab/>
        </w:r>
        <w:r w:rsidR="00D44A2C" w:rsidRPr="00643049">
          <w:rPr>
            <w:rStyle w:val="Collegamentoipertestuale"/>
            <w:noProof/>
          </w:rPr>
          <w:t>I DEBITI FUORI BILANCIO</w:t>
        </w:r>
        <w:r w:rsidR="00D44A2C">
          <w:rPr>
            <w:noProof/>
            <w:webHidden/>
          </w:rPr>
          <w:tab/>
        </w:r>
        <w:r w:rsidR="00D44A2C">
          <w:rPr>
            <w:noProof/>
            <w:webHidden/>
          </w:rPr>
          <w:fldChar w:fldCharType="begin"/>
        </w:r>
        <w:r w:rsidR="00D44A2C">
          <w:rPr>
            <w:noProof/>
            <w:webHidden/>
          </w:rPr>
          <w:instrText xml:space="preserve"> PAGEREF _Toc507422666 \h </w:instrText>
        </w:r>
        <w:r w:rsidR="00D44A2C">
          <w:rPr>
            <w:noProof/>
            <w:webHidden/>
          </w:rPr>
        </w:r>
        <w:r w:rsidR="00D44A2C">
          <w:rPr>
            <w:noProof/>
            <w:webHidden/>
          </w:rPr>
          <w:fldChar w:fldCharType="separate"/>
        </w:r>
        <w:r w:rsidR="008616B3">
          <w:rPr>
            <w:noProof/>
            <w:webHidden/>
          </w:rPr>
          <w:t>125</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7" w:history="1">
        <w:r w:rsidR="00D44A2C" w:rsidRPr="00643049">
          <w:rPr>
            <w:rStyle w:val="Collegamentoipertestuale"/>
            <w:noProof/>
          </w:rPr>
          <w:t>14</w:t>
        </w:r>
        <w:r w:rsidR="00D44A2C">
          <w:rPr>
            <w:rFonts w:asciiTheme="minorHAnsi" w:hAnsiTheme="minorHAnsi"/>
            <w:noProof/>
            <w:sz w:val="22"/>
            <w:szCs w:val="22"/>
            <w:lang w:eastAsia="it-IT"/>
          </w:rPr>
          <w:tab/>
        </w:r>
        <w:r w:rsidR="00D44A2C" w:rsidRPr="00643049">
          <w:rPr>
            <w:rStyle w:val="Collegamentoipertestuale"/>
            <w:noProof/>
          </w:rPr>
          <w:t>LA SPESA PER I TRASFERIMENTI CORRENTI E PER GLI INVESTIMENTI</w:t>
        </w:r>
        <w:r w:rsidR="00D44A2C">
          <w:rPr>
            <w:noProof/>
            <w:webHidden/>
          </w:rPr>
          <w:tab/>
        </w:r>
        <w:r w:rsidR="00D44A2C">
          <w:rPr>
            <w:noProof/>
            <w:webHidden/>
          </w:rPr>
          <w:fldChar w:fldCharType="begin"/>
        </w:r>
        <w:r w:rsidR="00D44A2C">
          <w:rPr>
            <w:noProof/>
            <w:webHidden/>
          </w:rPr>
          <w:instrText xml:space="preserve"> PAGEREF _Toc507422667 \h </w:instrText>
        </w:r>
        <w:r w:rsidR="00D44A2C">
          <w:rPr>
            <w:noProof/>
            <w:webHidden/>
          </w:rPr>
        </w:r>
        <w:r w:rsidR="00D44A2C">
          <w:rPr>
            <w:noProof/>
            <w:webHidden/>
          </w:rPr>
          <w:fldChar w:fldCharType="separate"/>
        </w:r>
        <w:r w:rsidR="008616B3">
          <w:rPr>
            <w:noProof/>
            <w:webHidden/>
          </w:rPr>
          <w:t>127</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8" w:history="1">
        <w:r w:rsidR="00D44A2C" w:rsidRPr="00643049">
          <w:rPr>
            <w:rStyle w:val="Collegamentoipertestuale"/>
            <w:noProof/>
          </w:rPr>
          <w:t>15</w:t>
        </w:r>
        <w:r w:rsidR="00D44A2C">
          <w:rPr>
            <w:rFonts w:asciiTheme="minorHAnsi" w:hAnsiTheme="minorHAnsi"/>
            <w:noProof/>
            <w:sz w:val="22"/>
            <w:szCs w:val="22"/>
            <w:lang w:eastAsia="it-IT"/>
          </w:rPr>
          <w:tab/>
        </w:r>
        <w:r w:rsidR="00D44A2C" w:rsidRPr="00643049">
          <w:rPr>
            <w:rStyle w:val="Collegamentoipertestuale"/>
            <w:noProof/>
          </w:rPr>
          <w:t>I TRASFERIMENTI ALLE PROVINCE NEL NUOVO ASSETTO NORMATIVO</w:t>
        </w:r>
        <w:r w:rsidR="00D44A2C">
          <w:rPr>
            <w:noProof/>
            <w:webHidden/>
          </w:rPr>
          <w:tab/>
        </w:r>
        <w:r w:rsidR="00D44A2C">
          <w:rPr>
            <w:noProof/>
            <w:webHidden/>
          </w:rPr>
          <w:fldChar w:fldCharType="begin"/>
        </w:r>
        <w:r w:rsidR="00D44A2C">
          <w:rPr>
            <w:noProof/>
            <w:webHidden/>
          </w:rPr>
          <w:instrText xml:space="preserve"> PAGEREF _Toc507422668 \h </w:instrText>
        </w:r>
        <w:r w:rsidR="00D44A2C">
          <w:rPr>
            <w:noProof/>
            <w:webHidden/>
          </w:rPr>
        </w:r>
        <w:r w:rsidR="00D44A2C">
          <w:rPr>
            <w:noProof/>
            <w:webHidden/>
          </w:rPr>
          <w:fldChar w:fldCharType="separate"/>
        </w:r>
        <w:r w:rsidR="008616B3">
          <w:rPr>
            <w:noProof/>
            <w:webHidden/>
          </w:rPr>
          <w:t>133</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69" w:history="1">
        <w:r w:rsidR="00D44A2C" w:rsidRPr="00643049">
          <w:rPr>
            <w:rStyle w:val="Collegamentoipertestuale"/>
            <w:noProof/>
          </w:rPr>
          <w:t>16</w:t>
        </w:r>
        <w:r w:rsidR="00D44A2C">
          <w:rPr>
            <w:rFonts w:asciiTheme="minorHAnsi" w:hAnsiTheme="minorHAnsi"/>
            <w:noProof/>
            <w:sz w:val="22"/>
            <w:szCs w:val="22"/>
            <w:lang w:eastAsia="it-IT"/>
          </w:rPr>
          <w:tab/>
        </w:r>
        <w:r w:rsidR="00D44A2C" w:rsidRPr="00643049">
          <w:rPr>
            <w:rStyle w:val="Collegamentoipertestuale"/>
            <w:noProof/>
          </w:rPr>
          <w:t>LA SPESA PER IL PERSONALE, PER IL LAVORO FLESSIBILE E PER GLI INCARICHI DI CONSULENZA E STUDIO</w:t>
        </w:r>
        <w:r w:rsidR="00D44A2C">
          <w:rPr>
            <w:noProof/>
            <w:webHidden/>
          </w:rPr>
          <w:tab/>
        </w:r>
        <w:r w:rsidR="00D44A2C">
          <w:rPr>
            <w:noProof/>
            <w:webHidden/>
          </w:rPr>
          <w:fldChar w:fldCharType="begin"/>
        </w:r>
        <w:r w:rsidR="00D44A2C">
          <w:rPr>
            <w:noProof/>
            <w:webHidden/>
          </w:rPr>
          <w:instrText xml:space="preserve"> PAGEREF _Toc507422669 \h </w:instrText>
        </w:r>
        <w:r w:rsidR="00D44A2C">
          <w:rPr>
            <w:noProof/>
            <w:webHidden/>
          </w:rPr>
        </w:r>
        <w:r w:rsidR="00D44A2C">
          <w:rPr>
            <w:noProof/>
            <w:webHidden/>
          </w:rPr>
          <w:fldChar w:fldCharType="separate"/>
        </w:r>
        <w:r w:rsidR="008616B3">
          <w:rPr>
            <w:noProof/>
            <w:webHidden/>
          </w:rPr>
          <w:t>137</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70" w:history="1">
        <w:r w:rsidR="00D44A2C" w:rsidRPr="00643049">
          <w:rPr>
            <w:rStyle w:val="Collegamentoipertestuale"/>
            <w:noProof/>
          </w:rPr>
          <w:t>17</w:t>
        </w:r>
        <w:r w:rsidR="00D44A2C">
          <w:rPr>
            <w:rFonts w:asciiTheme="minorHAnsi" w:hAnsiTheme="minorHAnsi"/>
            <w:noProof/>
            <w:sz w:val="22"/>
            <w:szCs w:val="22"/>
            <w:lang w:eastAsia="it-IT"/>
          </w:rPr>
          <w:tab/>
        </w:r>
        <w:r w:rsidR="00D44A2C" w:rsidRPr="00643049">
          <w:rPr>
            <w:rStyle w:val="Collegamentoipertestuale"/>
            <w:noProof/>
          </w:rPr>
          <w:t>L’AVANZAMENTO DELLA PROGRAMMAZIONE FINANZIATA CON FONDI COMUNITARI</w:t>
        </w:r>
        <w:r w:rsidR="00D44A2C">
          <w:rPr>
            <w:noProof/>
            <w:webHidden/>
          </w:rPr>
          <w:tab/>
        </w:r>
        <w:r w:rsidR="00D44A2C">
          <w:rPr>
            <w:noProof/>
            <w:webHidden/>
          </w:rPr>
          <w:fldChar w:fldCharType="begin"/>
        </w:r>
        <w:r w:rsidR="00D44A2C">
          <w:rPr>
            <w:noProof/>
            <w:webHidden/>
          </w:rPr>
          <w:instrText xml:space="preserve"> PAGEREF _Toc507422670 \h </w:instrText>
        </w:r>
        <w:r w:rsidR="00D44A2C">
          <w:rPr>
            <w:noProof/>
            <w:webHidden/>
          </w:rPr>
        </w:r>
        <w:r w:rsidR="00D44A2C">
          <w:rPr>
            <w:noProof/>
            <w:webHidden/>
          </w:rPr>
          <w:fldChar w:fldCharType="separate"/>
        </w:r>
        <w:r w:rsidR="008616B3">
          <w:rPr>
            <w:noProof/>
            <w:webHidden/>
          </w:rPr>
          <w:t>141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1" w:history="1">
        <w:r w:rsidR="00D44A2C" w:rsidRPr="00643049">
          <w:rPr>
            <w:rStyle w:val="Collegamentoipertestuale"/>
            <w:noProof/>
          </w:rPr>
          <w:t>17.1</w:t>
        </w:r>
        <w:r w:rsidR="00D44A2C">
          <w:rPr>
            <w:rFonts w:asciiTheme="minorHAnsi" w:hAnsiTheme="minorHAnsi"/>
            <w:noProof/>
            <w:sz w:val="22"/>
            <w:szCs w:val="22"/>
            <w:lang w:eastAsia="it-IT"/>
          </w:rPr>
          <w:tab/>
        </w:r>
        <w:r w:rsidR="00D44A2C" w:rsidRPr="00643049">
          <w:rPr>
            <w:rStyle w:val="Collegamentoipertestuale"/>
            <w:noProof/>
          </w:rPr>
          <w:t>La soppressione dell’Organismo strumentale</w:t>
        </w:r>
        <w:r w:rsidR="00D44A2C">
          <w:rPr>
            <w:noProof/>
            <w:webHidden/>
          </w:rPr>
          <w:tab/>
        </w:r>
        <w:r w:rsidR="00D44A2C">
          <w:rPr>
            <w:noProof/>
            <w:webHidden/>
          </w:rPr>
          <w:fldChar w:fldCharType="begin"/>
        </w:r>
        <w:r w:rsidR="00D44A2C">
          <w:rPr>
            <w:noProof/>
            <w:webHidden/>
          </w:rPr>
          <w:instrText xml:space="preserve"> PAGEREF _Toc507422671 \h </w:instrText>
        </w:r>
        <w:r w:rsidR="00D44A2C">
          <w:rPr>
            <w:noProof/>
            <w:webHidden/>
          </w:rPr>
        </w:r>
        <w:r w:rsidR="00D44A2C">
          <w:rPr>
            <w:noProof/>
            <w:webHidden/>
          </w:rPr>
          <w:fldChar w:fldCharType="separate"/>
        </w:r>
        <w:r w:rsidR="008616B3">
          <w:rPr>
            <w:noProof/>
            <w:webHidden/>
          </w:rPr>
          <w:t>141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2" w:history="1">
        <w:r w:rsidR="00D44A2C" w:rsidRPr="00643049">
          <w:rPr>
            <w:rStyle w:val="Collegamentoipertestuale"/>
            <w:noProof/>
          </w:rPr>
          <w:t>17.2</w:t>
        </w:r>
        <w:r w:rsidR="00D44A2C">
          <w:rPr>
            <w:rFonts w:asciiTheme="minorHAnsi" w:hAnsiTheme="minorHAnsi"/>
            <w:noProof/>
            <w:sz w:val="22"/>
            <w:szCs w:val="22"/>
            <w:lang w:eastAsia="it-IT"/>
          </w:rPr>
          <w:tab/>
        </w:r>
        <w:r w:rsidR="00D44A2C" w:rsidRPr="00643049">
          <w:rPr>
            <w:rStyle w:val="Collegamentoipertestuale"/>
            <w:noProof/>
          </w:rPr>
          <w:t>La gestione dei fondi comunitari – FSC - PAC - Patto per lo sviluppo della Regione Sardegna</w:t>
        </w:r>
        <w:r w:rsidR="00D44A2C">
          <w:rPr>
            <w:noProof/>
            <w:webHidden/>
          </w:rPr>
          <w:tab/>
        </w:r>
        <w:r w:rsidR="00D44A2C">
          <w:rPr>
            <w:noProof/>
            <w:webHidden/>
          </w:rPr>
          <w:fldChar w:fldCharType="begin"/>
        </w:r>
        <w:r w:rsidR="00D44A2C">
          <w:rPr>
            <w:noProof/>
            <w:webHidden/>
          </w:rPr>
          <w:instrText xml:space="preserve"> PAGEREF _Toc507422672 \h </w:instrText>
        </w:r>
        <w:r w:rsidR="00D44A2C">
          <w:rPr>
            <w:noProof/>
            <w:webHidden/>
          </w:rPr>
        </w:r>
        <w:r w:rsidR="00D44A2C">
          <w:rPr>
            <w:noProof/>
            <w:webHidden/>
          </w:rPr>
          <w:fldChar w:fldCharType="separate"/>
        </w:r>
        <w:r w:rsidR="008616B3">
          <w:rPr>
            <w:noProof/>
            <w:webHidden/>
          </w:rPr>
          <w:t>143</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73" w:history="1">
        <w:r w:rsidR="00D44A2C" w:rsidRPr="00643049">
          <w:rPr>
            <w:rStyle w:val="Collegamentoipertestuale"/>
            <w:noProof/>
          </w:rPr>
          <w:t>18</w:t>
        </w:r>
        <w:r w:rsidR="00D44A2C">
          <w:rPr>
            <w:rFonts w:asciiTheme="minorHAnsi" w:hAnsiTheme="minorHAnsi"/>
            <w:noProof/>
            <w:sz w:val="22"/>
            <w:szCs w:val="22"/>
            <w:lang w:eastAsia="it-IT"/>
          </w:rPr>
          <w:tab/>
        </w:r>
        <w:r w:rsidR="00D44A2C" w:rsidRPr="00643049">
          <w:rPr>
            <w:rStyle w:val="Collegamentoipertestuale"/>
            <w:noProof/>
          </w:rPr>
          <w:t>IL SERVIZIO SANITARIO REGIONALE</w:t>
        </w:r>
        <w:r w:rsidR="00D44A2C">
          <w:rPr>
            <w:noProof/>
            <w:webHidden/>
          </w:rPr>
          <w:tab/>
        </w:r>
        <w:r w:rsidR="00D44A2C">
          <w:rPr>
            <w:noProof/>
            <w:webHidden/>
          </w:rPr>
          <w:fldChar w:fldCharType="begin"/>
        </w:r>
        <w:r w:rsidR="00D44A2C">
          <w:rPr>
            <w:noProof/>
            <w:webHidden/>
          </w:rPr>
          <w:instrText xml:space="preserve"> PAGEREF _Toc507422673 \h </w:instrText>
        </w:r>
        <w:r w:rsidR="00D44A2C">
          <w:rPr>
            <w:noProof/>
            <w:webHidden/>
          </w:rPr>
        </w:r>
        <w:r w:rsidR="00D44A2C">
          <w:rPr>
            <w:noProof/>
            <w:webHidden/>
          </w:rPr>
          <w:fldChar w:fldCharType="separate"/>
        </w:r>
        <w:r w:rsidR="008616B3">
          <w:rPr>
            <w:noProof/>
            <w:webHidden/>
          </w:rPr>
          <w:t>147</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4" w:history="1">
        <w:r w:rsidR="00D44A2C" w:rsidRPr="00643049">
          <w:rPr>
            <w:rStyle w:val="Collegamentoipertestuale"/>
            <w:noProof/>
          </w:rPr>
          <w:t>18.1</w:t>
        </w:r>
        <w:r w:rsidR="00D44A2C">
          <w:rPr>
            <w:rFonts w:asciiTheme="minorHAnsi" w:hAnsiTheme="minorHAnsi"/>
            <w:noProof/>
            <w:sz w:val="22"/>
            <w:szCs w:val="22"/>
            <w:lang w:eastAsia="it-IT"/>
          </w:rPr>
          <w:tab/>
        </w:r>
        <w:r w:rsidR="00D44A2C" w:rsidRPr="00643049">
          <w:rPr>
            <w:rStyle w:val="Collegamentoipertestuale"/>
            <w:noProof/>
          </w:rPr>
          <w:t>La perimetrazione delle risorse destinate alla spesa sanitaria</w:t>
        </w:r>
        <w:r w:rsidR="00D44A2C">
          <w:rPr>
            <w:noProof/>
            <w:webHidden/>
          </w:rPr>
          <w:tab/>
        </w:r>
        <w:r w:rsidR="00D44A2C">
          <w:rPr>
            <w:noProof/>
            <w:webHidden/>
          </w:rPr>
          <w:fldChar w:fldCharType="begin"/>
        </w:r>
        <w:r w:rsidR="00D44A2C">
          <w:rPr>
            <w:noProof/>
            <w:webHidden/>
          </w:rPr>
          <w:instrText xml:space="preserve"> PAGEREF _Toc507422674 \h </w:instrText>
        </w:r>
        <w:r w:rsidR="00D44A2C">
          <w:rPr>
            <w:noProof/>
            <w:webHidden/>
          </w:rPr>
        </w:r>
        <w:r w:rsidR="00D44A2C">
          <w:rPr>
            <w:noProof/>
            <w:webHidden/>
          </w:rPr>
          <w:fldChar w:fldCharType="separate"/>
        </w:r>
        <w:r w:rsidR="008616B3">
          <w:rPr>
            <w:noProof/>
            <w:webHidden/>
          </w:rPr>
          <w:t>147</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5" w:history="1">
        <w:r w:rsidR="00D44A2C" w:rsidRPr="00643049">
          <w:rPr>
            <w:rStyle w:val="Collegamentoipertestuale"/>
            <w:noProof/>
          </w:rPr>
          <w:t>18.2</w:t>
        </w:r>
        <w:r w:rsidR="00D44A2C">
          <w:rPr>
            <w:rFonts w:asciiTheme="minorHAnsi" w:hAnsiTheme="minorHAnsi"/>
            <w:noProof/>
            <w:sz w:val="22"/>
            <w:szCs w:val="22"/>
            <w:lang w:eastAsia="it-IT"/>
          </w:rPr>
          <w:tab/>
        </w:r>
        <w:r w:rsidR="00D44A2C" w:rsidRPr="00643049">
          <w:rPr>
            <w:rStyle w:val="Collegamentoipertestuale"/>
            <w:noProof/>
          </w:rPr>
          <w:t>Le risorse del Bilancio Regionale destinate alla sanità</w:t>
        </w:r>
        <w:r w:rsidR="00D44A2C">
          <w:rPr>
            <w:noProof/>
            <w:webHidden/>
          </w:rPr>
          <w:tab/>
        </w:r>
        <w:r w:rsidR="00D44A2C">
          <w:rPr>
            <w:noProof/>
            <w:webHidden/>
          </w:rPr>
          <w:fldChar w:fldCharType="begin"/>
        </w:r>
        <w:r w:rsidR="00D44A2C">
          <w:rPr>
            <w:noProof/>
            <w:webHidden/>
          </w:rPr>
          <w:instrText xml:space="preserve"> PAGEREF _Toc507422675 \h </w:instrText>
        </w:r>
        <w:r w:rsidR="00D44A2C">
          <w:rPr>
            <w:noProof/>
            <w:webHidden/>
          </w:rPr>
        </w:r>
        <w:r w:rsidR="00D44A2C">
          <w:rPr>
            <w:noProof/>
            <w:webHidden/>
          </w:rPr>
          <w:fldChar w:fldCharType="separate"/>
        </w:r>
        <w:r w:rsidR="008616B3">
          <w:rPr>
            <w:noProof/>
            <w:webHidden/>
          </w:rPr>
          <w:t>149</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6" w:history="1">
        <w:r w:rsidR="00D44A2C" w:rsidRPr="00643049">
          <w:rPr>
            <w:rStyle w:val="Collegamentoipertestuale"/>
            <w:noProof/>
          </w:rPr>
          <w:t>18.3</w:t>
        </w:r>
        <w:r w:rsidR="00D44A2C">
          <w:rPr>
            <w:rFonts w:asciiTheme="minorHAnsi" w:hAnsiTheme="minorHAnsi"/>
            <w:noProof/>
            <w:sz w:val="22"/>
            <w:szCs w:val="22"/>
            <w:lang w:eastAsia="it-IT"/>
          </w:rPr>
          <w:tab/>
        </w:r>
        <w:r w:rsidR="00D44A2C" w:rsidRPr="00643049">
          <w:rPr>
            <w:rStyle w:val="Collegamentoipertestuale"/>
            <w:noProof/>
          </w:rPr>
          <w:t>Le risorse assegnate alle Aziende</w:t>
        </w:r>
        <w:r w:rsidR="00D44A2C">
          <w:rPr>
            <w:noProof/>
            <w:webHidden/>
          </w:rPr>
          <w:tab/>
        </w:r>
        <w:r w:rsidR="00D44A2C">
          <w:rPr>
            <w:noProof/>
            <w:webHidden/>
          </w:rPr>
          <w:fldChar w:fldCharType="begin"/>
        </w:r>
        <w:r w:rsidR="00D44A2C">
          <w:rPr>
            <w:noProof/>
            <w:webHidden/>
          </w:rPr>
          <w:instrText xml:space="preserve"> PAGEREF _Toc507422676 \h </w:instrText>
        </w:r>
        <w:r w:rsidR="00D44A2C">
          <w:rPr>
            <w:noProof/>
            <w:webHidden/>
          </w:rPr>
        </w:r>
        <w:r w:rsidR="00D44A2C">
          <w:rPr>
            <w:noProof/>
            <w:webHidden/>
          </w:rPr>
          <w:fldChar w:fldCharType="separate"/>
        </w:r>
        <w:r w:rsidR="008616B3">
          <w:rPr>
            <w:noProof/>
            <w:webHidden/>
          </w:rPr>
          <w:t>151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7" w:history="1">
        <w:r w:rsidR="00D44A2C" w:rsidRPr="00643049">
          <w:rPr>
            <w:rStyle w:val="Collegamentoipertestuale"/>
            <w:noProof/>
          </w:rPr>
          <w:t>18.4</w:t>
        </w:r>
        <w:r w:rsidR="00D44A2C">
          <w:rPr>
            <w:rFonts w:asciiTheme="minorHAnsi" w:hAnsiTheme="minorHAnsi"/>
            <w:noProof/>
            <w:sz w:val="22"/>
            <w:szCs w:val="22"/>
            <w:lang w:eastAsia="it-IT"/>
          </w:rPr>
          <w:tab/>
        </w:r>
        <w:r w:rsidR="00D44A2C" w:rsidRPr="00643049">
          <w:rPr>
            <w:rStyle w:val="Collegamentoipertestuale"/>
            <w:noProof/>
          </w:rPr>
          <w:t>Azioni per il contenimento dei costi (Piano di riorganizzazione e di riqualificazione del Servizio Sanitario Regionale 2016/2018)</w:t>
        </w:r>
        <w:r w:rsidR="00D44A2C">
          <w:rPr>
            <w:noProof/>
            <w:webHidden/>
          </w:rPr>
          <w:tab/>
        </w:r>
        <w:r w:rsidR="00D44A2C">
          <w:rPr>
            <w:noProof/>
            <w:webHidden/>
          </w:rPr>
          <w:fldChar w:fldCharType="begin"/>
        </w:r>
        <w:r w:rsidR="00D44A2C">
          <w:rPr>
            <w:noProof/>
            <w:webHidden/>
          </w:rPr>
          <w:instrText xml:space="preserve"> PAGEREF _Toc507422677 \h </w:instrText>
        </w:r>
        <w:r w:rsidR="00D44A2C">
          <w:rPr>
            <w:noProof/>
            <w:webHidden/>
          </w:rPr>
        </w:r>
        <w:r w:rsidR="00D44A2C">
          <w:rPr>
            <w:noProof/>
            <w:webHidden/>
          </w:rPr>
          <w:fldChar w:fldCharType="separate"/>
        </w:r>
        <w:r w:rsidR="008616B3">
          <w:rPr>
            <w:noProof/>
            <w:webHidden/>
          </w:rPr>
          <w:t>154</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78" w:history="1">
        <w:r w:rsidR="00D44A2C" w:rsidRPr="00643049">
          <w:rPr>
            <w:rStyle w:val="Collegamentoipertestuale"/>
            <w:noProof/>
          </w:rPr>
          <w:t>18.5</w:t>
        </w:r>
        <w:r w:rsidR="00D44A2C">
          <w:rPr>
            <w:rFonts w:asciiTheme="minorHAnsi" w:hAnsiTheme="minorHAnsi"/>
            <w:noProof/>
            <w:sz w:val="22"/>
            <w:szCs w:val="22"/>
            <w:lang w:eastAsia="it-IT"/>
          </w:rPr>
          <w:tab/>
        </w:r>
        <w:r w:rsidR="00D44A2C" w:rsidRPr="00643049">
          <w:rPr>
            <w:rStyle w:val="Collegamentoipertestuale"/>
            <w:noProof/>
          </w:rPr>
          <w:t>I risultati di esercizio delle Aziende Sanitarie</w:t>
        </w:r>
        <w:r w:rsidR="00D44A2C">
          <w:rPr>
            <w:noProof/>
            <w:webHidden/>
          </w:rPr>
          <w:tab/>
        </w:r>
        <w:r w:rsidR="00D44A2C">
          <w:rPr>
            <w:noProof/>
            <w:webHidden/>
          </w:rPr>
          <w:fldChar w:fldCharType="begin"/>
        </w:r>
        <w:r w:rsidR="00D44A2C">
          <w:rPr>
            <w:noProof/>
            <w:webHidden/>
          </w:rPr>
          <w:instrText xml:space="preserve"> PAGEREF _Toc507422678 \h </w:instrText>
        </w:r>
        <w:r w:rsidR="00D44A2C">
          <w:rPr>
            <w:noProof/>
            <w:webHidden/>
          </w:rPr>
        </w:r>
        <w:r w:rsidR="00D44A2C">
          <w:rPr>
            <w:noProof/>
            <w:webHidden/>
          </w:rPr>
          <w:fldChar w:fldCharType="separate"/>
        </w:r>
        <w:r w:rsidR="008616B3">
          <w:rPr>
            <w:noProof/>
            <w:webHidden/>
          </w:rPr>
          <w:t>155</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79" w:history="1">
        <w:r w:rsidR="00D44A2C" w:rsidRPr="00643049">
          <w:rPr>
            <w:rStyle w:val="Collegamentoipertestuale"/>
            <w:noProof/>
          </w:rPr>
          <w:t>18.5.1</w:t>
        </w:r>
        <w:r w:rsidR="00D44A2C">
          <w:rPr>
            <w:rFonts w:asciiTheme="minorHAnsi" w:hAnsiTheme="minorHAnsi"/>
            <w:noProof/>
            <w:sz w:val="22"/>
            <w:szCs w:val="22"/>
            <w:lang w:eastAsia="it-IT"/>
          </w:rPr>
          <w:tab/>
        </w:r>
        <w:r w:rsidR="00D44A2C" w:rsidRPr="00643049">
          <w:rPr>
            <w:rStyle w:val="Collegamentoipertestuale"/>
            <w:noProof/>
          </w:rPr>
          <w:t>La spesa farmaceutica</w:t>
        </w:r>
        <w:r w:rsidR="00D44A2C">
          <w:rPr>
            <w:noProof/>
            <w:webHidden/>
          </w:rPr>
          <w:tab/>
        </w:r>
        <w:r w:rsidR="00D44A2C">
          <w:rPr>
            <w:noProof/>
            <w:webHidden/>
          </w:rPr>
          <w:fldChar w:fldCharType="begin"/>
        </w:r>
        <w:r w:rsidR="00D44A2C">
          <w:rPr>
            <w:noProof/>
            <w:webHidden/>
          </w:rPr>
          <w:instrText xml:space="preserve"> PAGEREF _Toc507422679 \h </w:instrText>
        </w:r>
        <w:r w:rsidR="00D44A2C">
          <w:rPr>
            <w:noProof/>
            <w:webHidden/>
          </w:rPr>
        </w:r>
        <w:r w:rsidR="00D44A2C">
          <w:rPr>
            <w:noProof/>
            <w:webHidden/>
          </w:rPr>
          <w:fldChar w:fldCharType="separate"/>
        </w:r>
        <w:r w:rsidR="008616B3">
          <w:rPr>
            <w:noProof/>
            <w:webHidden/>
          </w:rPr>
          <w:t>156</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80" w:history="1">
        <w:r w:rsidR="00D44A2C" w:rsidRPr="00643049">
          <w:rPr>
            <w:rStyle w:val="Collegamentoipertestuale"/>
            <w:noProof/>
          </w:rPr>
          <w:t>18.6</w:t>
        </w:r>
        <w:r w:rsidR="00D44A2C">
          <w:rPr>
            <w:rFonts w:asciiTheme="minorHAnsi" w:hAnsiTheme="minorHAnsi"/>
            <w:noProof/>
            <w:sz w:val="22"/>
            <w:szCs w:val="22"/>
            <w:lang w:eastAsia="it-IT"/>
          </w:rPr>
          <w:tab/>
        </w:r>
        <w:r w:rsidR="00D44A2C" w:rsidRPr="00643049">
          <w:rPr>
            <w:rStyle w:val="Collegamentoipertestuale"/>
            <w:noProof/>
          </w:rPr>
          <w:t>Il disavanzo sanitario e la relativa copertura</w:t>
        </w:r>
        <w:r w:rsidR="00D44A2C">
          <w:rPr>
            <w:noProof/>
            <w:webHidden/>
          </w:rPr>
          <w:tab/>
        </w:r>
        <w:r w:rsidR="00D44A2C">
          <w:rPr>
            <w:noProof/>
            <w:webHidden/>
          </w:rPr>
          <w:fldChar w:fldCharType="begin"/>
        </w:r>
        <w:r w:rsidR="00D44A2C">
          <w:rPr>
            <w:noProof/>
            <w:webHidden/>
          </w:rPr>
          <w:instrText xml:space="preserve"> PAGEREF _Toc507422680 \h </w:instrText>
        </w:r>
        <w:r w:rsidR="00D44A2C">
          <w:rPr>
            <w:noProof/>
            <w:webHidden/>
          </w:rPr>
        </w:r>
        <w:r w:rsidR="00D44A2C">
          <w:rPr>
            <w:noProof/>
            <w:webHidden/>
          </w:rPr>
          <w:fldChar w:fldCharType="separate"/>
        </w:r>
        <w:r w:rsidR="008616B3">
          <w:rPr>
            <w:noProof/>
            <w:webHidden/>
          </w:rPr>
          <w:t>159</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81" w:history="1">
        <w:r w:rsidR="00D44A2C" w:rsidRPr="00643049">
          <w:rPr>
            <w:rStyle w:val="Collegamentoipertestuale"/>
            <w:noProof/>
          </w:rPr>
          <w:t>18.7</w:t>
        </w:r>
        <w:r w:rsidR="00D44A2C">
          <w:rPr>
            <w:rFonts w:asciiTheme="minorHAnsi" w:hAnsiTheme="minorHAnsi"/>
            <w:noProof/>
            <w:sz w:val="22"/>
            <w:szCs w:val="22"/>
            <w:lang w:eastAsia="it-IT"/>
          </w:rPr>
          <w:tab/>
        </w:r>
        <w:r w:rsidR="00D44A2C" w:rsidRPr="00643049">
          <w:rPr>
            <w:rStyle w:val="Collegamentoipertestuale"/>
            <w:noProof/>
          </w:rPr>
          <w:t>Il Piano di riorganizzazione e di riqualificazione del Servizio Sanitario Regionale 2016/2018 - (PdR)</w:t>
        </w:r>
        <w:r w:rsidR="00D44A2C">
          <w:rPr>
            <w:noProof/>
            <w:webHidden/>
          </w:rPr>
          <w:tab/>
        </w:r>
        <w:r w:rsidR="00D44A2C">
          <w:rPr>
            <w:noProof/>
            <w:webHidden/>
          </w:rPr>
          <w:fldChar w:fldCharType="begin"/>
        </w:r>
        <w:r w:rsidR="00D44A2C">
          <w:rPr>
            <w:noProof/>
            <w:webHidden/>
          </w:rPr>
          <w:instrText xml:space="preserve"> PAGEREF _Toc507422681 \h </w:instrText>
        </w:r>
        <w:r w:rsidR="00D44A2C">
          <w:rPr>
            <w:noProof/>
            <w:webHidden/>
          </w:rPr>
        </w:r>
        <w:r w:rsidR="00D44A2C">
          <w:rPr>
            <w:noProof/>
            <w:webHidden/>
          </w:rPr>
          <w:fldChar w:fldCharType="separate"/>
        </w:r>
        <w:r w:rsidR="008616B3">
          <w:rPr>
            <w:noProof/>
            <w:webHidden/>
          </w:rPr>
          <w:t>161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82" w:history="1">
        <w:r w:rsidR="00D44A2C" w:rsidRPr="00643049">
          <w:rPr>
            <w:rStyle w:val="Collegamentoipertestuale"/>
            <w:noProof/>
          </w:rPr>
          <w:t>18.8</w:t>
        </w:r>
        <w:r w:rsidR="00D44A2C">
          <w:rPr>
            <w:rFonts w:asciiTheme="minorHAnsi" w:hAnsiTheme="minorHAnsi"/>
            <w:noProof/>
            <w:sz w:val="22"/>
            <w:szCs w:val="22"/>
            <w:lang w:eastAsia="it-IT"/>
          </w:rPr>
          <w:tab/>
        </w:r>
        <w:r w:rsidR="00D44A2C" w:rsidRPr="00643049">
          <w:rPr>
            <w:rStyle w:val="Collegamentoipertestuale"/>
            <w:noProof/>
          </w:rPr>
          <w:t>I debiti delle Aziende del SSR</w:t>
        </w:r>
        <w:r w:rsidR="00D44A2C">
          <w:rPr>
            <w:noProof/>
            <w:webHidden/>
          </w:rPr>
          <w:tab/>
        </w:r>
        <w:r w:rsidR="00D44A2C">
          <w:rPr>
            <w:noProof/>
            <w:webHidden/>
          </w:rPr>
          <w:fldChar w:fldCharType="begin"/>
        </w:r>
        <w:r w:rsidR="00D44A2C">
          <w:rPr>
            <w:noProof/>
            <w:webHidden/>
          </w:rPr>
          <w:instrText xml:space="preserve"> PAGEREF _Toc507422682 \h </w:instrText>
        </w:r>
        <w:r w:rsidR="00D44A2C">
          <w:rPr>
            <w:noProof/>
            <w:webHidden/>
          </w:rPr>
        </w:r>
        <w:r w:rsidR="00D44A2C">
          <w:rPr>
            <w:noProof/>
            <w:webHidden/>
          </w:rPr>
          <w:fldChar w:fldCharType="separate"/>
        </w:r>
        <w:r w:rsidR="008616B3">
          <w:rPr>
            <w:noProof/>
            <w:webHidden/>
          </w:rPr>
          <w:t>166</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683" w:history="1">
        <w:r w:rsidR="00D44A2C" w:rsidRPr="00643049">
          <w:rPr>
            <w:rStyle w:val="Collegamentoipertestuale"/>
            <w:rFonts w:eastAsia="Times New Roman"/>
            <w:noProof/>
          </w:rPr>
          <w:t>19</w:t>
        </w:r>
        <w:r w:rsidR="00D44A2C">
          <w:rPr>
            <w:rFonts w:asciiTheme="minorHAnsi" w:hAnsiTheme="minorHAnsi"/>
            <w:noProof/>
            <w:sz w:val="22"/>
            <w:szCs w:val="22"/>
            <w:lang w:eastAsia="it-IT"/>
          </w:rPr>
          <w:tab/>
        </w:r>
        <w:r w:rsidR="00D44A2C" w:rsidRPr="00643049">
          <w:rPr>
            <w:rStyle w:val="Collegamentoipertestuale"/>
            <w:rFonts w:eastAsia="Times New Roman"/>
            <w:noProof/>
          </w:rPr>
          <w:t>IL CONTO ECONOMICO E LO STATO PATRIMONIALE</w:t>
        </w:r>
        <w:r w:rsidR="00D44A2C">
          <w:rPr>
            <w:noProof/>
            <w:webHidden/>
          </w:rPr>
          <w:tab/>
        </w:r>
        <w:r w:rsidR="00D44A2C">
          <w:rPr>
            <w:noProof/>
            <w:webHidden/>
          </w:rPr>
          <w:fldChar w:fldCharType="begin"/>
        </w:r>
        <w:r w:rsidR="00D44A2C">
          <w:rPr>
            <w:noProof/>
            <w:webHidden/>
          </w:rPr>
          <w:instrText xml:space="preserve"> PAGEREF _Toc507422683 \h </w:instrText>
        </w:r>
        <w:r w:rsidR="00D44A2C">
          <w:rPr>
            <w:noProof/>
            <w:webHidden/>
          </w:rPr>
        </w:r>
        <w:r w:rsidR="00D44A2C">
          <w:rPr>
            <w:noProof/>
            <w:webHidden/>
          </w:rPr>
          <w:fldChar w:fldCharType="separate"/>
        </w:r>
        <w:r w:rsidR="008616B3">
          <w:rPr>
            <w:noProof/>
            <w:webHidden/>
          </w:rPr>
          <w:t>171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84" w:history="1">
        <w:r w:rsidR="00D44A2C" w:rsidRPr="00643049">
          <w:rPr>
            <w:rStyle w:val="Collegamentoipertestuale"/>
            <w:rFonts w:eastAsia="Times New Roman"/>
            <w:noProof/>
          </w:rPr>
          <w:t>19.1</w:t>
        </w:r>
        <w:r w:rsidR="00D44A2C">
          <w:rPr>
            <w:rFonts w:asciiTheme="minorHAnsi" w:hAnsiTheme="minorHAnsi"/>
            <w:noProof/>
            <w:sz w:val="22"/>
            <w:szCs w:val="22"/>
            <w:lang w:eastAsia="it-IT"/>
          </w:rPr>
          <w:tab/>
        </w:r>
        <w:r w:rsidR="00D44A2C" w:rsidRPr="00643049">
          <w:rPr>
            <w:rStyle w:val="Collegamentoipertestuale"/>
            <w:rFonts w:eastAsia="Times New Roman"/>
            <w:noProof/>
          </w:rPr>
          <w:t>Premessa</w:t>
        </w:r>
        <w:r w:rsidR="00D44A2C">
          <w:rPr>
            <w:noProof/>
            <w:webHidden/>
          </w:rPr>
          <w:tab/>
        </w:r>
        <w:r w:rsidR="00D44A2C">
          <w:rPr>
            <w:noProof/>
            <w:webHidden/>
          </w:rPr>
          <w:fldChar w:fldCharType="begin"/>
        </w:r>
        <w:r w:rsidR="00D44A2C">
          <w:rPr>
            <w:noProof/>
            <w:webHidden/>
          </w:rPr>
          <w:instrText xml:space="preserve"> PAGEREF _Toc507422684 \h </w:instrText>
        </w:r>
        <w:r w:rsidR="00D44A2C">
          <w:rPr>
            <w:noProof/>
            <w:webHidden/>
          </w:rPr>
        </w:r>
        <w:r w:rsidR="00D44A2C">
          <w:rPr>
            <w:noProof/>
            <w:webHidden/>
          </w:rPr>
          <w:fldChar w:fldCharType="separate"/>
        </w:r>
        <w:r w:rsidR="008616B3">
          <w:rPr>
            <w:noProof/>
            <w:webHidden/>
          </w:rPr>
          <w:t>171</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85" w:history="1">
        <w:r w:rsidR="00D44A2C" w:rsidRPr="00643049">
          <w:rPr>
            <w:rStyle w:val="Collegamentoipertestuale"/>
            <w:rFonts w:eastAsia="Times New Roman"/>
            <w:noProof/>
          </w:rPr>
          <w:t>19.2</w:t>
        </w:r>
        <w:r w:rsidR="00D44A2C">
          <w:rPr>
            <w:rFonts w:asciiTheme="minorHAnsi" w:hAnsiTheme="minorHAnsi"/>
            <w:noProof/>
            <w:sz w:val="22"/>
            <w:szCs w:val="22"/>
            <w:lang w:eastAsia="it-IT"/>
          </w:rPr>
          <w:tab/>
        </w:r>
        <w:r w:rsidR="00D44A2C" w:rsidRPr="00643049">
          <w:rPr>
            <w:rStyle w:val="Collegamentoipertestuale"/>
            <w:rFonts w:eastAsia="Times New Roman"/>
            <w:noProof/>
          </w:rPr>
          <w:t>Il conto economico</w:t>
        </w:r>
        <w:r w:rsidR="00D44A2C">
          <w:rPr>
            <w:noProof/>
            <w:webHidden/>
          </w:rPr>
          <w:tab/>
        </w:r>
        <w:r w:rsidR="00D44A2C">
          <w:rPr>
            <w:noProof/>
            <w:webHidden/>
          </w:rPr>
          <w:fldChar w:fldCharType="begin"/>
        </w:r>
        <w:r w:rsidR="00D44A2C">
          <w:rPr>
            <w:noProof/>
            <w:webHidden/>
          </w:rPr>
          <w:instrText xml:space="preserve"> PAGEREF _Toc507422685 \h </w:instrText>
        </w:r>
        <w:r w:rsidR="00D44A2C">
          <w:rPr>
            <w:noProof/>
            <w:webHidden/>
          </w:rPr>
        </w:r>
        <w:r w:rsidR="00D44A2C">
          <w:rPr>
            <w:noProof/>
            <w:webHidden/>
          </w:rPr>
          <w:fldChar w:fldCharType="separate"/>
        </w:r>
        <w:r w:rsidR="008616B3">
          <w:rPr>
            <w:noProof/>
            <w:webHidden/>
          </w:rPr>
          <w:t>173</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86" w:history="1">
        <w:r w:rsidR="00D44A2C" w:rsidRPr="00643049">
          <w:rPr>
            <w:rStyle w:val="Collegamentoipertestuale"/>
            <w:rFonts w:eastAsia="Times New Roman"/>
            <w:noProof/>
          </w:rPr>
          <w:t>19.2.1</w:t>
        </w:r>
        <w:r w:rsidR="00D44A2C">
          <w:rPr>
            <w:rFonts w:asciiTheme="minorHAnsi" w:hAnsiTheme="minorHAnsi"/>
            <w:noProof/>
            <w:sz w:val="22"/>
            <w:szCs w:val="22"/>
            <w:lang w:eastAsia="it-IT"/>
          </w:rPr>
          <w:tab/>
        </w:r>
        <w:r w:rsidR="00D44A2C" w:rsidRPr="00643049">
          <w:rPr>
            <w:rStyle w:val="Collegamentoipertestuale"/>
            <w:rFonts w:eastAsia="Times New Roman"/>
            <w:noProof/>
          </w:rPr>
          <w:t>Risultato dell’esercizio</w:t>
        </w:r>
        <w:r w:rsidR="00D44A2C">
          <w:rPr>
            <w:noProof/>
            <w:webHidden/>
          </w:rPr>
          <w:tab/>
        </w:r>
        <w:r w:rsidR="00D44A2C">
          <w:rPr>
            <w:noProof/>
            <w:webHidden/>
          </w:rPr>
          <w:fldChar w:fldCharType="begin"/>
        </w:r>
        <w:r w:rsidR="00D44A2C">
          <w:rPr>
            <w:noProof/>
            <w:webHidden/>
          </w:rPr>
          <w:instrText xml:space="preserve"> PAGEREF _Toc507422686 \h </w:instrText>
        </w:r>
        <w:r w:rsidR="00D44A2C">
          <w:rPr>
            <w:noProof/>
            <w:webHidden/>
          </w:rPr>
        </w:r>
        <w:r w:rsidR="00D44A2C">
          <w:rPr>
            <w:noProof/>
            <w:webHidden/>
          </w:rPr>
          <w:fldChar w:fldCharType="separate"/>
        </w:r>
        <w:r w:rsidR="008616B3">
          <w:rPr>
            <w:noProof/>
            <w:webHidden/>
          </w:rPr>
          <w:t>173</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87" w:history="1">
        <w:r w:rsidR="00D44A2C" w:rsidRPr="00643049">
          <w:rPr>
            <w:rStyle w:val="Collegamentoipertestuale"/>
            <w:rFonts w:eastAsia="Times New Roman"/>
            <w:noProof/>
          </w:rPr>
          <w:t>19.2.2</w:t>
        </w:r>
        <w:r w:rsidR="00D44A2C">
          <w:rPr>
            <w:rFonts w:asciiTheme="minorHAnsi" w:hAnsiTheme="minorHAnsi"/>
            <w:noProof/>
            <w:sz w:val="22"/>
            <w:szCs w:val="22"/>
            <w:lang w:eastAsia="it-IT"/>
          </w:rPr>
          <w:tab/>
        </w:r>
        <w:r w:rsidR="00D44A2C" w:rsidRPr="00643049">
          <w:rPr>
            <w:rStyle w:val="Collegamentoipertestuale"/>
            <w:rFonts w:eastAsia="Times New Roman"/>
            <w:noProof/>
          </w:rPr>
          <w:t>Componenti positivi della gestione</w:t>
        </w:r>
        <w:r w:rsidR="00D44A2C">
          <w:rPr>
            <w:noProof/>
            <w:webHidden/>
          </w:rPr>
          <w:tab/>
        </w:r>
        <w:r w:rsidR="00D44A2C">
          <w:rPr>
            <w:noProof/>
            <w:webHidden/>
          </w:rPr>
          <w:fldChar w:fldCharType="begin"/>
        </w:r>
        <w:r w:rsidR="00D44A2C">
          <w:rPr>
            <w:noProof/>
            <w:webHidden/>
          </w:rPr>
          <w:instrText xml:space="preserve"> PAGEREF _Toc507422687 \h </w:instrText>
        </w:r>
        <w:r w:rsidR="00D44A2C">
          <w:rPr>
            <w:noProof/>
            <w:webHidden/>
          </w:rPr>
        </w:r>
        <w:r w:rsidR="00D44A2C">
          <w:rPr>
            <w:noProof/>
            <w:webHidden/>
          </w:rPr>
          <w:fldChar w:fldCharType="separate"/>
        </w:r>
        <w:r w:rsidR="008616B3">
          <w:rPr>
            <w:noProof/>
            <w:webHidden/>
          </w:rPr>
          <w:t>175</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88" w:history="1">
        <w:r w:rsidR="00D44A2C" w:rsidRPr="00643049">
          <w:rPr>
            <w:rStyle w:val="Collegamentoipertestuale"/>
            <w:rFonts w:eastAsia="Times New Roman"/>
            <w:noProof/>
          </w:rPr>
          <w:t>19.2.3</w:t>
        </w:r>
        <w:r w:rsidR="00D44A2C">
          <w:rPr>
            <w:rFonts w:asciiTheme="minorHAnsi" w:hAnsiTheme="minorHAnsi"/>
            <w:noProof/>
            <w:sz w:val="22"/>
            <w:szCs w:val="22"/>
            <w:lang w:eastAsia="it-IT"/>
          </w:rPr>
          <w:tab/>
        </w:r>
        <w:r w:rsidR="00D44A2C" w:rsidRPr="00643049">
          <w:rPr>
            <w:rStyle w:val="Collegamentoipertestuale"/>
            <w:rFonts w:eastAsia="Times New Roman"/>
            <w:noProof/>
          </w:rPr>
          <w:t>Componenti negativi della gestione</w:t>
        </w:r>
        <w:r w:rsidR="00D44A2C">
          <w:rPr>
            <w:noProof/>
            <w:webHidden/>
          </w:rPr>
          <w:tab/>
        </w:r>
        <w:r w:rsidR="00D44A2C">
          <w:rPr>
            <w:noProof/>
            <w:webHidden/>
          </w:rPr>
          <w:fldChar w:fldCharType="begin"/>
        </w:r>
        <w:r w:rsidR="00D44A2C">
          <w:rPr>
            <w:noProof/>
            <w:webHidden/>
          </w:rPr>
          <w:instrText xml:space="preserve"> PAGEREF _Toc507422688 \h </w:instrText>
        </w:r>
        <w:r w:rsidR="00D44A2C">
          <w:rPr>
            <w:noProof/>
            <w:webHidden/>
          </w:rPr>
        </w:r>
        <w:r w:rsidR="00D44A2C">
          <w:rPr>
            <w:noProof/>
            <w:webHidden/>
          </w:rPr>
          <w:fldChar w:fldCharType="separate"/>
        </w:r>
        <w:r w:rsidR="008616B3">
          <w:rPr>
            <w:noProof/>
            <w:webHidden/>
          </w:rPr>
          <w:t>176</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89" w:history="1">
        <w:r w:rsidR="00D44A2C" w:rsidRPr="00643049">
          <w:rPr>
            <w:rStyle w:val="Collegamentoipertestuale"/>
            <w:rFonts w:eastAsia="Times New Roman"/>
            <w:noProof/>
          </w:rPr>
          <w:t>19.2.4</w:t>
        </w:r>
        <w:r w:rsidR="00D44A2C">
          <w:rPr>
            <w:rFonts w:asciiTheme="minorHAnsi" w:hAnsiTheme="minorHAnsi"/>
            <w:noProof/>
            <w:sz w:val="22"/>
            <w:szCs w:val="22"/>
            <w:lang w:eastAsia="it-IT"/>
          </w:rPr>
          <w:tab/>
        </w:r>
        <w:r w:rsidR="00D44A2C" w:rsidRPr="00643049">
          <w:rPr>
            <w:rStyle w:val="Collegamentoipertestuale"/>
            <w:rFonts w:eastAsia="Times New Roman"/>
            <w:noProof/>
          </w:rPr>
          <w:t>Proventi ed oneri finanziari</w:t>
        </w:r>
        <w:r w:rsidR="00D44A2C">
          <w:rPr>
            <w:noProof/>
            <w:webHidden/>
          </w:rPr>
          <w:tab/>
        </w:r>
        <w:r w:rsidR="00D44A2C">
          <w:rPr>
            <w:noProof/>
            <w:webHidden/>
          </w:rPr>
          <w:fldChar w:fldCharType="begin"/>
        </w:r>
        <w:r w:rsidR="00D44A2C">
          <w:rPr>
            <w:noProof/>
            <w:webHidden/>
          </w:rPr>
          <w:instrText xml:space="preserve"> PAGEREF _Toc507422689 \h </w:instrText>
        </w:r>
        <w:r w:rsidR="00D44A2C">
          <w:rPr>
            <w:noProof/>
            <w:webHidden/>
          </w:rPr>
        </w:r>
        <w:r w:rsidR="00D44A2C">
          <w:rPr>
            <w:noProof/>
            <w:webHidden/>
          </w:rPr>
          <w:fldChar w:fldCharType="separate"/>
        </w:r>
        <w:r w:rsidR="008616B3">
          <w:rPr>
            <w:noProof/>
            <w:webHidden/>
          </w:rPr>
          <w:t>178</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0" w:history="1">
        <w:r w:rsidR="00D44A2C" w:rsidRPr="00643049">
          <w:rPr>
            <w:rStyle w:val="Collegamentoipertestuale"/>
            <w:rFonts w:eastAsia="Times New Roman"/>
            <w:noProof/>
          </w:rPr>
          <w:t>19.2.5</w:t>
        </w:r>
        <w:r w:rsidR="00D44A2C">
          <w:rPr>
            <w:rFonts w:asciiTheme="minorHAnsi" w:hAnsiTheme="minorHAnsi"/>
            <w:noProof/>
            <w:sz w:val="22"/>
            <w:szCs w:val="22"/>
            <w:lang w:eastAsia="it-IT"/>
          </w:rPr>
          <w:tab/>
        </w:r>
        <w:r w:rsidR="00D44A2C" w:rsidRPr="00643049">
          <w:rPr>
            <w:rStyle w:val="Collegamentoipertestuale"/>
            <w:rFonts w:eastAsia="Times New Roman"/>
            <w:noProof/>
          </w:rPr>
          <w:t>Rettifiche di valore di attività finanziarie</w:t>
        </w:r>
        <w:r w:rsidR="00D44A2C">
          <w:rPr>
            <w:noProof/>
            <w:webHidden/>
          </w:rPr>
          <w:tab/>
        </w:r>
        <w:r w:rsidR="00D44A2C">
          <w:rPr>
            <w:noProof/>
            <w:webHidden/>
          </w:rPr>
          <w:fldChar w:fldCharType="begin"/>
        </w:r>
        <w:r w:rsidR="00D44A2C">
          <w:rPr>
            <w:noProof/>
            <w:webHidden/>
          </w:rPr>
          <w:instrText xml:space="preserve"> PAGEREF _Toc507422690 \h </w:instrText>
        </w:r>
        <w:r w:rsidR="00D44A2C">
          <w:rPr>
            <w:noProof/>
            <w:webHidden/>
          </w:rPr>
        </w:r>
        <w:r w:rsidR="00D44A2C">
          <w:rPr>
            <w:noProof/>
            <w:webHidden/>
          </w:rPr>
          <w:fldChar w:fldCharType="separate"/>
        </w:r>
        <w:r w:rsidR="008616B3">
          <w:rPr>
            <w:noProof/>
            <w:webHidden/>
          </w:rPr>
          <w:t>179</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1" w:history="1">
        <w:r w:rsidR="00D44A2C" w:rsidRPr="00643049">
          <w:rPr>
            <w:rStyle w:val="Collegamentoipertestuale"/>
            <w:rFonts w:eastAsia="Times New Roman"/>
            <w:noProof/>
          </w:rPr>
          <w:t>19.2.6</w:t>
        </w:r>
        <w:r w:rsidR="00D44A2C">
          <w:rPr>
            <w:rFonts w:asciiTheme="minorHAnsi" w:hAnsiTheme="minorHAnsi"/>
            <w:noProof/>
            <w:sz w:val="22"/>
            <w:szCs w:val="22"/>
            <w:lang w:eastAsia="it-IT"/>
          </w:rPr>
          <w:tab/>
        </w:r>
        <w:r w:rsidR="00D44A2C" w:rsidRPr="00643049">
          <w:rPr>
            <w:rStyle w:val="Collegamentoipertestuale"/>
            <w:rFonts w:eastAsia="Times New Roman"/>
            <w:noProof/>
          </w:rPr>
          <w:t>Proventi ed oneri straordinari</w:t>
        </w:r>
        <w:r w:rsidR="00D44A2C">
          <w:rPr>
            <w:noProof/>
            <w:webHidden/>
          </w:rPr>
          <w:tab/>
        </w:r>
        <w:r w:rsidR="00D44A2C">
          <w:rPr>
            <w:noProof/>
            <w:webHidden/>
          </w:rPr>
          <w:fldChar w:fldCharType="begin"/>
        </w:r>
        <w:r w:rsidR="00D44A2C">
          <w:rPr>
            <w:noProof/>
            <w:webHidden/>
          </w:rPr>
          <w:instrText xml:space="preserve"> PAGEREF _Toc507422691 \h </w:instrText>
        </w:r>
        <w:r w:rsidR="00D44A2C">
          <w:rPr>
            <w:noProof/>
            <w:webHidden/>
          </w:rPr>
        </w:r>
        <w:r w:rsidR="00D44A2C">
          <w:rPr>
            <w:noProof/>
            <w:webHidden/>
          </w:rPr>
          <w:fldChar w:fldCharType="separate"/>
        </w:r>
        <w:r w:rsidR="008616B3">
          <w:rPr>
            <w:noProof/>
            <w:webHidden/>
          </w:rPr>
          <w:t>180</w:t>
        </w:r>
        <w:r w:rsidR="00D44A2C">
          <w:rPr>
            <w:noProof/>
            <w:webHidden/>
          </w:rPr>
          <w:fldChar w:fldCharType="end"/>
        </w:r>
      </w:hyperlink>
    </w:p>
    <w:p w:rsidR="00D44A2C" w:rsidRDefault="00B90472">
      <w:pPr>
        <w:pStyle w:val="Sommario2"/>
        <w:rPr>
          <w:rFonts w:asciiTheme="minorHAnsi" w:hAnsiTheme="minorHAnsi"/>
          <w:noProof/>
          <w:sz w:val="22"/>
          <w:szCs w:val="22"/>
          <w:lang w:eastAsia="it-IT"/>
        </w:rPr>
      </w:pPr>
      <w:hyperlink w:anchor="_Toc507422692" w:history="1">
        <w:r w:rsidR="00D44A2C" w:rsidRPr="00643049">
          <w:rPr>
            <w:rStyle w:val="Collegamentoipertestuale"/>
            <w:rFonts w:eastAsia="Times New Roman"/>
            <w:noProof/>
          </w:rPr>
          <w:t>19.3</w:t>
        </w:r>
        <w:r w:rsidR="00D44A2C">
          <w:rPr>
            <w:rFonts w:asciiTheme="minorHAnsi" w:hAnsiTheme="minorHAnsi"/>
            <w:noProof/>
            <w:sz w:val="22"/>
            <w:szCs w:val="22"/>
            <w:lang w:eastAsia="it-IT"/>
          </w:rPr>
          <w:tab/>
        </w:r>
        <w:r w:rsidR="00D44A2C" w:rsidRPr="00643049">
          <w:rPr>
            <w:rStyle w:val="Collegamentoipertestuale"/>
            <w:rFonts w:eastAsia="Times New Roman"/>
            <w:noProof/>
          </w:rPr>
          <w:t>LO STATO PATRIMONIALE</w:t>
        </w:r>
        <w:r w:rsidR="00D44A2C">
          <w:rPr>
            <w:noProof/>
            <w:webHidden/>
          </w:rPr>
          <w:tab/>
        </w:r>
        <w:r w:rsidR="00D44A2C">
          <w:rPr>
            <w:noProof/>
            <w:webHidden/>
          </w:rPr>
          <w:fldChar w:fldCharType="begin"/>
        </w:r>
        <w:r w:rsidR="00D44A2C">
          <w:rPr>
            <w:noProof/>
            <w:webHidden/>
          </w:rPr>
          <w:instrText xml:space="preserve"> PAGEREF _Toc507422692 \h </w:instrText>
        </w:r>
        <w:r w:rsidR="00D44A2C">
          <w:rPr>
            <w:noProof/>
            <w:webHidden/>
          </w:rPr>
        </w:r>
        <w:r w:rsidR="00D44A2C">
          <w:rPr>
            <w:noProof/>
            <w:webHidden/>
          </w:rPr>
          <w:fldChar w:fldCharType="separate"/>
        </w:r>
        <w:r w:rsidR="008616B3">
          <w:rPr>
            <w:noProof/>
            <w:webHidden/>
          </w:rPr>
          <w:t>181</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3" w:history="1">
        <w:r w:rsidR="00D44A2C" w:rsidRPr="00643049">
          <w:rPr>
            <w:rStyle w:val="Collegamentoipertestuale"/>
            <w:rFonts w:eastAsia="Times New Roman"/>
            <w:noProof/>
          </w:rPr>
          <w:t>19.3.1</w:t>
        </w:r>
        <w:r w:rsidR="00D44A2C">
          <w:rPr>
            <w:rFonts w:asciiTheme="minorHAnsi" w:hAnsiTheme="minorHAnsi"/>
            <w:noProof/>
            <w:sz w:val="22"/>
            <w:szCs w:val="22"/>
            <w:lang w:eastAsia="it-IT"/>
          </w:rPr>
          <w:tab/>
        </w:r>
        <w:r w:rsidR="00D44A2C" w:rsidRPr="00643049">
          <w:rPr>
            <w:rStyle w:val="Collegamentoipertestuale"/>
            <w:rFonts w:eastAsia="Times New Roman"/>
            <w:noProof/>
          </w:rPr>
          <w:t>Premessa</w:t>
        </w:r>
        <w:r w:rsidR="00D44A2C">
          <w:rPr>
            <w:noProof/>
            <w:webHidden/>
          </w:rPr>
          <w:tab/>
        </w:r>
        <w:r w:rsidR="00D44A2C">
          <w:rPr>
            <w:noProof/>
            <w:webHidden/>
          </w:rPr>
          <w:fldChar w:fldCharType="begin"/>
        </w:r>
        <w:r w:rsidR="00D44A2C">
          <w:rPr>
            <w:noProof/>
            <w:webHidden/>
          </w:rPr>
          <w:instrText xml:space="preserve"> PAGEREF _Toc507422693 \h </w:instrText>
        </w:r>
        <w:r w:rsidR="00D44A2C">
          <w:rPr>
            <w:noProof/>
            <w:webHidden/>
          </w:rPr>
        </w:r>
        <w:r w:rsidR="00D44A2C">
          <w:rPr>
            <w:noProof/>
            <w:webHidden/>
          </w:rPr>
          <w:fldChar w:fldCharType="separate"/>
        </w:r>
        <w:r w:rsidR="008616B3">
          <w:rPr>
            <w:noProof/>
            <w:webHidden/>
          </w:rPr>
          <w:t>181</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4" w:history="1">
        <w:r w:rsidR="00D44A2C" w:rsidRPr="00643049">
          <w:rPr>
            <w:rStyle w:val="Collegamentoipertestuale"/>
            <w:rFonts w:eastAsia="Times New Roman"/>
            <w:noProof/>
          </w:rPr>
          <w:t>19.3.2</w:t>
        </w:r>
        <w:r w:rsidR="00D44A2C">
          <w:rPr>
            <w:rFonts w:asciiTheme="minorHAnsi" w:hAnsiTheme="minorHAnsi"/>
            <w:noProof/>
            <w:sz w:val="22"/>
            <w:szCs w:val="22"/>
            <w:lang w:eastAsia="it-IT"/>
          </w:rPr>
          <w:tab/>
        </w:r>
        <w:r w:rsidR="00D44A2C" w:rsidRPr="00643049">
          <w:rPr>
            <w:rStyle w:val="Collegamentoipertestuale"/>
            <w:rFonts w:eastAsia="Times New Roman"/>
            <w:noProof/>
          </w:rPr>
          <w:t>La riclassificazione dello Stato Patrimoniale al 31/12/2015 e il prospetto di raccordo all’0l/01/2016 (consistenza iniziale)</w:t>
        </w:r>
        <w:r w:rsidR="00D44A2C">
          <w:rPr>
            <w:noProof/>
            <w:webHidden/>
          </w:rPr>
          <w:tab/>
        </w:r>
        <w:r w:rsidR="00D44A2C">
          <w:rPr>
            <w:noProof/>
            <w:webHidden/>
          </w:rPr>
          <w:fldChar w:fldCharType="begin"/>
        </w:r>
        <w:r w:rsidR="00D44A2C">
          <w:rPr>
            <w:noProof/>
            <w:webHidden/>
          </w:rPr>
          <w:instrText xml:space="preserve"> PAGEREF _Toc507422694 \h </w:instrText>
        </w:r>
        <w:r w:rsidR="00D44A2C">
          <w:rPr>
            <w:noProof/>
            <w:webHidden/>
          </w:rPr>
        </w:r>
        <w:r w:rsidR="00D44A2C">
          <w:rPr>
            <w:noProof/>
            <w:webHidden/>
          </w:rPr>
          <w:fldChar w:fldCharType="separate"/>
        </w:r>
        <w:r w:rsidR="008616B3">
          <w:rPr>
            <w:noProof/>
            <w:webHidden/>
          </w:rPr>
          <w:t>182</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5" w:history="1">
        <w:r w:rsidR="00D44A2C" w:rsidRPr="00643049">
          <w:rPr>
            <w:rStyle w:val="Collegamentoipertestuale"/>
            <w:rFonts w:eastAsia="Times New Roman"/>
            <w:noProof/>
          </w:rPr>
          <w:t>19.3.3</w:t>
        </w:r>
        <w:r w:rsidR="00D44A2C">
          <w:rPr>
            <w:rFonts w:asciiTheme="minorHAnsi" w:hAnsiTheme="minorHAnsi"/>
            <w:noProof/>
            <w:sz w:val="22"/>
            <w:szCs w:val="22"/>
            <w:lang w:eastAsia="it-IT"/>
          </w:rPr>
          <w:tab/>
        </w:r>
        <w:r w:rsidR="00D44A2C" w:rsidRPr="00643049">
          <w:rPr>
            <w:rStyle w:val="Collegamentoipertestuale"/>
            <w:rFonts w:eastAsia="Times New Roman"/>
            <w:noProof/>
          </w:rPr>
          <w:t>Lo Stato patrimoniale finale al 31/12/2016 (consistenza finale)</w:t>
        </w:r>
        <w:r w:rsidR="00D44A2C">
          <w:rPr>
            <w:noProof/>
            <w:webHidden/>
          </w:rPr>
          <w:tab/>
        </w:r>
        <w:r w:rsidR="00D44A2C">
          <w:rPr>
            <w:noProof/>
            <w:webHidden/>
          </w:rPr>
          <w:fldChar w:fldCharType="begin"/>
        </w:r>
        <w:r w:rsidR="00D44A2C">
          <w:rPr>
            <w:noProof/>
            <w:webHidden/>
          </w:rPr>
          <w:instrText xml:space="preserve"> PAGEREF _Toc507422695 \h </w:instrText>
        </w:r>
        <w:r w:rsidR="00D44A2C">
          <w:rPr>
            <w:noProof/>
            <w:webHidden/>
          </w:rPr>
        </w:r>
        <w:r w:rsidR="00D44A2C">
          <w:rPr>
            <w:noProof/>
            <w:webHidden/>
          </w:rPr>
          <w:fldChar w:fldCharType="separate"/>
        </w:r>
        <w:r w:rsidR="008616B3">
          <w:rPr>
            <w:noProof/>
            <w:webHidden/>
          </w:rPr>
          <w:t>187</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696" w:history="1">
        <w:r w:rsidR="00D44A2C" w:rsidRPr="00643049">
          <w:rPr>
            <w:rStyle w:val="Collegamentoipertestuale"/>
            <w:rFonts w:eastAsia="Times New Roman"/>
            <w:noProof/>
          </w:rPr>
          <w:t>19.3.4</w:t>
        </w:r>
        <w:r w:rsidR="00D44A2C">
          <w:rPr>
            <w:rFonts w:asciiTheme="minorHAnsi" w:hAnsiTheme="minorHAnsi"/>
            <w:noProof/>
            <w:sz w:val="22"/>
            <w:szCs w:val="22"/>
            <w:lang w:eastAsia="it-IT"/>
          </w:rPr>
          <w:tab/>
        </w:r>
        <w:r w:rsidR="00D44A2C" w:rsidRPr="00643049">
          <w:rPr>
            <w:rStyle w:val="Collegamentoipertestuale"/>
            <w:rFonts w:eastAsia="Times New Roman"/>
            <w:noProof/>
          </w:rPr>
          <w:t>Gli elementi patrimoniali dell’attivo</w:t>
        </w:r>
        <w:r w:rsidR="00D44A2C">
          <w:rPr>
            <w:noProof/>
            <w:webHidden/>
          </w:rPr>
          <w:tab/>
        </w:r>
        <w:r w:rsidR="00D44A2C">
          <w:rPr>
            <w:noProof/>
            <w:webHidden/>
          </w:rPr>
          <w:fldChar w:fldCharType="begin"/>
        </w:r>
        <w:r w:rsidR="00D44A2C">
          <w:rPr>
            <w:noProof/>
            <w:webHidden/>
          </w:rPr>
          <w:instrText xml:space="preserve"> PAGEREF _Toc507422696 \h </w:instrText>
        </w:r>
        <w:r w:rsidR="00D44A2C">
          <w:rPr>
            <w:noProof/>
            <w:webHidden/>
          </w:rPr>
        </w:r>
        <w:r w:rsidR="00D44A2C">
          <w:rPr>
            <w:noProof/>
            <w:webHidden/>
          </w:rPr>
          <w:fldChar w:fldCharType="separate"/>
        </w:r>
        <w:r w:rsidR="008616B3">
          <w:rPr>
            <w:noProof/>
            <w:webHidden/>
          </w:rPr>
          <w:t>192</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97" w:history="1">
        <w:r w:rsidR="00D44A2C" w:rsidRPr="00643049">
          <w:rPr>
            <w:rStyle w:val="Collegamentoipertestuale"/>
            <w:rFonts w:eastAsia="Times New Roman"/>
            <w:noProof/>
          </w:rPr>
          <w:t>19.3.4.1</w:t>
        </w:r>
        <w:r w:rsidR="00D44A2C">
          <w:rPr>
            <w:rFonts w:asciiTheme="minorHAnsi" w:eastAsiaTheme="minorEastAsia" w:hAnsiTheme="minorHAnsi"/>
            <w:noProof/>
            <w:sz w:val="22"/>
            <w:lang w:eastAsia="it-IT"/>
          </w:rPr>
          <w:tab/>
        </w:r>
        <w:r w:rsidR="00D44A2C" w:rsidRPr="00643049">
          <w:rPr>
            <w:rStyle w:val="Collegamentoipertestuale"/>
            <w:rFonts w:eastAsia="Times New Roman"/>
            <w:noProof/>
          </w:rPr>
          <w:t>Le immobilizzazioni finanziarie in generale</w:t>
        </w:r>
        <w:r w:rsidR="00D44A2C">
          <w:rPr>
            <w:noProof/>
            <w:webHidden/>
          </w:rPr>
          <w:tab/>
        </w:r>
        <w:r w:rsidR="00D44A2C">
          <w:rPr>
            <w:noProof/>
            <w:webHidden/>
          </w:rPr>
          <w:fldChar w:fldCharType="begin"/>
        </w:r>
        <w:r w:rsidR="00D44A2C">
          <w:rPr>
            <w:noProof/>
            <w:webHidden/>
          </w:rPr>
          <w:instrText xml:space="preserve"> PAGEREF _Toc507422697 \h </w:instrText>
        </w:r>
        <w:r w:rsidR="00D44A2C">
          <w:rPr>
            <w:noProof/>
            <w:webHidden/>
          </w:rPr>
        </w:r>
        <w:r w:rsidR="00D44A2C">
          <w:rPr>
            <w:noProof/>
            <w:webHidden/>
          </w:rPr>
          <w:fldChar w:fldCharType="separate"/>
        </w:r>
        <w:r w:rsidR="008616B3">
          <w:rPr>
            <w:noProof/>
            <w:webHidden/>
          </w:rPr>
          <w:t>197</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98" w:history="1">
        <w:r w:rsidR="00D44A2C" w:rsidRPr="00643049">
          <w:rPr>
            <w:rStyle w:val="Collegamentoipertestuale"/>
            <w:noProof/>
          </w:rPr>
          <w:t>19.3.4.2</w:t>
        </w:r>
        <w:r w:rsidR="00D44A2C">
          <w:rPr>
            <w:rFonts w:asciiTheme="minorHAnsi" w:eastAsiaTheme="minorEastAsia" w:hAnsiTheme="minorHAnsi"/>
            <w:noProof/>
            <w:sz w:val="22"/>
            <w:lang w:eastAsia="it-IT"/>
          </w:rPr>
          <w:tab/>
        </w:r>
        <w:r w:rsidR="00D44A2C" w:rsidRPr="00643049">
          <w:rPr>
            <w:rStyle w:val="Collegamentoipertestuale"/>
            <w:noProof/>
          </w:rPr>
          <w:t>Le immobilizzazioni finanziarie</w:t>
        </w:r>
        <w:r w:rsidR="00D44A2C">
          <w:rPr>
            <w:noProof/>
            <w:webHidden/>
          </w:rPr>
          <w:tab/>
        </w:r>
        <w:r w:rsidR="00D44A2C">
          <w:rPr>
            <w:noProof/>
            <w:webHidden/>
          </w:rPr>
          <w:fldChar w:fldCharType="begin"/>
        </w:r>
        <w:r w:rsidR="00D44A2C">
          <w:rPr>
            <w:noProof/>
            <w:webHidden/>
          </w:rPr>
          <w:instrText xml:space="preserve"> PAGEREF _Toc507422698 \h </w:instrText>
        </w:r>
        <w:r w:rsidR="00D44A2C">
          <w:rPr>
            <w:noProof/>
            <w:webHidden/>
          </w:rPr>
        </w:r>
        <w:r w:rsidR="00D44A2C">
          <w:rPr>
            <w:noProof/>
            <w:webHidden/>
          </w:rPr>
          <w:fldChar w:fldCharType="separate"/>
        </w:r>
        <w:r w:rsidR="008616B3">
          <w:rPr>
            <w:noProof/>
            <w:webHidden/>
          </w:rPr>
          <w:t>200</w:t>
        </w:r>
        <w:r w:rsidR="00D44A2C">
          <w:rPr>
            <w:noProof/>
            <w:webHidden/>
          </w:rPr>
          <w:fldChar w:fldCharType="end"/>
        </w:r>
      </w:hyperlink>
    </w:p>
    <w:p w:rsidR="00D44A2C" w:rsidRDefault="00B90472">
      <w:pPr>
        <w:pStyle w:val="Sommario4"/>
        <w:tabs>
          <w:tab w:val="left" w:pos="1760"/>
          <w:tab w:val="right" w:leader="dot" w:pos="9911"/>
        </w:tabs>
        <w:rPr>
          <w:rFonts w:asciiTheme="minorHAnsi" w:eastAsiaTheme="minorEastAsia" w:hAnsiTheme="minorHAnsi"/>
          <w:noProof/>
          <w:sz w:val="22"/>
          <w:lang w:eastAsia="it-IT"/>
        </w:rPr>
      </w:pPr>
      <w:hyperlink w:anchor="_Toc507422699" w:history="1">
        <w:r w:rsidR="00D44A2C" w:rsidRPr="00643049">
          <w:rPr>
            <w:rStyle w:val="Collegamentoipertestuale"/>
            <w:noProof/>
          </w:rPr>
          <w:t>19.3.4.3</w:t>
        </w:r>
        <w:r w:rsidR="00D44A2C">
          <w:rPr>
            <w:rFonts w:asciiTheme="minorHAnsi" w:eastAsiaTheme="minorEastAsia" w:hAnsiTheme="minorHAnsi"/>
            <w:noProof/>
            <w:sz w:val="22"/>
            <w:lang w:eastAsia="it-IT"/>
          </w:rPr>
          <w:tab/>
        </w:r>
        <w:r w:rsidR="00D44A2C" w:rsidRPr="00643049">
          <w:rPr>
            <w:rStyle w:val="Collegamentoipertestuale"/>
            <w:noProof/>
          </w:rPr>
          <w:t>La rappresentazione delle immobilizzazioni finanziarie</w:t>
        </w:r>
        <w:r w:rsidR="00D44A2C">
          <w:rPr>
            <w:noProof/>
            <w:webHidden/>
          </w:rPr>
          <w:tab/>
        </w:r>
        <w:r w:rsidR="00D44A2C">
          <w:rPr>
            <w:noProof/>
            <w:webHidden/>
          </w:rPr>
          <w:fldChar w:fldCharType="begin"/>
        </w:r>
        <w:r w:rsidR="00D44A2C">
          <w:rPr>
            <w:noProof/>
            <w:webHidden/>
          </w:rPr>
          <w:instrText xml:space="preserve"> PAGEREF _Toc507422699 \h </w:instrText>
        </w:r>
        <w:r w:rsidR="00D44A2C">
          <w:rPr>
            <w:noProof/>
            <w:webHidden/>
          </w:rPr>
        </w:r>
        <w:r w:rsidR="00D44A2C">
          <w:rPr>
            <w:noProof/>
            <w:webHidden/>
          </w:rPr>
          <w:fldChar w:fldCharType="separate"/>
        </w:r>
        <w:r w:rsidR="008616B3">
          <w:rPr>
            <w:noProof/>
            <w:webHidden/>
          </w:rPr>
          <w:t>204</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700" w:history="1">
        <w:r w:rsidR="00D44A2C" w:rsidRPr="00643049">
          <w:rPr>
            <w:rStyle w:val="Collegamentoipertestuale"/>
            <w:rFonts w:eastAsia="Times New Roman"/>
            <w:noProof/>
          </w:rPr>
          <w:t>19.3.5</w:t>
        </w:r>
        <w:r w:rsidR="00D44A2C">
          <w:rPr>
            <w:rFonts w:asciiTheme="minorHAnsi" w:hAnsiTheme="minorHAnsi"/>
            <w:noProof/>
            <w:sz w:val="22"/>
            <w:szCs w:val="22"/>
            <w:lang w:eastAsia="it-IT"/>
          </w:rPr>
          <w:tab/>
        </w:r>
        <w:r w:rsidR="00D44A2C" w:rsidRPr="00643049">
          <w:rPr>
            <w:rStyle w:val="Collegamentoipertestuale"/>
            <w:rFonts w:eastAsia="Times New Roman"/>
            <w:noProof/>
          </w:rPr>
          <w:t>Gli elementi patrimoniali del passivo</w:t>
        </w:r>
        <w:r w:rsidR="00D44A2C">
          <w:rPr>
            <w:noProof/>
            <w:webHidden/>
          </w:rPr>
          <w:tab/>
        </w:r>
        <w:r w:rsidR="00D44A2C">
          <w:rPr>
            <w:noProof/>
            <w:webHidden/>
          </w:rPr>
          <w:fldChar w:fldCharType="begin"/>
        </w:r>
        <w:r w:rsidR="00D44A2C">
          <w:rPr>
            <w:noProof/>
            <w:webHidden/>
          </w:rPr>
          <w:instrText xml:space="preserve"> PAGEREF _Toc507422700 \h </w:instrText>
        </w:r>
        <w:r w:rsidR="00D44A2C">
          <w:rPr>
            <w:noProof/>
            <w:webHidden/>
          </w:rPr>
        </w:r>
        <w:r w:rsidR="00D44A2C">
          <w:rPr>
            <w:noProof/>
            <w:webHidden/>
          </w:rPr>
          <w:fldChar w:fldCharType="separate"/>
        </w:r>
        <w:r w:rsidR="008616B3">
          <w:rPr>
            <w:noProof/>
            <w:webHidden/>
          </w:rPr>
          <w:t>216</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701" w:history="1">
        <w:r w:rsidR="00D44A2C" w:rsidRPr="00643049">
          <w:rPr>
            <w:rStyle w:val="Collegamentoipertestuale"/>
            <w:rFonts w:eastAsia="Times New Roman"/>
            <w:noProof/>
          </w:rPr>
          <w:t>19.3.6</w:t>
        </w:r>
        <w:r w:rsidR="00D44A2C">
          <w:rPr>
            <w:rFonts w:asciiTheme="minorHAnsi" w:hAnsiTheme="minorHAnsi"/>
            <w:noProof/>
            <w:sz w:val="22"/>
            <w:szCs w:val="22"/>
            <w:lang w:eastAsia="it-IT"/>
          </w:rPr>
          <w:tab/>
        </w:r>
        <w:r w:rsidR="00D44A2C" w:rsidRPr="00643049">
          <w:rPr>
            <w:rStyle w:val="Collegamentoipertestuale"/>
            <w:rFonts w:eastAsia="Times New Roman"/>
            <w:noProof/>
          </w:rPr>
          <w:t>I Conti d’ordine</w:t>
        </w:r>
        <w:r w:rsidR="00D44A2C">
          <w:rPr>
            <w:noProof/>
            <w:webHidden/>
          </w:rPr>
          <w:tab/>
        </w:r>
        <w:r w:rsidR="00D44A2C">
          <w:rPr>
            <w:noProof/>
            <w:webHidden/>
          </w:rPr>
          <w:fldChar w:fldCharType="begin"/>
        </w:r>
        <w:r w:rsidR="00D44A2C">
          <w:rPr>
            <w:noProof/>
            <w:webHidden/>
          </w:rPr>
          <w:instrText xml:space="preserve"> PAGEREF _Toc507422701 \h </w:instrText>
        </w:r>
        <w:r w:rsidR="00D44A2C">
          <w:rPr>
            <w:noProof/>
            <w:webHidden/>
          </w:rPr>
        </w:r>
        <w:r w:rsidR="00D44A2C">
          <w:rPr>
            <w:noProof/>
            <w:webHidden/>
          </w:rPr>
          <w:fldChar w:fldCharType="separate"/>
        </w:r>
        <w:r w:rsidR="008616B3">
          <w:rPr>
            <w:noProof/>
            <w:webHidden/>
          </w:rPr>
          <w:t>221</w:t>
        </w:r>
        <w:r w:rsidR="00D44A2C">
          <w:rPr>
            <w:noProof/>
            <w:webHidden/>
          </w:rPr>
          <w:fldChar w:fldCharType="end"/>
        </w:r>
      </w:hyperlink>
    </w:p>
    <w:p w:rsidR="00D44A2C" w:rsidRDefault="00B90472">
      <w:pPr>
        <w:pStyle w:val="Sommario3"/>
        <w:rPr>
          <w:rFonts w:asciiTheme="minorHAnsi" w:hAnsiTheme="minorHAnsi"/>
          <w:noProof/>
          <w:sz w:val="22"/>
          <w:szCs w:val="22"/>
          <w:lang w:eastAsia="it-IT"/>
        </w:rPr>
      </w:pPr>
      <w:hyperlink w:anchor="_Toc507422702" w:history="1">
        <w:r w:rsidR="00D44A2C" w:rsidRPr="00643049">
          <w:rPr>
            <w:rStyle w:val="Collegamentoipertestuale"/>
            <w:rFonts w:eastAsia="Times New Roman"/>
            <w:noProof/>
          </w:rPr>
          <w:t>19.3.7</w:t>
        </w:r>
        <w:r w:rsidR="00D44A2C">
          <w:rPr>
            <w:rFonts w:asciiTheme="minorHAnsi" w:hAnsiTheme="minorHAnsi"/>
            <w:noProof/>
            <w:sz w:val="22"/>
            <w:szCs w:val="22"/>
            <w:lang w:eastAsia="it-IT"/>
          </w:rPr>
          <w:tab/>
        </w:r>
        <w:r w:rsidR="00D44A2C" w:rsidRPr="00643049">
          <w:rPr>
            <w:rStyle w:val="Collegamentoipertestuale"/>
            <w:rFonts w:eastAsia="Times New Roman"/>
            <w:noProof/>
          </w:rPr>
          <w:t>Il Fondo svalutazione crediti</w:t>
        </w:r>
        <w:r w:rsidR="00D44A2C">
          <w:rPr>
            <w:noProof/>
            <w:webHidden/>
          </w:rPr>
          <w:tab/>
        </w:r>
        <w:r w:rsidR="00D44A2C">
          <w:rPr>
            <w:noProof/>
            <w:webHidden/>
          </w:rPr>
          <w:fldChar w:fldCharType="begin"/>
        </w:r>
        <w:r w:rsidR="00D44A2C">
          <w:rPr>
            <w:noProof/>
            <w:webHidden/>
          </w:rPr>
          <w:instrText xml:space="preserve"> PAGEREF _Toc507422702 \h </w:instrText>
        </w:r>
        <w:r w:rsidR="00D44A2C">
          <w:rPr>
            <w:noProof/>
            <w:webHidden/>
          </w:rPr>
        </w:r>
        <w:r w:rsidR="00D44A2C">
          <w:rPr>
            <w:noProof/>
            <w:webHidden/>
          </w:rPr>
          <w:fldChar w:fldCharType="separate"/>
        </w:r>
        <w:r w:rsidR="008616B3">
          <w:rPr>
            <w:noProof/>
            <w:webHidden/>
          </w:rPr>
          <w:t>222</w:t>
        </w:r>
        <w:r w:rsidR="00D44A2C">
          <w:rPr>
            <w:noProof/>
            <w:webHidden/>
          </w:rPr>
          <w:fldChar w:fldCharType="end"/>
        </w:r>
      </w:hyperlink>
    </w:p>
    <w:p w:rsidR="00D44A2C" w:rsidRDefault="00B90472">
      <w:pPr>
        <w:pStyle w:val="Sommario1"/>
        <w:rPr>
          <w:rFonts w:asciiTheme="minorHAnsi" w:hAnsiTheme="minorHAnsi"/>
          <w:noProof/>
          <w:sz w:val="22"/>
          <w:szCs w:val="22"/>
          <w:lang w:eastAsia="it-IT"/>
        </w:rPr>
      </w:pPr>
      <w:hyperlink w:anchor="_Toc507422703" w:history="1">
        <w:r w:rsidR="00D44A2C" w:rsidRPr="00643049">
          <w:rPr>
            <w:rStyle w:val="Collegamentoipertestuale"/>
            <w:rFonts w:eastAsia="Times New Roman"/>
            <w:noProof/>
          </w:rPr>
          <w:t>20</w:t>
        </w:r>
        <w:r w:rsidR="00D44A2C">
          <w:rPr>
            <w:rFonts w:asciiTheme="minorHAnsi" w:hAnsiTheme="minorHAnsi"/>
            <w:noProof/>
            <w:sz w:val="22"/>
            <w:szCs w:val="22"/>
            <w:lang w:eastAsia="it-IT"/>
          </w:rPr>
          <w:tab/>
        </w:r>
        <w:r w:rsidR="00D44A2C" w:rsidRPr="00643049">
          <w:rPr>
            <w:rStyle w:val="Collegamentoipertestuale"/>
            <w:rFonts w:eastAsia="Times New Roman"/>
            <w:noProof/>
          </w:rPr>
          <w:t>IL CONTRADDITORIO ORALE NELL’ADUNANZA PUBBLICA</w:t>
        </w:r>
        <w:r w:rsidR="00D44A2C">
          <w:rPr>
            <w:noProof/>
            <w:webHidden/>
          </w:rPr>
          <w:tab/>
        </w:r>
        <w:r w:rsidR="00D44A2C">
          <w:rPr>
            <w:noProof/>
            <w:webHidden/>
          </w:rPr>
          <w:fldChar w:fldCharType="begin"/>
        </w:r>
        <w:r w:rsidR="00D44A2C">
          <w:rPr>
            <w:noProof/>
            <w:webHidden/>
          </w:rPr>
          <w:instrText xml:space="preserve"> PAGEREF _Toc507422703 \h </w:instrText>
        </w:r>
        <w:r w:rsidR="00D44A2C">
          <w:rPr>
            <w:noProof/>
            <w:webHidden/>
          </w:rPr>
        </w:r>
        <w:r w:rsidR="00D44A2C">
          <w:rPr>
            <w:noProof/>
            <w:webHidden/>
          </w:rPr>
          <w:fldChar w:fldCharType="separate"/>
        </w:r>
        <w:r w:rsidR="008616B3">
          <w:rPr>
            <w:noProof/>
            <w:webHidden/>
          </w:rPr>
          <w:t>229</w:t>
        </w:r>
        <w:r w:rsidR="00D44A2C">
          <w:rPr>
            <w:noProof/>
            <w:webHidden/>
          </w:rPr>
          <w:fldChar w:fldCharType="end"/>
        </w:r>
      </w:hyperlink>
    </w:p>
    <w:p w:rsidR="00B05358" w:rsidRDefault="00A77528" w:rsidP="001F2FD8">
      <w:pPr>
        <w:jc w:val="center"/>
      </w:pPr>
      <w:r>
        <w:rPr>
          <w:rFonts w:ascii="Bodoni MT" w:eastAsiaTheme="minorEastAsia" w:hAnsi="Bodoni MT"/>
          <w:sz w:val="24"/>
          <w:szCs w:val="21"/>
        </w:rPr>
        <w:fldChar w:fldCharType="end"/>
      </w:r>
    </w:p>
    <w:p w:rsidR="0062750A" w:rsidRPr="00462E40" w:rsidRDefault="0062750A" w:rsidP="0062750A">
      <w:pPr>
        <w:pStyle w:val="CdcIndici"/>
      </w:pPr>
      <w:r w:rsidRPr="00462E40">
        <w:t>INDICE DELLE TABELLE</w:t>
      </w:r>
    </w:p>
    <w:p w:rsidR="00D44A2C" w:rsidRDefault="0062750A">
      <w:pPr>
        <w:pStyle w:val="Indicedellefigure"/>
        <w:tabs>
          <w:tab w:val="right" w:leader="dot" w:pos="9911"/>
        </w:tabs>
        <w:rPr>
          <w:rFonts w:asciiTheme="minorHAnsi" w:eastAsiaTheme="minorEastAsia" w:hAnsiTheme="minorHAnsi"/>
          <w:noProof/>
          <w:sz w:val="22"/>
          <w:lang w:eastAsia="it-IT"/>
        </w:rPr>
      </w:pPr>
      <w:r w:rsidRPr="00462E40">
        <w:rPr>
          <w:szCs w:val="24"/>
        </w:rPr>
        <w:fldChar w:fldCharType="begin"/>
      </w:r>
      <w:r w:rsidRPr="00462E40">
        <w:rPr>
          <w:szCs w:val="24"/>
        </w:rPr>
        <w:instrText xml:space="preserve"> TOC \h \z \c "Tabella" </w:instrText>
      </w:r>
      <w:r w:rsidRPr="00462E40">
        <w:rPr>
          <w:szCs w:val="24"/>
        </w:rPr>
        <w:fldChar w:fldCharType="separate"/>
      </w:r>
      <w:hyperlink w:anchor="_Toc507422469" w:history="1">
        <w:r w:rsidR="00D44A2C" w:rsidRPr="00100291">
          <w:rPr>
            <w:rStyle w:val="Collegamentoipertestuale"/>
            <w:noProof/>
          </w:rPr>
          <w:t>Tabella 1 – Ciclo di bilancio</w:t>
        </w:r>
        <w:r w:rsidR="00D44A2C">
          <w:rPr>
            <w:noProof/>
            <w:webHidden/>
          </w:rPr>
          <w:tab/>
        </w:r>
        <w:r w:rsidR="00D44A2C">
          <w:rPr>
            <w:noProof/>
            <w:webHidden/>
          </w:rPr>
          <w:fldChar w:fldCharType="begin"/>
        </w:r>
        <w:r w:rsidR="00D44A2C">
          <w:rPr>
            <w:noProof/>
            <w:webHidden/>
          </w:rPr>
          <w:instrText xml:space="preserve"> PAGEREF _Toc507422469 \h </w:instrText>
        </w:r>
        <w:r w:rsidR="00D44A2C">
          <w:rPr>
            <w:noProof/>
            <w:webHidden/>
          </w:rPr>
        </w:r>
        <w:r w:rsidR="00D44A2C">
          <w:rPr>
            <w:noProof/>
            <w:webHidden/>
          </w:rPr>
          <w:fldChar w:fldCharType="separate"/>
        </w:r>
        <w:r w:rsidR="008616B3">
          <w:rPr>
            <w:noProof/>
            <w:webHidden/>
          </w:rPr>
          <w:t>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0" w:history="1">
        <w:r w:rsidR="00D44A2C" w:rsidRPr="00100291">
          <w:rPr>
            <w:rStyle w:val="Collegamentoipertestuale"/>
            <w:noProof/>
          </w:rPr>
          <w:t>Tabella 2 - Riepilogo</w:t>
        </w:r>
        <w:r w:rsidR="00D44A2C" w:rsidRPr="00100291">
          <w:rPr>
            <w:rStyle w:val="Collegamentoipertestuale"/>
            <w:rFonts w:eastAsia="Times New Roman" w:cs="Calibri"/>
            <w:noProof/>
            <w:lang w:eastAsia="it-IT"/>
          </w:rPr>
          <w:t xml:space="preserve"> risultati della gestione 2015</w:t>
        </w:r>
        <w:r w:rsidR="00D44A2C">
          <w:rPr>
            <w:noProof/>
            <w:webHidden/>
          </w:rPr>
          <w:tab/>
        </w:r>
        <w:r w:rsidR="00D44A2C">
          <w:rPr>
            <w:noProof/>
            <w:webHidden/>
          </w:rPr>
          <w:fldChar w:fldCharType="begin"/>
        </w:r>
        <w:r w:rsidR="00D44A2C">
          <w:rPr>
            <w:noProof/>
            <w:webHidden/>
          </w:rPr>
          <w:instrText xml:space="preserve"> PAGEREF _Toc507422470 \h </w:instrText>
        </w:r>
        <w:r w:rsidR="00D44A2C">
          <w:rPr>
            <w:noProof/>
            <w:webHidden/>
          </w:rPr>
        </w:r>
        <w:r w:rsidR="00D44A2C">
          <w:rPr>
            <w:noProof/>
            <w:webHidden/>
          </w:rPr>
          <w:fldChar w:fldCharType="separate"/>
        </w:r>
        <w:r w:rsidR="008616B3">
          <w:rPr>
            <w:noProof/>
            <w:webHidden/>
          </w:rPr>
          <w:t>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1" w:history="1">
        <w:r w:rsidR="00D44A2C" w:rsidRPr="00100291">
          <w:rPr>
            <w:rStyle w:val="Collegamentoipertestuale"/>
            <w:noProof/>
          </w:rPr>
          <w:t>Tabella 3 - Equilibri di bilancio 2016-2018</w:t>
        </w:r>
        <w:r w:rsidR="00D44A2C">
          <w:rPr>
            <w:noProof/>
            <w:webHidden/>
          </w:rPr>
          <w:tab/>
        </w:r>
        <w:r w:rsidR="00D44A2C">
          <w:rPr>
            <w:noProof/>
            <w:webHidden/>
          </w:rPr>
          <w:fldChar w:fldCharType="begin"/>
        </w:r>
        <w:r w:rsidR="00D44A2C">
          <w:rPr>
            <w:noProof/>
            <w:webHidden/>
          </w:rPr>
          <w:instrText xml:space="preserve"> PAGEREF _Toc507422471 \h </w:instrText>
        </w:r>
        <w:r w:rsidR="00D44A2C">
          <w:rPr>
            <w:noProof/>
            <w:webHidden/>
          </w:rPr>
        </w:r>
        <w:r w:rsidR="00D44A2C">
          <w:rPr>
            <w:noProof/>
            <w:webHidden/>
          </w:rPr>
          <w:fldChar w:fldCharType="separate"/>
        </w:r>
        <w:r w:rsidR="008616B3">
          <w:rPr>
            <w:noProof/>
            <w:webHidden/>
          </w:rPr>
          <w:t>14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2" w:history="1">
        <w:r w:rsidR="00D44A2C" w:rsidRPr="00100291">
          <w:rPr>
            <w:rStyle w:val="Collegamentoipertestuale"/>
            <w:noProof/>
          </w:rPr>
          <w:t>Tabella 4 - Variazioni successive alla legge di assestamento</w:t>
        </w:r>
        <w:r w:rsidR="00D44A2C">
          <w:rPr>
            <w:noProof/>
            <w:webHidden/>
          </w:rPr>
          <w:tab/>
        </w:r>
        <w:r w:rsidR="00D44A2C">
          <w:rPr>
            <w:noProof/>
            <w:webHidden/>
          </w:rPr>
          <w:fldChar w:fldCharType="begin"/>
        </w:r>
        <w:r w:rsidR="00D44A2C">
          <w:rPr>
            <w:noProof/>
            <w:webHidden/>
          </w:rPr>
          <w:instrText xml:space="preserve"> PAGEREF _Toc507422472 \h </w:instrText>
        </w:r>
        <w:r w:rsidR="00D44A2C">
          <w:rPr>
            <w:noProof/>
            <w:webHidden/>
          </w:rPr>
        </w:r>
        <w:r w:rsidR="00D44A2C">
          <w:rPr>
            <w:noProof/>
            <w:webHidden/>
          </w:rPr>
          <w:fldChar w:fldCharType="separate"/>
        </w:r>
        <w:r w:rsidR="008616B3">
          <w:rPr>
            <w:noProof/>
            <w:webHidden/>
          </w:rPr>
          <w:t>16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3" w:history="1">
        <w:r w:rsidR="00D44A2C" w:rsidRPr="00100291">
          <w:rPr>
            <w:rStyle w:val="Collegamentoipertestuale"/>
            <w:noProof/>
          </w:rPr>
          <w:t>Tabella 5 - Entrate – Titoli - Previsioni anno 2016</w:t>
        </w:r>
        <w:r w:rsidR="00D44A2C">
          <w:rPr>
            <w:noProof/>
            <w:webHidden/>
          </w:rPr>
          <w:tab/>
        </w:r>
        <w:r w:rsidR="00D44A2C">
          <w:rPr>
            <w:noProof/>
            <w:webHidden/>
          </w:rPr>
          <w:fldChar w:fldCharType="begin"/>
        </w:r>
        <w:r w:rsidR="00D44A2C">
          <w:rPr>
            <w:noProof/>
            <w:webHidden/>
          </w:rPr>
          <w:instrText xml:space="preserve"> PAGEREF _Toc507422473 \h </w:instrText>
        </w:r>
        <w:r w:rsidR="00D44A2C">
          <w:rPr>
            <w:noProof/>
            <w:webHidden/>
          </w:rPr>
        </w:r>
        <w:r w:rsidR="00D44A2C">
          <w:rPr>
            <w:noProof/>
            <w:webHidden/>
          </w:rPr>
          <w:fldChar w:fldCharType="separate"/>
        </w:r>
        <w:r w:rsidR="008616B3">
          <w:rPr>
            <w:noProof/>
            <w:webHidden/>
          </w:rPr>
          <w:t>17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4" w:history="1">
        <w:r w:rsidR="00D44A2C" w:rsidRPr="00100291">
          <w:rPr>
            <w:rStyle w:val="Collegamentoipertestuale"/>
            <w:noProof/>
          </w:rPr>
          <w:t>Tabella 6 - Spese – Titoli – Previsioni anno 2016</w:t>
        </w:r>
        <w:r w:rsidR="00D44A2C">
          <w:rPr>
            <w:noProof/>
            <w:webHidden/>
          </w:rPr>
          <w:tab/>
        </w:r>
        <w:r w:rsidR="00D44A2C">
          <w:rPr>
            <w:noProof/>
            <w:webHidden/>
          </w:rPr>
          <w:fldChar w:fldCharType="begin"/>
        </w:r>
        <w:r w:rsidR="00D44A2C">
          <w:rPr>
            <w:noProof/>
            <w:webHidden/>
          </w:rPr>
          <w:instrText xml:space="preserve"> PAGEREF _Toc507422474 \h </w:instrText>
        </w:r>
        <w:r w:rsidR="00D44A2C">
          <w:rPr>
            <w:noProof/>
            <w:webHidden/>
          </w:rPr>
        </w:r>
        <w:r w:rsidR="00D44A2C">
          <w:rPr>
            <w:noProof/>
            <w:webHidden/>
          </w:rPr>
          <w:fldChar w:fldCharType="separate"/>
        </w:r>
        <w:r w:rsidR="008616B3">
          <w:rPr>
            <w:noProof/>
            <w:webHidden/>
          </w:rPr>
          <w:t>18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5" w:history="1">
        <w:r w:rsidR="00D44A2C" w:rsidRPr="00100291">
          <w:rPr>
            <w:rStyle w:val="Collegamentoipertestuale"/>
            <w:noProof/>
          </w:rPr>
          <w:t>Tabella 7 - Spese – Missioni – Previsioni anno 2016</w:t>
        </w:r>
        <w:r w:rsidR="00D44A2C">
          <w:rPr>
            <w:noProof/>
            <w:webHidden/>
          </w:rPr>
          <w:tab/>
        </w:r>
        <w:r w:rsidR="00D44A2C">
          <w:rPr>
            <w:noProof/>
            <w:webHidden/>
          </w:rPr>
          <w:fldChar w:fldCharType="begin"/>
        </w:r>
        <w:r w:rsidR="00D44A2C">
          <w:rPr>
            <w:noProof/>
            <w:webHidden/>
          </w:rPr>
          <w:instrText xml:space="preserve"> PAGEREF _Toc507422475 \h </w:instrText>
        </w:r>
        <w:r w:rsidR="00D44A2C">
          <w:rPr>
            <w:noProof/>
            <w:webHidden/>
          </w:rPr>
        </w:r>
        <w:r w:rsidR="00D44A2C">
          <w:rPr>
            <w:noProof/>
            <w:webHidden/>
          </w:rPr>
          <w:fldChar w:fldCharType="separate"/>
        </w:r>
        <w:r w:rsidR="008616B3">
          <w:rPr>
            <w:noProof/>
            <w:webHidden/>
          </w:rPr>
          <w:t>19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6" w:history="1">
        <w:r w:rsidR="00D44A2C" w:rsidRPr="00100291">
          <w:rPr>
            <w:rStyle w:val="Collegamentoipertestuale"/>
            <w:noProof/>
          </w:rPr>
          <w:t>Tabella 8 – Entrate per Titoli – Previsioni definitive – Confronto Esercizi 2015-2016</w:t>
        </w:r>
        <w:r w:rsidR="00D44A2C">
          <w:rPr>
            <w:noProof/>
            <w:webHidden/>
          </w:rPr>
          <w:tab/>
        </w:r>
        <w:r w:rsidR="00D44A2C">
          <w:rPr>
            <w:noProof/>
            <w:webHidden/>
          </w:rPr>
          <w:fldChar w:fldCharType="begin"/>
        </w:r>
        <w:r w:rsidR="00D44A2C">
          <w:rPr>
            <w:noProof/>
            <w:webHidden/>
          </w:rPr>
          <w:instrText xml:space="preserve"> PAGEREF _Toc507422476 \h </w:instrText>
        </w:r>
        <w:r w:rsidR="00D44A2C">
          <w:rPr>
            <w:noProof/>
            <w:webHidden/>
          </w:rPr>
        </w:r>
        <w:r w:rsidR="00D44A2C">
          <w:rPr>
            <w:noProof/>
            <w:webHidden/>
          </w:rPr>
          <w:fldChar w:fldCharType="separate"/>
        </w:r>
        <w:r w:rsidR="008616B3">
          <w:rPr>
            <w:noProof/>
            <w:webHidden/>
          </w:rPr>
          <w:t>28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7" w:history="1">
        <w:r w:rsidR="00D44A2C" w:rsidRPr="00100291">
          <w:rPr>
            <w:rStyle w:val="Collegamentoipertestuale"/>
            <w:noProof/>
          </w:rPr>
          <w:t>Tabella 9 – Spesa per Titoli – Previsioni definitive – Confronto Esercizi 2015-2016</w:t>
        </w:r>
        <w:r w:rsidR="00D44A2C">
          <w:rPr>
            <w:noProof/>
            <w:webHidden/>
          </w:rPr>
          <w:tab/>
        </w:r>
        <w:r w:rsidR="00D44A2C">
          <w:rPr>
            <w:noProof/>
            <w:webHidden/>
          </w:rPr>
          <w:fldChar w:fldCharType="begin"/>
        </w:r>
        <w:r w:rsidR="00D44A2C">
          <w:rPr>
            <w:noProof/>
            <w:webHidden/>
          </w:rPr>
          <w:instrText xml:space="preserve"> PAGEREF _Toc507422477 \h </w:instrText>
        </w:r>
        <w:r w:rsidR="00D44A2C">
          <w:rPr>
            <w:noProof/>
            <w:webHidden/>
          </w:rPr>
        </w:r>
        <w:r w:rsidR="00D44A2C">
          <w:rPr>
            <w:noProof/>
            <w:webHidden/>
          </w:rPr>
          <w:fldChar w:fldCharType="separate"/>
        </w:r>
        <w:r w:rsidR="008616B3">
          <w:rPr>
            <w:noProof/>
            <w:webHidden/>
          </w:rPr>
          <w:t>30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8" w:history="1">
        <w:r w:rsidR="00D44A2C" w:rsidRPr="00100291">
          <w:rPr>
            <w:rStyle w:val="Collegamentoipertestuale"/>
            <w:noProof/>
          </w:rPr>
          <w:t>Tabella 10 – Spesa per Missioni – Previsioni definitive – Confronto Esercizi 2015-2016</w:t>
        </w:r>
        <w:r w:rsidR="00D44A2C">
          <w:rPr>
            <w:noProof/>
            <w:webHidden/>
          </w:rPr>
          <w:tab/>
        </w:r>
        <w:r w:rsidR="00D44A2C">
          <w:rPr>
            <w:noProof/>
            <w:webHidden/>
          </w:rPr>
          <w:fldChar w:fldCharType="begin"/>
        </w:r>
        <w:r w:rsidR="00D44A2C">
          <w:rPr>
            <w:noProof/>
            <w:webHidden/>
          </w:rPr>
          <w:instrText xml:space="preserve"> PAGEREF _Toc507422478 \h </w:instrText>
        </w:r>
        <w:r w:rsidR="00D44A2C">
          <w:rPr>
            <w:noProof/>
            <w:webHidden/>
          </w:rPr>
        </w:r>
        <w:r w:rsidR="00D44A2C">
          <w:rPr>
            <w:noProof/>
            <w:webHidden/>
          </w:rPr>
          <w:fldChar w:fldCharType="separate"/>
        </w:r>
        <w:r w:rsidR="008616B3">
          <w:rPr>
            <w:noProof/>
            <w:webHidden/>
          </w:rPr>
          <w:t>32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79" w:history="1">
        <w:r w:rsidR="00D44A2C" w:rsidRPr="00100291">
          <w:rPr>
            <w:rStyle w:val="Collegamentoipertestuale"/>
            <w:noProof/>
          </w:rPr>
          <w:t xml:space="preserve">Tabella 11 – </w:t>
        </w:r>
        <w:r w:rsidR="00D44A2C" w:rsidRPr="00100291">
          <w:rPr>
            <w:rStyle w:val="Collegamentoipertestuale"/>
            <w:rFonts w:eastAsia="Calibri" w:cs="Arial"/>
            <w:noProof/>
            <w:lang w:eastAsia="it-IT"/>
          </w:rPr>
          <w:t>Riepilogo accantonamenti Regione Sardegna</w:t>
        </w:r>
        <w:r w:rsidR="00D44A2C">
          <w:rPr>
            <w:noProof/>
            <w:webHidden/>
          </w:rPr>
          <w:tab/>
        </w:r>
        <w:r w:rsidR="00D44A2C">
          <w:rPr>
            <w:noProof/>
            <w:webHidden/>
          </w:rPr>
          <w:fldChar w:fldCharType="begin"/>
        </w:r>
        <w:r w:rsidR="00D44A2C">
          <w:rPr>
            <w:noProof/>
            <w:webHidden/>
          </w:rPr>
          <w:instrText xml:space="preserve"> PAGEREF _Toc507422479 \h </w:instrText>
        </w:r>
        <w:r w:rsidR="00D44A2C">
          <w:rPr>
            <w:noProof/>
            <w:webHidden/>
          </w:rPr>
        </w:r>
        <w:r w:rsidR="00D44A2C">
          <w:rPr>
            <w:noProof/>
            <w:webHidden/>
          </w:rPr>
          <w:fldChar w:fldCharType="separate"/>
        </w:r>
        <w:r w:rsidR="008616B3">
          <w:rPr>
            <w:noProof/>
            <w:webHidden/>
          </w:rPr>
          <w:t>40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0" w:history="1">
        <w:r w:rsidR="00D44A2C" w:rsidRPr="00100291">
          <w:rPr>
            <w:rStyle w:val="Collegamentoipertestuale"/>
            <w:noProof/>
          </w:rPr>
          <w:t xml:space="preserve">Tabella 12 - </w:t>
        </w:r>
        <w:r w:rsidR="00D44A2C" w:rsidRPr="00100291">
          <w:rPr>
            <w:rStyle w:val="Collegamentoipertestuale"/>
            <w:rFonts w:eastAsia="Verdana"/>
            <w:noProof/>
            <w:spacing w:val="-3"/>
          </w:rPr>
          <w:t>Entrate Esercizi 2015/2016 – Gestione di competenza</w:t>
        </w:r>
        <w:r w:rsidR="00D44A2C">
          <w:rPr>
            <w:noProof/>
            <w:webHidden/>
          </w:rPr>
          <w:tab/>
        </w:r>
        <w:r w:rsidR="00D44A2C">
          <w:rPr>
            <w:noProof/>
            <w:webHidden/>
          </w:rPr>
          <w:fldChar w:fldCharType="begin"/>
        </w:r>
        <w:r w:rsidR="00D44A2C">
          <w:rPr>
            <w:noProof/>
            <w:webHidden/>
          </w:rPr>
          <w:instrText xml:space="preserve"> PAGEREF _Toc507422480 \h </w:instrText>
        </w:r>
        <w:r w:rsidR="00D44A2C">
          <w:rPr>
            <w:noProof/>
            <w:webHidden/>
          </w:rPr>
        </w:r>
        <w:r w:rsidR="00D44A2C">
          <w:rPr>
            <w:noProof/>
            <w:webHidden/>
          </w:rPr>
          <w:fldChar w:fldCharType="separate"/>
        </w:r>
        <w:r w:rsidR="008616B3">
          <w:rPr>
            <w:noProof/>
            <w:webHidden/>
          </w:rPr>
          <w:t>44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1" w:history="1">
        <w:r w:rsidR="00D44A2C" w:rsidRPr="00100291">
          <w:rPr>
            <w:rStyle w:val="Collegamentoipertestuale"/>
            <w:noProof/>
          </w:rPr>
          <w:t>Tabella 13 – Entrate per titoli e fonte – Competenza 2016</w:t>
        </w:r>
        <w:r w:rsidR="00D44A2C">
          <w:rPr>
            <w:noProof/>
            <w:webHidden/>
          </w:rPr>
          <w:tab/>
        </w:r>
        <w:r w:rsidR="00D44A2C">
          <w:rPr>
            <w:noProof/>
            <w:webHidden/>
          </w:rPr>
          <w:fldChar w:fldCharType="begin"/>
        </w:r>
        <w:r w:rsidR="00D44A2C">
          <w:rPr>
            <w:noProof/>
            <w:webHidden/>
          </w:rPr>
          <w:instrText xml:space="preserve"> PAGEREF _Toc507422481 \h </w:instrText>
        </w:r>
        <w:r w:rsidR="00D44A2C">
          <w:rPr>
            <w:noProof/>
            <w:webHidden/>
          </w:rPr>
        </w:r>
        <w:r w:rsidR="00D44A2C">
          <w:rPr>
            <w:noProof/>
            <w:webHidden/>
          </w:rPr>
          <w:fldChar w:fldCharType="separate"/>
        </w:r>
        <w:r w:rsidR="008616B3">
          <w:rPr>
            <w:noProof/>
            <w:webHidden/>
          </w:rPr>
          <w:t>47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2" w:history="1">
        <w:r w:rsidR="00D44A2C" w:rsidRPr="00100291">
          <w:rPr>
            <w:rStyle w:val="Collegamentoipertestuale"/>
            <w:noProof/>
          </w:rPr>
          <w:t>Tabella 14 - Reimputazioni debiti che non hanno generato FPV</w:t>
        </w:r>
        <w:r w:rsidR="00D44A2C">
          <w:rPr>
            <w:noProof/>
            <w:webHidden/>
          </w:rPr>
          <w:tab/>
        </w:r>
        <w:r w:rsidR="00D44A2C">
          <w:rPr>
            <w:noProof/>
            <w:webHidden/>
          </w:rPr>
          <w:fldChar w:fldCharType="begin"/>
        </w:r>
        <w:r w:rsidR="00D44A2C">
          <w:rPr>
            <w:noProof/>
            <w:webHidden/>
          </w:rPr>
          <w:instrText xml:space="preserve"> PAGEREF _Toc507422482 \h </w:instrText>
        </w:r>
        <w:r w:rsidR="00D44A2C">
          <w:rPr>
            <w:noProof/>
            <w:webHidden/>
          </w:rPr>
        </w:r>
        <w:r w:rsidR="00D44A2C">
          <w:rPr>
            <w:noProof/>
            <w:webHidden/>
          </w:rPr>
          <w:fldChar w:fldCharType="separate"/>
        </w:r>
        <w:r w:rsidR="008616B3">
          <w:rPr>
            <w:noProof/>
            <w:webHidden/>
          </w:rPr>
          <w:t>49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3" w:history="1">
        <w:r w:rsidR="00D44A2C" w:rsidRPr="00100291">
          <w:rPr>
            <w:rStyle w:val="Collegamentoipertestuale"/>
            <w:noProof/>
          </w:rPr>
          <w:t>Tabella 15 - Bilancio di previsione 2016 - Spesa - Scomposizione voce “di cui già impegnato”</w:t>
        </w:r>
        <w:r w:rsidR="00D44A2C">
          <w:rPr>
            <w:noProof/>
            <w:webHidden/>
          </w:rPr>
          <w:tab/>
        </w:r>
        <w:r w:rsidR="00D44A2C">
          <w:rPr>
            <w:noProof/>
            <w:webHidden/>
          </w:rPr>
          <w:fldChar w:fldCharType="begin"/>
        </w:r>
        <w:r w:rsidR="00D44A2C">
          <w:rPr>
            <w:noProof/>
            <w:webHidden/>
          </w:rPr>
          <w:instrText xml:space="preserve"> PAGEREF _Toc507422483 \h </w:instrText>
        </w:r>
        <w:r w:rsidR="00D44A2C">
          <w:rPr>
            <w:noProof/>
            <w:webHidden/>
          </w:rPr>
        </w:r>
        <w:r w:rsidR="00D44A2C">
          <w:rPr>
            <w:noProof/>
            <w:webHidden/>
          </w:rPr>
          <w:fldChar w:fldCharType="separate"/>
        </w:r>
        <w:r w:rsidR="008616B3">
          <w:rPr>
            <w:noProof/>
            <w:webHidden/>
          </w:rPr>
          <w:t>50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4" w:history="1">
        <w:r w:rsidR="00D44A2C" w:rsidRPr="00100291">
          <w:rPr>
            <w:rStyle w:val="Collegamentoipertestuale"/>
            <w:noProof/>
          </w:rPr>
          <w:t>Tabella 16 – Scomposizione impegni di competenza</w:t>
        </w:r>
        <w:r w:rsidR="00D44A2C">
          <w:rPr>
            <w:noProof/>
            <w:webHidden/>
          </w:rPr>
          <w:tab/>
        </w:r>
        <w:r w:rsidR="00D44A2C">
          <w:rPr>
            <w:noProof/>
            <w:webHidden/>
          </w:rPr>
          <w:fldChar w:fldCharType="begin"/>
        </w:r>
        <w:r w:rsidR="00D44A2C">
          <w:rPr>
            <w:noProof/>
            <w:webHidden/>
          </w:rPr>
          <w:instrText xml:space="preserve"> PAGEREF _Toc507422484 \h </w:instrText>
        </w:r>
        <w:r w:rsidR="00D44A2C">
          <w:rPr>
            <w:noProof/>
            <w:webHidden/>
          </w:rPr>
        </w:r>
        <w:r w:rsidR="00D44A2C">
          <w:rPr>
            <w:noProof/>
            <w:webHidden/>
          </w:rPr>
          <w:fldChar w:fldCharType="separate"/>
        </w:r>
        <w:r w:rsidR="008616B3">
          <w:rPr>
            <w:noProof/>
            <w:webHidden/>
          </w:rPr>
          <w:t>51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5" w:history="1">
        <w:r w:rsidR="00D44A2C" w:rsidRPr="00100291">
          <w:rPr>
            <w:rStyle w:val="Collegamentoipertestuale"/>
            <w:noProof/>
          </w:rPr>
          <w:t xml:space="preserve">Tabella 17 - </w:t>
        </w:r>
        <w:r w:rsidR="00D44A2C" w:rsidRPr="00100291">
          <w:rPr>
            <w:rStyle w:val="Collegamentoipertestuale"/>
            <w:rFonts w:eastAsia="Verdana"/>
            <w:noProof/>
            <w:spacing w:val="-3"/>
          </w:rPr>
          <w:t>Spese Esercizi 2015/2016 Competenza– Gestione del bilancio per Titoli</w:t>
        </w:r>
        <w:r w:rsidR="00D44A2C">
          <w:rPr>
            <w:noProof/>
            <w:webHidden/>
          </w:rPr>
          <w:tab/>
        </w:r>
        <w:r w:rsidR="00D44A2C">
          <w:rPr>
            <w:noProof/>
            <w:webHidden/>
          </w:rPr>
          <w:fldChar w:fldCharType="begin"/>
        </w:r>
        <w:r w:rsidR="00D44A2C">
          <w:rPr>
            <w:noProof/>
            <w:webHidden/>
          </w:rPr>
          <w:instrText xml:space="preserve"> PAGEREF _Toc507422485 \h </w:instrText>
        </w:r>
        <w:r w:rsidR="00D44A2C">
          <w:rPr>
            <w:noProof/>
            <w:webHidden/>
          </w:rPr>
        </w:r>
        <w:r w:rsidR="00D44A2C">
          <w:rPr>
            <w:noProof/>
            <w:webHidden/>
          </w:rPr>
          <w:fldChar w:fldCharType="separate"/>
        </w:r>
        <w:r w:rsidR="008616B3">
          <w:rPr>
            <w:noProof/>
            <w:webHidden/>
          </w:rPr>
          <w:t>52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6" w:history="1">
        <w:r w:rsidR="00D44A2C" w:rsidRPr="00100291">
          <w:rPr>
            <w:rStyle w:val="Collegamentoipertestuale"/>
            <w:noProof/>
          </w:rPr>
          <w:t xml:space="preserve">Tabella 18 - </w:t>
        </w:r>
        <w:r w:rsidR="00D44A2C" w:rsidRPr="00100291">
          <w:rPr>
            <w:rStyle w:val="Collegamentoipertestuale"/>
            <w:rFonts w:eastAsiaTheme="majorEastAsia" w:cstheme="majorBidi"/>
            <w:noProof/>
          </w:rPr>
          <w:t>Spesa per Titoli e Fonte - Competenza 2016</w:t>
        </w:r>
        <w:r w:rsidR="00D44A2C">
          <w:rPr>
            <w:noProof/>
            <w:webHidden/>
          </w:rPr>
          <w:tab/>
        </w:r>
        <w:r w:rsidR="00D44A2C">
          <w:rPr>
            <w:noProof/>
            <w:webHidden/>
          </w:rPr>
          <w:fldChar w:fldCharType="begin"/>
        </w:r>
        <w:r w:rsidR="00D44A2C">
          <w:rPr>
            <w:noProof/>
            <w:webHidden/>
          </w:rPr>
          <w:instrText xml:space="preserve"> PAGEREF _Toc507422486 \h </w:instrText>
        </w:r>
        <w:r w:rsidR="00D44A2C">
          <w:rPr>
            <w:noProof/>
            <w:webHidden/>
          </w:rPr>
        </w:r>
        <w:r w:rsidR="00D44A2C">
          <w:rPr>
            <w:noProof/>
            <w:webHidden/>
          </w:rPr>
          <w:fldChar w:fldCharType="separate"/>
        </w:r>
        <w:r w:rsidR="008616B3">
          <w:rPr>
            <w:noProof/>
            <w:webHidden/>
          </w:rPr>
          <w:t>55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7" w:history="1">
        <w:r w:rsidR="00D44A2C" w:rsidRPr="00100291">
          <w:rPr>
            <w:rStyle w:val="Collegamentoipertestuale"/>
            <w:noProof/>
          </w:rPr>
          <w:t xml:space="preserve">Tabella 19 - </w:t>
        </w:r>
        <w:r w:rsidR="00D44A2C" w:rsidRPr="00100291">
          <w:rPr>
            <w:rStyle w:val="Collegamentoipertestuale"/>
            <w:rFonts w:eastAsiaTheme="majorEastAsia" w:cstheme="majorBidi"/>
            <w:noProof/>
          </w:rPr>
          <w:t>Esercizio 2016 - Spesa per Missioni</w:t>
        </w:r>
        <w:r w:rsidR="00D44A2C">
          <w:rPr>
            <w:noProof/>
            <w:webHidden/>
          </w:rPr>
          <w:tab/>
        </w:r>
        <w:r w:rsidR="00D44A2C">
          <w:rPr>
            <w:noProof/>
            <w:webHidden/>
          </w:rPr>
          <w:fldChar w:fldCharType="begin"/>
        </w:r>
        <w:r w:rsidR="00D44A2C">
          <w:rPr>
            <w:noProof/>
            <w:webHidden/>
          </w:rPr>
          <w:instrText xml:space="preserve"> PAGEREF _Toc507422487 \h </w:instrText>
        </w:r>
        <w:r w:rsidR="00D44A2C">
          <w:rPr>
            <w:noProof/>
            <w:webHidden/>
          </w:rPr>
        </w:r>
        <w:r w:rsidR="00D44A2C">
          <w:rPr>
            <w:noProof/>
            <w:webHidden/>
          </w:rPr>
          <w:fldChar w:fldCharType="separate"/>
        </w:r>
        <w:r w:rsidR="008616B3">
          <w:rPr>
            <w:noProof/>
            <w:webHidden/>
          </w:rPr>
          <w:t>57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8" w:history="1">
        <w:r w:rsidR="00D44A2C" w:rsidRPr="00100291">
          <w:rPr>
            <w:rStyle w:val="Collegamentoipertestuale"/>
            <w:noProof/>
          </w:rPr>
          <w:t>Tabella 20 – Riaccertamento ordinario dei residui attivi e passivi al 31.12.2016</w:t>
        </w:r>
        <w:r w:rsidR="00D44A2C">
          <w:rPr>
            <w:noProof/>
            <w:webHidden/>
          </w:rPr>
          <w:tab/>
        </w:r>
        <w:r w:rsidR="00D44A2C">
          <w:rPr>
            <w:noProof/>
            <w:webHidden/>
          </w:rPr>
          <w:fldChar w:fldCharType="begin"/>
        </w:r>
        <w:r w:rsidR="00D44A2C">
          <w:rPr>
            <w:noProof/>
            <w:webHidden/>
          </w:rPr>
          <w:instrText xml:space="preserve"> PAGEREF _Toc507422488 \h </w:instrText>
        </w:r>
        <w:r w:rsidR="00D44A2C">
          <w:rPr>
            <w:noProof/>
            <w:webHidden/>
          </w:rPr>
        </w:r>
        <w:r w:rsidR="00D44A2C">
          <w:rPr>
            <w:noProof/>
            <w:webHidden/>
          </w:rPr>
          <w:fldChar w:fldCharType="separate"/>
        </w:r>
        <w:r w:rsidR="008616B3">
          <w:rPr>
            <w:noProof/>
            <w:webHidden/>
          </w:rPr>
          <w:t>62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89" w:history="1">
        <w:r w:rsidR="00D44A2C" w:rsidRPr="00100291">
          <w:rPr>
            <w:rStyle w:val="Collegamentoipertestuale"/>
            <w:noProof/>
          </w:rPr>
          <w:t>Tabella 21 - Confronto residui attivi e passivi da riportare agli esercizi 2016 e 2017</w:t>
        </w:r>
        <w:r w:rsidR="00D44A2C">
          <w:rPr>
            <w:noProof/>
            <w:webHidden/>
          </w:rPr>
          <w:tab/>
        </w:r>
        <w:r w:rsidR="00D44A2C">
          <w:rPr>
            <w:noProof/>
            <w:webHidden/>
          </w:rPr>
          <w:fldChar w:fldCharType="begin"/>
        </w:r>
        <w:r w:rsidR="00D44A2C">
          <w:rPr>
            <w:noProof/>
            <w:webHidden/>
          </w:rPr>
          <w:instrText xml:space="preserve"> PAGEREF _Toc507422489 \h </w:instrText>
        </w:r>
        <w:r w:rsidR="00D44A2C">
          <w:rPr>
            <w:noProof/>
            <w:webHidden/>
          </w:rPr>
        </w:r>
        <w:r w:rsidR="00D44A2C">
          <w:rPr>
            <w:noProof/>
            <w:webHidden/>
          </w:rPr>
          <w:fldChar w:fldCharType="separate"/>
        </w:r>
        <w:r w:rsidR="008616B3">
          <w:rPr>
            <w:noProof/>
            <w:webHidden/>
          </w:rPr>
          <w:t>63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0" w:history="1">
        <w:r w:rsidR="00D44A2C" w:rsidRPr="00100291">
          <w:rPr>
            <w:rStyle w:val="Collegamentoipertestuale"/>
            <w:noProof/>
          </w:rPr>
          <w:t xml:space="preserve">Tabella 22 - </w:t>
        </w:r>
        <w:r w:rsidR="00D44A2C" w:rsidRPr="00100291">
          <w:rPr>
            <w:rStyle w:val="Collegamentoipertestuale"/>
            <w:rFonts w:eastAsia="Times New Roman" w:cs="Arial"/>
            <w:noProof/>
            <w:lang w:eastAsia="it-IT"/>
          </w:rPr>
          <w:t>Situazione in sede di riaccertamento ordinario dei residui</w:t>
        </w:r>
        <w:r w:rsidR="00D44A2C">
          <w:rPr>
            <w:noProof/>
            <w:webHidden/>
          </w:rPr>
          <w:tab/>
        </w:r>
        <w:r w:rsidR="00D44A2C">
          <w:rPr>
            <w:noProof/>
            <w:webHidden/>
          </w:rPr>
          <w:fldChar w:fldCharType="begin"/>
        </w:r>
        <w:r w:rsidR="00D44A2C">
          <w:rPr>
            <w:noProof/>
            <w:webHidden/>
          </w:rPr>
          <w:instrText xml:space="preserve"> PAGEREF _Toc507422490 \h </w:instrText>
        </w:r>
        <w:r w:rsidR="00D44A2C">
          <w:rPr>
            <w:noProof/>
            <w:webHidden/>
          </w:rPr>
        </w:r>
        <w:r w:rsidR="00D44A2C">
          <w:rPr>
            <w:noProof/>
            <w:webHidden/>
          </w:rPr>
          <w:fldChar w:fldCharType="separate"/>
        </w:r>
        <w:r w:rsidR="008616B3">
          <w:rPr>
            <w:noProof/>
            <w:webHidden/>
          </w:rPr>
          <w:t>64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1" w:history="1">
        <w:r w:rsidR="00D44A2C" w:rsidRPr="00100291">
          <w:rPr>
            <w:rStyle w:val="Collegamentoipertestuale"/>
            <w:noProof/>
          </w:rPr>
          <w:t>Tabella 23 - Confronto stralci esercizi 2015 - 2016</w:t>
        </w:r>
        <w:r w:rsidR="00D44A2C">
          <w:rPr>
            <w:noProof/>
            <w:webHidden/>
          </w:rPr>
          <w:tab/>
        </w:r>
        <w:r w:rsidR="00D44A2C">
          <w:rPr>
            <w:noProof/>
            <w:webHidden/>
          </w:rPr>
          <w:fldChar w:fldCharType="begin"/>
        </w:r>
        <w:r w:rsidR="00D44A2C">
          <w:rPr>
            <w:noProof/>
            <w:webHidden/>
          </w:rPr>
          <w:instrText xml:space="preserve"> PAGEREF _Toc507422491 \h </w:instrText>
        </w:r>
        <w:r w:rsidR="00D44A2C">
          <w:rPr>
            <w:noProof/>
            <w:webHidden/>
          </w:rPr>
        </w:r>
        <w:r w:rsidR="00D44A2C">
          <w:rPr>
            <w:noProof/>
            <w:webHidden/>
          </w:rPr>
          <w:fldChar w:fldCharType="separate"/>
        </w:r>
        <w:r w:rsidR="008616B3">
          <w:rPr>
            <w:noProof/>
            <w:webHidden/>
          </w:rPr>
          <w:t>65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2" w:history="1">
        <w:r w:rsidR="00D44A2C" w:rsidRPr="00100291">
          <w:rPr>
            <w:rStyle w:val="Collegamentoipertestuale"/>
            <w:noProof/>
          </w:rPr>
          <w:t>Tabella 24 – Riaccertamento ordinario 2016-Reimputazione entrate e spese (DGR</w:t>
        </w:r>
        <w:r w:rsidR="00D44A2C" w:rsidRPr="00100291">
          <w:rPr>
            <w:rStyle w:val="Collegamentoipertestuale"/>
            <w:rFonts w:eastAsia="Times New Roman" w:cs="Arial"/>
            <w:noProof/>
            <w:lang w:eastAsia="it-IT"/>
          </w:rPr>
          <w:t xml:space="preserve"> n. 26/48/2017)</w:t>
        </w:r>
        <w:r w:rsidR="00D44A2C">
          <w:rPr>
            <w:noProof/>
            <w:webHidden/>
          </w:rPr>
          <w:tab/>
        </w:r>
        <w:r w:rsidR="00D44A2C">
          <w:rPr>
            <w:noProof/>
            <w:webHidden/>
          </w:rPr>
          <w:fldChar w:fldCharType="begin"/>
        </w:r>
        <w:r w:rsidR="00D44A2C">
          <w:rPr>
            <w:noProof/>
            <w:webHidden/>
          </w:rPr>
          <w:instrText xml:space="preserve"> PAGEREF _Toc507422492 \h </w:instrText>
        </w:r>
        <w:r w:rsidR="00D44A2C">
          <w:rPr>
            <w:noProof/>
            <w:webHidden/>
          </w:rPr>
        </w:r>
        <w:r w:rsidR="00D44A2C">
          <w:rPr>
            <w:noProof/>
            <w:webHidden/>
          </w:rPr>
          <w:fldChar w:fldCharType="separate"/>
        </w:r>
        <w:r w:rsidR="008616B3">
          <w:rPr>
            <w:noProof/>
            <w:webHidden/>
          </w:rPr>
          <w:t>69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3" w:history="1">
        <w:r w:rsidR="00D44A2C" w:rsidRPr="00100291">
          <w:rPr>
            <w:rStyle w:val="Collegamentoipertestuale"/>
            <w:noProof/>
          </w:rPr>
          <w:t>Tabella 25 - Confronto reimputazioni esercizi 2015 – 2016</w:t>
        </w:r>
        <w:r w:rsidR="00D44A2C">
          <w:rPr>
            <w:noProof/>
            <w:webHidden/>
          </w:rPr>
          <w:tab/>
        </w:r>
        <w:r w:rsidR="00D44A2C">
          <w:rPr>
            <w:noProof/>
            <w:webHidden/>
          </w:rPr>
          <w:fldChar w:fldCharType="begin"/>
        </w:r>
        <w:r w:rsidR="00D44A2C">
          <w:rPr>
            <w:noProof/>
            <w:webHidden/>
          </w:rPr>
          <w:instrText xml:space="preserve"> PAGEREF _Toc507422493 \h </w:instrText>
        </w:r>
        <w:r w:rsidR="00D44A2C">
          <w:rPr>
            <w:noProof/>
            <w:webHidden/>
          </w:rPr>
        </w:r>
        <w:r w:rsidR="00D44A2C">
          <w:rPr>
            <w:noProof/>
            <w:webHidden/>
          </w:rPr>
          <w:fldChar w:fldCharType="separate"/>
        </w:r>
        <w:r w:rsidR="008616B3">
          <w:rPr>
            <w:noProof/>
            <w:webHidden/>
          </w:rPr>
          <w:t>69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4" w:history="1">
        <w:r w:rsidR="00D44A2C" w:rsidRPr="00100291">
          <w:rPr>
            <w:rStyle w:val="Collegamentoipertestuale"/>
            <w:noProof/>
          </w:rPr>
          <w:t>Tabella 26 – Entrate - Esercizi 2015/2016 - Gestione dei residui</w:t>
        </w:r>
        <w:r w:rsidR="00D44A2C">
          <w:rPr>
            <w:noProof/>
            <w:webHidden/>
          </w:rPr>
          <w:tab/>
        </w:r>
        <w:r w:rsidR="00D44A2C">
          <w:rPr>
            <w:noProof/>
            <w:webHidden/>
          </w:rPr>
          <w:fldChar w:fldCharType="begin"/>
        </w:r>
        <w:r w:rsidR="00D44A2C">
          <w:rPr>
            <w:noProof/>
            <w:webHidden/>
          </w:rPr>
          <w:instrText xml:space="preserve"> PAGEREF _Toc507422494 \h </w:instrText>
        </w:r>
        <w:r w:rsidR="00D44A2C">
          <w:rPr>
            <w:noProof/>
            <w:webHidden/>
          </w:rPr>
        </w:r>
        <w:r w:rsidR="00D44A2C">
          <w:rPr>
            <w:noProof/>
            <w:webHidden/>
          </w:rPr>
          <w:fldChar w:fldCharType="separate"/>
        </w:r>
        <w:r w:rsidR="008616B3">
          <w:rPr>
            <w:noProof/>
            <w:webHidden/>
          </w:rPr>
          <w:t>72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5" w:history="1">
        <w:r w:rsidR="00D44A2C" w:rsidRPr="00100291">
          <w:rPr>
            <w:rStyle w:val="Collegamentoipertestuale"/>
            <w:noProof/>
          </w:rPr>
          <w:t>Tabella 27 – Residui attivi riaccertati al 31.12.2016 per titolo e anno di provenienza</w:t>
        </w:r>
        <w:r w:rsidR="00D44A2C">
          <w:rPr>
            <w:noProof/>
            <w:webHidden/>
          </w:rPr>
          <w:tab/>
        </w:r>
        <w:r w:rsidR="00D44A2C">
          <w:rPr>
            <w:noProof/>
            <w:webHidden/>
          </w:rPr>
          <w:fldChar w:fldCharType="begin"/>
        </w:r>
        <w:r w:rsidR="00D44A2C">
          <w:rPr>
            <w:noProof/>
            <w:webHidden/>
          </w:rPr>
          <w:instrText xml:space="preserve"> PAGEREF _Toc507422495 \h </w:instrText>
        </w:r>
        <w:r w:rsidR="00D44A2C">
          <w:rPr>
            <w:noProof/>
            <w:webHidden/>
          </w:rPr>
        </w:r>
        <w:r w:rsidR="00D44A2C">
          <w:rPr>
            <w:noProof/>
            <w:webHidden/>
          </w:rPr>
          <w:fldChar w:fldCharType="separate"/>
        </w:r>
        <w:r w:rsidR="008616B3">
          <w:rPr>
            <w:noProof/>
            <w:webHidden/>
          </w:rPr>
          <w:t>73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6" w:history="1">
        <w:r w:rsidR="00D44A2C" w:rsidRPr="00100291">
          <w:rPr>
            <w:rStyle w:val="Collegamentoipertestuale"/>
            <w:noProof/>
          </w:rPr>
          <w:t>Tabella 28 - Spesa - Esercizi 2015/2016 - Gestione dei residui</w:t>
        </w:r>
        <w:r w:rsidR="00D44A2C">
          <w:rPr>
            <w:noProof/>
            <w:webHidden/>
          </w:rPr>
          <w:tab/>
        </w:r>
        <w:r w:rsidR="00D44A2C">
          <w:rPr>
            <w:noProof/>
            <w:webHidden/>
          </w:rPr>
          <w:fldChar w:fldCharType="begin"/>
        </w:r>
        <w:r w:rsidR="00D44A2C">
          <w:rPr>
            <w:noProof/>
            <w:webHidden/>
          </w:rPr>
          <w:instrText xml:space="preserve"> PAGEREF _Toc507422496 \h </w:instrText>
        </w:r>
        <w:r w:rsidR="00D44A2C">
          <w:rPr>
            <w:noProof/>
            <w:webHidden/>
          </w:rPr>
        </w:r>
        <w:r w:rsidR="00D44A2C">
          <w:rPr>
            <w:noProof/>
            <w:webHidden/>
          </w:rPr>
          <w:fldChar w:fldCharType="separate"/>
        </w:r>
        <w:r w:rsidR="008616B3">
          <w:rPr>
            <w:noProof/>
            <w:webHidden/>
          </w:rPr>
          <w:t>75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7" w:history="1">
        <w:r w:rsidR="00D44A2C" w:rsidRPr="00100291">
          <w:rPr>
            <w:rStyle w:val="Collegamentoipertestuale"/>
            <w:noProof/>
          </w:rPr>
          <w:t>Tabella 29 - Residui passivi riaccertati al 31.12.2016 per titolo e anno di provenienza</w:t>
        </w:r>
        <w:r w:rsidR="00D44A2C">
          <w:rPr>
            <w:noProof/>
            <w:webHidden/>
          </w:rPr>
          <w:tab/>
        </w:r>
        <w:r w:rsidR="00D44A2C">
          <w:rPr>
            <w:noProof/>
            <w:webHidden/>
          </w:rPr>
          <w:fldChar w:fldCharType="begin"/>
        </w:r>
        <w:r w:rsidR="00D44A2C">
          <w:rPr>
            <w:noProof/>
            <w:webHidden/>
          </w:rPr>
          <w:instrText xml:space="preserve"> PAGEREF _Toc507422497 \h </w:instrText>
        </w:r>
        <w:r w:rsidR="00D44A2C">
          <w:rPr>
            <w:noProof/>
            <w:webHidden/>
          </w:rPr>
        </w:r>
        <w:r w:rsidR="00D44A2C">
          <w:rPr>
            <w:noProof/>
            <w:webHidden/>
          </w:rPr>
          <w:fldChar w:fldCharType="separate"/>
        </w:r>
        <w:r w:rsidR="008616B3">
          <w:rPr>
            <w:noProof/>
            <w:webHidden/>
          </w:rPr>
          <w:t>75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8" w:history="1">
        <w:r w:rsidR="00D44A2C" w:rsidRPr="00100291">
          <w:rPr>
            <w:rStyle w:val="Collegamentoipertestuale"/>
            <w:noProof/>
          </w:rPr>
          <w:t>Tabella 30 – Perenzioni per categoria di creditori al 1° gennaio 2016</w:t>
        </w:r>
        <w:r w:rsidR="00D44A2C">
          <w:rPr>
            <w:noProof/>
            <w:webHidden/>
          </w:rPr>
          <w:tab/>
        </w:r>
        <w:r w:rsidR="00D44A2C">
          <w:rPr>
            <w:noProof/>
            <w:webHidden/>
          </w:rPr>
          <w:fldChar w:fldCharType="begin"/>
        </w:r>
        <w:r w:rsidR="00D44A2C">
          <w:rPr>
            <w:noProof/>
            <w:webHidden/>
          </w:rPr>
          <w:instrText xml:space="preserve"> PAGEREF _Toc507422498 \h </w:instrText>
        </w:r>
        <w:r w:rsidR="00D44A2C">
          <w:rPr>
            <w:noProof/>
            <w:webHidden/>
          </w:rPr>
        </w:r>
        <w:r w:rsidR="00D44A2C">
          <w:rPr>
            <w:noProof/>
            <w:webHidden/>
          </w:rPr>
          <w:fldChar w:fldCharType="separate"/>
        </w:r>
        <w:r w:rsidR="008616B3">
          <w:rPr>
            <w:noProof/>
            <w:webHidden/>
          </w:rPr>
          <w:t>80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499" w:history="1">
        <w:r w:rsidR="00D44A2C" w:rsidRPr="00100291">
          <w:rPr>
            <w:rStyle w:val="Collegamentoipertestuale"/>
            <w:noProof/>
          </w:rPr>
          <w:t>Tabella 31 - Movimentazione contabile e perenzioni aperte al 31 dicembre 2016</w:t>
        </w:r>
        <w:r w:rsidR="00D44A2C">
          <w:rPr>
            <w:noProof/>
            <w:webHidden/>
          </w:rPr>
          <w:tab/>
        </w:r>
        <w:r w:rsidR="00D44A2C">
          <w:rPr>
            <w:noProof/>
            <w:webHidden/>
          </w:rPr>
          <w:fldChar w:fldCharType="begin"/>
        </w:r>
        <w:r w:rsidR="00D44A2C">
          <w:rPr>
            <w:noProof/>
            <w:webHidden/>
          </w:rPr>
          <w:instrText xml:space="preserve"> PAGEREF _Toc507422499 \h </w:instrText>
        </w:r>
        <w:r w:rsidR="00D44A2C">
          <w:rPr>
            <w:noProof/>
            <w:webHidden/>
          </w:rPr>
        </w:r>
        <w:r w:rsidR="00D44A2C">
          <w:rPr>
            <w:noProof/>
            <w:webHidden/>
          </w:rPr>
          <w:fldChar w:fldCharType="separate"/>
        </w:r>
        <w:r w:rsidR="008616B3">
          <w:rPr>
            <w:noProof/>
            <w:webHidden/>
          </w:rPr>
          <w:t>80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0" w:history="1">
        <w:r w:rsidR="00D44A2C" w:rsidRPr="00100291">
          <w:rPr>
            <w:rStyle w:val="Collegamentoipertestuale"/>
            <w:noProof/>
          </w:rPr>
          <w:t>Tabella 32 - Cancellazioni perenzioni esercizio 2016 per Assessorati</w:t>
        </w:r>
        <w:r w:rsidR="00D44A2C">
          <w:rPr>
            <w:noProof/>
            <w:webHidden/>
          </w:rPr>
          <w:tab/>
        </w:r>
        <w:r w:rsidR="00D44A2C">
          <w:rPr>
            <w:noProof/>
            <w:webHidden/>
          </w:rPr>
          <w:fldChar w:fldCharType="begin"/>
        </w:r>
        <w:r w:rsidR="00D44A2C">
          <w:rPr>
            <w:noProof/>
            <w:webHidden/>
          </w:rPr>
          <w:instrText xml:space="preserve"> PAGEREF _Toc507422500 \h </w:instrText>
        </w:r>
        <w:r w:rsidR="00D44A2C">
          <w:rPr>
            <w:noProof/>
            <w:webHidden/>
          </w:rPr>
        </w:r>
        <w:r w:rsidR="00D44A2C">
          <w:rPr>
            <w:noProof/>
            <w:webHidden/>
          </w:rPr>
          <w:fldChar w:fldCharType="separate"/>
        </w:r>
        <w:r w:rsidR="008616B3">
          <w:rPr>
            <w:noProof/>
            <w:webHidden/>
          </w:rPr>
          <w:t>81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1" w:history="1">
        <w:r w:rsidR="00D44A2C" w:rsidRPr="00100291">
          <w:rPr>
            <w:rStyle w:val="Collegamentoipertestuale"/>
            <w:noProof/>
          </w:rPr>
          <w:t xml:space="preserve">Tabella 33 - </w:t>
        </w:r>
        <w:r w:rsidR="00D44A2C" w:rsidRPr="00100291">
          <w:rPr>
            <w:rStyle w:val="Collegamentoipertestuale"/>
            <w:rFonts w:eastAsia="Times New Roman" w:cs="Calibri"/>
            <w:noProof/>
            <w:lang w:eastAsia="it-IT"/>
          </w:rPr>
          <w:t>Cancellazione perenzioni esercizio 2016 per Creditori</w:t>
        </w:r>
        <w:r w:rsidR="00D44A2C">
          <w:rPr>
            <w:noProof/>
            <w:webHidden/>
          </w:rPr>
          <w:tab/>
        </w:r>
        <w:r w:rsidR="00D44A2C">
          <w:rPr>
            <w:noProof/>
            <w:webHidden/>
          </w:rPr>
          <w:fldChar w:fldCharType="begin"/>
        </w:r>
        <w:r w:rsidR="00D44A2C">
          <w:rPr>
            <w:noProof/>
            <w:webHidden/>
          </w:rPr>
          <w:instrText xml:space="preserve"> PAGEREF _Toc507422501 \h </w:instrText>
        </w:r>
        <w:r w:rsidR="00D44A2C">
          <w:rPr>
            <w:noProof/>
            <w:webHidden/>
          </w:rPr>
        </w:r>
        <w:r w:rsidR="00D44A2C">
          <w:rPr>
            <w:noProof/>
            <w:webHidden/>
          </w:rPr>
          <w:fldChar w:fldCharType="separate"/>
        </w:r>
        <w:r w:rsidR="008616B3">
          <w:rPr>
            <w:noProof/>
            <w:webHidden/>
          </w:rPr>
          <w:t>82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2" w:history="1">
        <w:r w:rsidR="00D44A2C" w:rsidRPr="00100291">
          <w:rPr>
            <w:rStyle w:val="Collegamentoipertestuale"/>
            <w:noProof/>
          </w:rPr>
          <w:t>Tabella 34 - Evoluzione FPV di spesa 2016</w:t>
        </w:r>
        <w:r w:rsidR="00D44A2C">
          <w:rPr>
            <w:noProof/>
            <w:webHidden/>
          </w:rPr>
          <w:tab/>
        </w:r>
        <w:r w:rsidR="00D44A2C">
          <w:rPr>
            <w:noProof/>
            <w:webHidden/>
          </w:rPr>
          <w:fldChar w:fldCharType="begin"/>
        </w:r>
        <w:r w:rsidR="00D44A2C">
          <w:rPr>
            <w:noProof/>
            <w:webHidden/>
          </w:rPr>
          <w:instrText xml:space="preserve"> PAGEREF _Toc507422502 \h </w:instrText>
        </w:r>
        <w:r w:rsidR="00D44A2C">
          <w:rPr>
            <w:noProof/>
            <w:webHidden/>
          </w:rPr>
        </w:r>
        <w:r w:rsidR="00D44A2C">
          <w:rPr>
            <w:noProof/>
            <w:webHidden/>
          </w:rPr>
          <w:fldChar w:fldCharType="separate"/>
        </w:r>
        <w:r w:rsidR="008616B3">
          <w:rPr>
            <w:noProof/>
            <w:webHidden/>
          </w:rPr>
          <w:t>83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3" w:history="1">
        <w:r w:rsidR="00D44A2C" w:rsidRPr="00100291">
          <w:rPr>
            <w:rStyle w:val="Collegamentoipertestuale"/>
            <w:noProof/>
          </w:rPr>
          <w:t>Tabella 35 - Stanziamento Finale del FPV (Allegato G alla DGR. n. 26/48/2017)</w:t>
        </w:r>
        <w:r w:rsidR="00D44A2C">
          <w:rPr>
            <w:noProof/>
            <w:webHidden/>
          </w:rPr>
          <w:tab/>
        </w:r>
        <w:r w:rsidR="00D44A2C">
          <w:rPr>
            <w:noProof/>
            <w:webHidden/>
          </w:rPr>
          <w:fldChar w:fldCharType="begin"/>
        </w:r>
        <w:r w:rsidR="00D44A2C">
          <w:rPr>
            <w:noProof/>
            <w:webHidden/>
          </w:rPr>
          <w:instrText xml:space="preserve"> PAGEREF _Toc507422503 \h </w:instrText>
        </w:r>
        <w:r w:rsidR="00D44A2C">
          <w:rPr>
            <w:noProof/>
            <w:webHidden/>
          </w:rPr>
        </w:r>
        <w:r w:rsidR="00D44A2C">
          <w:rPr>
            <w:noProof/>
            <w:webHidden/>
          </w:rPr>
          <w:fldChar w:fldCharType="separate"/>
        </w:r>
        <w:r w:rsidR="008616B3">
          <w:rPr>
            <w:noProof/>
            <w:webHidden/>
          </w:rPr>
          <w:t>84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4" w:history="1">
        <w:r w:rsidR="00D44A2C" w:rsidRPr="00100291">
          <w:rPr>
            <w:rStyle w:val="Collegamentoipertestuale"/>
            <w:noProof/>
          </w:rPr>
          <w:t>Tabella 36 - Prospetto di concordanza</w:t>
        </w:r>
        <w:r w:rsidR="00D44A2C">
          <w:rPr>
            <w:noProof/>
            <w:webHidden/>
          </w:rPr>
          <w:tab/>
        </w:r>
        <w:r w:rsidR="00D44A2C">
          <w:rPr>
            <w:noProof/>
            <w:webHidden/>
          </w:rPr>
          <w:fldChar w:fldCharType="begin"/>
        </w:r>
        <w:r w:rsidR="00D44A2C">
          <w:rPr>
            <w:noProof/>
            <w:webHidden/>
          </w:rPr>
          <w:instrText xml:space="preserve"> PAGEREF _Toc507422504 \h </w:instrText>
        </w:r>
        <w:r w:rsidR="00D44A2C">
          <w:rPr>
            <w:noProof/>
            <w:webHidden/>
          </w:rPr>
        </w:r>
        <w:r w:rsidR="00D44A2C">
          <w:rPr>
            <w:noProof/>
            <w:webHidden/>
          </w:rPr>
          <w:fldChar w:fldCharType="separate"/>
        </w:r>
        <w:r w:rsidR="008616B3">
          <w:rPr>
            <w:noProof/>
            <w:webHidden/>
          </w:rPr>
          <w:t>86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5" w:history="1">
        <w:r w:rsidR="00D44A2C" w:rsidRPr="00100291">
          <w:rPr>
            <w:rStyle w:val="Collegamentoipertestuale"/>
            <w:noProof/>
          </w:rPr>
          <w:t>Tabella 37 - Prospetto dimostrativo del Risultato di Amministrazione al 31/12/2016</w:t>
        </w:r>
        <w:r w:rsidR="00D44A2C">
          <w:rPr>
            <w:noProof/>
            <w:webHidden/>
          </w:rPr>
          <w:tab/>
        </w:r>
        <w:r w:rsidR="00D44A2C">
          <w:rPr>
            <w:noProof/>
            <w:webHidden/>
          </w:rPr>
          <w:fldChar w:fldCharType="begin"/>
        </w:r>
        <w:r w:rsidR="00D44A2C">
          <w:rPr>
            <w:noProof/>
            <w:webHidden/>
          </w:rPr>
          <w:instrText xml:space="preserve"> PAGEREF _Toc507422505 \h </w:instrText>
        </w:r>
        <w:r w:rsidR="00D44A2C">
          <w:rPr>
            <w:noProof/>
            <w:webHidden/>
          </w:rPr>
        </w:r>
        <w:r w:rsidR="00D44A2C">
          <w:rPr>
            <w:noProof/>
            <w:webHidden/>
          </w:rPr>
          <w:fldChar w:fldCharType="separate"/>
        </w:r>
        <w:r w:rsidR="008616B3">
          <w:rPr>
            <w:noProof/>
            <w:webHidden/>
          </w:rPr>
          <w:t>87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6" w:history="1">
        <w:r w:rsidR="00D44A2C" w:rsidRPr="00100291">
          <w:rPr>
            <w:rStyle w:val="Collegamentoipertestuale"/>
            <w:noProof/>
          </w:rPr>
          <w:t>Tabella 38 - Composizione del Risultato di Amministrazione</w:t>
        </w:r>
        <w:r w:rsidR="00D44A2C">
          <w:rPr>
            <w:noProof/>
            <w:webHidden/>
          </w:rPr>
          <w:tab/>
        </w:r>
        <w:r w:rsidR="00D44A2C">
          <w:rPr>
            <w:noProof/>
            <w:webHidden/>
          </w:rPr>
          <w:fldChar w:fldCharType="begin"/>
        </w:r>
        <w:r w:rsidR="00D44A2C">
          <w:rPr>
            <w:noProof/>
            <w:webHidden/>
          </w:rPr>
          <w:instrText xml:space="preserve"> PAGEREF _Toc507422506 \h </w:instrText>
        </w:r>
        <w:r w:rsidR="00D44A2C">
          <w:rPr>
            <w:noProof/>
            <w:webHidden/>
          </w:rPr>
        </w:r>
        <w:r w:rsidR="00D44A2C">
          <w:rPr>
            <w:noProof/>
            <w:webHidden/>
          </w:rPr>
          <w:fldChar w:fldCharType="separate"/>
        </w:r>
        <w:r w:rsidR="008616B3">
          <w:rPr>
            <w:noProof/>
            <w:webHidden/>
          </w:rPr>
          <w:t>87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7" w:history="1">
        <w:r w:rsidR="00D44A2C" w:rsidRPr="00100291">
          <w:rPr>
            <w:rStyle w:val="Collegamentoipertestuale"/>
            <w:rFonts w:eastAsia="Times New Roman" w:cs="Times New Roman"/>
            <w:noProof/>
          </w:rPr>
          <w:t>Tabella 39 - Analisi del Disavanzo</w:t>
        </w:r>
        <w:r w:rsidR="00D44A2C">
          <w:rPr>
            <w:noProof/>
            <w:webHidden/>
          </w:rPr>
          <w:tab/>
        </w:r>
        <w:r w:rsidR="00D44A2C">
          <w:rPr>
            <w:noProof/>
            <w:webHidden/>
          </w:rPr>
          <w:fldChar w:fldCharType="begin"/>
        </w:r>
        <w:r w:rsidR="00D44A2C">
          <w:rPr>
            <w:noProof/>
            <w:webHidden/>
          </w:rPr>
          <w:instrText xml:space="preserve"> PAGEREF _Toc507422507 \h </w:instrText>
        </w:r>
        <w:r w:rsidR="00D44A2C">
          <w:rPr>
            <w:noProof/>
            <w:webHidden/>
          </w:rPr>
        </w:r>
        <w:r w:rsidR="00D44A2C">
          <w:rPr>
            <w:noProof/>
            <w:webHidden/>
          </w:rPr>
          <w:fldChar w:fldCharType="separate"/>
        </w:r>
        <w:r w:rsidR="008616B3">
          <w:rPr>
            <w:noProof/>
            <w:webHidden/>
          </w:rPr>
          <w:t>89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8" w:history="1">
        <w:r w:rsidR="00D44A2C" w:rsidRPr="00100291">
          <w:rPr>
            <w:rStyle w:val="Collegamentoipertestuale"/>
            <w:noProof/>
          </w:rPr>
          <w:t>Tabella 40 - Riepilogo risorse vincolate del Risultato di amministrazione</w:t>
        </w:r>
        <w:r w:rsidR="00D44A2C">
          <w:rPr>
            <w:noProof/>
            <w:webHidden/>
          </w:rPr>
          <w:tab/>
        </w:r>
        <w:r w:rsidR="00D44A2C">
          <w:rPr>
            <w:noProof/>
            <w:webHidden/>
          </w:rPr>
          <w:fldChar w:fldCharType="begin"/>
        </w:r>
        <w:r w:rsidR="00D44A2C">
          <w:rPr>
            <w:noProof/>
            <w:webHidden/>
          </w:rPr>
          <w:instrText xml:space="preserve"> PAGEREF _Toc507422508 \h </w:instrText>
        </w:r>
        <w:r w:rsidR="00D44A2C">
          <w:rPr>
            <w:noProof/>
            <w:webHidden/>
          </w:rPr>
        </w:r>
        <w:r w:rsidR="00D44A2C">
          <w:rPr>
            <w:noProof/>
            <w:webHidden/>
          </w:rPr>
          <w:fldChar w:fldCharType="separate"/>
        </w:r>
        <w:r w:rsidR="008616B3">
          <w:rPr>
            <w:noProof/>
            <w:webHidden/>
          </w:rPr>
          <w:t>93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09" w:history="1">
        <w:r w:rsidR="00D44A2C" w:rsidRPr="00100291">
          <w:rPr>
            <w:rStyle w:val="Collegamentoipertestuale"/>
            <w:noProof/>
          </w:rPr>
          <w:t>Tabella 41 – Quadro generale riassuntivo</w:t>
        </w:r>
        <w:r w:rsidR="00D44A2C">
          <w:rPr>
            <w:noProof/>
            <w:webHidden/>
          </w:rPr>
          <w:tab/>
        </w:r>
        <w:r w:rsidR="00D44A2C">
          <w:rPr>
            <w:noProof/>
            <w:webHidden/>
          </w:rPr>
          <w:fldChar w:fldCharType="begin"/>
        </w:r>
        <w:r w:rsidR="00D44A2C">
          <w:rPr>
            <w:noProof/>
            <w:webHidden/>
          </w:rPr>
          <w:instrText xml:space="preserve"> PAGEREF _Toc507422509 \h </w:instrText>
        </w:r>
        <w:r w:rsidR="00D44A2C">
          <w:rPr>
            <w:noProof/>
            <w:webHidden/>
          </w:rPr>
        </w:r>
        <w:r w:rsidR="00D44A2C">
          <w:rPr>
            <w:noProof/>
            <w:webHidden/>
          </w:rPr>
          <w:fldChar w:fldCharType="separate"/>
        </w:r>
        <w:r w:rsidR="008616B3">
          <w:rPr>
            <w:noProof/>
            <w:webHidden/>
          </w:rPr>
          <w:t>95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0" w:history="1">
        <w:r w:rsidR="00D44A2C" w:rsidRPr="00100291">
          <w:rPr>
            <w:rStyle w:val="Collegamentoipertestuale"/>
            <w:noProof/>
          </w:rPr>
          <w:t>Tabella 42 - Equilibri di bilancio</w:t>
        </w:r>
        <w:r w:rsidR="00D44A2C">
          <w:rPr>
            <w:noProof/>
            <w:webHidden/>
          </w:rPr>
          <w:tab/>
        </w:r>
        <w:r w:rsidR="00D44A2C">
          <w:rPr>
            <w:noProof/>
            <w:webHidden/>
          </w:rPr>
          <w:fldChar w:fldCharType="begin"/>
        </w:r>
        <w:r w:rsidR="00D44A2C">
          <w:rPr>
            <w:noProof/>
            <w:webHidden/>
          </w:rPr>
          <w:instrText xml:space="preserve"> PAGEREF _Toc507422510 \h </w:instrText>
        </w:r>
        <w:r w:rsidR="00D44A2C">
          <w:rPr>
            <w:noProof/>
            <w:webHidden/>
          </w:rPr>
        </w:r>
        <w:r w:rsidR="00D44A2C">
          <w:rPr>
            <w:noProof/>
            <w:webHidden/>
          </w:rPr>
          <w:fldChar w:fldCharType="separate"/>
        </w:r>
        <w:r w:rsidR="008616B3">
          <w:rPr>
            <w:noProof/>
            <w:webHidden/>
          </w:rPr>
          <w:t>98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1" w:history="1">
        <w:r w:rsidR="00D44A2C" w:rsidRPr="00100291">
          <w:rPr>
            <w:rStyle w:val="Collegamentoipertestuale"/>
            <w:noProof/>
          </w:rPr>
          <w:t>Tabella 43 - Saldo corrente ai fini della copertura degli investimenti pluriennali delle Autonomie speciali</w:t>
        </w:r>
        <w:r w:rsidR="00D44A2C">
          <w:rPr>
            <w:noProof/>
            <w:webHidden/>
          </w:rPr>
          <w:tab/>
        </w:r>
        <w:r w:rsidR="00D44A2C">
          <w:rPr>
            <w:noProof/>
            <w:webHidden/>
          </w:rPr>
          <w:fldChar w:fldCharType="begin"/>
        </w:r>
        <w:r w:rsidR="00D44A2C">
          <w:rPr>
            <w:noProof/>
            <w:webHidden/>
          </w:rPr>
          <w:instrText xml:space="preserve"> PAGEREF _Toc507422511 \h </w:instrText>
        </w:r>
        <w:r w:rsidR="00D44A2C">
          <w:rPr>
            <w:noProof/>
            <w:webHidden/>
          </w:rPr>
        </w:r>
        <w:r w:rsidR="00D44A2C">
          <w:rPr>
            <w:noProof/>
            <w:webHidden/>
          </w:rPr>
          <w:fldChar w:fldCharType="separate"/>
        </w:r>
        <w:r w:rsidR="008616B3">
          <w:rPr>
            <w:noProof/>
            <w:webHidden/>
          </w:rPr>
          <w:t>99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2" w:history="1">
        <w:r w:rsidR="00D44A2C" w:rsidRPr="00100291">
          <w:rPr>
            <w:rStyle w:val="Collegamentoipertestuale"/>
            <w:noProof/>
          </w:rPr>
          <w:t>Tabella 44 - Equilibri di cassa</w:t>
        </w:r>
        <w:r w:rsidR="00D44A2C">
          <w:rPr>
            <w:noProof/>
            <w:webHidden/>
          </w:rPr>
          <w:tab/>
        </w:r>
        <w:r w:rsidR="00D44A2C">
          <w:rPr>
            <w:noProof/>
            <w:webHidden/>
          </w:rPr>
          <w:fldChar w:fldCharType="begin"/>
        </w:r>
        <w:r w:rsidR="00D44A2C">
          <w:rPr>
            <w:noProof/>
            <w:webHidden/>
          </w:rPr>
          <w:instrText xml:space="preserve"> PAGEREF _Toc507422512 \h </w:instrText>
        </w:r>
        <w:r w:rsidR="00D44A2C">
          <w:rPr>
            <w:noProof/>
            <w:webHidden/>
          </w:rPr>
        </w:r>
        <w:r w:rsidR="00D44A2C">
          <w:rPr>
            <w:noProof/>
            <w:webHidden/>
          </w:rPr>
          <w:fldChar w:fldCharType="separate"/>
        </w:r>
        <w:r w:rsidR="008616B3">
          <w:rPr>
            <w:noProof/>
            <w:webHidden/>
          </w:rPr>
          <w:t>100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3" w:history="1">
        <w:r w:rsidR="00D44A2C" w:rsidRPr="00100291">
          <w:rPr>
            <w:rStyle w:val="Collegamentoipertestuale"/>
            <w:noProof/>
          </w:rPr>
          <w:t>Tabella 45 – Monitoraggio delle risultanze del pareggio di bilancio per l’anno 2016</w:t>
        </w:r>
        <w:r w:rsidR="00D44A2C">
          <w:rPr>
            <w:noProof/>
            <w:webHidden/>
          </w:rPr>
          <w:tab/>
        </w:r>
        <w:r w:rsidR="00D44A2C">
          <w:rPr>
            <w:noProof/>
            <w:webHidden/>
          </w:rPr>
          <w:fldChar w:fldCharType="begin"/>
        </w:r>
        <w:r w:rsidR="00D44A2C">
          <w:rPr>
            <w:noProof/>
            <w:webHidden/>
          </w:rPr>
          <w:instrText xml:space="preserve"> PAGEREF _Toc507422513 \h </w:instrText>
        </w:r>
        <w:r w:rsidR="00D44A2C">
          <w:rPr>
            <w:noProof/>
            <w:webHidden/>
          </w:rPr>
        </w:r>
        <w:r w:rsidR="00D44A2C">
          <w:rPr>
            <w:noProof/>
            <w:webHidden/>
          </w:rPr>
          <w:fldChar w:fldCharType="separate"/>
        </w:r>
        <w:r w:rsidR="008616B3">
          <w:rPr>
            <w:noProof/>
            <w:webHidden/>
          </w:rPr>
          <w:t>102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4" w:history="1">
        <w:r w:rsidR="00D44A2C" w:rsidRPr="00100291">
          <w:rPr>
            <w:rStyle w:val="Collegamentoipertestuale"/>
            <w:noProof/>
          </w:rPr>
          <w:t>Tabella 46 - Mutui estinti anticipatamente nel 2016</w:t>
        </w:r>
        <w:r w:rsidR="00D44A2C">
          <w:rPr>
            <w:noProof/>
            <w:webHidden/>
          </w:rPr>
          <w:tab/>
        </w:r>
        <w:r w:rsidR="00D44A2C">
          <w:rPr>
            <w:noProof/>
            <w:webHidden/>
          </w:rPr>
          <w:fldChar w:fldCharType="begin"/>
        </w:r>
        <w:r w:rsidR="00D44A2C">
          <w:rPr>
            <w:noProof/>
            <w:webHidden/>
          </w:rPr>
          <w:instrText xml:space="preserve"> PAGEREF _Toc507422514 \h </w:instrText>
        </w:r>
        <w:r w:rsidR="00D44A2C">
          <w:rPr>
            <w:noProof/>
            <w:webHidden/>
          </w:rPr>
        </w:r>
        <w:r w:rsidR="00D44A2C">
          <w:rPr>
            <w:noProof/>
            <w:webHidden/>
          </w:rPr>
          <w:fldChar w:fldCharType="separate"/>
        </w:r>
        <w:r w:rsidR="008616B3">
          <w:rPr>
            <w:noProof/>
            <w:webHidden/>
          </w:rPr>
          <w:t>107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5" w:history="1">
        <w:r w:rsidR="00D44A2C" w:rsidRPr="00100291">
          <w:rPr>
            <w:rStyle w:val="Collegamentoipertestuale"/>
            <w:noProof/>
          </w:rPr>
          <w:t>Tabella 47 - Composizione del debito regionale</w:t>
        </w:r>
        <w:r w:rsidR="00D44A2C">
          <w:rPr>
            <w:noProof/>
            <w:webHidden/>
          </w:rPr>
          <w:tab/>
        </w:r>
        <w:r w:rsidR="00D44A2C">
          <w:rPr>
            <w:noProof/>
            <w:webHidden/>
          </w:rPr>
          <w:fldChar w:fldCharType="begin"/>
        </w:r>
        <w:r w:rsidR="00D44A2C">
          <w:rPr>
            <w:noProof/>
            <w:webHidden/>
          </w:rPr>
          <w:instrText xml:space="preserve"> PAGEREF _Toc507422515 \h </w:instrText>
        </w:r>
        <w:r w:rsidR="00D44A2C">
          <w:rPr>
            <w:noProof/>
            <w:webHidden/>
          </w:rPr>
        </w:r>
        <w:r w:rsidR="00D44A2C">
          <w:rPr>
            <w:noProof/>
            <w:webHidden/>
          </w:rPr>
          <w:fldChar w:fldCharType="separate"/>
        </w:r>
        <w:r w:rsidR="008616B3">
          <w:rPr>
            <w:noProof/>
            <w:webHidden/>
          </w:rPr>
          <w:t>107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6" w:history="1">
        <w:r w:rsidR="00D44A2C" w:rsidRPr="00100291">
          <w:rPr>
            <w:rStyle w:val="Collegamentoipertestuale"/>
            <w:noProof/>
          </w:rPr>
          <w:t>Tabella 48 - Dettaglio posizioni debitorie</w:t>
        </w:r>
        <w:r w:rsidR="00D44A2C">
          <w:rPr>
            <w:noProof/>
            <w:webHidden/>
          </w:rPr>
          <w:tab/>
        </w:r>
        <w:r w:rsidR="00D44A2C">
          <w:rPr>
            <w:noProof/>
            <w:webHidden/>
          </w:rPr>
          <w:fldChar w:fldCharType="begin"/>
        </w:r>
        <w:r w:rsidR="00D44A2C">
          <w:rPr>
            <w:noProof/>
            <w:webHidden/>
          </w:rPr>
          <w:instrText xml:space="preserve"> PAGEREF _Toc507422516 \h </w:instrText>
        </w:r>
        <w:r w:rsidR="00D44A2C">
          <w:rPr>
            <w:noProof/>
            <w:webHidden/>
          </w:rPr>
        </w:r>
        <w:r w:rsidR="00D44A2C">
          <w:rPr>
            <w:noProof/>
            <w:webHidden/>
          </w:rPr>
          <w:fldChar w:fldCharType="separate"/>
        </w:r>
        <w:r w:rsidR="008616B3">
          <w:rPr>
            <w:noProof/>
            <w:webHidden/>
          </w:rPr>
          <w:t>108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7" w:history="1">
        <w:r w:rsidR="00D44A2C" w:rsidRPr="00100291">
          <w:rPr>
            <w:rStyle w:val="Collegamentoipertestuale"/>
            <w:noProof/>
          </w:rPr>
          <w:t>Tabella 49 - Mutui e prestiti – Oneri 2016</w:t>
        </w:r>
        <w:r w:rsidR="00D44A2C">
          <w:rPr>
            <w:noProof/>
            <w:webHidden/>
          </w:rPr>
          <w:tab/>
        </w:r>
        <w:r w:rsidR="00D44A2C">
          <w:rPr>
            <w:noProof/>
            <w:webHidden/>
          </w:rPr>
          <w:fldChar w:fldCharType="begin"/>
        </w:r>
        <w:r w:rsidR="00D44A2C">
          <w:rPr>
            <w:noProof/>
            <w:webHidden/>
          </w:rPr>
          <w:instrText xml:space="preserve"> PAGEREF _Toc507422517 \h </w:instrText>
        </w:r>
        <w:r w:rsidR="00D44A2C">
          <w:rPr>
            <w:noProof/>
            <w:webHidden/>
          </w:rPr>
        </w:r>
        <w:r w:rsidR="00D44A2C">
          <w:rPr>
            <w:noProof/>
            <w:webHidden/>
          </w:rPr>
          <w:fldChar w:fldCharType="separate"/>
        </w:r>
        <w:r w:rsidR="008616B3">
          <w:rPr>
            <w:noProof/>
            <w:webHidden/>
          </w:rPr>
          <w:t>109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8" w:history="1">
        <w:r w:rsidR="00D44A2C" w:rsidRPr="00100291">
          <w:rPr>
            <w:rStyle w:val="Collegamentoipertestuale"/>
            <w:noProof/>
          </w:rPr>
          <w:t>Tabella 50 - Periodo 2012-2019 ripartizione quota capitale e quota interessi</w:t>
        </w:r>
        <w:r w:rsidR="00D44A2C">
          <w:rPr>
            <w:noProof/>
            <w:webHidden/>
          </w:rPr>
          <w:tab/>
        </w:r>
        <w:r w:rsidR="00D44A2C">
          <w:rPr>
            <w:noProof/>
            <w:webHidden/>
          </w:rPr>
          <w:fldChar w:fldCharType="begin"/>
        </w:r>
        <w:r w:rsidR="00D44A2C">
          <w:rPr>
            <w:noProof/>
            <w:webHidden/>
          </w:rPr>
          <w:instrText xml:space="preserve"> PAGEREF _Toc507422518 \h </w:instrText>
        </w:r>
        <w:r w:rsidR="00D44A2C">
          <w:rPr>
            <w:noProof/>
            <w:webHidden/>
          </w:rPr>
        </w:r>
        <w:r w:rsidR="00D44A2C">
          <w:rPr>
            <w:noProof/>
            <w:webHidden/>
          </w:rPr>
          <w:fldChar w:fldCharType="separate"/>
        </w:r>
        <w:r w:rsidR="008616B3">
          <w:rPr>
            <w:noProof/>
            <w:webHidden/>
          </w:rPr>
          <w:t>110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19" w:history="1">
        <w:r w:rsidR="00D44A2C" w:rsidRPr="00100291">
          <w:rPr>
            <w:rStyle w:val="Collegamentoipertestuale"/>
            <w:noProof/>
          </w:rPr>
          <w:t>Tabella 51 - Dimostrazione Stock Debito</w:t>
        </w:r>
        <w:r w:rsidR="00D44A2C">
          <w:rPr>
            <w:noProof/>
            <w:webHidden/>
          </w:rPr>
          <w:tab/>
        </w:r>
        <w:r w:rsidR="00D44A2C">
          <w:rPr>
            <w:noProof/>
            <w:webHidden/>
          </w:rPr>
          <w:fldChar w:fldCharType="begin"/>
        </w:r>
        <w:r w:rsidR="00D44A2C">
          <w:rPr>
            <w:noProof/>
            <w:webHidden/>
          </w:rPr>
          <w:instrText xml:space="preserve"> PAGEREF _Toc507422519 \h </w:instrText>
        </w:r>
        <w:r w:rsidR="00D44A2C">
          <w:rPr>
            <w:noProof/>
            <w:webHidden/>
          </w:rPr>
        </w:r>
        <w:r w:rsidR="00D44A2C">
          <w:rPr>
            <w:noProof/>
            <w:webHidden/>
          </w:rPr>
          <w:fldChar w:fldCharType="separate"/>
        </w:r>
        <w:r w:rsidR="008616B3">
          <w:rPr>
            <w:noProof/>
            <w:webHidden/>
          </w:rPr>
          <w:t>110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0" w:history="1">
        <w:r w:rsidR="00D44A2C" w:rsidRPr="00100291">
          <w:rPr>
            <w:rStyle w:val="Collegamentoipertestuale"/>
            <w:noProof/>
          </w:rPr>
          <w:t>Tabella 52 -Stock del debito pro capite</w:t>
        </w:r>
        <w:r w:rsidR="00D44A2C">
          <w:rPr>
            <w:noProof/>
            <w:webHidden/>
          </w:rPr>
          <w:tab/>
        </w:r>
        <w:r w:rsidR="00D44A2C">
          <w:rPr>
            <w:noProof/>
            <w:webHidden/>
          </w:rPr>
          <w:fldChar w:fldCharType="begin"/>
        </w:r>
        <w:r w:rsidR="00D44A2C">
          <w:rPr>
            <w:noProof/>
            <w:webHidden/>
          </w:rPr>
          <w:instrText xml:space="preserve"> PAGEREF _Toc507422520 \h </w:instrText>
        </w:r>
        <w:r w:rsidR="00D44A2C">
          <w:rPr>
            <w:noProof/>
            <w:webHidden/>
          </w:rPr>
        </w:r>
        <w:r w:rsidR="00D44A2C">
          <w:rPr>
            <w:noProof/>
            <w:webHidden/>
          </w:rPr>
          <w:fldChar w:fldCharType="separate"/>
        </w:r>
        <w:r w:rsidR="008616B3">
          <w:rPr>
            <w:noProof/>
            <w:webHidden/>
          </w:rPr>
          <w:t>110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1" w:history="1">
        <w:r w:rsidR="00D44A2C" w:rsidRPr="00100291">
          <w:rPr>
            <w:rStyle w:val="Collegamentoipertestuale"/>
            <w:noProof/>
          </w:rPr>
          <w:t>Tabella 53 - Rispetto dei vincoli di indebitamento 2016</w:t>
        </w:r>
        <w:r w:rsidR="00D44A2C">
          <w:rPr>
            <w:noProof/>
            <w:webHidden/>
          </w:rPr>
          <w:tab/>
        </w:r>
        <w:r w:rsidR="00D44A2C">
          <w:rPr>
            <w:noProof/>
            <w:webHidden/>
          </w:rPr>
          <w:fldChar w:fldCharType="begin"/>
        </w:r>
        <w:r w:rsidR="00D44A2C">
          <w:rPr>
            <w:noProof/>
            <w:webHidden/>
          </w:rPr>
          <w:instrText xml:space="preserve"> PAGEREF _Toc507422521 \h </w:instrText>
        </w:r>
        <w:r w:rsidR="00D44A2C">
          <w:rPr>
            <w:noProof/>
            <w:webHidden/>
          </w:rPr>
        </w:r>
        <w:r w:rsidR="00D44A2C">
          <w:rPr>
            <w:noProof/>
            <w:webHidden/>
          </w:rPr>
          <w:fldChar w:fldCharType="separate"/>
        </w:r>
        <w:r w:rsidR="008616B3">
          <w:rPr>
            <w:noProof/>
            <w:webHidden/>
          </w:rPr>
          <w:t>112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2" w:history="1">
        <w:r w:rsidR="00D44A2C" w:rsidRPr="00100291">
          <w:rPr>
            <w:rStyle w:val="Collegamentoipertestuale"/>
            <w:noProof/>
          </w:rPr>
          <w:t>Tabella 54 - Debiti fuori bilancio (L.R. 32/2016)</w:t>
        </w:r>
        <w:r w:rsidR="00D44A2C">
          <w:rPr>
            <w:noProof/>
            <w:webHidden/>
          </w:rPr>
          <w:tab/>
        </w:r>
        <w:r w:rsidR="00D44A2C">
          <w:rPr>
            <w:noProof/>
            <w:webHidden/>
          </w:rPr>
          <w:fldChar w:fldCharType="begin"/>
        </w:r>
        <w:r w:rsidR="00D44A2C">
          <w:rPr>
            <w:noProof/>
            <w:webHidden/>
          </w:rPr>
          <w:instrText xml:space="preserve"> PAGEREF _Toc507422522 \h </w:instrText>
        </w:r>
        <w:r w:rsidR="00D44A2C">
          <w:rPr>
            <w:noProof/>
            <w:webHidden/>
          </w:rPr>
        </w:r>
        <w:r w:rsidR="00D44A2C">
          <w:rPr>
            <w:noProof/>
            <w:webHidden/>
          </w:rPr>
          <w:fldChar w:fldCharType="separate"/>
        </w:r>
        <w:r w:rsidR="008616B3">
          <w:rPr>
            <w:noProof/>
            <w:webHidden/>
          </w:rPr>
          <w:t>125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3" w:history="1">
        <w:r w:rsidR="00D44A2C" w:rsidRPr="00100291">
          <w:rPr>
            <w:rStyle w:val="Collegamentoipertestuale"/>
            <w:noProof/>
          </w:rPr>
          <w:t xml:space="preserve">Tabella 55 – </w:t>
        </w:r>
        <w:r w:rsidR="00D44A2C" w:rsidRPr="00100291">
          <w:rPr>
            <w:rStyle w:val="Collegamentoipertestuale"/>
            <w:rFonts w:eastAsia="Times New Roman" w:cs="Calibri"/>
            <w:noProof/>
            <w:lang w:eastAsia="it-IT"/>
          </w:rPr>
          <w:t>Trasferimenti e contributi agli investimenti</w:t>
        </w:r>
        <w:r w:rsidR="00D44A2C">
          <w:rPr>
            <w:noProof/>
            <w:webHidden/>
          </w:rPr>
          <w:tab/>
        </w:r>
        <w:r w:rsidR="00D44A2C">
          <w:rPr>
            <w:noProof/>
            <w:webHidden/>
          </w:rPr>
          <w:fldChar w:fldCharType="begin"/>
        </w:r>
        <w:r w:rsidR="00D44A2C">
          <w:rPr>
            <w:noProof/>
            <w:webHidden/>
          </w:rPr>
          <w:instrText xml:space="preserve"> PAGEREF _Toc507422523 \h </w:instrText>
        </w:r>
        <w:r w:rsidR="00D44A2C">
          <w:rPr>
            <w:noProof/>
            <w:webHidden/>
          </w:rPr>
        </w:r>
        <w:r w:rsidR="00D44A2C">
          <w:rPr>
            <w:noProof/>
            <w:webHidden/>
          </w:rPr>
          <w:fldChar w:fldCharType="separate"/>
        </w:r>
        <w:r w:rsidR="008616B3">
          <w:rPr>
            <w:noProof/>
            <w:webHidden/>
          </w:rPr>
          <w:t>128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4" w:history="1">
        <w:r w:rsidR="00D44A2C" w:rsidRPr="00100291">
          <w:rPr>
            <w:rStyle w:val="Collegamentoipertestuale"/>
            <w:noProof/>
          </w:rPr>
          <w:t>Tabella 56 - Trasferimenti correnti</w:t>
        </w:r>
        <w:r w:rsidR="00D44A2C">
          <w:rPr>
            <w:noProof/>
            <w:webHidden/>
          </w:rPr>
          <w:tab/>
        </w:r>
        <w:r w:rsidR="00D44A2C">
          <w:rPr>
            <w:noProof/>
            <w:webHidden/>
          </w:rPr>
          <w:fldChar w:fldCharType="begin"/>
        </w:r>
        <w:r w:rsidR="00D44A2C">
          <w:rPr>
            <w:noProof/>
            <w:webHidden/>
          </w:rPr>
          <w:instrText xml:space="preserve"> PAGEREF _Toc507422524 \h </w:instrText>
        </w:r>
        <w:r w:rsidR="00D44A2C">
          <w:rPr>
            <w:noProof/>
            <w:webHidden/>
          </w:rPr>
        </w:r>
        <w:r w:rsidR="00D44A2C">
          <w:rPr>
            <w:noProof/>
            <w:webHidden/>
          </w:rPr>
          <w:fldChar w:fldCharType="separate"/>
        </w:r>
        <w:r w:rsidR="008616B3">
          <w:rPr>
            <w:noProof/>
            <w:webHidden/>
          </w:rPr>
          <w:t>128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5" w:history="1">
        <w:r w:rsidR="00D44A2C" w:rsidRPr="00100291">
          <w:rPr>
            <w:rStyle w:val="Collegamentoipertestuale"/>
            <w:noProof/>
          </w:rPr>
          <w:t xml:space="preserve">Tabella 57 – </w:t>
        </w:r>
        <w:r w:rsidR="00D44A2C" w:rsidRPr="00100291">
          <w:rPr>
            <w:rStyle w:val="Collegamentoipertestuale"/>
            <w:rFonts w:eastAsia="Times New Roman" w:cs="Calibri"/>
            <w:noProof/>
            <w:lang w:eastAsia="it-IT"/>
          </w:rPr>
          <w:t>Trasferimenti correnti e per investimenti a Comuni, Unioni di Comuni e Comunità Montane</w:t>
        </w:r>
        <w:r w:rsidR="00D44A2C">
          <w:rPr>
            <w:noProof/>
            <w:webHidden/>
          </w:rPr>
          <w:tab/>
        </w:r>
        <w:r w:rsidR="00D44A2C">
          <w:rPr>
            <w:noProof/>
            <w:webHidden/>
          </w:rPr>
          <w:fldChar w:fldCharType="begin"/>
        </w:r>
        <w:r w:rsidR="00D44A2C">
          <w:rPr>
            <w:noProof/>
            <w:webHidden/>
          </w:rPr>
          <w:instrText xml:space="preserve"> PAGEREF _Toc507422525 \h </w:instrText>
        </w:r>
        <w:r w:rsidR="00D44A2C">
          <w:rPr>
            <w:noProof/>
            <w:webHidden/>
          </w:rPr>
        </w:r>
        <w:r w:rsidR="00D44A2C">
          <w:rPr>
            <w:noProof/>
            <w:webHidden/>
          </w:rPr>
          <w:fldChar w:fldCharType="separate"/>
        </w:r>
        <w:r w:rsidR="008616B3">
          <w:rPr>
            <w:noProof/>
            <w:webHidden/>
          </w:rPr>
          <w:t>129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6" w:history="1">
        <w:r w:rsidR="00D44A2C" w:rsidRPr="00100291">
          <w:rPr>
            <w:rStyle w:val="Collegamentoipertestuale"/>
            <w:noProof/>
          </w:rPr>
          <w:t xml:space="preserve">Tabella 58 – </w:t>
        </w:r>
        <w:r w:rsidR="00D44A2C" w:rsidRPr="00100291">
          <w:rPr>
            <w:rStyle w:val="Collegamentoipertestuale"/>
            <w:rFonts w:eastAsia="Times New Roman" w:cs="Calibri"/>
            <w:noProof/>
            <w:lang w:eastAsia="it-IT"/>
          </w:rPr>
          <w:t>Trasferimenti correnti e per investimenti alle Università</w:t>
        </w:r>
        <w:r w:rsidR="00D44A2C">
          <w:rPr>
            <w:noProof/>
            <w:webHidden/>
          </w:rPr>
          <w:tab/>
        </w:r>
        <w:r w:rsidR="00D44A2C">
          <w:rPr>
            <w:noProof/>
            <w:webHidden/>
          </w:rPr>
          <w:fldChar w:fldCharType="begin"/>
        </w:r>
        <w:r w:rsidR="00D44A2C">
          <w:rPr>
            <w:noProof/>
            <w:webHidden/>
          </w:rPr>
          <w:instrText xml:space="preserve"> PAGEREF _Toc507422526 \h </w:instrText>
        </w:r>
        <w:r w:rsidR="00D44A2C">
          <w:rPr>
            <w:noProof/>
            <w:webHidden/>
          </w:rPr>
        </w:r>
        <w:r w:rsidR="00D44A2C">
          <w:rPr>
            <w:noProof/>
            <w:webHidden/>
          </w:rPr>
          <w:fldChar w:fldCharType="separate"/>
        </w:r>
        <w:r w:rsidR="008616B3">
          <w:rPr>
            <w:noProof/>
            <w:webHidden/>
          </w:rPr>
          <w:t>129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7" w:history="1">
        <w:r w:rsidR="00D44A2C" w:rsidRPr="00100291">
          <w:rPr>
            <w:rStyle w:val="Collegamentoipertestuale"/>
            <w:noProof/>
          </w:rPr>
          <w:t>Tabella 59 - Trasferimenti correnti e Contributi agli Investimenti</w:t>
        </w:r>
        <w:r w:rsidR="00D44A2C" w:rsidRPr="00100291">
          <w:rPr>
            <w:rStyle w:val="Collegamentoipertestuale"/>
            <w:noProof/>
            <w:vertAlign w:val="superscript"/>
          </w:rPr>
          <w:t>*</w:t>
        </w:r>
        <w:r w:rsidR="00D44A2C" w:rsidRPr="00100291">
          <w:rPr>
            <w:rStyle w:val="Collegamentoipertestuale"/>
            <w:noProof/>
          </w:rPr>
          <w:t xml:space="preserve"> - Enti e Agenzie Regionali</w:t>
        </w:r>
        <w:r w:rsidR="00D44A2C">
          <w:rPr>
            <w:noProof/>
            <w:webHidden/>
          </w:rPr>
          <w:tab/>
        </w:r>
        <w:r w:rsidR="00D44A2C">
          <w:rPr>
            <w:noProof/>
            <w:webHidden/>
          </w:rPr>
          <w:fldChar w:fldCharType="begin"/>
        </w:r>
        <w:r w:rsidR="00D44A2C">
          <w:rPr>
            <w:noProof/>
            <w:webHidden/>
          </w:rPr>
          <w:instrText xml:space="preserve"> PAGEREF _Toc507422527 \h </w:instrText>
        </w:r>
        <w:r w:rsidR="00D44A2C">
          <w:rPr>
            <w:noProof/>
            <w:webHidden/>
          </w:rPr>
        </w:r>
        <w:r w:rsidR="00D44A2C">
          <w:rPr>
            <w:noProof/>
            <w:webHidden/>
          </w:rPr>
          <w:fldChar w:fldCharType="separate"/>
        </w:r>
        <w:r w:rsidR="008616B3">
          <w:rPr>
            <w:noProof/>
            <w:webHidden/>
          </w:rPr>
          <w:t>130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8" w:history="1">
        <w:r w:rsidR="00D44A2C" w:rsidRPr="00100291">
          <w:rPr>
            <w:rStyle w:val="Collegamentoipertestuale"/>
            <w:noProof/>
          </w:rPr>
          <w:t>Tabella 60 - Trasferimenti correnti a Imprese controllate, partecipate e altre</w:t>
        </w:r>
        <w:r w:rsidR="00D44A2C">
          <w:rPr>
            <w:noProof/>
            <w:webHidden/>
          </w:rPr>
          <w:tab/>
        </w:r>
        <w:r w:rsidR="00D44A2C">
          <w:rPr>
            <w:noProof/>
            <w:webHidden/>
          </w:rPr>
          <w:fldChar w:fldCharType="begin"/>
        </w:r>
        <w:r w:rsidR="00D44A2C">
          <w:rPr>
            <w:noProof/>
            <w:webHidden/>
          </w:rPr>
          <w:instrText xml:space="preserve"> PAGEREF _Toc507422528 \h </w:instrText>
        </w:r>
        <w:r w:rsidR="00D44A2C">
          <w:rPr>
            <w:noProof/>
            <w:webHidden/>
          </w:rPr>
        </w:r>
        <w:r w:rsidR="00D44A2C">
          <w:rPr>
            <w:noProof/>
            <w:webHidden/>
          </w:rPr>
          <w:fldChar w:fldCharType="separate"/>
        </w:r>
        <w:r w:rsidR="008616B3">
          <w:rPr>
            <w:noProof/>
            <w:webHidden/>
          </w:rPr>
          <w:t>130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29" w:history="1">
        <w:r w:rsidR="00D44A2C" w:rsidRPr="00100291">
          <w:rPr>
            <w:rStyle w:val="Collegamentoipertestuale"/>
            <w:noProof/>
          </w:rPr>
          <w:t>Tabella 61 – Contributi agli investimenti a Imprese controllate, partecipate e altre</w:t>
        </w:r>
        <w:r w:rsidR="00D44A2C">
          <w:rPr>
            <w:noProof/>
            <w:webHidden/>
          </w:rPr>
          <w:tab/>
        </w:r>
        <w:r w:rsidR="00D44A2C">
          <w:rPr>
            <w:noProof/>
            <w:webHidden/>
          </w:rPr>
          <w:fldChar w:fldCharType="begin"/>
        </w:r>
        <w:r w:rsidR="00D44A2C">
          <w:rPr>
            <w:noProof/>
            <w:webHidden/>
          </w:rPr>
          <w:instrText xml:space="preserve"> PAGEREF _Toc507422529 \h </w:instrText>
        </w:r>
        <w:r w:rsidR="00D44A2C">
          <w:rPr>
            <w:noProof/>
            <w:webHidden/>
          </w:rPr>
        </w:r>
        <w:r w:rsidR="00D44A2C">
          <w:rPr>
            <w:noProof/>
            <w:webHidden/>
          </w:rPr>
          <w:fldChar w:fldCharType="separate"/>
        </w:r>
        <w:r w:rsidR="008616B3">
          <w:rPr>
            <w:noProof/>
            <w:webHidden/>
          </w:rPr>
          <w:t>131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0" w:history="1">
        <w:r w:rsidR="00D44A2C" w:rsidRPr="00100291">
          <w:rPr>
            <w:rStyle w:val="Collegamentoipertestuale"/>
            <w:noProof/>
          </w:rPr>
          <w:t>Tabella 62 – Totale Trasferimenti correnti a Consorzi di enti locali e altri</w:t>
        </w:r>
        <w:r w:rsidR="00D44A2C">
          <w:rPr>
            <w:noProof/>
            <w:webHidden/>
          </w:rPr>
          <w:tab/>
        </w:r>
        <w:r w:rsidR="00D44A2C">
          <w:rPr>
            <w:noProof/>
            <w:webHidden/>
          </w:rPr>
          <w:fldChar w:fldCharType="begin"/>
        </w:r>
        <w:r w:rsidR="00D44A2C">
          <w:rPr>
            <w:noProof/>
            <w:webHidden/>
          </w:rPr>
          <w:instrText xml:space="preserve"> PAGEREF _Toc507422530 \h </w:instrText>
        </w:r>
        <w:r w:rsidR="00D44A2C">
          <w:rPr>
            <w:noProof/>
            <w:webHidden/>
          </w:rPr>
        </w:r>
        <w:r w:rsidR="00D44A2C">
          <w:rPr>
            <w:noProof/>
            <w:webHidden/>
          </w:rPr>
          <w:fldChar w:fldCharType="separate"/>
        </w:r>
        <w:r w:rsidR="008616B3">
          <w:rPr>
            <w:noProof/>
            <w:webHidden/>
          </w:rPr>
          <w:t>131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1" w:history="1">
        <w:r w:rsidR="00D44A2C" w:rsidRPr="00100291">
          <w:rPr>
            <w:rStyle w:val="Collegamentoipertestuale"/>
            <w:noProof/>
          </w:rPr>
          <w:t>Tabella 63 - Totale Contributi agli Investimenti a Consorzi di enti locali e altri</w:t>
        </w:r>
        <w:r w:rsidR="00D44A2C">
          <w:rPr>
            <w:noProof/>
            <w:webHidden/>
          </w:rPr>
          <w:tab/>
        </w:r>
        <w:r w:rsidR="00D44A2C">
          <w:rPr>
            <w:noProof/>
            <w:webHidden/>
          </w:rPr>
          <w:fldChar w:fldCharType="begin"/>
        </w:r>
        <w:r w:rsidR="00D44A2C">
          <w:rPr>
            <w:noProof/>
            <w:webHidden/>
          </w:rPr>
          <w:instrText xml:space="preserve"> PAGEREF _Toc507422531 \h </w:instrText>
        </w:r>
        <w:r w:rsidR="00D44A2C">
          <w:rPr>
            <w:noProof/>
            <w:webHidden/>
          </w:rPr>
        </w:r>
        <w:r w:rsidR="00D44A2C">
          <w:rPr>
            <w:noProof/>
            <w:webHidden/>
          </w:rPr>
          <w:fldChar w:fldCharType="separate"/>
        </w:r>
        <w:r w:rsidR="008616B3">
          <w:rPr>
            <w:noProof/>
            <w:webHidden/>
          </w:rPr>
          <w:t>132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2" w:history="1">
        <w:r w:rsidR="00D44A2C" w:rsidRPr="00100291">
          <w:rPr>
            <w:rStyle w:val="Collegamentoipertestuale"/>
            <w:noProof/>
          </w:rPr>
          <w:t>Tabella 64 - Totale trasferimenti Enti di Area Vasta anno 2016</w:t>
        </w:r>
        <w:r w:rsidR="00D44A2C">
          <w:rPr>
            <w:noProof/>
            <w:webHidden/>
          </w:rPr>
          <w:tab/>
        </w:r>
        <w:r w:rsidR="00D44A2C">
          <w:rPr>
            <w:noProof/>
            <w:webHidden/>
          </w:rPr>
          <w:fldChar w:fldCharType="begin"/>
        </w:r>
        <w:r w:rsidR="00D44A2C">
          <w:rPr>
            <w:noProof/>
            <w:webHidden/>
          </w:rPr>
          <w:instrText xml:space="preserve"> PAGEREF _Toc507422532 \h </w:instrText>
        </w:r>
        <w:r w:rsidR="00D44A2C">
          <w:rPr>
            <w:noProof/>
            <w:webHidden/>
          </w:rPr>
        </w:r>
        <w:r w:rsidR="00D44A2C">
          <w:rPr>
            <w:noProof/>
            <w:webHidden/>
          </w:rPr>
          <w:fldChar w:fldCharType="separate"/>
        </w:r>
        <w:r w:rsidR="008616B3">
          <w:rPr>
            <w:noProof/>
            <w:webHidden/>
          </w:rPr>
          <w:t>135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3" w:history="1">
        <w:r w:rsidR="00D44A2C" w:rsidRPr="00100291">
          <w:rPr>
            <w:rStyle w:val="Collegamentoipertestuale"/>
            <w:noProof/>
          </w:rPr>
          <w:t>Tabella 65 - Totale trasferimenti Enti di Area Vasta anno 2017</w:t>
        </w:r>
        <w:r w:rsidR="00D44A2C">
          <w:rPr>
            <w:noProof/>
            <w:webHidden/>
          </w:rPr>
          <w:tab/>
        </w:r>
        <w:r w:rsidR="00D44A2C">
          <w:rPr>
            <w:noProof/>
            <w:webHidden/>
          </w:rPr>
          <w:fldChar w:fldCharType="begin"/>
        </w:r>
        <w:r w:rsidR="00D44A2C">
          <w:rPr>
            <w:noProof/>
            <w:webHidden/>
          </w:rPr>
          <w:instrText xml:space="preserve"> PAGEREF _Toc507422533 \h </w:instrText>
        </w:r>
        <w:r w:rsidR="00D44A2C">
          <w:rPr>
            <w:noProof/>
            <w:webHidden/>
          </w:rPr>
        </w:r>
        <w:r w:rsidR="00D44A2C">
          <w:rPr>
            <w:noProof/>
            <w:webHidden/>
          </w:rPr>
          <w:fldChar w:fldCharType="separate"/>
        </w:r>
        <w:r w:rsidR="008616B3">
          <w:rPr>
            <w:noProof/>
            <w:webHidden/>
          </w:rPr>
          <w:t>136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4" w:history="1">
        <w:r w:rsidR="00D44A2C" w:rsidRPr="00100291">
          <w:rPr>
            <w:rStyle w:val="Collegamentoipertestuale"/>
            <w:noProof/>
          </w:rPr>
          <w:t>Tabella 66 - Sintesi dell’organico regionale al 30.09.2016 (personale non dirigente)</w:t>
        </w:r>
        <w:r w:rsidR="00D44A2C">
          <w:rPr>
            <w:noProof/>
            <w:webHidden/>
          </w:rPr>
          <w:tab/>
        </w:r>
        <w:r w:rsidR="00D44A2C">
          <w:rPr>
            <w:noProof/>
            <w:webHidden/>
          </w:rPr>
          <w:fldChar w:fldCharType="begin"/>
        </w:r>
        <w:r w:rsidR="00D44A2C">
          <w:rPr>
            <w:noProof/>
            <w:webHidden/>
          </w:rPr>
          <w:instrText xml:space="preserve"> PAGEREF _Toc507422534 \h </w:instrText>
        </w:r>
        <w:r w:rsidR="00D44A2C">
          <w:rPr>
            <w:noProof/>
            <w:webHidden/>
          </w:rPr>
        </w:r>
        <w:r w:rsidR="00D44A2C">
          <w:rPr>
            <w:noProof/>
            <w:webHidden/>
          </w:rPr>
          <w:fldChar w:fldCharType="separate"/>
        </w:r>
        <w:r w:rsidR="008616B3">
          <w:rPr>
            <w:noProof/>
            <w:webHidden/>
          </w:rPr>
          <w:t>137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5" w:history="1">
        <w:r w:rsidR="00D44A2C" w:rsidRPr="00100291">
          <w:rPr>
            <w:rStyle w:val="Collegamentoipertestuale"/>
            <w:noProof/>
          </w:rPr>
          <w:t>Tabella 67 - Spesa per il personale (al netto delle componenti da sottrarre)</w:t>
        </w:r>
        <w:r w:rsidR="00D44A2C">
          <w:rPr>
            <w:noProof/>
            <w:webHidden/>
          </w:rPr>
          <w:tab/>
        </w:r>
        <w:r w:rsidR="00D44A2C">
          <w:rPr>
            <w:noProof/>
            <w:webHidden/>
          </w:rPr>
          <w:fldChar w:fldCharType="begin"/>
        </w:r>
        <w:r w:rsidR="00D44A2C">
          <w:rPr>
            <w:noProof/>
            <w:webHidden/>
          </w:rPr>
          <w:instrText xml:space="preserve"> PAGEREF _Toc507422535 \h </w:instrText>
        </w:r>
        <w:r w:rsidR="00D44A2C">
          <w:rPr>
            <w:noProof/>
            <w:webHidden/>
          </w:rPr>
        </w:r>
        <w:r w:rsidR="00D44A2C">
          <w:rPr>
            <w:noProof/>
            <w:webHidden/>
          </w:rPr>
          <w:fldChar w:fldCharType="separate"/>
        </w:r>
        <w:r w:rsidR="008616B3">
          <w:rPr>
            <w:noProof/>
            <w:webHidden/>
          </w:rPr>
          <w:t>138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6" w:history="1">
        <w:r w:rsidR="00D44A2C" w:rsidRPr="00100291">
          <w:rPr>
            <w:rStyle w:val="Collegamentoipertestuale"/>
            <w:noProof/>
          </w:rPr>
          <w:t>Tabella 68 - Spesa per il personale (al netto delle componenti da sottrarre e dell’IRAP)</w:t>
        </w:r>
        <w:r w:rsidR="00D44A2C">
          <w:rPr>
            <w:noProof/>
            <w:webHidden/>
          </w:rPr>
          <w:tab/>
        </w:r>
        <w:r w:rsidR="00D44A2C">
          <w:rPr>
            <w:noProof/>
            <w:webHidden/>
          </w:rPr>
          <w:fldChar w:fldCharType="begin"/>
        </w:r>
        <w:r w:rsidR="00D44A2C">
          <w:rPr>
            <w:noProof/>
            <w:webHidden/>
          </w:rPr>
          <w:instrText xml:space="preserve"> PAGEREF _Toc507422536 \h </w:instrText>
        </w:r>
        <w:r w:rsidR="00D44A2C">
          <w:rPr>
            <w:noProof/>
            <w:webHidden/>
          </w:rPr>
        </w:r>
        <w:r w:rsidR="00D44A2C">
          <w:rPr>
            <w:noProof/>
            <w:webHidden/>
          </w:rPr>
          <w:fldChar w:fldCharType="separate"/>
        </w:r>
        <w:r w:rsidR="008616B3">
          <w:rPr>
            <w:noProof/>
            <w:webHidden/>
          </w:rPr>
          <w:t>138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7" w:history="1">
        <w:r w:rsidR="00D44A2C" w:rsidRPr="00100291">
          <w:rPr>
            <w:rStyle w:val="Collegamentoipertestuale"/>
            <w:noProof/>
          </w:rPr>
          <w:t>Tabella 69 – Stato di avanzamento finanziario</w:t>
        </w:r>
        <w:r w:rsidR="00D44A2C">
          <w:rPr>
            <w:noProof/>
            <w:webHidden/>
          </w:rPr>
          <w:tab/>
        </w:r>
        <w:r w:rsidR="00D44A2C">
          <w:rPr>
            <w:noProof/>
            <w:webHidden/>
          </w:rPr>
          <w:fldChar w:fldCharType="begin"/>
        </w:r>
        <w:r w:rsidR="00D44A2C">
          <w:rPr>
            <w:noProof/>
            <w:webHidden/>
          </w:rPr>
          <w:instrText xml:space="preserve"> PAGEREF _Toc507422537 \h </w:instrText>
        </w:r>
        <w:r w:rsidR="00D44A2C">
          <w:rPr>
            <w:noProof/>
            <w:webHidden/>
          </w:rPr>
        </w:r>
        <w:r w:rsidR="00D44A2C">
          <w:rPr>
            <w:noProof/>
            <w:webHidden/>
          </w:rPr>
          <w:fldChar w:fldCharType="separate"/>
        </w:r>
        <w:r w:rsidR="008616B3">
          <w:rPr>
            <w:noProof/>
            <w:webHidden/>
          </w:rPr>
          <w:t>144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8" w:history="1">
        <w:r w:rsidR="00D44A2C" w:rsidRPr="00100291">
          <w:rPr>
            <w:rStyle w:val="Collegamentoipertestuale"/>
            <w:noProof/>
          </w:rPr>
          <w:t>Tabella 70 - Stato attuazione FESR POR 2014-2020*</w:t>
        </w:r>
        <w:r w:rsidR="00D44A2C">
          <w:rPr>
            <w:noProof/>
            <w:webHidden/>
          </w:rPr>
          <w:tab/>
        </w:r>
        <w:r w:rsidR="00D44A2C">
          <w:rPr>
            <w:noProof/>
            <w:webHidden/>
          </w:rPr>
          <w:fldChar w:fldCharType="begin"/>
        </w:r>
        <w:r w:rsidR="00D44A2C">
          <w:rPr>
            <w:noProof/>
            <w:webHidden/>
          </w:rPr>
          <w:instrText xml:space="preserve"> PAGEREF _Toc507422538 \h </w:instrText>
        </w:r>
        <w:r w:rsidR="00D44A2C">
          <w:rPr>
            <w:noProof/>
            <w:webHidden/>
          </w:rPr>
        </w:r>
        <w:r w:rsidR="00D44A2C">
          <w:rPr>
            <w:noProof/>
            <w:webHidden/>
          </w:rPr>
          <w:fldChar w:fldCharType="separate"/>
        </w:r>
        <w:r w:rsidR="008616B3">
          <w:rPr>
            <w:noProof/>
            <w:webHidden/>
          </w:rPr>
          <w:t>145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39" w:history="1">
        <w:r w:rsidR="00D44A2C" w:rsidRPr="00100291">
          <w:rPr>
            <w:rStyle w:val="Collegamentoipertestuale"/>
            <w:noProof/>
          </w:rPr>
          <w:t>Tabella 71 - Stato attuazione FSE POR 2007-2013</w:t>
        </w:r>
        <w:r w:rsidR="00D44A2C">
          <w:rPr>
            <w:noProof/>
            <w:webHidden/>
          </w:rPr>
          <w:tab/>
        </w:r>
        <w:r w:rsidR="00D44A2C">
          <w:rPr>
            <w:noProof/>
            <w:webHidden/>
          </w:rPr>
          <w:fldChar w:fldCharType="begin"/>
        </w:r>
        <w:r w:rsidR="00D44A2C">
          <w:rPr>
            <w:noProof/>
            <w:webHidden/>
          </w:rPr>
          <w:instrText xml:space="preserve"> PAGEREF _Toc507422539 \h </w:instrText>
        </w:r>
        <w:r w:rsidR="00D44A2C">
          <w:rPr>
            <w:noProof/>
            <w:webHidden/>
          </w:rPr>
        </w:r>
        <w:r w:rsidR="00D44A2C">
          <w:rPr>
            <w:noProof/>
            <w:webHidden/>
          </w:rPr>
          <w:fldChar w:fldCharType="separate"/>
        </w:r>
        <w:r w:rsidR="008616B3">
          <w:rPr>
            <w:noProof/>
            <w:webHidden/>
          </w:rPr>
          <w:t>145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0" w:history="1">
        <w:r w:rsidR="00D44A2C" w:rsidRPr="00100291">
          <w:rPr>
            <w:rStyle w:val="Collegamentoipertestuale"/>
            <w:noProof/>
          </w:rPr>
          <w:t>Tabella 72 - Stato attuazione FSE POR 2014-2020</w:t>
        </w:r>
        <w:r w:rsidR="00D44A2C">
          <w:rPr>
            <w:noProof/>
            <w:webHidden/>
          </w:rPr>
          <w:tab/>
        </w:r>
        <w:r w:rsidR="00D44A2C">
          <w:rPr>
            <w:noProof/>
            <w:webHidden/>
          </w:rPr>
          <w:fldChar w:fldCharType="begin"/>
        </w:r>
        <w:r w:rsidR="00D44A2C">
          <w:rPr>
            <w:noProof/>
            <w:webHidden/>
          </w:rPr>
          <w:instrText xml:space="preserve"> PAGEREF _Toc507422540 \h </w:instrText>
        </w:r>
        <w:r w:rsidR="00D44A2C">
          <w:rPr>
            <w:noProof/>
            <w:webHidden/>
          </w:rPr>
        </w:r>
        <w:r w:rsidR="00D44A2C">
          <w:rPr>
            <w:noProof/>
            <w:webHidden/>
          </w:rPr>
          <w:fldChar w:fldCharType="separate"/>
        </w:r>
        <w:r w:rsidR="008616B3">
          <w:rPr>
            <w:noProof/>
            <w:webHidden/>
          </w:rPr>
          <w:t>145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1" w:history="1">
        <w:r w:rsidR="00D44A2C" w:rsidRPr="00100291">
          <w:rPr>
            <w:rStyle w:val="Collegamentoipertestuale"/>
            <w:noProof/>
          </w:rPr>
          <w:t>Tabella 73 - Stato di avanzamento finanziario PAC Sardegna</w:t>
        </w:r>
        <w:r w:rsidR="00D44A2C">
          <w:rPr>
            <w:noProof/>
            <w:webHidden/>
          </w:rPr>
          <w:tab/>
        </w:r>
        <w:r w:rsidR="00D44A2C">
          <w:rPr>
            <w:noProof/>
            <w:webHidden/>
          </w:rPr>
          <w:fldChar w:fldCharType="begin"/>
        </w:r>
        <w:r w:rsidR="00D44A2C">
          <w:rPr>
            <w:noProof/>
            <w:webHidden/>
          </w:rPr>
          <w:instrText xml:space="preserve"> PAGEREF _Toc507422541 \h </w:instrText>
        </w:r>
        <w:r w:rsidR="00D44A2C">
          <w:rPr>
            <w:noProof/>
            <w:webHidden/>
          </w:rPr>
        </w:r>
        <w:r w:rsidR="00D44A2C">
          <w:rPr>
            <w:noProof/>
            <w:webHidden/>
          </w:rPr>
          <w:fldChar w:fldCharType="separate"/>
        </w:r>
        <w:r w:rsidR="008616B3">
          <w:rPr>
            <w:noProof/>
            <w:webHidden/>
          </w:rPr>
          <w:t>145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2" w:history="1">
        <w:r w:rsidR="00D44A2C" w:rsidRPr="00100291">
          <w:rPr>
            <w:rStyle w:val="Collegamentoipertestuale"/>
            <w:noProof/>
          </w:rPr>
          <w:t>Tabella 74 - Stato attuazione del FSC 2007-2013</w:t>
        </w:r>
        <w:r w:rsidR="00D44A2C">
          <w:rPr>
            <w:noProof/>
            <w:webHidden/>
          </w:rPr>
          <w:tab/>
        </w:r>
        <w:r w:rsidR="00D44A2C">
          <w:rPr>
            <w:noProof/>
            <w:webHidden/>
          </w:rPr>
          <w:fldChar w:fldCharType="begin"/>
        </w:r>
        <w:r w:rsidR="00D44A2C">
          <w:rPr>
            <w:noProof/>
            <w:webHidden/>
          </w:rPr>
          <w:instrText xml:space="preserve"> PAGEREF _Toc507422542 \h </w:instrText>
        </w:r>
        <w:r w:rsidR="00D44A2C">
          <w:rPr>
            <w:noProof/>
            <w:webHidden/>
          </w:rPr>
        </w:r>
        <w:r w:rsidR="00D44A2C">
          <w:rPr>
            <w:noProof/>
            <w:webHidden/>
          </w:rPr>
          <w:fldChar w:fldCharType="separate"/>
        </w:r>
        <w:r w:rsidR="008616B3">
          <w:rPr>
            <w:noProof/>
            <w:webHidden/>
          </w:rPr>
          <w:t>145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3" w:history="1">
        <w:r w:rsidR="00D44A2C" w:rsidRPr="00100291">
          <w:rPr>
            <w:rStyle w:val="Collegamentoipertestuale"/>
            <w:noProof/>
          </w:rPr>
          <w:t>Tabella 75 – Spese Missione 13 – Gestione di competenza 2016</w:t>
        </w:r>
        <w:r w:rsidR="00D44A2C">
          <w:rPr>
            <w:noProof/>
            <w:webHidden/>
          </w:rPr>
          <w:tab/>
        </w:r>
        <w:r w:rsidR="00D44A2C">
          <w:rPr>
            <w:noProof/>
            <w:webHidden/>
          </w:rPr>
          <w:fldChar w:fldCharType="begin"/>
        </w:r>
        <w:r w:rsidR="00D44A2C">
          <w:rPr>
            <w:noProof/>
            <w:webHidden/>
          </w:rPr>
          <w:instrText xml:space="preserve"> PAGEREF _Toc507422543 \h </w:instrText>
        </w:r>
        <w:r w:rsidR="00D44A2C">
          <w:rPr>
            <w:noProof/>
            <w:webHidden/>
          </w:rPr>
        </w:r>
        <w:r w:rsidR="00D44A2C">
          <w:rPr>
            <w:noProof/>
            <w:webHidden/>
          </w:rPr>
          <w:fldChar w:fldCharType="separate"/>
        </w:r>
        <w:r w:rsidR="008616B3">
          <w:rPr>
            <w:noProof/>
            <w:webHidden/>
          </w:rPr>
          <w:t>150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4" w:history="1">
        <w:r w:rsidR="00D44A2C" w:rsidRPr="00100291">
          <w:rPr>
            <w:rStyle w:val="Collegamentoipertestuale"/>
            <w:noProof/>
          </w:rPr>
          <w:t>Tabella 76 – Spese Missione 13 – Gestione dei residui 2016</w:t>
        </w:r>
        <w:r w:rsidR="00D44A2C">
          <w:rPr>
            <w:noProof/>
            <w:webHidden/>
          </w:rPr>
          <w:tab/>
        </w:r>
        <w:r w:rsidR="00D44A2C">
          <w:rPr>
            <w:noProof/>
            <w:webHidden/>
          </w:rPr>
          <w:fldChar w:fldCharType="begin"/>
        </w:r>
        <w:r w:rsidR="00D44A2C">
          <w:rPr>
            <w:noProof/>
            <w:webHidden/>
          </w:rPr>
          <w:instrText xml:space="preserve"> PAGEREF _Toc507422544 \h </w:instrText>
        </w:r>
        <w:r w:rsidR="00D44A2C">
          <w:rPr>
            <w:noProof/>
            <w:webHidden/>
          </w:rPr>
        </w:r>
        <w:r w:rsidR="00D44A2C">
          <w:rPr>
            <w:noProof/>
            <w:webHidden/>
          </w:rPr>
          <w:fldChar w:fldCharType="separate"/>
        </w:r>
        <w:r w:rsidR="008616B3">
          <w:rPr>
            <w:noProof/>
            <w:webHidden/>
          </w:rPr>
          <w:t>151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5" w:history="1">
        <w:r w:rsidR="00D44A2C" w:rsidRPr="00100291">
          <w:rPr>
            <w:rStyle w:val="Collegamentoipertestuale"/>
            <w:noProof/>
          </w:rPr>
          <w:t>Tabella 77 - Assegnazioni lorde 2016</w:t>
        </w:r>
        <w:r w:rsidR="00D44A2C">
          <w:rPr>
            <w:noProof/>
            <w:webHidden/>
          </w:rPr>
          <w:tab/>
        </w:r>
        <w:r w:rsidR="00D44A2C">
          <w:rPr>
            <w:noProof/>
            <w:webHidden/>
          </w:rPr>
          <w:fldChar w:fldCharType="begin"/>
        </w:r>
        <w:r w:rsidR="00D44A2C">
          <w:rPr>
            <w:noProof/>
            <w:webHidden/>
          </w:rPr>
          <w:instrText xml:space="preserve"> PAGEREF _Toc507422545 \h </w:instrText>
        </w:r>
        <w:r w:rsidR="00D44A2C">
          <w:rPr>
            <w:noProof/>
            <w:webHidden/>
          </w:rPr>
        </w:r>
        <w:r w:rsidR="00D44A2C">
          <w:rPr>
            <w:noProof/>
            <w:webHidden/>
          </w:rPr>
          <w:fldChar w:fldCharType="separate"/>
        </w:r>
        <w:r w:rsidR="008616B3">
          <w:rPr>
            <w:noProof/>
            <w:webHidden/>
          </w:rPr>
          <w:t>153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6" w:history="1">
        <w:r w:rsidR="00D44A2C" w:rsidRPr="00100291">
          <w:rPr>
            <w:rStyle w:val="Collegamentoipertestuale"/>
            <w:noProof/>
          </w:rPr>
          <w:t>Tabella 78 - Ripartizione pay-back 2015</w:t>
        </w:r>
        <w:r w:rsidR="00D44A2C">
          <w:rPr>
            <w:noProof/>
            <w:webHidden/>
          </w:rPr>
          <w:tab/>
        </w:r>
        <w:r w:rsidR="00D44A2C">
          <w:rPr>
            <w:noProof/>
            <w:webHidden/>
          </w:rPr>
          <w:fldChar w:fldCharType="begin"/>
        </w:r>
        <w:r w:rsidR="00D44A2C">
          <w:rPr>
            <w:noProof/>
            <w:webHidden/>
          </w:rPr>
          <w:instrText xml:space="preserve"> PAGEREF _Toc507422546 \h </w:instrText>
        </w:r>
        <w:r w:rsidR="00D44A2C">
          <w:rPr>
            <w:noProof/>
            <w:webHidden/>
          </w:rPr>
        </w:r>
        <w:r w:rsidR="00D44A2C">
          <w:rPr>
            <w:noProof/>
            <w:webHidden/>
          </w:rPr>
          <w:fldChar w:fldCharType="separate"/>
        </w:r>
        <w:r w:rsidR="008616B3">
          <w:rPr>
            <w:noProof/>
            <w:webHidden/>
          </w:rPr>
          <w:t>154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7" w:history="1">
        <w:r w:rsidR="00D44A2C" w:rsidRPr="00100291">
          <w:rPr>
            <w:rStyle w:val="Collegamentoipertestuale"/>
            <w:noProof/>
          </w:rPr>
          <w:t>Tabella 79 - Valore e costi della produzione 2013 – 2016</w:t>
        </w:r>
        <w:r w:rsidR="00D44A2C">
          <w:rPr>
            <w:noProof/>
            <w:webHidden/>
          </w:rPr>
          <w:tab/>
        </w:r>
        <w:r w:rsidR="00D44A2C">
          <w:rPr>
            <w:noProof/>
            <w:webHidden/>
          </w:rPr>
          <w:fldChar w:fldCharType="begin"/>
        </w:r>
        <w:r w:rsidR="00D44A2C">
          <w:rPr>
            <w:noProof/>
            <w:webHidden/>
          </w:rPr>
          <w:instrText xml:space="preserve"> PAGEREF _Toc507422547 \h </w:instrText>
        </w:r>
        <w:r w:rsidR="00D44A2C">
          <w:rPr>
            <w:noProof/>
            <w:webHidden/>
          </w:rPr>
        </w:r>
        <w:r w:rsidR="00D44A2C">
          <w:rPr>
            <w:noProof/>
            <w:webHidden/>
          </w:rPr>
          <w:fldChar w:fldCharType="separate"/>
        </w:r>
        <w:r w:rsidR="008616B3">
          <w:rPr>
            <w:noProof/>
            <w:webHidden/>
          </w:rPr>
          <w:t>155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8" w:history="1">
        <w:r w:rsidR="00D44A2C" w:rsidRPr="00100291">
          <w:rPr>
            <w:rStyle w:val="Collegamentoipertestuale"/>
            <w:noProof/>
          </w:rPr>
          <w:t>Tabella 80 - Risparmi su farmaceutica convenzionata</w:t>
        </w:r>
        <w:r w:rsidR="00D44A2C">
          <w:rPr>
            <w:noProof/>
            <w:webHidden/>
          </w:rPr>
          <w:tab/>
        </w:r>
        <w:r w:rsidR="00D44A2C">
          <w:rPr>
            <w:noProof/>
            <w:webHidden/>
          </w:rPr>
          <w:fldChar w:fldCharType="begin"/>
        </w:r>
        <w:r w:rsidR="00D44A2C">
          <w:rPr>
            <w:noProof/>
            <w:webHidden/>
          </w:rPr>
          <w:instrText xml:space="preserve"> PAGEREF _Toc507422548 \h </w:instrText>
        </w:r>
        <w:r w:rsidR="00D44A2C">
          <w:rPr>
            <w:noProof/>
            <w:webHidden/>
          </w:rPr>
        </w:r>
        <w:r w:rsidR="00D44A2C">
          <w:rPr>
            <w:noProof/>
            <w:webHidden/>
          </w:rPr>
          <w:fldChar w:fldCharType="separate"/>
        </w:r>
        <w:r w:rsidR="008616B3">
          <w:rPr>
            <w:noProof/>
            <w:webHidden/>
          </w:rPr>
          <w:t>157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49" w:history="1">
        <w:r w:rsidR="00D44A2C" w:rsidRPr="00100291">
          <w:rPr>
            <w:rStyle w:val="Collegamentoipertestuale"/>
            <w:noProof/>
          </w:rPr>
          <w:t>Tabella 81 – Spesa da flusso distribuzione diretta (DD)</w:t>
        </w:r>
        <w:r w:rsidR="00D44A2C">
          <w:rPr>
            <w:noProof/>
            <w:webHidden/>
          </w:rPr>
          <w:tab/>
        </w:r>
        <w:r w:rsidR="00D44A2C">
          <w:rPr>
            <w:noProof/>
            <w:webHidden/>
          </w:rPr>
          <w:fldChar w:fldCharType="begin"/>
        </w:r>
        <w:r w:rsidR="00D44A2C">
          <w:rPr>
            <w:noProof/>
            <w:webHidden/>
          </w:rPr>
          <w:instrText xml:space="preserve"> PAGEREF _Toc507422549 \h </w:instrText>
        </w:r>
        <w:r w:rsidR="00D44A2C">
          <w:rPr>
            <w:noProof/>
            <w:webHidden/>
          </w:rPr>
        </w:r>
        <w:r w:rsidR="00D44A2C">
          <w:rPr>
            <w:noProof/>
            <w:webHidden/>
          </w:rPr>
          <w:fldChar w:fldCharType="separate"/>
        </w:r>
        <w:r w:rsidR="008616B3">
          <w:rPr>
            <w:noProof/>
            <w:webHidden/>
          </w:rPr>
          <w:t>158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0" w:history="1">
        <w:r w:rsidR="00D44A2C" w:rsidRPr="00100291">
          <w:rPr>
            <w:rStyle w:val="Collegamentoipertestuale"/>
            <w:noProof/>
          </w:rPr>
          <w:t>Tabella 82 - Spesa Ospedaliera da flusso CMO</w:t>
        </w:r>
        <w:r w:rsidR="00D44A2C">
          <w:rPr>
            <w:noProof/>
            <w:webHidden/>
          </w:rPr>
          <w:tab/>
        </w:r>
        <w:r w:rsidR="00D44A2C">
          <w:rPr>
            <w:noProof/>
            <w:webHidden/>
          </w:rPr>
          <w:fldChar w:fldCharType="begin"/>
        </w:r>
        <w:r w:rsidR="00D44A2C">
          <w:rPr>
            <w:noProof/>
            <w:webHidden/>
          </w:rPr>
          <w:instrText xml:space="preserve"> PAGEREF _Toc507422550 \h </w:instrText>
        </w:r>
        <w:r w:rsidR="00D44A2C">
          <w:rPr>
            <w:noProof/>
            <w:webHidden/>
          </w:rPr>
        </w:r>
        <w:r w:rsidR="00D44A2C">
          <w:rPr>
            <w:noProof/>
            <w:webHidden/>
          </w:rPr>
          <w:fldChar w:fldCharType="separate"/>
        </w:r>
        <w:r w:rsidR="008616B3">
          <w:rPr>
            <w:noProof/>
            <w:webHidden/>
          </w:rPr>
          <w:t>158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1" w:history="1">
        <w:r w:rsidR="00D44A2C" w:rsidRPr="00100291">
          <w:rPr>
            <w:rStyle w:val="Collegamentoipertestuale"/>
            <w:noProof/>
          </w:rPr>
          <w:t>Tabella 83 – Perdite di esercizio Aziende 2014 - 2016</w:t>
        </w:r>
        <w:r w:rsidR="00D44A2C">
          <w:rPr>
            <w:noProof/>
            <w:webHidden/>
          </w:rPr>
          <w:tab/>
        </w:r>
        <w:r w:rsidR="00D44A2C">
          <w:rPr>
            <w:noProof/>
            <w:webHidden/>
          </w:rPr>
          <w:fldChar w:fldCharType="begin"/>
        </w:r>
        <w:r w:rsidR="00D44A2C">
          <w:rPr>
            <w:noProof/>
            <w:webHidden/>
          </w:rPr>
          <w:instrText xml:space="preserve"> PAGEREF _Toc507422551 \h </w:instrText>
        </w:r>
        <w:r w:rsidR="00D44A2C">
          <w:rPr>
            <w:noProof/>
            <w:webHidden/>
          </w:rPr>
        </w:r>
        <w:r w:rsidR="00D44A2C">
          <w:rPr>
            <w:noProof/>
            <w:webHidden/>
          </w:rPr>
          <w:fldChar w:fldCharType="separate"/>
        </w:r>
        <w:r w:rsidR="008616B3">
          <w:rPr>
            <w:noProof/>
            <w:webHidden/>
          </w:rPr>
          <w:t>159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2" w:history="1">
        <w:r w:rsidR="00D44A2C" w:rsidRPr="00100291">
          <w:rPr>
            <w:rStyle w:val="Collegamentoipertestuale"/>
            <w:noProof/>
          </w:rPr>
          <w:t>Tabella 84 – Ripiano perdite esercizio 2015</w:t>
        </w:r>
        <w:r w:rsidR="00D44A2C">
          <w:rPr>
            <w:noProof/>
            <w:webHidden/>
          </w:rPr>
          <w:tab/>
        </w:r>
        <w:r w:rsidR="00D44A2C">
          <w:rPr>
            <w:noProof/>
            <w:webHidden/>
          </w:rPr>
          <w:fldChar w:fldCharType="begin"/>
        </w:r>
        <w:r w:rsidR="00D44A2C">
          <w:rPr>
            <w:noProof/>
            <w:webHidden/>
          </w:rPr>
          <w:instrText xml:space="preserve"> PAGEREF _Toc507422552 \h </w:instrText>
        </w:r>
        <w:r w:rsidR="00D44A2C">
          <w:rPr>
            <w:noProof/>
            <w:webHidden/>
          </w:rPr>
        </w:r>
        <w:r w:rsidR="00D44A2C">
          <w:rPr>
            <w:noProof/>
            <w:webHidden/>
          </w:rPr>
          <w:fldChar w:fldCharType="separate"/>
        </w:r>
        <w:r w:rsidR="008616B3">
          <w:rPr>
            <w:noProof/>
            <w:webHidden/>
          </w:rPr>
          <w:t>160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3" w:history="1">
        <w:r w:rsidR="00D44A2C" w:rsidRPr="00100291">
          <w:rPr>
            <w:rStyle w:val="Collegamentoipertestuale"/>
            <w:noProof/>
          </w:rPr>
          <w:t>Tabella 85 - Piano di rientro 2016 - 2018</w:t>
        </w:r>
        <w:r w:rsidR="00D44A2C">
          <w:rPr>
            <w:noProof/>
            <w:webHidden/>
          </w:rPr>
          <w:tab/>
        </w:r>
        <w:r w:rsidR="00D44A2C">
          <w:rPr>
            <w:noProof/>
            <w:webHidden/>
          </w:rPr>
          <w:fldChar w:fldCharType="begin"/>
        </w:r>
        <w:r w:rsidR="00D44A2C">
          <w:rPr>
            <w:noProof/>
            <w:webHidden/>
          </w:rPr>
          <w:instrText xml:space="preserve"> PAGEREF _Toc507422553 \h </w:instrText>
        </w:r>
        <w:r w:rsidR="00D44A2C">
          <w:rPr>
            <w:noProof/>
            <w:webHidden/>
          </w:rPr>
        </w:r>
        <w:r w:rsidR="00D44A2C">
          <w:rPr>
            <w:noProof/>
            <w:webHidden/>
          </w:rPr>
          <w:fldChar w:fldCharType="separate"/>
        </w:r>
        <w:r w:rsidR="008616B3">
          <w:rPr>
            <w:noProof/>
            <w:webHidden/>
          </w:rPr>
          <w:t>162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4" w:history="1">
        <w:r w:rsidR="00D44A2C" w:rsidRPr="00100291">
          <w:rPr>
            <w:rStyle w:val="Collegamentoipertestuale"/>
            <w:noProof/>
          </w:rPr>
          <w:t>Tabella 86 - Risparmi previsti dal Piano di rientro</w:t>
        </w:r>
        <w:r w:rsidR="00D44A2C">
          <w:rPr>
            <w:noProof/>
            <w:webHidden/>
          </w:rPr>
          <w:tab/>
        </w:r>
        <w:r w:rsidR="00D44A2C">
          <w:rPr>
            <w:noProof/>
            <w:webHidden/>
          </w:rPr>
          <w:fldChar w:fldCharType="begin"/>
        </w:r>
        <w:r w:rsidR="00D44A2C">
          <w:rPr>
            <w:noProof/>
            <w:webHidden/>
          </w:rPr>
          <w:instrText xml:space="preserve"> PAGEREF _Toc507422554 \h </w:instrText>
        </w:r>
        <w:r w:rsidR="00D44A2C">
          <w:rPr>
            <w:noProof/>
            <w:webHidden/>
          </w:rPr>
        </w:r>
        <w:r w:rsidR="00D44A2C">
          <w:rPr>
            <w:noProof/>
            <w:webHidden/>
          </w:rPr>
          <w:fldChar w:fldCharType="separate"/>
        </w:r>
        <w:r w:rsidR="008616B3">
          <w:rPr>
            <w:noProof/>
            <w:webHidden/>
          </w:rPr>
          <w:t>163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5" w:history="1">
        <w:r w:rsidR="00D44A2C" w:rsidRPr="00100291">
          <w:rPr>
            <w:rStyle w:val="Collegamentoipertestuale"/>
            <w:noProof/>
          </w:rPr>
          <w:t>Tabella 87 - Piano di rientro – Risultati monitoraggio all’11/07/2017</w:t>
        </w:r>
        <w:r w:rsidR="00D44A2C">
          <w:rPr>
            <w:noProof/>
            <w:webHidden/>
          </w:rPr>
          <w:tab/>
        </w:r>
        <w:r w:rsidR="00D44A2C">
          <w:rPr>
            <w:noProof/>
            <w:webHidden/>
          </w:rPr>
          <w:fldChar w:fldCharType="begin"/>
        </w:r>
        <w:r w:rsidR="00D44A2C">
          <w:rPr>
            <w:noProof/>
            <w:webHidden/>
          </w:rPr>
          <w:instrText xml:space="preserve"> PAGEREF _Toc507422555 \h </w:instrText>
        </w:r>
        <w:r w:rsidR="00D44A2C">
          <w:rPr>
            <w:noProof/>
            <w:webHidden/>
          </w:rPr>
        </w:r>
        <w:r w:rsidR="00D44A2C">
          <w:rPr>
            <w:noProof/>
            <w:webHidden/>
          </w:rPr>
          <w:fldChar w:fldCharType="separate"/>
        </w:r>
        <w:r w:rsidR="008616B3">
          <w:rPr>
            <w:noProof/>
            <w:webHidden/>
          </w:rPr>
          <w:t>165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6" w:history="1">
        <w:r w:rsidR="00D44A2C" w:rsidRPr="00100291">
          <w:rPr>
            <w:rStyle w:val="Collegamentoipertestuale"/>
            <w:noProof/>
          </w:rPr>
          <w:t>Tabella 88 – Debiti delle Aziende Sanitarie – Stato Patrimoniale consolidato</w:t>
        </w:r>
        <w:r w:rsidR="00D44A2C">
          <w:rPr>
            <w:noProof/>
            <w:webHidden/>
          </w:rPr>
          <w:tab/>
        </w:r>
        <w:r w:rsidR="00D44A2C">
          <w:rPr>
            <w:noProof/>
            <w:webHidden/>
          </w:rPr>
          <w:fldChar w:fldCharType="begin"/>
        </w:r>
        <w:r w:rsidR="00D44A2C">
          <w:rPr>
            <w:noProof/>
            <w:webHidden/>
          </w:rPr>
          <w:instrText xml:space="preserve"> PAGEREF _Toc507422556 \h </w:instrText>
        </w:r>
        <w:r w:rsidR="00D44A2C">
          <w:rPr>
            <w:noProof/>
            <w:webHidden/>
          </w:rPr>
        </w:r>
        <w:r w:rsidR="00D44A2C">
          <w:rPr>
            <w:noProof/>
            <w:webHidden/>
          </w:rPr>
          <w:fldChar w:fldCharType="separate"/>
        </w:r>
        <w:r w:rsidR="008616B3">
          <w:rPr>
            <w:noProof/>
            <w:webHidden/>
          </w:rPr>
          <w:t>167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7" w:history="1">
        <w:r w:rsidR="00D44A2C" w:rsidRPr="00100291">
          <w:rPr>
            <w:rStyle w:val="Collegamentoipertestuale"/>
            <w:noProof/>
          </w:rPr>
          <w:t>Tabella 89 - Debiti certi, liquidi ed esigibili - Enti SSR - Esercizio 2016</w:t>
        </w:r>
        <w:r w:rsidR="00D44A2C">
          <w:rPr>
            <w:noProof/>
            <w:webHidden/>
          </w:rPr>
          <w:tab/>
        </w:r>
        <w:r w:rsidR="00D44A2C">
          <w:rPr>
            <w:noProof/>
            <w:webHidden/>
          </w:rPr>
          <w:fldChar w:fldCharType="begin"/>
        </w:r>
        <w:r w:rsidR="00D44A2C">
          <w:rPr>
            <w:noProof/>
            <w:webHidden/>
          </w:rPr>
          <w:instrText xml:space="preserve"> PAGEREF _Toc507422557 \h </w:instrText>
        </w:r>
        <w:r w:rsidR="00D44A2C">
          <w:rPr>
            <w:noProof/>
            <w:webHidden/>
          </w:rPr>
        </w:r>
        <w:r w:rsidR="00D44A2C">
          <w:rPr>
            <w:noProof/>
            <w:webHidden/>
          </w:rPr>
          <w:fldChar w:fldCharType="separate"/>
        </w:r>
        <w:r w:rsidR="008616B3">
          <w:rPr>
            <w:noProof/>
            <w:webHidden/>
          </w:rPr>
          <w:t>168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8" w:history="1">
        <w:r w:rsidR="00D44A2C" w:rsidRPr="00100291">
          <w:rPr>
            <w:rStyle w:val="Collegamentoipertestuale"/>
            <w:noProof/>
          </w:rPr>
          <w:t>Tabella 90 - Indicatori di tempestività dei pagamenti</w:t>
        </w:r>
        <w:r w:rsidR="00D44A2C">
          <w:rPr>
            <w:noProof/>
            <w:webHidden/>
          </w:rPr>
          <w:tab/>
        </w:r>
        <w:r w:rsidR="00D44A2C">
          <w:rPr>
            <w:noProof/>
            <w:webHidden/>
          </w:rPr>
          <w:fldChar w:fldCharType="begin"/>
        </w:r>
        <w:r w:rsidR="00D44A2C">
          <w:rPr>
            <w:noProof/>
            <w:webHidden/>
          </w:rPr>
          <w:instrText xml:space="preserve"> PAGEREF _Toc507422558 \h </w:instrText>
        </w:r>
        <w:r w:rsidR="00D44A2C">
          <w:rPr>
            <w:noProof/>
            <w:webHidden/>
          </w:rPr>
        </w:r>
        <w:r w:rsidR="00D44A2C">
          <w:rPr>
            <w:noProof/>
            <w:webHidden/>
          </w:rPr>
          <w:fldChar w:fldCharType="separate"/>
        </w:r>
        <w:r w:rsidR="008616B3">
          <w:rPr>
            <w:noProof/>
            <w:webHidden/>
          </w:rPr>
          <w:t>169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59" w:history="1">
        <w:r w:rsidR="00D44A2C" w:rsidRPr="00100291">
          <w:rPr>
            <w:rStyle w:val="Collegamentoipertestuale"/>
            <w:noProof/>
          </w:rPr>
          <w:t>Tabella 91 - Debiti certi, liquidi ed esigibili 2015 - 2016</w:t>
        </w:r>
        <w:r w:rsidR="00D44A2C">
          <w:rPr>
            <w:noProof/>
            <w:webHidden/>
          </w:rPr>
          <w:tab/>
        </w:r>
        <w:r w:rsidR="00D44A2C">
          <w:rPr>
            <w:noProof/>
            <w:webHidden/>
          </w:rPr>
          <w:fldChar w:fldCharType="begin"/>
        </w:r>
        <w:r w:rsidR="00D44A2C">
          <w:rPr>
            <w:noProof/>
            <w:webHidden/>
          </w:rPr>
          <w:instrText xml:space="preserve"> PAGEREF _Toc507422559 \h </w:instrText>
        </w:r>
        <w:r w:rsidR="00D44A2C">
          <w:rPr>
            <w:noProof/>
            <w:webHidden/>
          </w:rPr>
        </w:r>
        <w:r w:rsidR="00D44A2C">
          <w:rPr>
            <w:noProof/>
            <w:webHidden/>
          </w:rPr>
          <w:fldChar w:fldCharType="separate"/>
        </w:r>
        <w:r w:rsidR="008616B3">
          <w:rPr>
            <w:noProof/>
            <w:webHidden/>
          </w:rPr>
          <w:t>170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0" w:history="1">
        <w:r w:rsidR="00D44A2C" w:rsidRPr="00100291">
          <w:rPr>
            <w:rStyle w:val="Collegamentoipertestuale"/>
            <w:noProof/>
          </w:rPr>
          <w:t>Tabella 92 – Conto economico</w:t>
        </w:r>
        <w:r w:rsidR="00D44A2C">
          <w:rPr>
            <w:noProof/>
            <w:webHidden/>
          </w:rPr>
          <w:tab/>
        </w:r>
        <w:r w:rsidR="00D44A2C">
          <w:rPr>
            <w:noProof/>
            <w:webHidden/>
          </w:rPr>
          <w:fldChar w:fldCharType="begin"/>
        </w:r>
        <w:r w:rsidR="00D44A2C">
          <w:rPr>
            <w:noProof/>
            <w:webHidden/>
          </w:rPr>
          <w:instrText xml:space="preserve"> PAGEREF _Toc507422560 \h </w:instrText>
        </w:r>
        <w:r w:rsidR="00D44A2C">
          <w:rPr>
            <w:noProof/>
            <w:webHidden/>
          </w:rPr>
        </w:r>
        <w:r w:rsidR="00D44A2C">
          <w:rPr>
            <w:noProof/>
            <w:webHidden/>
          </w:rPr>
          <w:fldChar w:fldCharType="separate"/>
        </w:r>
        <w:r w:rsidR="008616B3">
          <w:rPr>
            <w:noProof/>
            <w:webHidden/>
          </w:rPr>
          <w:t>173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1" w:history="1">
        <w:r w:rsidR="00D44A2C" w:rsidRPr="00100291">
          <w:rPr>
            <w:rStyle w:val="Collegamentoipertestuale"/>
            <w:noProof/>
          </w:rPr>
          <w:t xml:space="preserve">Tabella 93 - </w:t>
        </w:r>
        <w:r w:rsidR="00D44A2C" w:rsidRPr="00100291">
          <w:rPr>
            <w:rStyle w:val="Collegamentoipertestuale"/>
            <w:rFonts w:eastAsia="Times New Roman" w:cs="Calibri"/>
            <w:noProof/>
            <w:lang w:eastAsia="it-IT"/>
          </w:rPr>
          <w:t>Componenti positivi della gestione</w:t>
        </w:r>
        <w:r w:rsidR="00D44A2C">
          <w:rPr>
            <w:noProof/>
            <w:webHidden/>
          </w:rPr>
          <w:tab/>
        </w:r>
        <w:r w:rsidR="00D44A2C">
          <w:rPr>
            <w:noProof/>
            <w:webHidden/>
          </w:rPr>
          <w:fldChar w:fldCharType="begin"/>
        </w:r>
        <w:r w:rsidR="00D44A2C">
          <w:rPr>
            <w:noProof/>
            <w:webHidden/>
          </w:rPr>
          <w:instrText xml:space="preserve"> PAGEREF _Toc507422561 \h </w:instrText>
        </w:r>
        <w:r w:rsidR="00D44A2C">
          <w:rPr>
            <w:noProof/>
            <w:webHidden/>
          </w:rPr>
        </w:r>
        <w:r w:rsidR="00D44A2C">
          <w:rPr>
            <w:noProof/>
            <w:webHidden/>
          </w:rPr>
          <w:fldChar w:fldCharType="separate"/>
        </w:r>
        <w:r w:rsidR="008616B3">
          <w:rPr>
            <w:noProof/>
            <w:webHidden/>
          </w:rPr>
          <w:t>176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2" w:history="1">
        <w:r w:rsidR="00D44A2C" w:rsidRPr="00100291">
          <w:rPr>
            <w:rStyle w:val="Collegamentoipertestuale"/>
            <w:noProof/>
          </w:rPr>
          <w:t xml:space="preserve">Tabella 94 - </w:t>
        </w:r>
        <w:r w:rsidR="00D44A2C" w:rsidRPr="00100291">
          <w:rPr>
            <w:rStyle w:val="Collegamentoipertestuale"/>
            <w:rFonts w:eastAsia="Times New Roman" w:cs="Calibri"/>
            <w:noProof/>
            <w:lang w:eastAsia="it-IT"/>
          </w:rPr>
          <w:t>Componenti negativi della gestione</w:t>
        </w:r>
        <w:r w:rsidR="00D44A2C">
          <w:rPr>
            <w:noProof/>
            <w:webHidden/>
          </w:rPr>
          <w:tab/>
        </w:r>
        <w:r w:rsidR="00D44A2C">
          <w:rPr>
            <w:noProof/>
            <w:webHidden/>
          </w:rPr>
          <w:fldChar w:fldCharType="begin"/>
        </w:r>
        <w:r w:rsidR="00D44A2C">
          <w:rPr>
            <w:noProof/>
            <w:webHidden/>
          </w:rPr>
          <w:instrText xml:space="preserve"> PAGEREF _Toc507422562 \h </w:instrText>
        </w:r>
        <w:r w:rsidR="00D44A2C">
          <w:rPr>
            <w:noProof/>
            <w:webHidden/>
          </w:rPr>
        </w:r>
        <w:r w:rsidR="00D44A2C">
          <w:rPr>
            <w:noProof/>
            <w:webHidden/>
          </w:rPr>
          <w:fldChar w:fldCharType="separate"/>
        </w:r>
        <w:r w:rsidR="008616B3">
          <w:rPr>
            <w:noProof/>
            <w:webHidden/>
          </w:rPr>
          <w:t>178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3" w:history="1">
        <w:r w:rsidR="00D44A2C" w:rsidRPr="00100291">
          <w:rPr>
            <w:rStyle w:val="Collegamentoipertestuale"/>
            <w:noProof/>
          </w:rPr>
          <w:t xml:space="preserve">Tabella 95 - </w:t>
        </w:r>
        <w:r w:rsidR="00D44A2C" w:rsidRPr="00100291">
          <w:rPr>
            <w:rStyle w:val="Collegamentoipertestuale"/>
            <w:rFonts w:eastAsia="Times New Roman" w:cs="Calibri"/>
            <w:noProof/>
            <w:lang w:eastAsia="it-IT"/>
          </w:rPr>
          <w:t>Proventi e oneri finanziari</w:t>
        </w:r>
        <w:r w:rsidR="00D44A2C">
          <w:rPr>
            <w:noProof/>
            <w:webHidden/>
          </w:rPr>
          <w:tab/>
        </w:r>
        <w:r w:rsidR="00D44A2C">
          <w:rPr>
            <w:noProof/>
            <w:webHidden/>
          </w:rPr>
          <w:fldChar w:fldCharType="begin"/>
        </w:r>
        <w:r w:rsidR="00D44A2C">
          <w:rPr>
            <w:noProof/>
            <w:webHidden/>
          </w:rPr>
          <w:instrText xml:space="preserve"> PAGEREF _Toc507422563 \h </w:instrText>
        </w:r>
        <w:r w:rsidR="00D44A2C">
          <w:rPr>
            <w:noProof/>
            <w:webHidden/>
          </w:rPr>
        </w:r>
        <w:r w:rsidR="00D44A2C">
          <w:rPr>
            <w:noProof/>
            <w:webHidden/>
          </w:rPr>
          <w:fldChar w:fldCharType="separate"/>
        </w:r>
        <w:r w:rsidR="008616B3">
          <w:rPr>
            <w:noProof/>
            <w:webHidden/>
          </w:rPr>
          <w:t>179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4" w:history="1">
        <w:r w:rsidR="00D44A2C" w:rsidRPr="00100291">
          <w:rPr>
            <w:rStyle w:val="Collegamentoipertestuale"/>
            <w:noProof/>
          </w:rPr>
          <w:t xml:space="preserve">Tabella 96 - </w:t>
        </w:r>
        <w:r w:rsidR="00D44A2C" w:rsidRPr="00100291">
          <w:rPr>
            <w:rStyle w:val="Collegamentoipertestuale"/>
            <w:rFonts w:eastAsia="Times New Roman" w:cs="Calibri"/>
            <w:noProof/>
            <w:lang w:eastAsia="it-IT"/>
          </w:rPr>
          <w:t>Rettifiche di valore di attività finanziarie</w:t>
        </w:r>
        <w:r w:rsidR="00D44A2C">
          <w:rPr>
            <w:noProof/>
            <w:webHidden/>
          </w:rPr>
          <w:tab/>
        </w:r>
        <w:r w:rsidR="00D44A2C">
          <w:rPr>
            <w:noProof/>
            <w:webHidden/>
          </w:rPr>
          <w:fldChar w:fldCharType="begin"/>
        </w:r>
        <w:r w:rsidR="00D44A2C">
          <w:rPr>
            <w:noProof/>
            <w:webHidden/>
          </w:rPr>
          <w:instrText xml:space="preserve"> PAGEREF _Toc507422564 \h </w:instrText>
        </w:r>
        <w:r w:rsidR="00D44A2C">
          <w:rPr>
            <w:noProof/>
            <w:webHidden/>
          </w:rPr>
        </w:r>
        <w:r w:rsidR="00D44A2C">
          <w:rPr>
            <w:noProof/>
            <w:webHidden/>
          </w:rPr>
          <w:fldChar w:fldCharType="separate"/>
        </w:r>
        <w:r w:rsidR="008616B3">
          <w:rPr>
            <w:noProof/>
            <w:webHidden/>
          </w:rPr>
          <w:t>180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5" w:history="1">
        <w:r w:rsidR="00D44A2C" w:rsidRPr="00100291">
          <w:rPr>
            <w:rStyle w:val="Collegamentoipertestuale"/>
            <w:noProof/>
          </w:rPr>
          <w:t>Tabella 97 -Immobilizzazioni materiali</w:t>
        </w:r>
        <w:r w:rsidR="00D44A2C">
          <w:rPr>
            <w:noProof/>
            <w:webHidden/>
          </w:rPr>
          <w:tab/>
        </w:r>
        <w:r w:rsidR="00D44A2C">
          <w:rPr>
            <w:noProof/>
            <w:webHidden/>
          </w:rPr>
          <w:fldChar w:fldCharType="begin"/>
        </w:r>
        <w:r w:rsidR="00D44A2C">
          <w:rPr>
            <w:noProof/>
            <w:webHidden/>
          </w:rPr>
          <w:instrText xml:space="preserve"> PAGEREF _Toc507422565 \h </w:instrText>
        </w:r>
        <w:r w:rsidR="00D44A2C">
          <w:rPr>
            <w:noProof/>
            <w:webHidden/>
          </w:rPr>
        </w:r>
        <w:r w:rsidR="00D44A2C">
          <w:rPr>
            <w:noProof/>
            <w:webHidden/>
          </w:rPr>
          <w:fldChar w:fldCharType="separate"/>
        </w:r>
        <w:r w:rsidR="008616B3">
          <w:rPr>
            <w:noProof/>
            <w:webHidden/>
          </w:rPr>
          <w:t>182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6" w:history="1">
        <w:r w:rsidR="00D44A2C" w:rsidRPr="00100291">
          <w:rPr>
            <w:rStyle w:val="Collegamentoipertestuale"/>
            <w:noProof/>
          </w:rPr>
          <w:t xml:space="preserve">Tabella 98 - </w:t>
        </w:r>
        <w:r w:rsidR="00D44A2C" w:rsidRPr="00100291">
          <w:rPr>
            <w:rStyle w:val="Collegamentoipertestuale"/>
            <w:rFonts w:eastAsia="Times New Roman" w:cs="Bodoni MT"/>
            <w:noProof/>
          </w:rPr>
          <w:t>Totale immobilizzazioni</w:t>
        </w:r>
        <w:r w:rsidR="00D44A2C">
          <w:rPr>
            <w:noProof/>
            <w:webHidden/>
          </w:rPr>
          <w:tab/>
        </w:r>
        <w:r w:rsidR="00D44A2C">
          <w:rPr>
            <w:noProof/>
            <w:webHidden/>
          </w:rPr>
          <w:fldChar w:fldCharType="begin"/>
        </w:r>
        <w:r w:rsidR="00D44A2C">
          <w:rPr>
            <w:noProof/>
            <w:webHidden/>
          </w:rPr>
          <w:instrText xml:space="preserve"> PAGEREF _Toc507422566 \h </w:instrText>
        </w:r>
        <w:r w:rsidR="00D44A2C">
          <w:rPr>
            <w:noProof/>
            <w:webHidden/>
          </w:rPr>
        </w:r>
        <w:r w:rsidR="00D44A2C">
          <w:rPr>
            <w:noProof/>
            <w:webHidden/>
          </w:rPr>
          <w:fldChar w:fldCharType="separate"/>
        </w:r>
        <w:r w:rsidR="008616B3">
          <w:rPr>
            <w:noProof/>
            <w:webHidden/>
          </w:rPr>
          <w:t>183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7" w:history="1">
        <w:r w:rsidR="00D44A2C" w:rsidRPr="00100291">
          <w:rPr>
            <w:rStyle w:val="Collegamentoipertestuale"/>
            <w:noProof/>
          </w:rPr>
          <w:t xml:space="preserve">Tabella 99 - Prospetto di raccordo </w:t>
        </w:r>
        <w:r w:rsidR="00D44A2C" w:rsidRPr="00100291">
          <w:rPr>
            <w:rStyle w:val="Collegamentoipertestuale"/>
            <w:rFonts w:eastAsia="Times New Roman" w:cs="Calibri"/>
            <w:noProof/>
            <w:lang w:eastAsia="it-IT"/>
          </w:rPr>
          <w:t>tra conto del patrimonio al 31.12.2015 e stato patrimoniale</w:t>
        </w:r>
        <w:r w:rsidR="00D44A2C">
          <w:rPr>
            <w:noProof/>
            <w:webHidden/>
          </w:rPr>
          <w:tab/>
        </w:r>
        <w:r w:rsidR="00D44A2C">
          <w:rPr>
            <w:noProof/>
            <w:webHidden/>
          </w:rPr>
          <w:fldChar w:fldCharType="begin"/>
        </w:r>
        <w:r w:rsidR="00D44A2C">
          <w:rPr>
            <w:noProof/>
            <w:webHidden/>
          </w:rPr>
          <w:instrText xml:space="preserve"> PAGEREF _Toc507422567 \h </w:instrText>
        </w:r>
        <w:r w:rsidR="00D44A2C">
          <w:rPr>
            <w:noProof/>
            <w:webHidden/>
          </w:rPr>
        </w:r>
        <w:r w:rsidR="00D44A2C">
          <w:rPr>
            <w:noProof/>
            <w:webHidden/>
          </w:rPr>
          <w:fldChar w:fldCharType="separate"/>
        </w:r>
        <w:r w:rsidR="008616B3">
          <w:rPr>
            <w:noProof/>
            <w:webHidden/>
          </w:rPr>
          <w:t>184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8" w:history="1">
        <w:r w:rsidR="00D44A2C" w:rsidRPr="00100291">
          <w:rPr>
            <w:rStyle w:val="Collegamentoipertestuale"/>
            <w:noProof/>
          </w:rPr>
          <w:t>Tabella 100 – Stato patrimoniale finale al 31/12/2016</w:t>
        </w:r>
        <w:r w:rsidR="00D44A2C">
          <w:rPr>
            <w:noProof/>
            <w:webHidden/>
          </w:rPr>
          <w:tab/>
        </w:r>
        <w:r w:rsidR="00D44A2C">
          <w:rPr>
            <w:noProof/>
            <w:webHidden/>
          </w:rPr>
          <w:fldChar w:fldCharType="begin"/>
        </w:r>
        <w:r w:rsidR="00D44A2C">
          <w:rPr>
            <w:noProof/>
            <w:webHidden/>
          </w:rPr>
          <w:instrText xml:space="preserve"> PAGEREF _Toc507422568 \h </w:instrText>
        </w:r>
        <w:r w:rsidR="00D44A2C">
          <w:rPr>
            <w:noProof/>
            <w:webHidden/>
          </w:rPr>
        </w:r>
        <w:r w:rsidR="00D44A2C">
          <w:rPr>
            <w:noProof/>
            <w:webHidden/>
          </w:rPr>
          <w:fldChar w:fldCharType="separate"/>
        </w:r>
        <w:r w:rsidR="008616B3">
          <w:rPr>
            <w:noProof/>
            <w:webHidden/>
          </w:rPr>
          <w:t>188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69" w:history="1">
        <w:r w:rsidR="00D44A2C" w:rsidRPr="00100291">
          <w:rPr>
            <w:rStyle w:val="Collegamentoipertestuale"/>
            <w:noProof/>
          </w:rPr>
          <w:t>Tabella 101 – Immobilizzazioni immateriali</w:t>
        </w:r>
        <w:r w:rsidR="00D44A2C">
          <w:rPr>
            <w:noProof/>
            <w:webHidden/>
          </w:rPr>
          <w:tab/>
        </w:r>
        <w:r w:rsidR="00D44A2C">
          <w:rPr>
            <w:noProof/>
            <w:webHidden/>
          </w:rPr>
          <w:fldChar w:fldCharType="begin"/>
        </w:r>
        <w:r w:rsidR="00D44A2C">
          <w:rPr>
            <w:noProof/>
            <w:webHidden/>
          </w:rPr>
          <w:instrText xml:space="preserve"> PAGEREF _Toc507422569 \h </w:instrText>
        </w:r>
        <w:r w:rsidR="00D44A2C">
          <w:rPr>
            <w:noProof/>
            <w:webHidden/>
          </w:rPr>
        </w:r>
        <w:r w:rsidR="00D44A2C">
          <w:rPr>
            <w:noProof/>
            <w:webHidden/>
          </w:rPr>
          <w:fldChar w:fldCharType="separate"/>
        </w:r>
        <w:r w:rsidR="008616B3">
          <w:rPr>
            <w:noProof/>
            <w:webHidden/>
          </w:rPr>
          <w:t>193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0" w:history="1">
        <w:r w:rsidR="00D44A2C" w:rsidRPr="00100291">
          <w:rPr>
            <w:rStyle w:val="Collegamentoipertestuale"/>
            <w:noProof/>
          </w:rPr>
          <w:t>Tabella 102 – Immobilizzazioni materiali</w:t>
        </w:r>
        <w:r w:rsidR="00D44A2C">
          <w:rPr>
            <w:noProof/>
            <w:webHidden/>
          </w:rPr>
          <w:tab/>
        </w:r>
        <w:r w:rsidR="00D44A2C">
          <w:rPr>
            <w:noProof/>
            <w:webHidden/>
          </w:rPr>
          <w:fldChar w:fldCharType="begin"/>
        </w:r>
        <w:r w:rsidR="00D44A2C">
          <w:rPr>
            <w:noProof/>
            <w:webHidden/>
          </w:rPr>
          <w:instrText xml:space="preserve"> PAGEREF _Toc507422570 \h </w:instrText>
        </w:r>
        <w:r w:rsidR="00D44A2C">
          <w:rPr>
            <w:noProof/>
            <w:webHidden/>
          </w:rPr>
        </w:r>
        <w:r w:rsidR="00D44A2C">
          <w:rPr>
            <w:noProof/>
            <w:webHidden/>
          </w:rPr>
          <w:fldChar w:fldCharType="separate"/>
        </w:r>
        <w:r w:rsidR="008616B3">
          <w:rPr>
            <w:noProof/>
            <w:webHidden/>
          </w:rPr>
          <w:t>193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1" w:history="1">
        <w:r w:rsidR="00D44A2C" w:rsidRPr="00100291">
          <w:rPr>
            <w:rStyle w:val="Collegamentoipertestuale"/>
            <w:noProof/>
          </w:rPr>
          <w:t>Tabella 103 – Immobilizzazioni materiali (altre)</w:t>
        </w:r>
        <w:r w:rsidR="00D44A2C">
          <w:rPr>
            <w:noProof/>
            <w:webHidden/>
          </w:rPr>
          <w:tab/>
        </w:r>
        <w:r w:rsidR="00D44A2C">
          <w:rPr>
            <w:noProof/>
            <w:webHidden/>
          </w:rPr>
          <w:fldChar w:fldCharType="begin"/>
        </w:r>
        <w:r w:rsidR="00D44A2C">
          <w:rPr>
            <w:noProof/>
            <w:webHidden/>
          </w:rPr>
          <w:instrText xml:space="preserve"> PAGEREF _Toc507422571 \h </w:instrText>
        </w:r>
        <w:r w:rsidR="00D44A2C">
          <w:rPr>
            <w:noProof/>
            <w:webHidden/>
          </w:rPr>
        </w:r>
        <w:r w:rsidR="00D44A2C">
          <w:rPr>
            <w:noProof/>
            <w:webHidden/>
          </w:rPr>
          <w:fldChar w:fldCharType="separate"/>
        </w:r>
        <w:r w:rsidR="008616B3">
          <w:rPr>
            <w:noProof/>
            <w:webHidden/>
          </w:rPr>
          <w:t>195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2" w:history="1">
        <w:r w:rsidR="00D44A2C" w:rsidRPr="00100291">
          <w:rPr>
            <w:rStyle w:val="Collegamentoipertestuale"/>
            <w:noProof/>
          </w:rPr>
          <w:t>Tabella 104 – Movimentazione delle immobilizzazioni materiali</w:t>
        </w:r>
        <w:r w:rsidR="00D44A2C">
          <w:rPr>
            <w:noProof/>
            <w:webHidden/>
          </w:rPr>
          <w:tab/>
        </w:r>
        <w:r w:rsidR="00D44A2C">
          <w:rPr>
            <w:noProof/>
            <w:webHidden/>
          </w:rPr>
          <w:fldChar w:fldCharType="begin"/>
        </w:r>
        <w:r w:rsidR="00D44A2C">
          <w:rPr>
            <w:noProof/>
            <w:webHidden/>
          </w:rPr>
          <w:instrText xml:space="preserve"> PAGEREF _Toc507422572 \h </w:instrText>
        </w:r>
        <w:r w:rsidR="00D44A2C">
          <w:rPr>
            <w:noProof/>
            <w:webHidden/>
          </w:rPr>
        </w:r>
        <w:r w:rsidR="00D44A2C">
          <w:rPr>
            <w:noProof/>
            <w:webHidden/>
          </w:rPr>
          <w:fldChar w:fldCharType="separate"/>
        </w:r>
        <w:r w:rsidR="008616B3">
          <w:rPr>
            <w:noProof/>
            <w:webHidden/>
          </w:rPr>
          <w:t>196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3" w:history="1">
        <w:r w:rsidR="00D44A2C" w:rsidRPr="00100291">
          <w:rPr>
            <w:rStyle w:val="Collegamentoipertestuale"/>
            <w:noProof/>
          </w:rPr>
          <w:t>Tabella 105 – Immobilizzazioni finanziarie - Partecipazioni</w:t>
        </w:r>
        <w:r w:rsidR="00D44A2C">
          <w:rPr>
            <w:noProof/>
            <w:webHidden/>
          </w:rPr>
          <w:tab/>
        </w:r>
        <w:r w:rsidR="00D44A2C">
          <w:rPr>
            <w:noProof/>
            <w:webHidden/>
          </w:rPr>
          <w:fldChar w:fldCharType="begin"/>
        </w:r>
        <w:r w:rsidR="00D44A2C">
          <w:rPr>
            <w:noProof/>
            <w:webHidden/>
          </w:rPr>
          <w:instrText xml:space="preserve"> PAGEREF _Toc507422573 \h </w:instrText>
        </w:r>
        <w:r w:rsidR="00D44A2C">
          <w:rPr>
            <w:noProof/>
            <w:webHidden/>
          </w:rPr>
        </w:r>
        <w:r w:rsidR="00D44A2C">
          <w:rPr>
            <w:noProof/>
            <w:webHidden/>
          </w:rPr>
          <w:fldChar w:fldCharType="separate"/>
        </w:r>
        <w:r w:rsidR="008616B3">
          <w:rPr>
            <w:noProof/>
            <w:webHidden/>
          </w:rPr>
          <w:t>197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4" w:history="1">
        <w:r w:rsidR="00D44A2C" w:rsidRPr="00100291">
          <w:rPr>
            <w:rStyle w:val="Collegamentoipertestuale"/>
            <w:noProof/>
          </w:rPr>
          <w:t>Tabella 106 – Imprese controllate</w:t>
        </w:r>
        <w:r w:rsidR="00D44A2C">
          <w:rPr>
            <w:noProof/>
            <w:webHidden/>
          </w:rPr>
          <w:tab/>
        </w:r>
        <w:r w:rsidR="00D44A2C">
          <w:rPr>
            <w:noProof/>
            <w:webHidden/>
          </w:rPr>
          <w:fldChar w:fldCharType="begin"/>
        </w:r>
        <w:r w:rsidR="00D44A2C">
          <w:rPr>
            <w:noProof/>
            <w:webHidden/>
          </w:rPr>
          <w:instrText xml:space="preserve"> PAGEREF _Toc507422574 \h </w:instrText>
        </w:r>
        <w:r w:rsidR="00D44A2C">
          <w:rPr>
            <w:noProof/>
            <w:webHidden/>
          </w:rPr>
        </w:r>
        <w:r w:rsidR="00D44A2C">
          <w:rPr>
            <w:noProof/>
            <w:webHidden/>
          </w:rPr>
          <w:fldChar w:fldCharType="separate"/>
        </w:r>
        <w:r w:rsidR="008616B3">
          <w:rPr>
            <w:noProof/>
            <w:webHidden/>
          </w:rPr>
          <w:t>197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5" w:history="1">
        <w:r w:rsidR="00D44A2C" w:rsidRPr="00100291">
          <w:rPr>
            <w:rStyle w:val="Collegamentoipertestuale"/>
            <w:noProof/>
          </w:rPr>
          <w:t>Tabella 107 – Imprese partecipate</w:t>
        </w:r>
        <w:r w:rsidR="00D44A2C">
          <w:rPr>
            <w:noProof/>
            <w:webHidden/>
          </w:rPr>
          <w:tab/>
        </w:r>
        <w:r w:rsidR="00D44A2C">
          <w:rPr>
            <w:noProof/>
            <w:webHidden/>
          </w:rPr>
          <w:fldChar w:fldCharType="begin"/>
        </w:r>
        <w:r w:rsidR="00D44A2C">
          <w:rPr>
            <w:noProof/>
            <w:webHidden/>
          </w:rPr>
          <w:instrText xml:space="preserve"> PAGEREF _Toc507422575 \h </w:instrText>
        </w:r>
        <w:r w:rsidR="00D44A2C">
          <w:rPr>
            <w:noProof/>
            <w:webHidden/>
          </w:rPr>
        </w:r>
        <w:r w:rsidR="00D44A2C">
          <w:rPr>
            <w:noProof/>
            <w:webHidden/>
          </w:rPr>
          <w:fldChar w:fldCharType="separate"/>
        </w:r>
        <w:r w:rsidR="008616B3">
          <w:rPr>
            <w:noProof/>
            <w:webHidden/>
          </w:rPr>
          <w:t>198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6" w:history="1">
        <w:r w:rsidR="00D44A2C" w:rsidRPr="00100291">
          <w:rPr>
            <w:rStyle w:val="Collegamentoipertestuale"/>
            <w:noProof/>
          </w:rPr>
          <w:t>Tabella 108 – Altri soggetti</w:t>
        </w:r>
        <w:r w:rsidR="00D44A2C">
          <w:rPr>
            <w:noProof/>
            <w:webHidden/>
          </w:rPr>
          <w:tab/>
        </w:r>
        <w:r w:rsidR="00D44A2C">
          <w:rPr>
            <w:noProof/>
            <w:webHidden/>
          </w:rPr>
          <w:fldChar w:fldCharType="begin"/>
        </w:r>
        <w:r w:rsidR="00D44A2C">
          <w:rPr>
            <w:noProof/>
            <w:webHidden/>
          </w:rPr>
          <w:instrText xml:space="preserve"> PAGEREF _Toc507422576 \h </w:instrText>
        </w:r>
        <w:r w:rsidR="00D44A2C">
          <w:rPr>
            <w:noProof/>
            <w:webHidden/>
          </w:rPr>
        </w:r>
        <w:r w:rsidR="00D44A2C">
          <w:rPr>
            <w:noProof/>
            <w:webHidden/>
          </w:rPr>
          <w:fldChar w:fldCharType="separate"/>
        </w:r>
        <w:r w:rsidR="008616B3">
          <w:rPr>
            <w:noProof/>
            <w:webHidden/>
          </w:rPr>
          <w:t>199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7" w:history="1">
        <w:r w:rsidR="00D44A2C" w:rsidRPr="00100291">
          <w:rPr>
            <w:rStyle w:val="Collegamentoipertestuale"/>
            <w:noProof/>
          </w:rPr>
          <w:t>Tabella 109</w:t>
        </w:r>
        <w:r w:rsidR="00D44A2C" w:rsidRPr="00100291">
          <w:rPr>
            <w:rStyle w:val="Collegamentoipertestuale"/>
            <w:rFonts w:eastAsia="Times New Roman" w:cs="Bodoni MT"/>
            <w:noProof/>
          </w:rPr>
          <w:t xml:space="preserve"> - Variazioni nelle partecipazioni</w:t>
        </w:r>
        <w:r w:rsidR="00D44A2C">
          <w:rPr>
            <w:noProof/>
            <w:webHidden/>
          </w:rPr>
          <w:tab/>
        </w:r>
        <w:r w:rsidR="00D44A2C">
          <w:rPr>
            <w:noProof/>
            <w:webHidden/>
          </w:rPr>
          <w:fldChar w:fldCharType="begin"/>
        </w:r>
        <w:r w:rsidR="00D44A2C">
          <w:rPr>
            <w:noProof/>
            <w:webHidden/>
          </w:rPr>
          <w:instrText xml:space="preserve"> PAGEREF _Toc507422577 \h </w:instrText>
        </w:r>
        <w:r w:rsidR="00D44A2C">
          <w:rPr>
            <w:noProof/>
            <w:webHidden/>
          </w:rPr>
        </w:r>
        <w:r w:rsidR="00D44A2C">
          <w:rPr>
            <w:noProof/>
            <w:webHidden/>
          </w:rPr>
          <w:fldChar w:fldCharType="separate"/>
        </w:r>
        <w:r w:rsidR="008616B3">
          <w:rPr>
            <w:noProof/>
            <w:webHidden/>
          </w:rPr>
          <w:t>208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8" w:history="1">
        <w:r w:rsidR="00D44A2C" w:rsidRPr="00100291">
          <w:rPr>
            <w:rStyle w:val="Collegamentoipertestuale"/>
            <w:noProof/>
          </w:rPr>
          <w:t>Tabella 110 – Movimentazione delle immobilizzazioni finanziarie</w:t>
        </w:r>
        <w:r w:rsidR="00D44A2C">
          <w:rPr>
            <w:noProof/>
            <w:webHidden/>
          </w:rPr>
          <w:tab/>
        </w:r>
        <w:r w:rsidR="00D44A2C">
          <w:rPr>
            <w:noProof/>
            <w:webHidden/>
          </w:rPr>
          <w:fldChar w:fldCharType="begin"/>
        </w:r>
        <w:r w:rsidR="00D44A2C">
          <w:rPr>
            <w:noProof/>
            <w:webHidden/>
          </w:rPr>
          <w:instrText xml:space="preserve"> PAGEREF _Toc507422578 \h </w:instrText>
        </w:r>
        <w:r w:rsidR="00D44A2C">
          <w:rPr>
            <w:noProof/>
            <w:webHidden/>
          </w:rPr>
        </w:r>
        <w:r w:rsidR="00D44A2C">
          <w:rPr>
            <w:noProof/>
            <w:webHidden/>
          </w:rPr>
          <w:fldChar w:fldCharType="separate"/>
        </w:r>
        <w:r w:rsidR="008616B3">
          <w:rPr>
            <w:noProof/>
            <w:webHidden/>
          </w:rPr>
          <w:t>210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79" w:history="1">
        <w:r w:rsidR="00D44A2C" w:rsidRPr="00100291">
          <w:rPr>
            <w:rStyle w:val="Collegamentoipertestuale"/>
            <w:noProof/>
          </w:rPr>
          <w:t>Tabella 111 – Crediti immobilizzati</w:t>
        </w:r>
        <w:r w:rsidR="00D44A2C">
          <w:rPr>
            <w:noProof/>
            <w:webHidden/>
          </w:rPr>
          <w:tab/>
        </w:r>
        <w:r w:rsidR="00D44A2C">
          <w:rPr>
            <w:noProof/>
            <w:webHidden/>
          </w:rPr>
          <w:fldChar w:fldCharType="begin"/>
        </w:r>
        <w:r w:rsidR="00D44A2C">
          <w:rPr>
            <w:noProof/>
            <w:webHidden/>
          </w:rPr>
          <w:instrText xml:space="preserve"> PAGEREF _Toc507422579 \h </w:instrText>
        </w:r>
        <w:r w:rsidR="00D44A2C">
          <w:rPr>
            <w:noProof/>
            <w:webHidden/>
          </w:rPr>
        </w:r>
        <w:r w:rsidR="00D44A2C">
          <w:rPr>
            <w:noProof/>
            <w:webHidden/>
          </w:rPr>
          <w:fldChar w:fldCharType="separate"/>
        </w:r>
        <w:r w:rsidR="008616B3">
          <w:rPr>
            <w:noProof/>
            <w:webHidden/>
          </w:rPr>
          <w:t>212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0" w:history="1">
        <w:r w:rsidR="00D44A2C" w:rsidRPr="00100291">
          <w:rPr>
            <w:rStyle w:val="Collegamentoipertestuale"/>
            <w:noProof/>
          </w:rPr>
          <w:t>Tabella 112 – Fondo svalutazione crediti immobilizzati – Analisi per natura</w:t>
        </w:r>
        <w:r w:rsidR="00D44A2C">
          <w:rPr>
            <w:noProof/>
            <w:webHidden/>
          </w:rPr>
          <w:tab/>
        </w:r>
        <w:r w:rsidR="00D44A2C">
          <w:rPr>
            <w:noProof/>
            <w:webHidden/>
          </w:rPr>
          <w:fldChar w:fldCharType="begin"/>
        </w:r>
        <w:r w:rsidR="00D44A2C">
          <w:rPr>
            <w:noProof/>
            <w:webHidden/>
          </w:rPr>
          <w:instrText xml:space="preserve"> PAGEREF _Toc507422580 \h </w:instrText>
        </w:r>
        <w:r w:rsidR="00D44A2C">
          <w:rPr>
            <w:noProof/>
            <w:webHidden/>
          </w:rPr>
        </w:r>
        <w:r w:rsidR="00D44A2C">
          <w:rPr>
            <w:noProof/>
            <w:webHidden/>
          </w:rPr>
          <w:fldChar w:fldCharType="separate"/>
        </w:r>
        <w:r w:rsidR="008616B3">
          <w:rPr>
            <w:noProof/>
            <w:webHidden/>
          </w:rPr>
          <w:t>212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1" w:history="1">
        <w:r w:rsidR="00D44A2C" w:rsidRPr="00100291">
          <w:rPr>
            <w:rStyle w:val="Collegamentoipertestuale"/>
            <w:noProof/>
          </w:rPr>
          <w:t>Tabella 113 – Riconciliazione dei crediti immobilizzati</w:t>
        </w:r>
        <w:r w:rsidR="00D44A2C">
          <w:rPr>
            <w:noProof/>
            <w:webHidden/>
          </w:rPr>
          <w:tab/>
        </w:r>
        <w:r w:rsidR="00D44A2C">
          <w:rPr>
            <w:noProof/>
            <w:webHidden/>
          </w:rPr>
          <w:fldChar w:fldCharType="begin"/>
        </w:r>
        <w:r w:rsidR="00D44A2C">
          <w:rPr>
            <w:noProof/>
            <w:webHidden/>
          </w:rPr>
          <w:instrText xml:space="preserve"> PAGEREF _Toc507422581 \h </w:instrText>
        </w:r>
        <w:r w:rsidR="00D44A2C">
          <w:rPr>
            <w:noProof/>
            <w:webHidden/>
          </w:rPr>
        </w:r>
        <w:r w:rsidR="00D44A2C">
          <w:rPr>
            <w:noProof/>
            <w:webHidden/>
          </w:rPr>
          <w:fldChar w:fldCharType="separate"/>
        </w:r>
        <w:r w:rsidR="008616B3">
          <w:rPr>
            <w:noProof/>
            <w:webHidden/>
          </w:rPr>
          <w:t>212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2" w:history="1">
        <w:r w:rsidR="00D44A2C" w:rsidRPr="00100291">
          <w:rPr>
            <w:rStyle w:val="Collegamentoipertestuale"/>
            <w:noProof/>
          </w:rPr>
          <w:t>Tabella 114 - Crediti</w:t>
        </w:r>
        <w:r w:rsidR="00D44A2C">
          <w:rPr>
            <w:noProof/>
            <w:webHidden/>
          </w:rPr>
          <w:tab/>
        </w:r>
        <w:r w:rsidR="00D44A2C">
          <w:rPr>
            <w:noProof/>
            <w:webHidden/>
          </w:rPr>
          <w:fldChar w:fldCharType="begin"/>
        </w:r>
        <w:r w:rsidR="00D44A2C">
          <w:rPr>
            <w:noProof/>
            <w:webHidden/>
          </w:rPr>
          <w:instrText xml:space="preserve"> PAGEREF _Toc507422582 \h </w:instrText>
        </w:r>
        <w:r w:rsidR="00D44A2C">
          <w:rPr>
            <w:noProof/>
            <w:webHidden/>
          </w:rPr>
        </w:r>
        <w:r w:rsidR="00D44A2C">
          <w:rPr>
            <w:noProof/>
            <w:webHidden/>
          </w:rPr>
          <w:fldChar w:fldCharType="separate"/>
        </w:r>
        <w:r w:rsidR="008616B3">
          <w:rPr>
            <w:noProof/>
            <w:webHidden/>
          </w:rPr>
          <w:t>213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3" w:history="1">
        <w:r w:rsidR="00D44A2C" w:rsidRPr="00100291">
          <w:rPr>
            <w:rStyle w:val="Collegamentoipertestuale"/>
            <w:noProof/>
          </w:rPr>
          <w:t>Tabella 115 – Crediti del circolante – Analisi per natura</w:t>
        </w:r>
        <w:r w:rsidR="00D44A2C">
          <w:rPr>
            <w:noProof/>
            <w:webHidden/>
          </w:rPr>
          <w:tab/>
        </w:r>
        <w:r w:rsidR="00D44A2C">
          <w:rPr>
            <w:noProof/>
            <w:webHidden/>
          </w:rPr>
          <w:fldChar w:fldCharType="begin"/>
        </w:r>
        <w:r w:rsidR="00D44A2C">
          <w:rPr>
            <w:noProof/>
            <w:webHidden/>
          </w:rPr>
          <w:instrText xml:space="preserve"> PAGEREF _Toc507422583 \h </w:instrText>
        </w:r>
        <w:r w:rsidR="00D44A2C">
          <w:rPr>
            <w:noProof/>
            <w:webHidden/>
          </w:rPr>
        </w:r>
        <w:r w:rsidR="00D44A2C">
          <w:rPr>
            <w:noProof/>
            <w:webHidden/>
          </w:rPr>
          <w:fldChar w:fldCharType="separate"/>
        </w:r>
        <w:r w:rsidR="008616B3">
          <w:rPr>
            <w:noProof/>
            <w:webHidden/>
          </w:rPr>
          <w:t>214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4" w:history="1">
        <w:r w:rsidR="00D44A2C" w:rsidRPr="00100291">
          <w:rPr>
            <w:rStyle w:val="Collegamentoipertestuale"/>
            <w:noProof/>
          </w:rPr>
          <w:t xml:space="preserve">Tabella 116 – Fondo </w:t>
        </w:r>
        <w:r w:rsidR="00D44A2C" w:rsidRPr="00100291">
          <w:rPr>
            <w:rStyle w:val="Collegamentoipertestuale"/>
            <w:rFonts w:eastAsia="Times New Roman" w:cs="Times New Roman"/>
            <w:noProof/>
            <w:lang w:eastAsia="it-IT"/>
          </w:rPr>
          <w:t>svalutazione crediti del circolante - Analisi per natura</w:t>
        </w:r>
        <w:r w:rsidR="00D44A2C">
          <w:rPr>
            <w:noProof/>
            <w:webHidden/>
          </w:rPr>
          <w:tab/>
        </w:r>
        <w:r w:rsidR="00D44A2C">
          <w:rPr>
            <w:noProof/>
            <w:webHidden/>
          </w:rPr>
          <w:fldChar w:fldCharType="begin"/>
        </w:r>
        <w:r w:rsidR="00D44A2C">
          <w:rPr>
            <w:noProof/>
            <w:webHidden/>
          </w:rPr>
          <w:instrText xml:space="preserve"> PAGEREF _Toc507422584 \h </w:instrText>
        </w:r>
        <w:r w:rsidR="00D44A2C">
          <w:rPr>
            <w:noProof/>
            <w:webHidden/>
          </w:rPr>
        </w:r>
        <w:r w:rsidR="00D44A2C">
          <w:rPr>
            <w:noProof/>
            <w:webHidden/>
          </w:rPr>
          <w:fldChar w:fldCharType="separate"/>
        </w:r>
        <w:r w:rsidR="008616B3">
          <w:rPr>
            <w:noProof/>
            <w:webHidden/>
          </w:rPr>
          <w:t>215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5" w:history="1">
        <w:r w:rsidR="00D44A2C" w:rsidRPr="00100291">
          <w:rPr>
            <w:rStyle w:val="Collegamentoipertestuale"/>
            <w:noProof/>
          </w:rPr>
          <w:t>Tabella 117 – Riconciliazione dei crediti del circolante</w:t>
        </w:r>
        <w:r w:rsidR="00D44A2C">
          <w:rPr>
            <w:noProof/>
            <w:webHidden/>
          </w:rPr>
          <w:tab/>
        </w:r>
        <w:r w:rsidR="00D44A2C">
          <w:rPr>
            <w:noProof/>
            <w:webHidden/>
          </w:rPr>
          <w:fldChar w:fldCharType="begin"/>
        </w:r>
        <w:r w:rsidR="00D44A2C">
          <w:rPr>
            <w:noProof/>
            <w:webHidden/>
          </w:rPr>
          <w:instrText xml:space="preserve"> PAGEREF _Toc507422585 \h </w:instrText>
        </w:r>
        <w:r w:rsidR="00D44A2C">
          <w:rPr>
            <w:noProof/>
            <w:webHidden/>
          </w:rPr>
        </w:r>
        <w:r w:rsidR="00D44A2C">
          <w:rPr>
            <w:noProof/>
            <w:webHidden/>
          </w:rPr>
          <w:fldChar w:fldCharType="separate"/>
        </w:r>
        <w:r w:rsidR="008616B3">
          <w:rPr>
            <w:noProof/>
            <w:webHidden/>
          </w:rPr>
          <w:t>215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6" w:history="1">
        <w:r w:rsidR="00D44A2C" w:rsidRPr="00100291">
          <w:rPr>
            <w:rStyle w:val="Collegamentoipertestuale"/>
            <w:noProof/>
          </w:rPr>
          <w:t>Tabella 118 -Riconciliazione dei crediti totali</w:t>
        </w:r>
        <w:r w:rsidR="00D44A2C">
          <w:rPr>
            <w:noProof/>
            <w:webHidden/>
          </w:rPr>
          <w:tab/>
        </w:r>
        <w:r w:rsidR="00D44A2C">
          <w:rPr>
            <w:noProof/>
            <w:webHidden/>
          </w:rPr>
          <w:fldChar w:fldCharType="begin"/>
        </w:r>
        <w:r w:rsidR="00D44A2C">
          <w:rPr>
            <w:noProof/>
            <w:webHidden/>
          </w:rPr>
          <w:instrText xml:space="preserve"> PAGEREF _Toc507422586 \h </w:instrText>
        </w:r>
        <w:r w:rsidR="00D44A2C">
          <w:rPr>
            <w:noProof/>
            <w:webHidden/>
          </w:rPr>
        </w:r>
        <w:r w:rsidR="00D44A2C">
          <w:rPr>
            <w:noProof/>
            <w:webHidden/>
          </w:rPr>
          <w:fldChar w:fldCharType="separate"/>
        </w:r>
        <w:r w:rsidR="008616B3">
          <w:rPr>
            <w:noProof/>
            <w:webHidden/>
          </w:rPr>
          <w:t>215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7" w:history="1">
        <w:r w:rsidR="00D44A2C" w:rsidRPr="00100291">
          <w:rPr>
            <w:rStyle w:val="Collegamentoipertestuale"/>
            <w:noProof/>
          </w:rPr>
          <w:t>Tabella 119 – Disponibilità liquide</w:t>
        </w:r>
        <w:r w:rsidR="00D44A2C">
          <w:rPr>
            <w:noProof/>
            <w:webHidden/>
          </w:rPr>
          <w:tab/>
        </w:r>
        <w:r w:rsidR="00D44A2C">
          <w:rPr>
            <w:noProof/>
            <w:webHidden/>
          </w:rPr>
          <w:fldChar w:fldCharType="begin"/>
        </w:r>
        <w:r w:rsidR="00D44A2C">
          <w:rPr>
            <w:noProof/>
            <w:webHidden/>
          </w:rPr>
          <w:instrText xml:space="preserve"> PAGEREF _Toc507422587 \h </w:instrText>
        </w:r>
        <w:r w:rsidR="00D44A2C">
          <w:rPr>
            <w:noProof/>
            <w:webHidden/>
          </w:rPr>
        </w:r>
        <w:r w:rsidR="00D44A2C">
          <w:rPr>
            <w:noProof/>
            <w:webHidden/>
          </w:rPr>
          <w:fldChar w:fldCharType="separate"/>
        </w:r>
        <w:r w:rsidR="008616B3">
          <w:rPr>
            <w:noProof/>
            <w:webHidden/>
          </w:rPr>
          <w:t>215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8" w:history="1">
        <w:r w:rsidR="00D44A2C" w:rsidRPr="00100291">
          <w:rPr>
            <w:rStyle w:val="Collegamentoipertestuale"/>
            <w:noProof/>
          </w:rPr>
          <w:t>Tabella 120 – Movimentazione del conto di tesoreria, dei depositi bancari e postali</w:t>
        </w:r>
        <w:r w:rsidR="00D44A2C">
          <w:rPr>
            <w:noProof/>
            <w:webHidden/>
          </w:rPr>
          <w:tab/>
        </w:r>
        <w:r w:rsidR="00D44A2C">
          <w:rPr>
            <w:noProof/>
            <w:webHidden/>
          </w:rPr>
          <w:fldChar w:fldCharType="begin"/>
        </w:r>
        <w:r w:rsidR="00D44A2C">
          <w:rPr>
            <w:noProof/>
            <w:webHidden/>
          </w:rPr>
          <w:instrText xml:space="preserve"> PAGEREF _Toc507422588 \h </w:instrText>
        </w:r>
        <w:r w:rsidR="00D44A2C">
          <w:rPr>
            <w:noProof/>
            <w:webHidden/>
          </w:rPr>
        </w:r>
        <w:r w:rsidR="00D44A2C">
          <w:rPr>
            <w:noProof/>
            <w:webHidden/>
          </w:rPr>
          <w:fldChar w:fldCharType="separate"/>
        </w:r>
        <w:r w:rsidR="008616B3">
          <w:rPr>
            <w:noProof/>
            <w:webHidden/>
          </w:rPr>
          <w:t>216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89" w:history="1">
        <w:r w:rsidR="00D44A2C" w:rsidRPr="00100291">
          <w:rPr>
            <w:rStyle w:val="Collegamentoipertestuale"/>
            <w:noProof/>
          </w:rPr>
          <w:t>Tabella 121 – Ratei e risconti attivi</w:t>
        </w:r>
        <w:r w:rsidR="00D44A2C">
          <w:rPr>
            <w:noProof/>
            <w:webHidden/>
          </w:rPr>
          <w:tab/>
        </w:r>
        <w:r w:rsidR="00D44A2C">
          <w:rPr>
            <w:noProof/>
            <w:webHidden/>
          </w:rPr>
          <w:fldChar w:fldCharType="begin"/>
        </w:r>
        <w:r w:rsidR="00D44A2C">
          <w:rPr>
            <w:noProof/>
            <w:webHidden/>
          </w:rPr>
          <w:instrText xml:space="preserve"> PAGEREF _Toc507422589 \h </w:instrText>
        </w:r>
        <w:r w:rsidR="00D44A2C">
          <w:rPr>
            <w:noProof/>
            <w:webHidden/>
          </w:rPr>
        </w:r>
        <w:r w:rsidR="00D44A2C">
          <w:rPr>
            <w:noProof/>
            <w:webHidden/>
          </w:rPr>
          <w:fldChar w:fldCharType="separate"/>
        </w:r>
        <w:r w:rsidR="008616B3">
          <w:rPr>
            <w:noProof/>
            <w:webHidden/>
          </w:rPr>
          <w:t>216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0" w:history="1">
        <w:r w:rsidR="00D44A2C" w:rsidRPr="00100291">
          <w:rPr>
            <w:rStyle w:val="Collegamentoipertestuale"/>
            <w:noProof/>
          </w:rPr>
          <w:t>Tabella 122 – Patrimonio netto</w:t>
        </w:r>
        <w:r w:rsidR="00D44A2C">
          <w:rPr>
            <w:noProof/>
            <w:webHidden/>
          </w:rPr>
          <w:tab/>
        </w:r>
        <w:r w:rsidR="00D44A2C">
          <w:rPr>
            <w:noProof/>
            <w:webHidden/>
          </w:rPr>
          <w:fldChar w:fldCharType="begin"/>
        </w:r>
        <w:r w:rsidR="00D44A2C">
          <w:rPr>
            <w:noProof/>
            <w:webHidden/>
          </w:rPr>
          <w:instrText xml:space="preserve"> PAGEREF _Toc507422590 \h </w:instrText>
        </w:r>
        <w:r w:rsidR="00D44A2C">
          <w:rPr>
            <w:noProof/>
            <w:webHidden/>
          </w:rPr>
        </w:r>
        <w:r w:rsidR="00D44A2C">
          <w:rPr>
            <w:noProof/>
            <w:webHidden/>
          </w:rPr>
          <w:fldChar w:fldCharType="separate"/>
        </w:r>
        <w:r w:rsidR="008616B3">
          <w:rPr>
            <w:noProof/>
            <w:webHidden/>
          </w:rPr>
          <w:t>217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1" w:history="1">
        <w:r w:rsidR="00D44A2C" w:rsidRPr="00100291">
          <w:rPr>
            <w:rStyle w:val="Collegamentoipertestuale"/>
            <w:noProof/>
          </w:rPr>
          <w:t xml:space="preserve">Tabella 123 - </w:t>
        </w:r>
        <w:r w:rsidR="00D44A2C" w:rsidRPr="00100291">
          <w:rPr>
            <w:rStyle w:val="Collegamentoipertestuale"/>
            <w:rFonts w:eastAsia="Times New Roman" w:cs="Times New Roman"/>
            <w:noProof/>
            <w:lang w:eastAsia="it-IT"/>
          </w:rPr>
          <w:t>Movimentazione del Fondo per rischi ed oneri</w:t>
        </w:r>
        <w:r w:rsidR="00D44A2C">
          <w:rPr>
            <w:noProof/>
            <w:webHidden/>
          </w:rPr>
          <w:tab/>
        </w:r>
        <w:r w:rsidR="00D44A2C">
          <w:rPr>
            <w:noProof/>
            <w:webHidden/>
          </w:rPr>
          <w:fldChar w:fldCharType="begin"/>
        </w:r>
        <w:r w:rsidR="00D44A2C">
          <w:rPr>
            <w:noProof/>
            <w:webHidden/>
          </w:rPr>
          <w:instrText xml:space="preserve"> PAGEREF _Toc507422591 \h </w:instrText>
        </w:r>
        <w:r w:rsidR="00D44A2C">
          <w:rPr>
            <w:noProof/>
            <w:webHidden/>
          </w:rPr>
        </w:r>
        <w:r w:rsidR="00D44A2C">
          <w:rPr>
            <w:noProof/>
            <w:webHidden/>
          </w:rPr>
          <w:fldChar w:fldCharType="separate"/>
        </w:r>
        <w:r w:rsidR="008616B3">
          <w:rPr>
            <w:noProof/>
            <w:webHidden/>
          </w:rPr>
          <w:t>218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2" w:history="1">
        <w:r w:rsidR="00D44A2C" w:rsidRPr="00100291">
          <w:rPr>
            <w:rStyle w:val="Collegamentoipertestuale"/>
            <w:noProof/>
          </w:rPr>
          <w:t xml:space="preserve">Tabella 124 - </w:t>
        </w:r>
        <w:r w:rsidR="00D44A2C" w:rsidRPr="00100291">
          <w:rPr>
            <w:rStyle w:val="Collegamentoipertestuale"/>
            <w:rFonts w:eastAsia="Times New Roman" w:cs="Times New Roman"/>
            <w:noProof/>
            <w:lang w:eastAsia="it-IT"/>
          </w:rPr>
          <w:t>Movimentazione del fondo rischi per copertura deficit partecipazioni</w:t>
        </w:r>
        <w:r w:rsidR="00D44A2C">
          <w:rPr>
            <w:noProof/>
            <w:webHidden/>
          </w:rPr>
          <w:tab/>
        </w:r>
        <w:r w:rsidR="00D44A2C">
          <w:rPr>
            <w:noProof/>
            <w:webHidden/>
          </w:rPr>
          <w:fldChar w:fldCharType="begin"/>
        </w:r>
        <w:r w:rsidR="00D44A2C">
          <w:rPr>
            <w:noProof/>
            <w:webHidden/>
          </w:rPr>
          <w:instrText xml:space="preserve"> PAGEREF _Toc507422592 \h </w:instrText>
        </w:r>
        <w:r w:rsidR="00D44A2C">
          <w:rPr>
            <w:noProof/>
            <w:webHidden/>
          </w:rPr>
        </w:r>
        <w:r w:rsidR="00D44A2C">
          <w:rPr>
            <w:noProof/>
            <w:webHidden/>
          </w:rPr>
          <w:fldChar w:fldCharType="separate"/>
        </w:r>
        <w:r w:rsidR="008616B3">
          <w:rPr>
            <w:noProof/>
            <w:webHidden/>
          </w:rPr>
          <w:t>218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3" w:history="1">
        <w:r w:rsidR="00D44A2C" w:rsidRPr="00100291">
          <w:rPr>
            <w:rStyle w:val="Collegamentoipertestuale"/>
            <w:noProof/>
          </w:rPr>
          <w:t xml:space="preserve">Tabella 125 - </w:t>
        </w:r>
        <w:r w:rsidR="00D44A2C" w:rsidRPr="00100291">
          <w:rPr>
            <w:rStyle w:val="Collegamentoipertestuale"/>
            <w:rFonts w:eastAsia="Times New Roman" w:cs="Times New Roman"/>
            <w:noProof/>
            <w:lang w:eastAsia="it-IT"/>
          </w:rPr>
          <w:t>Debiti</w:t>
        </w:r>
        <w:r w:rsidR="00D44A2C">
          <w:rPr>
            <w:noProof/>
            <w:webHidden/>
          </w:rPr>
          <w:tab/>
        </w:r>
        <w:r w:rsidR="00D44A2C">
          <w:rPr>
            <w:noProof/>
            <w:webHidden/>
          </w:rPr>
          <w:fldChar w:fldCharType="begin"/>
        </w:r>
        <w:r w:rsidR="00D44A2C">
          <w:rPr>
            <w:noProof/>
            <w:webHidden/>
          </w:rPr>
          <w:instrText xml:space="preserve"> PAGEREF _Toc507422593 \h </w:instrText>
        </w:r>
        <w:r w:rsidR="00D44A2C">
          <w:rPr>
            <w:noProof/>
            <w:webHidden/>
          </w:rPr>
        </w:r>
        <w:r w:rsidR="00D44A2C">
          <w:rPr>
            <w:noProof/>
            <w:webHidden/>
          </w:rPr>
          <w:fldChar w:fldCharType="separate"/>
        </w:r>
        <w:r w:rsidR="008616B3">
          <w:rPr>
            <w:noProof/>
            <w:webHidden/>
          </w:rPr>
          <w:t>219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4" w:history="1">
        <w:r w:rsidR="00D44A2C" w:rsidRPr="00100291">
          <w:rPr>
            <w:rStyle w:val="Collegamentoipertestuale"/>
            <w:noProof/>
          </w:rPr>
          <w:t>Tabella 126 – Debiti – Analisi per natura</w:t>
        </w:r>
        <w:r w:rsidR="00D44A2C">
          <w:rPr>
            <w:noProof/>
            <w:webHidden/>
          </w:rPr>
          <w:tab/>
        </w:r>
        <w:r w:rsidR="00D44A2C">
          <w:rPr>
            <w:noProof/>
            <w:webHidden/>
          </w:rPr>
          <w:fldChar w:fldCharType="begin"/>
        </w:r>
        <w:r w:rsidR="00D44A2C">
          <w:rPr>
            <w:noProof/>
            <w:webHidden/>
          </w:rPr>
          <w:instrText xml:space="preserve"> PAGEREF _Toc507422594 \h </w:instrText>
        </w:r>
        <w:r w:rsidR="00D44A2C">
          <w:rPr>
            <w:noProof/>
            <w:webHidden/>
          </w:rPr>
        </w:r>
        <w:r w:rsidR="00D44A2C">
          <w:rPr>
            <w:noProof/>
            <w:webHidden/>
          </w:rPr>
          <w:fldChar w:fldCharType="separate"/>
        </w:r>
        <w:r w:rsidR="008616B3">
          <w:rPr>
            <w:noProof/>
            <w:webHidden/>
          </w:rPr>
          <w:t>220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5" w:history="1">
        <w:r w:rsidR="00D44A2C" w:rsidRPr="00100291">
          <w:rPr>
            <w:rStyle w:val="Collegamentoipertestuale"/>
            <w:noProof/>
          </w:rPr>
          <w:t xml:space="preserve">Tabella 127 - </w:t>
        </w:r>
        <w:r w:rsidR="00D44A2C" w:rsidRPr="00100291">
          <w:rPr>
            <w:rStyle w:val="Collegamentoipertestuale"/>
            <w:rFonts w:eastAsia="Times New Roman" w:cs="Times New Roman"/>
            <w:noProof/>
            <w:lang w:eastAsia="it-IT"/>
          </w:rPr>
          <w:t>Riconciliazione dei debiti e dei residui passivi</w:t>
        </w:r>
        <w:r w:rsidR="00D44A2C">
          <w:rPr>
            <w:noProof/>
            <w:webHidden/>
          </w:rPr>
          <w:tab/>
        </w:r>
        <w:r w:rsidR="00D44A2C">
          <w:rPr>
            <w:noProof/>
            <w:webHidden/>
          </w:rPr>
          <w:fldChar w:fldCharType="begin"/>
        </w:r>
        <w:r w:rsidR="00D44A2C">
          <w:rPr>
            <w:noProof/>
            <w:webHidden/>
          </w:rPr>
          <w:instrText xml:space="preserve"> PAGEREF _Toc507422595 \h </w:instrText>
        </w:r>
        <w:r w:rsidR="00D44A2C">
          <w:rPr>
            <w:noProof/>
            <w:webHidden/>
          </w:rPr>
        </w:r>
        <w:r w:rsidR="00D44A2C">
          <w:rPr>
            <w:noProof/>
            <w:webHidden/>
          </w:rPr>
          <w:fldChar w:fldCharType="separate"/>
        </w:r>
        <w:r w:rsidR="008616B3">
          <w:rPr>
            <w:noProof/>
            <w:webHidden/>
          </w:rPr>
          <w:t>220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6" w:history="1">
        <w:r w:rsidR="00D44A2C" w:rsidRPr="00100291">
          <w:rPr>
            <w:rStyle w:val="Collegamentoipertestuale"/>
            <w:noProof/>
          </w:rPr>
          <w:t>Tabella 128 – Ratei e risconti passivi</w:t>
        </w:r>
        <w:r w:rsidR="00D44A2C">
          <w:rPr>
            <w:noProof/>
            <w:webHidden/>
          </w:rPr>
          <w:tab/>
        </w:r>
        <w:r w:rsidR="00D44A2C">
          <w:rPr>
            <w:noProof/>
            <w:webHidden/>
          </w:rPr>
          <w:fldChar w:fldCharType="begin"/>
        </w:r>
        <w:r w:rsidR="00D44A2C">
          <w:rPr>
            <w:noProof/>
            <w:webHidden/>
          </w:rPr>
          <w:instrText xml:space="preserve"> PAGEREF _Toc507422596 \h </w:instrText>
        </w:r>
        <w:r w:rsidR="00D44A2C">
          <w:rPr>
            <w:noProof/>
            <w:webHidden/>
          </w:rPr>
        </w:r>
        <w:r w:rsidR="00D44A2C">
          <w:rPr>
            <w:noProof/>
            <w:webHidden/>
          </w:rPr>
          <w:fldChar w:fldCharType="separate"/>
        </w:r>
        <w:r w:rsidR="008616B3">
          <w:rPr>
            <w:noProof/>
            <w:webHidden/>
          </w:rPr>
          <w:t>221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7" w:history="1">
        <w:r w:rsidR="00D44A2C" w:rsidRPr="00100291">
          <w:rPr>
            <w:rStyle w:val="Collegamentoipertestuale"/>
            <w:noProof/>
          </w:rPr>
          <w:t>Tabella 129 – Ratei passivi</w:t>
        </w:r>
        <w:r w:rsidR="00D44A2C">
          <w:rPr>
            <w:noProof/>
            <w:webHidden/>
          </w:rPr>
          <w:tab/>
        </w:r>
        <w:r w:rsidR="00D44A2C">
          <w:rPr>
            <w:noProof/>
            <w:webHidden/>
          </w:rPr>
          <w:fldChar w:fldCharType="begin"/>
        </w:r>
        <w:r w:rsidR="00D44A2C">
          <w:rPr>
            <w:noProof/>
            <w:webHidden/>
          </w:rPr>
          <w:instrText xml:space="preserve"> PAGEREF _Toc507422597 \h </w:instrText>
        </w:r>
        <w:r w:rsidR="00D44A2C">
          <w:rPr>
            <w:noProof/>
            <w:webHidden/>
          </w:rPr>
        </w:r>
        <w:r w:rsidR="00D44A2C">
          <w:rPr>
            <w:noProof/>
            <w:webHidden/>
          </w:rPr>
          <w:fldChar w:fldCharType="separate"/>
        </w:r>
        <w:r w:rsidR="008616B3">
          <w:rPr>
            <w:noProof/>
            <w:webHidden/>
          </w:rPr>
          <w:t>221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8" w:history="1">
        <w:r w:rsidR="00D44A2C" w:rsidRPr="00100291">
          <w:rPr>
            <w:rStyle w:val="Collegamentoipertestuale"/>
            <w:noProof/>
          </w:rPr>
          <w:t>Tabella 130 – Risconti passivi</w:t>
        </w:r>
        <w:r w:rsidR="00D44A2C">
          <w:rPr>
            <w:noProof/>
            <w:webHidden/>
          </w:rPr>
          <w:tab/>
        </w:r>
        <w:r w:rsidR="00D44A2C">
          <w:rPr>
            <w:noProof/>
            <w:webHidden/>
          </w:rPr>
          <w:fldChar w:fldCharType="begin"/>
        </w:r>
        <w:r w:rsidR="00D44A2C">
          <w:rPr>
            <w:noProof/>
            <w:webHidden/>
          </w:rPr>
          <w:instrText xml:space="preserve"> PAGEREF _Toc507422598 \h </w:instrText>
        </w:r>
        <w:r w:rsidR="00D44A2C">
          <w:rPr>
            <w:noProof/>
            <w:webHidden/>
          </w:rPr>
        </w:r>
        <w:r w:rsidR="00D44A2C">
          <w:rPr>
            <w:noProof/>
            <w:webHidden/>
          </w:rPr>
          <w:fldChar w:fldCharType="separate"/>
        </w:r>
        <w:r w:rsidR="008616B3">
          <w:rPr>
            <w:noProof/>
            <w:webHidden/>
          </w:rPr>
          <w:t>221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599" w:history="1">
        <w:r w:rsidR="00D44A2C" w:rsidRPr="00100291">
          <w:rPr>
            <w:rStyle w:val="Collegamentoipertestuale"/>
            <w:noProof/>
          </w:rPr>
          <w:t>Tabella 131 – Conti d’ordine</w:t>
        </w:r>
        <w:r w:rsidR="00D44A2C">
          <w:rPr>
            <w:noProof/>
            <w:webHidden/>
          </w:rPr>
          <w:tab/>
        </w:r>
        <w:r w:rsidR="00D44A2C">
          <w:rPr>
            <w:noProof/>
            <w:webHidden/>
          </w:rPr>
          <w:fldChar w:fldCharType="begin"/>
        </w:r>
        <w:r w:rsidR="00D44A2C">
          <w:rPr>
            <w:noProof/>
            <w:webHidden/>
          </w:rPr>
          <w:instrText xml:space="preserve"> PAGEREF _Toc507422599 \h </w:instrText>
        </w:r>
        <w:r w:rsidR="00D44A2C">
          <w:rPr>
            <w:noProof/>
            <w:webHidden/>
          </w:rPr>
        </w:r>
        <w:r w:rsidR="00D44A2C">
          <w:rPr>
            <w:noProof/>
            <w:webHidden/>
          </w:rPr>
          <w:fldChar w:fldCharType="separate"/>
        </w:r>
        <w:r w:rsidR="008616B3">
          <w:rPr>
            <w:noProof/>
            <w:webHidden/>
          </w:rPr>
          <w:t>222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600" w:history="1">
        <w:r w:rsidR="00D44A2C" w:rsidRPr="00100291">
          <w:rPr>
            <w:rStyle w:val="Collegamentoipertestuale"/>
            <w:noProof/>
          </w:rPr>
          <w:t xml:space="preserve">Tabella 132 - </w:t>
        </w:r>
        <w:r w:rsidR="00D44A2C" w:rsidRPr="00100291">
          <w:rPr>
            <w:rStyle w:val="Collegamentoipertestuale"/>
            <w:rFonts w:eastAsia="Times New Roman" w:cs="Times New Roman"/>
            <w:noProof/>
            <w:lang w:eastAsia="it-IT"/>
          </w:rPr>
          <w:t>Composizione del FSC al 31.12.2016. Crediti accertati in contabilità finanziaria</w:t>
        </w:r>
        <w:r w:rsidR="00D44A2C">
          <w:rPr>
            <w:noProof/>
            <w:webHidden/>
          </w:rPr>
          <w:tab/>
        </w:r>
        <w:r w:rsidR="00D44A2C">
          <w:rPr>
            <w:noProof/>
            <w:webHidden/>
          </w:rPr>
          <w:fldChar w:fldCharType="begin"/>
        </w:r>
        <w:r w:rsidR="00D44A2C">
          <w:rPr>
            <w:noProof/>
            <w:webHidden/>
          </w:rPr>
          <w:instrText xml:space="preserve"> PAGEREF _Toc507422600 \h </w:instrText>
        </w:r>
        <w:r w:rsidR="00D44A2C">
          <w:rPr>
            <w:noProof/>
            <w:webHidden/>
          </w:rPr>
        </w:r>
        <w:r w:rsidR="00D44A2C">
          <w:rPr>
            <w:noProof/>
            <w:webHidden/>
          </w:rPr>
          <w:fldChar w:fldCharType="separate"/>
        </w:r>
        <w:r w:rsidR="008616B3">
          <w:rPr>
            <w:noProof/>
            <w:webHidden/>
          </w:rPr>
          <w:t>224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601" w:history="1">
        <w:r w:rsidR="00D44A2C" w:rsidRPr="00100291">
          <w:rPr>
            <w:rStyle w:val="Collegamentoipertestuale"/>
            <w:noProof/>
          </w:rPr>
          <w:t xml:space="preserve">Tabella 133 - </w:t>
        </w:r>
        <w:r w:rsidR="00D44A2C" w:rsidRPr="00100291">
          <w:rPr>
            <w:rStyle w:val="Collegamentoipertestuale"/>
            <w:rFonts w:eastAsia="Times New Roman" w:cs="Times New Roman"/>
            <w:noProof/>
            <w:lang w:eastAsia="it-IT"/>
          </w:rPr>
          <w:t>Composizione del FSC al 31.12.2016. Crediti non accertati in contabilità finanziaria</w:t>
        </w:r>
        <w:r w:rsidR="00D44A2C">
          <w:rPr>
            <w:noProof/>
            <w:webHidden/>
          </w:rPr>
          <w:tab/>
        </w:r>
        <w:r w:rsidR="00D44A2C">
          <w:rPr>
            <w:noProof/>
            <w:webHidden/>
          </w:rPr>
          <w:fldChar w:fldCharType="begin"/>
        </w:r>
        <w:r w:rsidR="00D44A2C">
          <w:rPr>
            <w:noProof/>
            <w:webHidden/>
          </w:rPr>
          <w:instrText xml:space="preserve"> PAGEREF _Toc507422601 \h </w:instrText>
        </w:r>
        <w:r w:rsidR="00D44A2C">
          <w:rPr>
            <w:noProof/>
            <w:webHidden/>
          </w:rPr>
        </w:r>
        <w:r w:rsidR="00D44A2C">
          <w:rPr>
            <w:noProof/>
            <w:webHidden/>
          </w:rPr>
          <w:fldChar w:fldCharType="separate"/>
        </w:r>
        <w:r w:rsidR="008616B3">
          <w:rPr>
            <w:noProof/>
            <w:webHidden/>
          </w:rPr>
          <w:t>225</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602" w:history="1">
        <w:r w:rsidR="00D44A2C" w:rsidRPr="00100291">
          <w:rPr>
            <w:rStyle w:val="Collegamentoipertestuale"/>
            <w:noProof/>
          </w:rPr>
          <w:t xml:space="preserve">Tabella 134 - </w:t>
        </w:r>
        <w:r w:rsidR="00D44A2C" w:rsidRPr="00100291">
          <w:rPr>
            <w:rStyle w:val="Collegamentoipertestuale"/>
            <w:rFonts w:eastAsia="Times New Roman" w:cs="Times New Roman"/>
            <w:noProof/>
            <w:lang w:eastAsia="it-IT"/>
          </w:rPr>
          <w:t>Composizione complessiva del FSC al 31.12.2016</w:t>
        </w:r>
        <w:r w:rsidR="00D44A2C">
          <w:rPr>
            <w:noProof/>
            <w:webHidden/>
          </w:rPr>
          <w:tab/>
        </w:r>
        <w:r w:rsidR="00D44A2C">
          <w:rPr>
            <w:noProof/>
            <w:webHidden/>
          </w:rPr>
          <w:fldChar w:fldCharType="begin"/>
        </w:r>
        <w:r w:rsidR="00D44A2C">
          <w:rPr>
            <w:noProof/>
            <w:webHidden/>
          </w:rPr>
          <w:instrText xml:space="preserve"> PAGEREF _Toc507422602 \h </w:instrText>
        </w:r>
        <w:r w:rsidR="00D44A2C">
          <w:rPr>
            <w:noProof/>
            <w:webHidden/>
          </w:rPr>
        </w:r>
        <w:r w:rsidR="00D44A2C">
          <w:rPr>
            <w:noProof/>
            <w:webHidden/>
          </w:rPr>
          <w:fldChar w:fldCharType="separate"/>
        </w:r>
        <w:r w:rsidR="008616B3">
          <w:rPr>
            <w:noProof/>
            <w:webHidden/>
          </w:rPr>
          <w:t>226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603" w:history="1">
        <w:r w:rsidR="00D44A2C" w:rsidRPr="00100291">
          <w:rPr>
            <w:rStyle w:val="Collegamentoipertestuale"/>
            <w:noProof/>
          </w:rPr>
          <w:t xml:space="preserve">Tabella 135 - </w:t>
        </w:r>
        <w:r w:rsidR="00D44A2C" w:rsidRPr="00100291">
          <w:rPr>
            <w:rStyle w:val="Collegamentoipertestuale"/>
            <w:rFonts w:eastAsia="Times New Roman" w:cs="Times New Roman"/>
            <w:noProof/>
            <w:lang w:eastAsia="it-IT"/>
          </w:rPr>
          <w:t>Accantonamento al FSC nell’anno 2016</w:t>
        </w:r>
        <w:r w:rsidR="00D44A2C">
          <w:rPr>
            <w:noProof/>
            <w:webHidden/>
          </w:rPr>
          <w:tab/>
        </w:r>
        <w:r w:rsidR="00D44A2C">
          <w:rPr>
            <w:noProof/>
            <w:webHidden/>
          </w:rPr>
          <w:fldChar w:fldCharType="begin"/>
        </w:r>
        <w:r w:rsidR="00D44A2C">
          <w:rPr>
            <w:noProof/>
            <w:webHidden/>
          </w:rPr>
          <w:instrText xml:space="preserve"> PAGEREF _Toc507422603 \h </w:instrText>
        </w:r>
        <w:r w:rsidR="00D44A2C">
          <w:rPr>
            <w:noProof/>
            <w:webHidden/>
          </w:rPr>
        </w:r>
        <w:r w:rsidR="00D44A2C">
          <w:rPr>
            <w:noProof/>
            <w:webHidden/>
          </w:rPr>
          <w:fldChar w:fldCharType="separate"/>
        </w:r>
        <w:r w:rsidR="008616B3">
          <w:rPr>
            <w:noProof/>
            <w:webHidden/>
          </w:rPr>
          <w:t>227</w:t>
        </w:r>
        <w:r w:rsidR="00D44A2C">
          <w:rPr>
            <w:noProof/>
            <w:webHidden/>
          </w:rPr>
          <w:fldChar w:fldCharType="end"/>
        </w:r>
      </w:hyperlink>
    </w:p>
    <w:p w:rsidR="0062750A" w:rsidRDefault="0062750A" w:rsidP="0062750A">
      <w:pPr>
        <w:pStyle w:val="Indicedellefigure"/>
        <w:tabs>
          <w:tab w:val="right" w:leader="dot" w:pos="9911"/>
        </w:tabs>
      </w:pPr>
      <w:r w:rsidRPr="00462E40">
        <w:rPr>
          <w:szCs w:val="24"/>
        </w:rPr>
        <w:fldChar w:fldCharType="end"/>
      </w:r>
    </w:p>
    <w:p w:rsidR="00DB3BAA" w:rsidRDefault="00DB3BAA" w:rsidP="0062750A">
      <w:pPr>
        <w:pStyle w:val="CdcIndici"/>
      </w:pPr>
      <w:r>
        <w:br w:type="page"/>
      </w:r>
    </w:p>
    <w:p w:rsidR="0062750A" w:rsidRPr="00462E40" w:rsidRDefault="0062750A" w:rsidP="0062750A">
      <w:pPr>
        <w:pStyle w:val="CdcIndici"/>
      </w:pPr>
      <w:r w:rsidRPr="000763AD">
        <w:lastRenderedPageBreak/>
        <w:t xml:space="preserve">INDICE </w:t>
      </w:r>
      <w:r>
        <w:t>DEI GRAFICI</w:t>
      </w:r>
    </w:p>
    <w:p w:rsidR="00D44A2C" w:rsidRDefault="005E7434">
      <w:pPr>
        <w:pStyle w:val="Indicedellefigure"/>
        <w:tabs>
          <w:tab w:val="right" w:leader="dot" w:pos="9911"/>
        </w:tabs>
        <w:rPr>
          <w:rFonts w:asciiTheme="minorHAnsi" w:eastAsiaTheme="minorEastAsia" w:hAnsiTheme="minorHAnsi"/>
          <w:noProof/>
          <w:sz w:val="22"/>
          <w:lang w:eastAsia="it-IT"/>
        </w:rPr>
      </w:pPr>
      <w:r>
        <w:rPr>
          <w:szCs w:val="24"/>
        </w:rPr>
        <w:fldChar w:fldCharType="begin"/>
      </w:r>
      <w:r>
        <w:rPr>
          <w:szCs w:val="24"/>
        </w:rPr>
        <w:instrText xml:space="preserve"> TOC \h \z \c "Grafico" </w:instrText>
      </w:r>
      <w:r>
        <w:rPr>
          <w:szCs w:val="24"/>
        </w:rPr>
        <w:fldChar w:fldCharType="separate"/>
      </w:r>
      <w:hyperlink w:anchor="_Toc507422704" w:history="1">
        <w:r w:rsidR="00D44A2C" w:rsidRPr="00A40327">
          <w:rPr>
            <w:rStyle w:val="Collegamentoipertestuale"/>
            <w:noProof/>
          </w:rPr>
          <w:t>Grafico 1 – Spesa per missioni – Previsioni iniziali e finali esercizio 2016</w:t>
        </w:r>
        <w:r w:rsidR="00D44A2C">
          <w:rPr>
            <w:noProof/>
            <w:webHidden/>
          </w:rPr>
          <w:tab/>
        </w:r>
        <w:r w:rsidR="00D44A2C">
          <w:rPr>
            <w:noProof/>
            <w:webHidden/>
          </w:rPr>
          <w:fldChar w:fldCharType="begin"/>
        </w:r>
        <w:r w:rsidR="00D44A2C">
          <w:rPr>
            <w:noProof/>
            <w:webHidden/>
          </w:rPr>
          <w:instrText xml:space="preserve"> PAGEREF _Toc507422704 \h </w:instrText>
        </w:r>
        <w:r w:rsidR="00D44A2C">
          <w:rPr>
            <w:noProof/>
            <w:webHidden/>
          </w:rPr>
        </w:r>
        <w:r w:rsidR="00D44A2C">
          <w:rPr>
            <w:noProof/>
            <w:webHidden/>
          </w:rPr>
          <w:fldChar w:fldCharType="separate"/>
        </w:r>
        <w:r w:rsidR="008616B3">
          <w:rPr>
            <w:noProof/>
            <w:webHidden/>
          </w:rPr>
          <w:t>21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05" w:history="1">
        <w:r w:rsidR="00D44A2C" w:rsidRPr="00A40327">
          <w:rPr>
            <w:rStyle w:val="Collegamentoipertestuale"/>
            <w:noProof/>
          </w:rPr>
          <w:t>Grafico 2 – Spesa per titoli esercizio 2016 – Previsioni iniziali e finali di cassa</w:t>
        </w:r>
        <w:r w:rsidR="00D44A2C">
          <w:rPr>
            <w:noProof/>
            <w:webHidden/>
          </w:rPr>
          <w:tab/>
        </w:r>
        <w:r w:rsidR="00D44A2C">
          <w:rPr>
            <w:noProof/>
            <w:webHidden/>
          </w:rPr>
          <w:fldChar w:fldCharType="begin"/>
        </w:r>
        <w:r w:rsidR="00D44A2C">
          <w:rPr>
            <w:noProof/>
            <w:webHidden/>
          </w:rPr>
          <w:instrText xml:space="preserve"> PAGEREF _Toc507422705 \h </w:instrText>
        </w:r>
        <w:r w:rsidR="00D44A2C">
          <w:rPr>
            <w:noProof/>
            <w:webHidden/>
          </w:rPr>
        </w:r>
        <w:r w:rsidR="00D44A2C">
          <w:rPr>
            <w:noProof/>
            <w:webHidden/>
          </w:rPr>
          <w:fldChar w:fldCharType="separate"/>
        </w:r>
        <w:r w:rsidR="008616B3">
          <w:rPr>
            <w:noProof/>
            <w:webHidden/>
          </w:rPr>
          <w:t>24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06" w:history="1">
        <w:r w:rsidR="00D44A2C" w:rsidRPr="00A40327">
          <w:rPr>
            <w:rStyle w:val="Collegamentoipertestuale"/>
            <w:noProof/>
          </w:rPr>
          <w:t>Grafico 3 – Spesa per Missioni esercizio 2016 – Previsioni definitive di competenza</w:t>
        </w:r>
        <w:r w:rsidR="00D44A2C">
          <w:rPr>
            <w:noProof/>
            <w:webHidden/>
          </w:rPr>
          <w:tab/>
        </w:r>
        <w:r w:rsidR="00D44A2C">
          <w:rPr>
            <w:noProof/>
            <w:webHidden/>
          </w:rPr>
          <w:fldChar w:fldCharType="begin"/>
        </w:r>
        <w:r w:rsidR="00D44A2C">
          <w:rPr>
            <w:noProof/>
            <w:webHidden/>
          </w:rPr>
          <w:instrText xml:space="preserve"> PAGEREF _Toc507422706 \h </w:instrText>
        </w:r>
        <w:r w:rsidR="00D44A2C">
          <w:rPr>
            <w:noProof/>
            <w:webHidden/>
          </w:rPr>
        </w:r>
        <w:r w:rsidR="00D44A2C">
          <w:rPr>
            <w:noProof/>
            <w:webHidden/>
          </w:rPr>
          <w:fldChar w:fldCharType="separate"/>
        </w:r>
        <w:r w:rsidR="008616B3">
          <w:rPr>
            <w:noProof/>
            <w:webHidden/>
          </w:rPr>
          <w:t>26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07" w:history="1">
        <w:r w:rsidR="00D44A2C" w:rsidRPr="00A40327">
          <w:rPr>
            <w:rStyle w:val="Collegamentoipertestuale"/>
            <w:noProof/>
          </w:rPr>
          <w:t>Grafico 4 – Spesa per Missioni esercizio 2016 – Previsioni definitive di cassa</w:t>
        </w:r>
        <w:r w:rsidR="00D44A2C">
          <w:rPr>
            <w:noProof/>
            <w:webHidden/>
          </w:rPr>
          <w:tab/>
        </w:r>
        <w:r w:rsidR="00D44A2C">
          <w:rPr>
            <w:noProof/>
            <w:webHidden/>
          </w:rPr>
          <w:fldChar w:fldCharType="begin"/>
        </w:r>
        <w:r w:rsidR="00D44A2C">
          <w:rPr>
            <w:noProof/>
            <w:webHidden/>
          </w:rPr>
          <w:instrText xml:space="preserve"> PAGEREF _Toc507422707 \h </w:instrText>
        </w:r>
        <w:r w:rsidR="00D44A2C">
          <w:rPr>
            <w:noProof/>
            <w:webHidden/>
          </w:rPr>
        </w:r>
        <w:r w:rsidR="00D44A2C">
          <w:rPr>
            <w:noProof/>
            <w:webHidden/>
          </w:rPr>
          <w:fldChar w:fldCharType="separate"/>
        </w:r>
        <w:r w:rsidR="008616B3">
          <w:rPr>
            <w:noProof/>
            <w:webHidden/>
          </w:rPr>
          <w:t>26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08" w:history="1">
        <w:r w:rsidR="00D44A2C" w:rsidRPr="00A40327">
          <w:rPr>
            <w:rStyle w:val="Collegamentoipertestuale"/>
            <w:noProof/>
          </w:rPr>
          <w:t>Grafico 5 – Entrate Titoli – Previsioni definitive di competenza 2015-2016</w:t>
        </w:r>
        <w:r w:rsidR="00D44A2C">
          <w:rPr>
            <w:noProof/>
            <w:webHidden/>
          </w:rPr>
          <w:tab/>
        </w:r>
        <w:r w:rsidR="00D44A2C">
          <w:rPr>
            <w:noProof/>
            <w:webHidden/>
          </w:rPr>
          <w:fldChar w:fldCharType="begin"/>
        </w:r>
        <w:r w:rsidR="00D44A2C">
          <w:rPr>
            <w:noProof/>
            <w:webHidden/>
          </w:rPr>
          <w:instrText xml:space="preserve"> PAGEREF _Toc507422708 \h </w:instrText>
        </w:r>
        <w:r w:rsidR="00D44A2C">
          <w:rPr>
            <w:noProof/>
            <w:webHidden/>
          </w:rPr>
        </w:r>
        <w:r w:rsidR="00D44A2C">
          <w:rPr>
            <w:noProof/>
            <w:webHidden/>
          </w:rPr>
          <w:fldChar w:fldCharType="separate"/>
        </w:r>
        <w:r w:rsidR="008616B3">
          <w:rPr>
            <w:noProof/>
            <w:webHidden/>
          </w:rPr>
          <w:t>28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09" w:history="1">
        <w:r w:rsidR="00D44A2C" w:rsidRPr="00A40327">
          <w:rPr>
            <w:rStyle w:val="Collegamentoipertestuale"/>
            <w:noProof/>
          </w:rPr>
          <w:t xml:space="preserve">Grafico 6 - </w:t>
        </w:r>
        <w:r w:rsidR="00D44A2C" w:rsidRPr="00A40327">
          <w:rPr>
            <w:rStyle w:val="Collegamentoipertestuale"/>
            <w:rFonts w:cs="Bodoni MT"/>
            <w:noProof/>
          </w:rPr>
          <w:t>Spesa per Titoli - Previsioni definitive di competenza 2015-2016</w:t>
        </w:r>
        <w:r w:rsidR="00D44A2C">
          <w:rPr>
            <w:noProof/>
            <w:webHidden/>
          </w:rPr>
          <w:tab/>
        </w:r>
        <w:r w:rsidR="00D44A2C">
          <w:rPr>
            <w:noProof/>
            <w:webHidden/>
          </w:rPr>
          <w:fldChar w:fldCharType="begin"/>
        </w:r>
        <w:r w:rsidR="00D44A2C">
          <w:rPr>
            <w:noProof/>
            <w:webHidden/>
          </w:rPr>
          <w:instrText xml:space="preserve"> PAGEREF _Toc507422709 \h </w:instrText>
        </w:r>
        <w:r w:rsidR="00D44A2C">
          <w:rPr>
            <w:noProof/>
            <w:webHidden/>
          </w:rPr>
        </w:r>
        <w:r w:rsidR="00D44A2C">
          <w:rPr>
            <w:noProof/>
            <w:webHidden/>
          </w:rPr>
          <w:fldChar w:fldCharType="separate"/>
        </w:r>
        <w:r w:rsidR="008616B3">
          <w:rPr>
            <w:noProof/>
            <w:webHidden/>
          </w:rPr>
          <w:t>30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0" w:history="1">
        <w:r w:rsidR="00D44A2C" w:rsidRPr="00A40327">
          <w:rPr>
            <w:rStyle w:val="Collegamentoipertestuale"/>
            <w:noProof/>
          </w:rPr>
          <w:t xml:space="preserve">Grafico 7 - </w:t>
        </w:r>
        <w:r w:rsidR="00D44A2C" w:rsidRPr="00A40327">
          <w:rPr>
            <w:rStyle w:val="Collegamentoipertestuale"/>
            <w:rFonts w:cs="Bodoni MT"/>
            <w:noProof/>
          </w:rPr>
          <w:t>Spesa per Missioni – Previsioni definitive 2015-2016</w:t>
        </w:r>
        <w:r w:rsidR="00D44A2C">
          <w:rPr>
            <w:noProof/>
            <w:webHidden/>
          </w:rPr>
          <w:tab/>
        </w:r>
        <w:r w:rsidR="00D44A2C">
          <w:rPr>
            <w:noProof/>
            <w:webHidden/>
          </w:rPr>
          <w:fldChar w:fldCharType="begin"/>
        </w:r>
        <w:r w:rsidR="00D44A2C">
          <w:rPr>
            <w:noProof/>
            <w:webHidden/>
          </w:rPr>
          <w:instrText xml:space="preserve"> PAGEREF _Toc507422710 \h </w:instrText>
        </w:r>
        <w:r w:rsidR="00D44A2C">
          <w:rPr>
            <w:noProof/>
            <w:webHidden/>
          </w:rPr>
        </w:r>
        <w:r w:rsidR="00D44A2C">
          <w:rPr>
            <w:noProof/>
            <w:webHidden/>
          </w:rPr>
          <w:fldChar w:fldCharType="separate"/>
        </w:r>
        <w:r w:rsidR="008616B3">
          <w:rPr>
            <w:noProof/>
            <w:webHidden/>
          </w:rPr>
          <w:t>34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1" w:history="1">
        <w:r w:rsidR="00D44A2C" w:rsidRPr="00A40327">
          <w:rPr>
            <w:rStyle w:val="Collegamentoipertestuale"/>
            <w:noProof/>
          </w:rPr>
          <w:t>Grafico 8 - Entrate per fonte – Previsioni finali 2016</w:t>
        </w:r>
        <w:r w:rsidR="00D44A2C">
          <w:rPr>
            <w:noProof/>
            <w:webHidden/>
          </w:rPr>
          <w:tab/>
        </w:r>
        <w:r w:rsidR="00D44A2C">
          <w:rPr>
            <w:noProof/>
            <w:webHidden/>
          </w:rPr>
          <w:fldChar w:fldCharType="begin"/>
        </w:r>
        <w:r w:rsidR="00D44A2C">
          <w:rPr>
            <w:noProof/>
            <w:webHidden/>
          </w:rPr>
          <w:instrText xml:space="preserve"> PAGEREF _Toc507422711 \h </w:instrText>
        </w:r>
        <w:r w:rsidR="00D44A2C">
          <w:rPr>
            <w:noProof/>
            <w:webHidden/>
          </w:rPr>
        </w:r>
        <w:r w:rsidR="00D44A2C">
          <w:rPr>
            <w:noProof/>
            <w:webHidden/>
          </w:rPr>
          <w:fldChar w:fldCharType="separate"/>
        </w:r>
        <w:r w:rsidR="008616B3">
          <w:rPr>
            <w:noProof/>
            <w:webHidden/>
          </w:rPr>
          <w:t>48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2" w:history="1">
        <w:r w:rsidR="00D44A2C" w:rsidRPr="00A40327">
          <w:rPr>
            <w:rStyle w:val="Collegamentoipertestuale"/>
            <w:noProof/>
          </w:rPr>
          <w:t>Grafico 9 - Entrate per fonte – Accertamenti di competenza 2016</w:t>
        </w:r>
        <w:r w:rsidR="00D44A2C">
          <w:rPr>
            <w:noProof/>
            <w:webHidden/>
          </w:rPr>
          <w:tab/>
        </w:r>
        <w:r w:rsidR="00D44A2C">
          <w:rPr>
            <w:noProof/>
            <w:webHidden/>
          </w:rPr>
          <w:fldChar w:fldCharType="begin"/>
        </w:r>
        <w:r w:rsidR="00D44A2C">
          <w:rPr>
            <w:noProof/>
            <w:webHidden/>
          </w:rPr>
          <w:instrText xml:space="preserve"> PAGEREF _Toc507422712 \h </w:instrText>
        </w:r>
        <w:r w:rsidR="00D44A2C">
          <w:rPr>
            <w:noProof/>
            <w:webHidden/>
          </w:rPr>
        </w:r>
        <w:r w:rsidR="00D44A2C">
          <w:rPr>
            <w:noProof/>
            <w:webHidden/>
          </w:rPr>
          <w:fldChar w:fldCharType="separate"/>
        </w:r>
        <w:r w:rsidR="008616B3">
          <w:rPr>
            <w:noProof/>
            <w:webHidden/>
          </w:rPr>
          <w:t>48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3" w:history="1">
        <w:r w:rsidR="00D44A2C" w:rsidRPr="00A40327">
          <w:rPr>
            <w:rStyle w:val="Collegamentoipertestuale"/>
            <w:noProof/>
          </w:rPr>
          <w:t>Grafico 10 - Entrate per fonte – Riscossioni di competenza 2016</w:t>
        </w:r>
        <w:r w:rsidR="00D44A2C">
          <w:rPr>
            <w:noProof/>
            <w:webHidden/>
          </w:rPr>
          <w:tab/>
        </w:r>
        <w:r w:rsidR="00D44A2C">
          <w:rPr>
            <w:noProof/>
            <w:webHidden/>
          </w:rPr>
          <w:fldChar w:fldCharType="begin"/>
        </w:r>
        <w:r w:rsidR="00D44A2C">
          <w:rPr>
            <w:noProof/>
            <w:webHidden/>
          </w:rPr>
          <w:instrText xml:space="preserve"> PAGEREF _Toc507422713 \h </w:instrText>
        </w:r>
        <w:r w:rsidR="00D44A2C">
          <w:rPr>
            <w:noProof/>
            <w:webHidden/>
          </w:rPr>
        </w:r>
        <w:r w:rsidR="00D44A2C">
          <w:rPr>
            <w:noProof/>
            <w:webHidden/>
          </w:rPr>
          <w:fldChar w:fldCharType="separate"/>
        </w:r>
        <w:r w:rsidR="008616B3">
          <w:rPr>
            <w:noProof/>
            <w:webHidden/>
          </w:rPr>
          <w:t>48</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4" w:history="1">
        <w:r w:rsidR="00D44A2C" w:rsidRPr="00A40327">
          <w:rPr>
            <w:rStyle w:val="Collegamentoipertestuale"/>
            <w:noProof/>
          </w:rPr>
          <w:t>Grafico 11</w:t>
        </w:r>
        <w:r w:rsidR="00D44A2C" w:rsidRPr="00A40327">
          <w:rPr>
            <w:rStyle w:val="Collegamentoipertestuale"/>
            <w:rFonts w:eastAsiaTheme="majorEastAsia" w:cstheme="majorBidi"/>
            <w:noProof/>
          </w:rPr>
          <w:t xml:space="preserve"> - Spesa esercizi 2015-2016 – Gestione di competenza</w:t>
        </w:r>
        <w:r w:rsidR="00D44A2C">
          <w:rPr>
            <w:noProof/>
            <w:webHidden/>
          </w:rPr>
          <w:tab/>
        </w:r>
        <w:r w:rsidR="00D44A2C">
          <w:rPr>
            <w:noProof/>
            <w:webHidden/>
          </w:rPr>
          <w:fldChar w:fldCharType="begin"/>
        </w:r>
        <w:r w:rsidR="00D44A2C">
          <w:rPr>
            <w:noProof/>
            <w:webHidden/>
          </w:rPr>
          <w:instrText xml:space="preserve"> PAGEREF _Toc507422714 \h </w:instrText>
        </w:r>
        <w:r w:rsidR="00D44A2C">
          <w:rPr>
            <w:noProof/>
            <w:webHidden/>
          </w:rPr>
        </w:r>
        <w:r w:rsidR="00D44A2C">
          <w:rPr>
            <w:noProof/>
            <w:webHidden/>
          </w:rPr>
          <w:fldChar w:fldCharType="separate"/>
        </w:r>
        <w:r w:rsidR="008616B3">
          <w:rPr>
            <w:noProof/>
            <w:webHidden/>
          </w:rPr>
          <w:t>53</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5" w:history="1">
        <w:r w:rsidR="00D44A2C" w:rsidRPr="00A40327">
          <w:rPr>
            <w:rStyle w:val="Collegamentoipertestuale"/>
            <w:noProof/>
          </w:rPr>
          <w:t xml:space="preserve">Grafico 12 - </w:t>
        </w:r>
        <w:r w:rsidR="00D44A2C" w:rsidRPr="00A40327">
          <w:rPr>
            <w:rStyle w:val="Collegamentoipertestuale"/>
            <w:rFonts w:eastAsiaTheme="majorEastAsia" w:cstheme="majorBidi"/>
            <w:noProof/>
          </w:rPr>
          <w:t>Esercizio 2016 - Impegni di Spesa per Titoli</w:t>
        </w:r>
        <w:r w:rsidR="00D44A2C">
          <w:rPr>
            <w:noProof/>
            <w:webHidden/>
          </w:rPr>
          <w:tab/>
        </w:r>
        <w:r w:rsidR="00D44A2C">
          <w:rPr>
            <w:noProof/>
            <w:webHidden/>
          </w:rPr>
          <w:fldChar w:fldCharType="begin"/>
        </w:r>
        <w:r w:rsidR="00D44A2C">
          <w:rPr>
            <w:noProof/>
            <w:webHidden/>
          </w:rPr>
          <w:instrText xml:space="preserve"> PAGEREF _Toc507422715 \h </w:instrText>
        </w:r>
        <w:r w:rsidR="00D44A2C">
          <w:rPr>
            <w:noProof/>
            <w:webHidden/>
          </w:rPr>
        </w:r>
        <w:r w:rsidR="00D44A2C">
          <w:rPr>
            <w:noProof/>
            <w:webHidden/>
          </w:rPr>
          <w:fldChar w:fldCharType="separate"/>
        </w:r>
        <w:r w:rsidR="008616B3">
          <w:rPr>
            <w:noProof/>
            <w:webHidden/>
          </w:rPr>
          <w:t>54</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6" w:history="1">
        <w:r w:rsidR="00D44A2C" w:rsidRPr="00A40327">
          <w:rPr>
            <w:rStyle w:val="Collegamentoipertestuale"/>
            <w:noProof/>
          </w:rPr>
          <w:t xml:space="preserve">Grafico 13 - </w:t>
        </w:r>
        <w:r w:rsidR="00D44A2C" w:rsidRPr="00A40327">
          <w:rPr>
            <w:rStyle w:val="Collegamentoipertestuale"/>
            <w:rFonts w:eastAsiaTheme="majorEastAsia" w:cstheme="majorBidi"/>
            <w:noProof/>
          </w:rPr>
          <w:t>Esercizio 2016 - Spesa per Fonte – Previsioni finali</w:t>
        </w:r>
        <w:r w:rsidR="00D44A2C">
          <w:rPr>
            <w:noProof/>
            <w:webHidden/>
          </w:rPr>
          <w:tab/>
        </w:r>
        <w:r w:rsidR="00D44A2C">
          <w:rPr>
            <w:noProof/>
            <w:webHidden/>
          </w:rPr>
          <w:fldChar w:fldCharType="begin"/>
        </w:r>
        <w:r w:rsidR="00D44A2C">
          <w:rPr>
            <w:noProof/>
            <w:webHidden/>
          </w:rPr>
          <w:instrText xml:space="preserve"> PAGEREF _Toc507422716 \h </w:instrText>
        </w:r>
        <w:r w:rsidR="00D44A2C">
          <w:rPr>
            <w:noProof/>
            <w:webHidden/>
          </w:rPr>
        </w:r>
        <w:r w:rsidR="00D44A2C">
          <w:rPr>
            <w:noProof/>
            <w:webHidden/>
          </w:rPr>
          <w:fldChar w:fldCharType="separate"/>
        </w:r>
        <w:r w:rsidR="008616B3">
          <w:rPr>
            <w:noProof/>
            <w:webHidden/>
          </w:rPr>
          <w:t>56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7" w:history="1">
        <w:r w:rsidR="00D44A2C" w:rsidRPr="00A40327">
          <w:rPr>
            <w:rStyle w:val="Collegamentoipertestuale"/>
            <w:noProof/>
          </w:rPr>
          <w:t xml:space="preserve">Grafico 14 - </w:t>
        </w:r>
        <w:r w:rsidR="00D44A2C" w:rsidRPr="00A40327">
          <w:rPr>
            <w:rStyle w:val="Collegamentoipertestuale"/>
            <w:rFonts w:eastAsiaTheme="majorEastAsia" w:cstheme="majorBidi"/>
            <w:noProof/>
          </w:rPr>
          <w:t>Esercizio 2016 - Spesa per Fonte – Impegni</w:t>
        </w:r>
        <w:r w:rsidR="00D44A2C">
          <w:rPr>
            <w:noProof/>
            <w:webHidden/>
          </w:rPr>
          <w:tab/>
        </w:r>
        <w:r w:rsidR="00D44A2C">
          <w:rPr>
            <w:noProof/>
            <w:webHidden/>
          </w:rPr>
          <w:fldChar w:fldCharType="begin"/>
        </w:r>
        <w:r w:rsidR="00D44A2C">
          <w:rPr>
            <w:noProof/>
            <w:webHidden/>
          </w:rPr>
          <w:instrText xml:space="preserve"> PAGEREF _Toc507422717 \h </w:instrText>
        </w:r>
        <w:r w:rsidR="00D44A2C">
          <w:rPr>
            <w:noProof/>
            <w:webHidden/>
          </w:rPr>
        </w:r>
        <w:r w:rsidR="00D44A2C">
          <w:rPr>
            <w:noProof/>
            <w:webHidden/>
          </w:rPr>
          <w:fldChar w:fldCharType="separate"/>
        </w:r>
        <w:r w:rsidR="008616B3">
          <w:rPr>
            <w:noProof/>
            <w:webHidden/>
          </w:rPr>
          <w:t>56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8" w:history="1">
        <w:r w:rsidR="00D44A2C" w:rsidRPr="00A40327">
          <w:rPr>
            <w:rStyle w:val="Collegamentoipertestuale"/>
            <w:noProof/>
          </w:rPr>
          <w:t xml:space="preserve">Grafico 15 - </w:t>
        </w:r>
        <w:r w:rsidR="00D44A2C" w:rsidRPr="00A40327">
          <w:rPr>
            <w:rStyle w:val="Collegamentoipertestuale"/>
            <w:rFonts w:eastAsiaTheme="majorEastAsia" w:cstheme="majorBidi"/>
            <w:noProof/>
          </w:rPr>
          <w:t>Spesa per Fonte – Pagamenti Esercizio 2016</w:t>
        </w:r>
        <w:r w:rsidR="00D44A2C">
          <w:rPr>
            <w:noProof/>
            <w:webHidden/>
          </w:rPr>
          <w:tab/>
        </w:r>
        <w:r w:rsidR="00D44A2C">
          <w:rPr>
            <w:noProof/>
            <w:webHidden/>
          </w:rPr>
          <w:fldChar w:fldCharType="begin"/>
        </w:r>
        <w:r w:rsidR="00D44A2C">
          <w:rPr>
            <w:noProof/>
            <w:webHidden/>
          </w:rPr>
          <w:instrText xml:space="preserve"> PAGEREF _Toc507422718 \h </w:instrText>
        </w:r>
        <w:r w:rsidR="00D44A2C">
          <w:rPr>
            <w:noProof/>
            <w:webHidden/>
          </w:rPr>
        </w:r>
        <w:r w:rsidR="00D44A2C">
          <w:rPr>
            <w:noProof/>
            <w:webHidden/>
          </w:rPr>
          <w:fldChar w:fldCharType="separate"/>
        </w:r>
        <w:r w:rsidR="008616B3">
          <w:rPr>
            <w:noProof/>
            <w:webHidden/>
          </w:rPr>
          <w:t>56</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19" w:history="1">
        <w:r w:rsidR="00D44A2C" w:rsidRPr="00A40327">
          <w:rPr>
            <w:rStyle w:val="Collegamentoipertestuale"/>
            <w:noProof/>
          </w:rPr>
          <w:t xml:space="preserve">Grafico 16 - </w:t>
        </w:r>
        <w:r w:rsidR="00D44A2C" w:rsidRPr="00A40327">
          <w:rPr>
            <w:rStyle w:val="Collegamentoipertestuale"/>
            <w:rFonts w:eastAsiaTheme="majorEastAsia" w:cstheme="majorBidi"/>
            <w:noProof/>
          </w:rPr>
          <w:t>Spesa per Missioni – Confronto Impegni 2015-2016</w:t>
        </w:r>
        <w:r w:rsidR="00D44A2C">
          <w:rPr>
            <w:noProof/>
            <w:webHidden/>
          </w:rPr>
          <w:tab/>
        </w:r>
        <w:r w:rsidR="00D44A2C">
          <w:rPr>
            <w:noProof/>
            <w:webHidden/>
          </w:rPr>
          <w:fldChar w:fldCharType="begin"/>
        </w:r>
        <w:r w:rsidR="00D44A2C">
          <w:rPr>
            <w:noProof/>
            <w:webHidden/>
          </w:rPr>
          <w:instrText xml:space="preserve"> PAGEREF _Toc507422719 \h </w:instrText>
        </w:r>
        <w:r w:rsidR="00D44A2C">
          <w:rPr>
            <w:noProof/>
            <w:webHidden/>
          </w:rPr>
        </w:r>
        <w:r w:rsidR="00D44A2C">
          <w:rPr>
            <w:noProof/>
            <w:webHidden/>
          </w:rPr>
          <w:fldChar w:fldCharType="separate"/>
        </w:r>
        <w:r w:rsidR="008616B3">
          <w:rPr>
            <w:noProof/>
            <w:webHidden/>
          </w:rPr>
          <w:t>60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0" w:history="1">
        <w:r w:rsidR="00D44A2C" w:rsidRPr="00A40327">
          <w:rPr>
            <w:rStyle w:val="Collegamentoipertestuale"/>
            <w:noProof/>
          </w:rPr>
          <w:t xml:space="preserve">Grafico 17 - </w:t>
        </w:r>
        <w:r w:rsidR="00D44A2C" w:rsidRPr="00A40327">
          <w:rPr>
            <w:rStyle w:val="Collegamentoipertestuale"/>
            <w:rFonts w:eastAsiaTheme="majorEastAsia" w:cstheme="majorBidi"/>
            <w:noProof/>
          </w:rPr>
          <w:t>Spesa per Missioni – Confronto Pagamenti 2015-2016</w:t>
        </w:r>
        <w:r w:rsidR="00D44A2C">
          <w:rPr>
            <w:noProof/>
            <w:webHidden/>
          </w:rPr>
          <w:tab/>
        </w:r>
        <w:r w:rsidR="00D44A2C">
          <w:rPr>
            <w:noProof/>
            <w:webHidden/>
          </w:rPr>
          <w:fldChar w:fldCharType="begin"/>
        </w:r>
        <w:r w:rsidR="00D44A2C">
          <w:rPr>
            <w:noProof/>
            <w:webHidden/>
          </w:rPr>
          <w:instrText xml:space="preserve"> PAGEREF _Toc507422720 \h </w:instrText>
        </w:r>
        <w:r w:rsidR="00D44A2C">
          <w:rPr>
            <w:noProof/>
            <w:webHidden/>
          </w:rPr>
        </w:r>
        <w:r w:rsidR="00D44A2C">
          <w:rPr>
            <w:noProof/>
            <w:webHidden/>
          </w:rPr>
          <w:fldChar w:fldCharType="separate"/>
        </w:r>
        <w:r w:rsidR="008616B3">
          <w:rPr>
            <w:noProof/>
            <w:webHidden/>
          </w:rPr>
          <w:t>60</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1" w:history="1">
        <w:r w:rsidR="00D44A2C" w:rsidRPr="00A40327">
          <w:rPr>
            <w:rStyle w:val="Collegamentoipertestuale"/>
            <w:noProof/>
          </w:rPr>
          <w:t>Grafico 18 - Andamento accumulo residui perenti dal 2004 al 2016</w:t>
        </w:r>
        <w:r w:rsidR="00D44A2C">
          <w:rPr>
            <w:noProof/>
            <w:webHidden/>
          </w:rPr>
          <w:tab/>
        </w:r>
        <w:r w:rsidR="00D44A2C">
          <w:rPr>
            <w:noProof/>
            <w:webHidden/>
          </w:rPr>
          <w:fldChar w:fldCharType="begin"/>
        </w:r>
        <w:r w:rsidR="00D44A2C">
          <w:rPr>
            <w:noProof/>
            <w:webHidden/>
          </w:rPr>
          <w:instrText xml:space="preserve"> PAGEREF _Toc507422721 \h </w:instrText>
        </w:r>
        <w:r w:rsidR="00D44A2C">
          <w:rPr>
            <w:noProof/>
            <w:webHidden/>
          </w:rPr>
        </w:r>
        <w:r w:rsidR="00D44A2C">
          <w:rPr>
            <w:noProof/>
            <w:webHidden/>
          </w:rPr>
          <w:fldChar w:fldCharType="separate"/>
        </w:r>
        <w:r w:rsidR="008616B3">
          <w:rPr>
            <w:noProof/>
            <w:webHidden/>
          </w:rPr>
          <w:t>77</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2" w:history="1">
        <w:r w:rsidR="00D44A2C" w:rsidRPr="00A40327">
          <w:rPr>
            <w:rStyle w:val="Collegamentoipertestuale"/>
            <w:noProof/>
          </w:rPr>
          <w:t xml:space="preserve">Grafico 19 - </w:t>
        </w:r>
        <w:r w:rsidR="00D44A2C" w:rsidRPr="00A40327">
          <w:rPr>
            <w:rStyle w:val="Collegamentoipertestuale"/>
            <w:rFonts w:eastAsia="Times New Roman" w:cs="Calibri"/>
            <w:noProof/>
            <w:lang w:eastAsia="it-IT"/>
          </w:rPr>
          <w:t>Cancellazione perenzioni esercizio 2016 per Assessorati (Valore complessivo € 383.843.578,42)</w:t>
        </w:r>
        <w:r w:rsidR="00D44A2C">
          <w:rPr>
            <w:noProof/>
            <w:webHidden/>
          </w:rPr>
          <w:tab/>
        </w:r>
        <w:r w:rsidR="00D44A2C">
          <w:rPr>
            <w:noProof/>
            <w:webHidden/>
          </w:rPr>
          <w:fldChar w:fldCharType="begin"/>
        </w:r>
        <w:r w:rsidR="00D44A2C">
          <w:rPr>
            <w:noProof/>
            <w:webHidden/>
          </w:rPr>
          <w:instrText xml:space="preserve"> PAGEREF _Toc507422722 \h </w:instrText>
        </w:r>
        <w:r w:rsidR="00D44A2C">
          <w:rPr>
            <w:noProof/>
            <w:webHidden/>
          </w:rPr>
        </w:r>
        <w:r w:rsidR="00D44A2C">
          <w:rPr>
            <w:noProof/>
            <w:webHidden/>
          </w:rPr>
          <w:fldChar w:fldCharType="separate"/>
        </w:r>
        <w:r w:rsidR="008616B3">
          <w:rPr>
            <w:noProof/>
            <w:webHidden/>
          </w:rPr>
          <w:t>81</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3" w:history="1">
        <w:r w:rsidR="00D44A2C" w:rsidRPr="00A40327">
          <w:rPr>
            <w:rStyle w:val="Collegamentoipertestuale"/>
            <w:noProof/>
          </w:rPr>
          <w:t xml:space="preserve">Grafico 20 - </w:t>
        </w:r>
        <w:r w:rsidR="00D44A2C" w:rsidRPr="00A40327">
          <w:rPr>
            <w:rStyle w:val="Collegamentoipertestuale"/>
            <w:rFonts w:eastAsia="Times New Roman" w:cs="Calibri"/>
            <w:noProof/>
            <w:lang w:eastAsia="it-IT"/>
          </w:rPr>
          <w:t>Cancellazione perenzioni esercizio 2016 per Creditori (Valore complessivo € 383.843.578,42)</w:t>
        </w:r>
        <w:r w:rsidR="00D44A2C">
          <w:rPr>
            <w:noProof/>
            <w:webHidden/>
          </w:rPr>
          <w:tab/>
        </w:r>
        <w:r w:rsidR="00D44A2C">
          <w:rPr>
            <w:noProof/>
            <w:webHidden/>
          </w:rPr>
          <w:fldChar w:fldCharType="begin"/>
        </w:r>
        <w:r w:rsidR="00D44A2C">
          <w:rPr>
            <w:noProof/>
            <w:webHidden/>
          </w:rPr>
          <w:instrText xml:space="preserve"> PAGEREF _Toc507422723 \h </w:instrText>
        </w:r>
        <w:r w:rsidR="00D44A2C">
          <w:rPr>
            <w:noProof/>
            <w:webHidden/>
          </w:rPr>
        </w:r>
        <w:r w:rsidR="00D44A2C">
          <w:rPr>
            <w:noProof/>
            <w:webHidden/>
          </w:rPr>
          <w:fldChar w:fldCharType="separate"/>
        </w:r>
        <w:r w:rsidR="008616B3">
          <w:rPr>
            <w:noProof/>
            <w:webHidden/>
          </w:rPr>
          <w:t>82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4" w:history="1">
        <w:r w:rsidR="00D44A2C" w:rsidRPr="00A40327">
          <w:rPr>
            <w:rStyle w:val="Collegamentoipertestuale"/>
            <w:noProof/>
          </w:rPr>
          <w:t>Grafico 21 - Trasferimenti correnti per categorie di beneficiario € 5.585.444.736</w:t>
        </w:r>
        <w:r w:rsidR="00D44A2C">
          <w:rPr>
            <w:noProof/>
            <w:webHidden/>
          </w:rPr>
          <w:tab/>
        </w:r>
        <w:r w:rsidR="00D44A2C">
          <w:rPr>
            <w:noProof/>
            <w:webHidden/>
          </w:rPr>
          <w:fldChar w:fldCharType="begin"/>
        </w:r>
        <w:r w:rsidR="00D44A2C">
          <w:rPr>
            <w:noProof/>
            <w:webHidden/>
          </w:rPr>
          <w:instrText xml:space="preserve"> PAGEREF _Toc507422724 \h </w:instrText>
        </w:r>
        <w:r w:rsidR="00D44A2C">
          <w:rPr>
            <w:noProof/>
            <w:webHidden/>
          </w:rPr>
        </w:r>
        <w:r w:rsidR="00D44A2C">
          <w:rPr>
            <w:noProof/>
            <w:webHidden/>
          </w:rPr>
          <w:fldChar w:fldCharType="separate"/>
        </w:r>
        <w:r w:rsidR="008616B3">
          <w:rPr>
            <w:noProof/>
            <w:webHidden/>
          </w:rPr>
          <w:t>129</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5" w:history="1">
        <w:r w:rsidR="00D44A2C" w:rsidRPr="00A40327">
          <w:rPr>
            <w:rStyle w:val="Collegamentoipertestuale"/>
            <w:noProof/>
          </w:rPr>
          <w:t>Grafico 22 – Immobilizzazioni materiali</w:t>
        </w:r>
        <w:r w:rsidR="00D44A2C">
          <w:rPr>
            <w:noProof/>
            <w:webHidden/>
          </w:rPr>
          <w:tab/>
        </w:r>
        <w:r w:rsidR="00D44A2C">
          <w:rPr>
            <w:noProof/>
            <w:webHidden/>
          </w:rPr>
          <w:fldChar w:fldCharType="begin"/>
        </w:r>
        <w:r w:rsidR="00D44A2C">
          <w:rPr>
            <w:noProof/>
            <w:webHidden/>
          </w:rPr>
          <w:instrText xml:space="preserve"> PAGEREF _Toc507422725 \h </w:instrText>
        </w:r>
        <w:r w:rsidR="00D44A2C">
          <w:rPr>
            <w:noProof/>
            <w:webHidden/>
          </w:rPr>
        </w:r>
        <w:r w:rsidR="00D44A2C">
          <w:rPr>
            <w:noProof/>
            <w:webHidden/>
          </w:rPr>
          <w:fldChar w:fldCharType="separate"/>
        </w:r>
        <w:r w:rsidR="008616B3">
          <w:rPr>
            <w:noProof/>
            <w:webHidden/>
          </w:rPr>
          <w:t>182</w:t>
        </w:r>
        <w:r w:rsidR="00D44A2C">
          <w:rPr>
            <w:noProof/>
            <w:webHidden/>
          </w:rPr>
          <w:fldChar w:fldCharType="end"/>
        </w:r>
      </w:hyperlink>
    </w:p>
    <w:p w:rsidR="00D44A2C" w:rsidRDefault="00B90472">
      <w:pPr>
        <w:pStyle w:val="Indicedellefigure"/>
        <w:tabs>
          <w:tab w:val="right" w:leader="dot" w:pos="9911"/>
        </w:tabs>
        <w:rPr>
          <w:rFonts w:asciiTheme="minorHAnsi" w:eastAsiaTheme="minorEastAsia" w:hAnsiTheme="minorHAnsi"/>
          <w:noProof/>
          <w:sz w:val="22"/>
          <w:lang w:eastAsia="it-IT"/>
        </w:rPr>
      </w:pPr>
      <w:hyperlink w:anchor="_Toc507422726" w:history="1">
        <w:r w:rsidR="00D44A2C" w:rsidRPr="00A40327">
          <w:rPr>
            <w:rStyle w:val="Collegamentoipertestuale"/>
            <w:noProof/>
          </w:rPr>
          <w:t>Grafico 23 – Totale immobilizzazioni</w:t>
        </w:r>
        <w:r w:rsidR="00D44A2C">
          <w:rPr>
            <w:noProof/>
            <w:webHidden/>
          </w:rPr>
          <w:tab/>
        </w:r>
        <w:r w:rsidR="00D44A2C">
          <w:rPr>
            <w:noProof/>
            <w:webHidden/>
          </w:rPr>
          <w:fldChar w:fldCharType="begin"/>
        </w:r>
        <w:r w:rsidR="00D44A2C">
          <w:rPr>
            <w:noProof/>
            <w:webHidden/>
          </w:rPr>
          <w:instrText xml:space="preserve"> PAGEREF _Toc507422726 \h </w:instrText>
        </w:r>
        <w:r w:rsidR="00D44A2C">
          <w:rPr>
            <w:noProof/>
            <w:webHidden/>
          </w:rPr>
        </w:r>
        <w:r w:rsidR="00D44A2C">
          <w:rPr>
            <w:noProof/>
            <w:webHidden/>
          </w:rPr>
          <w:fldChar w:fldCharType="separate"/>
        </w:r>
        <w:r w:rsidR="008616B3">
          <w:rPr>
            <w:noProof/>
            <w:webHidden/>
          </w:rPr>
          <w:t>183</w:t>
        </w:r>
        <w:r w:rsidR="00D44A2C">
          <w:rPr>
            <w:noProof/>
            <w:webHidden/>
          </w:rPr>
          <w:fldChar w:fldCharType="end"/>
        </w:r>
      </w:hyperlink>
    </w:p>
    <w:p w:rsidR="00B05358" w:rsidRDefault="005E7434" w:rsidP="0062750A">
      <w:pPr>
        <w:jc w:val="center"/>
        <w:rPr>
          <w:rFonts w:ascii="Bodoni MT" w:hAnsi="Bodoni MT"/>
          <w:sz w:val="24"/>
          <w:szCs w:val="24"/>
        </w:rPr>
      </w:pPr>
      <w:r>
        <w:rPr>
          <w:rFonts w:ascii="Bodoni MT" w:hAnsi="Bodoni MT"/>
          <w:sz w:val="24"/>
          <w:szCs w:val="24"/>
        </w:rPr>
        <w:fldChar w:fldCharType="end"/>
      </w: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rPr>
          <w:rFonts w:ascii="Bodoni MT" w:hAnsi="Bodoni MT"/>
          <w:sz w:val="24"/>
          <w:szCs w:val="24"/>
        </w:rPr>
      </w:pPr>
    </w:p>
    <w:p w:rsidR="001D352C" w:rsidRDefault="001D352C" w:rsidP="0062750A">
      <w:pPr>
        <w:jc w:val="center"/>
        <w:sectPr w:rsidR="001D352C" w:rsidSect="009118B0">
          <w:headerReference w:type="default" r:id="rId17"/>
          <w:type w:val="oddPage"/>
          <w:pgSz w:w="11906" w:h="16838"/>
          <w:pgMar w:top="1418" w:right="1134" w:bottom="1134" w:left="851" w:header="709" w:footer="709" w:gutter="0"/>
          <w:pgNumType w:start="1"/>
          <w:cols w:space="708"/>
          <w:docGrid w:linePitch="360"/>
        </w:sectPr>
      </w:pPr>
    </w:p>
    <w:p w:rsidR="00DB3BAA" w:rsidRDefault="00DB3BAA" w:rsidP="00B77F5B">
      <w:pPr>
        <w:pStyle w:val="Titolo1"/>
        <w:numPr>
          <w:ilvl w:val="0"/>
          <w:numId w:val="0"/>
        </w:numPr>
        <w:jc w:val="center"/>
      </w:pPr>
      <w:bookmarkStart w:id="1" w:name="_Toc507422604"/>
      <w:r w:rsidRPr="00C07DB6">
        <w:lastRenderedPageBreak/>
        <w:t>VALUTAZIONI CONCLUSIVE</w:t>
      </w:r>
      <w:bookmarkEnd w:id="1"/>
      <w:r>
        <w:t xml:space="preserve"> </w:t>
      </w:r>
    </w:p>
    <w:p w:rsidR="00DB3BAA" w:rsidRPr="00C07DB6" w:rsidRDefault="00DB3BAA" w:rsidP="00DB3BAA">
      <w:pPr>
        <w:pStyle w:val="CdcTesto"/>
        <w:jc w:val="center"/>
        <w:rPr>
          <w:b/>
          <w:sz w:val="36"/>
          <w:szCs w:val="36"/>
        </w:rPr>
      </w:pPr>
    </w:p>
    <w:p w:rsidR="00DB3BAA" w:rsidRDefault="00DB3BAA" w:rsidP="007D10C5">
      <w:pPr>
        <w:pStyle w:val="CdcTesto"/>
        <w:numPr>
          <w:ilvl w:val="0"/>
          <w:numId w:val="25"/>
        </w:numPr>
        <w:tabs>
          <w:tab w:val="left" w:pos="142"/>
          <w:tab w:val="left" w:pos="284"/>
        </w:tabs>
      </w:pPr>
      <w:r>
        <w:rPr>
          <w:b/>
          <w:sz w:val="28"/>
          <w:szCs w:val="28"/>
        </w:rPr>
        <w:t>I</w:t>
      </w:r>
      <w:r w:rsidRPr="00067233">
        <w:rPr>
          <w:b/>
          <w:sz w:val="28"/>
          <w:szCs w:val="28"/>
        </w:rPr>
        <w:t>l ciclo di bilancio 2016</w:t>
      </w:r>
      <w:r>
        <w:rPr>
          <w:b/>
          <w:sz w:val="28"/>
          <w:szCs w:val="28"/>
        </w:rPr>
        <w:t xml:space="preserve"> e l</w:t>
      </w:r>
      <w:r w:rsidRPr="00067233">
        <w:rPr>
          <w:b/>
          <w:sz w:val="28"/>
          <w:szCs w:val="28"/>
        </w:rPr>
        <w:t>a</w:t>
      </w:r>
      <w:r>
        <w:rPr>
          <w:b/>
          <w:sz w:val="28"/>
          <w:szCs w:val="28"/>
        </w:rPr>
        <w:t xml:space="preserve"> </w:t>
      </w:r>
      <w:r w:rsidRPr="00067233">
        <w:rPr>
          <w:b/>
          <w:sz w:val="28"/>
          <w:szCs w:val="28"/>
        </w:rPr>
        <w:t>r</w:t>
      </w:r>
      <w:r>
        <w:rPr>
          <w:b/>
          <w:sz w:val="28"/>
          <w:szCs w:val="28"/>
        </w:rPr>
        <w:t>endicontazione</w:t>
      </w:r>
      <w:r w:rsidRPr="002D2FD0">
        <w:rPr>
          <w:b/>
          <w:sz w:val="28"/>
          <w:szCs w:val="28"/>
        </w:rPr>
        <w:t xml:space="preserve">. </w:t>
      </w:r>
      <w:r>
        <w:t>Il rendiconto per l’esercizio 2016 è stato approvato dalla Giunta regionale con Delibera n. 37/20 del 1° agosto 2017</w:t>
      </w:r>
      <w:r>
        <w:rPr>
          <w:rStyle w:val="Rimandonotaapidipagina"/>
        </w:rPr>
        <w:footnoteReference w:id="1"/>
      </w:r>
      <w:r>
        <w:t xml:space="preserve"> ed è stato trasmesso alla Sezione regionale di controllo</w:t>
      </w:r>
      <w:r w:rsidRPr="002E3A1A">
        <w:t xml:space="preserve"> </w:t>
      </w:r>
      <w:r>
        <w:t>in data 10 agosto 2017 unitamente alla relazione dal Presidente della Regione,</w:t>
      </w:r>
      <w:r w:rsidRPr="002E3A1A">
        <w:t xml:space="preserve"> </w:t>
      </w:r>
      <w:r>
        <w:t>ai sensi dell’art. 1 comma 3 del D.L. 174/2012. Il rendiconto per l’esercizio 2016 è sprovvisto delle attestazioni/pareri di competenza dell’Organo di revisione, il cui iter di costituzione è ancora in corso.</w:t>
      </w:r>
    </w:p>
    <w:p w:rsidR="00DB3BAA" w:rsidRDefault="00DB3BAA" w:rsidP="00DB3BAA">
      <w:pPr>
        <w:pStyle w:val="CdcTesto"/>
      </w:pPr>
      <w:r w:rsidRPr="00491325">
        <w:rPr>
          <w:b/>
        </w:rPr>
        <w:t>La relazione del Presidente</w:t>
      </w:r>
      <w:r>
        <w:t xml:space="preserve"> sottolinea che l’esercizio 2016 è il primo a rappresentare i fatti gestionali </w:t>
      </w:r>
      <w:r w:rsidRPr="00A83B4A">
        <w:t>anche dal punto di vista economico-patrimoniale, e ciò ha comportato un particolare impegno</w:t>
      </w:r>
      <w:r>
        <w:t xml:space="preserve"> per l’adeguamento del sistema informativo contabile regionale (SIBAR) e per l’introduzione di nuove procedure organizzativo-contabili che hanno interessato gli Assessorati. A tale proposito riferisce, inoltre, che si è dovuto procedere: </w:t>
      </w:r>
      <w:r w:rsidRPr="003F72DF">
        <w:rPr>
          <w:b/>
        </w:rPr>
        <w:t>a)</w:t>
      </w:r>
      <w:r>
        <w:t xml:space="preserve"> all’inventariazione straordinaria dell’intero patrimonio mobiliare e immobiliare della Regione da parte della Direzione Generale degli Enti Locali e Finanze; </w:t>
      </w:r>
      <w:r w:rsidRPr="003F72DF">
        <w:rPr>
          <w:b/>
        </w:rPr>
        <w:t>b)</w:t>
      </w:r>
      <w:r>
        <w:t xml:space="preserve"> al conseguente trattamento dei dati analitici dei beni all’interno del SIBAR; </w:t>
      </w:r>
      <w:r w:rsidRPr="003F72DF">
        <w:rPr>
          <w:b/>
        </w:rPr>
        <w:t>c)</w:t>
      </w:r>
      <w:r>
        <w:t xml:space="preserve"> all’inventariazione delle partecipazioni possedute dalla Regione, da parte della Direzione Generale della Presidenza; </w:t>
      </w:r>
      <w:r w:rsidRPr="003F72DF">
        <w:rPr>
          <w:b/>
        </w:rPr>
        <w:t>d)</w:t>
      </w:r>
      <w:r>
        <w:t xml:space="preserve"> alla determinazione di crediti e debiti anche se non presenti nella contabilità finanziaria.</w:t>
      </w:r>
    </w:p>
    <w:p w:rsidR="00DB3BAA" w:rsidRDefault="00DB3BAA" w:rsidP="00DB3BAA">
      <w:pPr>
        <w:pStyle w:val="CdcTesto"/>
      </w:pPr>
      <w:r>
        <w:rPr>
          <w:rFonts w:eastAsia="Times New Roman"/>
        </w:rPr>
        <w:t>Il rendiconto regionale 2016 è corredato dai previsti allegati (ai sensi del D.Lgs. 118/2011) e dalle attestazioni contenute nei prescritti modelli ministeriali. N</w:t>
      </w:r>
      <w:r>
        <w:t xml:space="preserve">ella </w:t>
      </w:r>
      <w:r w:rsidRPr="003F72DF">
        <w:rPr>
          <w:b/>
        </w:rPr>
        <w:t>Relazione sulla gestione</w:t>
      </w:r>
      <w:r>
        <w:t xml:space="preserve"> (Allegato 19 al Rendiconto 2016) la Regione ha dichiarato di aver conformato la propria gestione ai principi contabili generali e applicati del D.Lgs. 118/2011.</w:t>
      </w:r>
    </w:p>
    <w:p w:rsidR="00DB3BAA" w:rsidRDefault="00DB3BAA" w:rsidP="00DB3BAA">
      <w:pPr>
        <w:pStyle w:val="CdcTesto"/>
      </w:pPr>
      <w:r>
        <w:t>La presente verifica della Corte dei conti prende avvio dal riscontro del grado di adeguamento da parte della Regione Sardegna ai nuovi principi introdotti dall’</w:t>
      </w:r>
      <w:r w:rsidRPr="00491325">
        <w:rPr>
          <w:b/>
        </w:rPr>
        <w:t>armonizzazione dei sistemi contabili</w:t>
      </w:r>
      <w:r>
        <w:rPr>
          <w:b/>
        </w:rPr>
        <w:t>,</w:t>
      </w:r>
      <w:r>
        <w:t xml:space="preserve"> incentrata sul canone della competenza finanziaria potenziata, secondo cui le obbligazioni attive e passive giuridicamente perfezionate sono registrate nelle scritture contabili </w:t>
      </w:r>
      <w:r>
        <w:lastRenderedPageBreak/>
        <w:t>al momento in cui l’obbligazione sorge, ma con imputazione all’esercizio nel quale esse vengono a scadenza. La corretta applicazione di tale principio consente</w:t>
      </w:r>
      <w:r>
        <w:rPr>
          <w:rStyle w:val="Rimandonotaapidipagina"/>
        </w:rPr>
        <w:footnoteReference w:id="2"/>
      </w:r>
      <w:r>
        <w:t xml:space="preserve"> di:</w:t>
      </w:r>
    </w:p>
    <w:p w:rsidR="00DB3BAA" w:rsidRDefault="00DB3BAA" w:rsidP="007D10C5">
      <w:pPr>
        <w:pStyle w:val="CdcTesto"/>
        <w:numPr>
          <w:ilvl w:val="0"/>
          <w:numId w:val="23"/>
        </w:numPr>
        <w:tabs>
          <w:tab w:val="left" w:pos="284"/>
        </w:tabs>
      </w:pPr>
      <w:r>
        <w:t>conoscere i debiti effettivi delle amministrazioni pubbliche;</w:t>
      </w:r>
    </w:p>
    <w:p w:rsidR="00DB3BAA" w:rsidRDefault="00DB3BAA" w:rsidP="007D10C5">
      <w:pPr>
        <w:pStyle w:val="CdcTesto"/>
        <w:numPr>
          <w:ilvl w:val="0"/>
          <w:numId w:val="23"/>
        </w:numPr>
        <w:tabs>
          <w:tab w:val="left" w:pos="284"/>
        </w:tabs>
      </w:pPr>
      <w:r>
        <w:t>evitare l’accertamento di entrate future e di impegni inesistenti;</w:t>
      </w:r>
    </w:p>
    <w:p w:rsidR="00DB3BAA" w:rsidRDefault="00DB3BAA" w:rsidP="007D10C5">
      <w:pPr>
        <w:pStyle w:val="CdcTesto"/>
        <w:numPr>
          <w:ilvl w:val="0"/>
          <w:numId w:val="23"/>
        </w:numPr>
        <w:tabs>
          <w:tab w:val="left" w:pos="284"/>
        </w:tabs>
      </w:pPr>
      <w:r>
        <w:t>rafforzare la programmazione di bilancio;</w:t>
      </w:r>
    </w:p>
    <w:p w:rsidR="00DB3BAA" w:rsidRDefault="00DB3BAA" w:rsidP="007D10C5">
      <w:pPr>
        <w:pStyle w:val="CdcTesto"/>
        <w:numPr>
          <w:ilvl w:val="0"/>
          <w:numId w:val="23"/>
        </w:numPr>
        <w:tabs>
          <w:tab w:val="left" w:pos="284"/>
        </w:tabs>
      </w:pPr>
      <w:r>
        <w:t>favorire la modulazione dei debiti secondo gli effettivi fabbisogni;</w:t>
      </w:r>
    </w:p>
    <w:p w:rsidR="00DB3BAA" w:rsidRDefault="00DB3BAA" w:rsidP="007D10C5">
      <w:pPr>
        <w:pStyle w:val="CdcTesto"/>
        <w:numPr>
          <w:ilvl w:val="0"/>
          <w:numId w:val="23"/>
        </w:numPr>
        <w:tabs>
          <w:tab w:val="left" w:pos="284"/>
        </w:tabs>
      </w:pPr>
      <w:r>
        <w:t>avvicinare la competenza finanziaria a quella economica.</w:t>
      </w:r>
    </w:p>
    <w:p w:rsidR="00DB3BAA" w:rsidRDefault="00DB3BAA" w:rsidP="00DB3BAA">
      <w:pPr>
        <w:pStyle w:val="CdcTesto"/>
        <w:tabs>
          <w:tab w:val="left" w:pos="284"/>
        </w:tabs>
      </w:pPr>
      <w:r>
        <w:t>In conseguenza il nuovo impianto delle scritture contabili è conformato in modo da agevolare l’esposizione di ambiti gestionali (e contabili) cui finora non era assicurata evidenza (o conoscibilità) finanziaria: si pensi, ad esempio ai crediti non rilevati in contabilità finanziaria, ai debiti risultanti dalla perenzione dei residui o alla effettiva condizione patrimoniale della Regione.</w:t>
      </w:r>
    </w:p>
    <w:p w:rsidR="00DB3BAA" w:rsidRDefault="00DB3BAA" w:rsidP="00DB3BAA">
      <w:pPr>
        <w:pStyle w:val="CdcTesto"/>
        <w:tabs>
          <w:tab w:val="left" w:pos="284"/>
        </w:tabs>
      </w:pPr>
      <w:r>
        <w:t>Nel corso della verifica s</w:t>
      </w:r>
      <w:r w:rsidRPr="00CF238F">
        <w:t>i è riscontrato che la Regione ha incontrato difficoltà non adeguatamente stimate in ordine alla complessità del quadro di iniziative organizzative e procedurali cui sarebbe stato necessario</w:t>
      </w:r>
      <w:r w:rsidRPr="006214D4">
        <w:rPr>
          <w:rFonts w:eastAsia="Times New Roman"/>
        </w:rPr>
        <w:t xml:space="preserve"> dar corso a seguito dell’introduzione dell</w:t>
      </w:r>
      <w:r>
        <w:rPr>
          <w:rFonts w:eastAsia="Times New Roman"/>
        </w:rPr>
        <w:t xml:space="preserve">a </w:t>
      </w:r>
      <w:r w:rsidRPr="0006283B">
        <w:rPr>
          <w:rFonts w:eastAsia="Times New Roman"/>
        </w:rPr>
        <w:t xml:space="preserve">contabilità armonizzata. Ciò ha comportato la dilazione del fisiologico </w:t>
      </w:r>
      <w:r w:rsidRPr="0006283B">
        <w:t>periodo transitorio iniziale e ha determinato una instabilità</w:t>
      </w:r>
      <w:r w:rsidRPr="00CF238F">
        <w:t xml:space="preserve"> complessiva </w:t>
      </w:r>
      <w:r>
        <w:t>del</w:t>
      </w:r>
      <w:r w:rsidRPr="00CF238F">
        <w:t>la gestione.</w:t>
      </w:r>
    </w:p>
    <w:p w:rsidR="00DB3BAA" w:rsidRPr="00651FFF" w:rsidRDefault="00DB3BAA" w:rsidP="00DB3BAA">
      <w:pPr>
        <w:pStyle w:val="CdcTesto"/>
        <w:rPr>
          <w:rFonts w:eastAsia="Times New Roman"/>
        </w:rPr>
      </w:pPr>
      <w:r w:rsidRPr="00651FFF">
        <w:rPr>
          <w:rFonts w:eastAsia="Times New Roman"/>
        </w:rPr>
        <w:t xml:space="preserve">La tempistica che ha caratterizzato lo svolgimento del bilancio 2016 non solo ha determinato consistenti ritardi, ma ha comportato il rischio di sovrapposizioni gestionali con la tenuta dei conti di pertinenza del bilancio 2017. A tal proposito si tenga conto del fatto che l’ultima manovra di assestamento delle previsioni del 2016 è intervenuta solo nel giugno del 2017 (attraverso la modifica delle leggi regionali n. 32 e 36 del 2016 e n. 3 e 6 del 2017, tutte </w:t>
      </w:r>
      <w:r>
        <w:rPr>
          <w:rFonts w:eastAsia="Times New Roman"/>
        </w:rPr>
        <w:t>riguard</w:t>
      </w:r>
      <w:r w:rsidRPr="00651FFF">
        <w:rPr>
          <w:rFonts w:eastAsia="Times New Roman"/>
        </w:rPr>
        <w:t>anti l’esercizio 2016). Di qui, in conseguenza, il ritardo nell’approvazione del rendiconto 2016 da parte della Giunta regionale.</w:t>
      </w:r>
    </w:p>
    <w:p w:rsidR="00DB3BAA" w:rsidRDefault="00DB3BAA" w:rsidP="00DB3BAA">
      <w:pPr>
        <w:pStyle w:val="CdcTesto"/>
        <w:spacing w:after="240"/>
        <w:rPr>
          <w:rFonts w:eastAsia="Times New Roman"/>
        </w:rPr>
      </w:pPr>
      <w:r w:rsidRPr="00651FFF">
        <w:rPr>
          <w:rFonts w:eastAsia="Times New Roman"/>
        </w:rPr>
        <w:t>La Sezione ribadisce</w:t>
      </w:r>
      <w:r>
        <w:rPr>
          <w:rFonts w:eastAsia="Times New Roman"/>
        </w:rPr>
        <w:t xml:space="preserve"> </w:t>
      </w:r>
      <w:r w:rsidRPr="0006283B">
        <w:rPr>
          <w:rFonts w:eastAsia="Times New Roman"/>
        </w:rPr>
        <w:t>che il puntuale rispetto dei termini per l’approvazione dei documenti contabili costituisce un presupposto imprescindibile per la corretta attuazione della programmazione politico-ammini</w:t>
      </w:r>
      <w:r>
        <w:rPr>
          <w:rFonts w:eastAsia="Times New Roman"/>
        </w:rPr>
        <w:t xml:space="preserve">strativa, nonché per </w:t>
      </w:r>
      <w:r w:rsidRPr="000114E6">
        <w:rPr>
          <w:rFonts w:eastAsia="Times New Roman"/>
        </w:rPr>
        <w:t xml:space="preserve">rendere effettiva l’attuazione della riforma contabile. </w:t>
      </w:r>
    </w:p>
    <w:p w:rsidR="007C0396" w:rsidRPr="000114E6" w:rsidRDefault="007C0396" w:rsidP="00DB3BAA">
      <w:pPr>
        <w:pStyle w:val="CdcTesto"/>
        <w:spacing w:after="240"/>
        <w:rPr>
          <w:rFonts w:eastAsia="Times New Roman"/>
        </w:rPr>
      </w:pPr>
      <w:r>
        <w:rPr>
          <w:rFonts w:eastAsia="Times New Roman"/>
        </w:rPr>
        <w:lastRenderedPageBreak/>
        <w:t xml:space="preserve">In caso di mancato rispetto dei termini previsti per l’approvazione dei bilanci di previsione, dei rendiconti e del bilancio consolidato </w:t>
      </w:r>
      <w:r w:rsidRPr="009B0925">
        <w:rPr>
          <w:rFonts w:eastAsia="Times New Roman"/>
        </w:rPr>
        <w:t>si richiama</w:t>
      </w:r>
      <w:r w:rsidRPr="00651FFF">
        <w:rPr>
          <w:rFonts w:eastAsia="Times New Roman"/>
        </w:rPr>
        <w:t xml:space="preserve"> il divieto di procedere ad assunzioni di personale a qualsiasi titolo, con qualsivoglia tipologia contrattuale, ivi compresi i rapporti di collaborazione continuata e continuativa e di somministrazione, anche con riferimento ai processi di stabilizzazione in atto, fino a quando non abbiano adempiuto (v. art. 9 d</w:t>
      </w:r>
      <w:r>
        <w:rPr>
          <w:rFonts w:eastAsia="Times New Roman"/>
        </w:rPr>
        <w:t xml:space="preserve">el D.L. 24 giugno 2016 n. 113, </w:t>
      </w:r>
      <w:r w:rsidRPr="00651FFF">
        <w:rPr>
          <w:rFonts w:eastAsia="Times New Roman"/>
        </w:rPr>
        <w:t>converti</w:t>
      </w:r>
      <w:r>
        <w:rPr>
          <w:rFonts w:eastAsia="Times New Roman"/>
        </w:rPr>
        <w:t xml:space="preserve">to dalla legge 7 agosto 2016 n. </w:t>
      </w:r>
      <w:r w:rsidRPr="00651FFF">
        <w:rPr>
          <w:rFonts w:eastAsia="Times New Roman"/>
        </w:rPr>
        <w:t>160).</w:t>
      </w:r>
    </w:p>
    <w:p w:rsidR="00DB3BAA" w:rsidRPr="000114E6" w:rsidRDefault="00DB3BAA" w:rsidP="007D10C5">
      <w:pPr>
        <w:pStyle w:val="CdcTesto"/>
        <w:numPr>
          <w:ilvl w:val="0"/>
          <w:numId w:val="25"/>
        </w:numPr>
        <w:tabs>
          <w:tab w:val="left" w:pos="284"/>
        </w:tabs>
        <w:rPr>
          <w:color w:val="auto"/>
        </w:rPr>
      </w:pPr>
      <w:r w:rsidRPr="000114E6">
        <w:rPr>
          <w:rFonts w:eastAsia="Times New Roman"/>
          <w:b/>
          <w:color w:val="auto"/>
          <w:sz w:val="28"/>
          <w:szCs w:val="28"/>
        </w:rPr>
        <w:t>Considerazioni generali.</w:t>
      </w:r>
      <w:r w:rsidRPr="000114E6">
        <w:rPr>
          <w:rFonts w:eastAsia="Times New Roman"/>
          <w:color w:val="auto"/>
        </w:rPr>
        <w:t xml:space="preserve"> Le scritture del rendiconto 2016, seppure formalmente redatte in conformità alle prescrizioni della contabilità armonizzata, non agevolano univoci percorsi di analisi, né conducono ad univoche valutazioni (anche in quanto sprovviste dei pareri dell’Organo di revisione interno), ovvero non restituiscono una immagine unitaria e nitida dello stato della finanza regionale. </w:t>
      </w:r>
      <w:r w:rsidRPr="000114E6">
        <w:rPr>
          <w:rFonts w:eastAsia="Times New Roman"/>
        </w:rPr>
        <w:t>Tale scenario impone lo sviluppo di metodologie di controllo in quanto il dato strettamente contabile (assemblato in complessi quadri generali) dimostra una limitata capacità informativa sugli aspetti gestionali, e si rileva ancora non adeguato per una lettura del bilancio per politiche pubbliche, al fine di valutare l’azione dell’ente in termini di perseguimento degli obiettivi di programmazione. Inoltre</w:t>
      </w:r>
      <w:r>
        <w:rPr>
          <w:rFonts w:eastAsia="Times New Roman"/>
        </w:rPr>
        <w:t xml:space="preserve"> non vengono forniti gli elementi per assolvere l’</w:t>
      </w:r>
      <w:r w:rsidRPr="00AB1CB6">
        <w:rPr>
          <w:rFonts w:eastAsia="Times New Roman"/>
        </w:rPr>
        <w:t>esigenza di risalire al retrostante impianto organizzativo-funzionale.</w:t>
      </w:r>
      <w:r>
        <w:rPr>
          <w:rFonts w:eastAsia="Times New Roman"/>
        </w:rPr>
        <w:t xml:space="preserve"> </w:t>
      </w:r>
      <w:r w:rsidRPr="000114E6">
        <w:rPr>
          <w:color w:val="auto"/>
        </w:rPr>
        <w:t>Il che implica il potenziamento delle metodologie di analisi, degli strumenti conoscitivi e delle strutture impegnate nell’assolvimento della funzione, ponendo a confronto i risultati conseguiti con gli obiettivi programmatici originariamente fissati</w:t>
      </w:r>
      <w:r w:rsidRPr="000114E6">
        <w:rPr>
          <w:rStyle w:val="Rimandonotaapidipagina"/>
          <w:color w:val="auto"/>
        </w:rPr>
        <w:footnoteReference w:id="3"/>
      </w:r>
      <w:r w:rsidRPr="000114E6">
        <w:rPr>
          <w:color w:val="auto"/>
        </w:rPr>
        <w:t>.</w:t>
      </w:r>
    </w:p>
    <w:p w:rsidR="00DB3BAA" w:rsidRDefault="00DB3BAA" w:rsidP="00DB3BAA">
      <w:pPr>
        <w:pStyle w:val="CdcTesto"/>
        <w:tabs>
          <w:tab w:val="left" w:pos="284"/>
        </w:tabs>
        <w:rPr>
          <w:rFonts w:eastAsia="Times New Roman"/>
        </w:rPr>
      </w:pPr>
      <w:r>
        <w:rPr>
          <w:rFonts w:eastAsia="Times New Roman"/>
        </w:rPr>
        <w:t>A tal proposito giova precisare che il sistema armonizzato è fondato sulla piena integrazione tra i diversi apparati organizzativo-burocratici (non solo quelli finanziari), e sulla organica rilevazione di tutte le loro “</w:t>
      </w:r>
      <w:r w:rsidRPr="00D5043B">
        <w:rPr>
          <w:rFonts w:eastAsia="Times New Roman"/>
          <w:b/>
        </w:rPr>
        <w:t>transazioni</w:t>
      </w:r>
      <w:r>
        <w:rPr>
          <w:rFonts w:eastAsia="Times New Roman"/>
        </w:rPr>
        <w:t>” da effettuarsi a mezzo dei diversi piani dei conti (finanziario, analitico e patrimoniale), avvalendosi di un efficiente sistema di informatizzazione. Ma, soprattutto, nel sistema così delineato riveste primaria importanza la rinnovata responsabilizzazione in capo a ciascun Centro di responsabilità (CdR), tenuto a produrre le scritture contabili di base, previo analitico esame delle situazioni giuridiche attive e passive che le sostengono. I Servizi finanziari diventano così finali collettori di dati e informazioni contabili già perfezionate, da ricomporre in quadri unitari di bilancio.</w:t>
      </w:r>
    </w:p>
    <w:p w:rsidR="00DB3BAA" w:rsidRDefault="00DB3BAA" w:rsidP="00DB3BAA">
      <w:pPr>
        <w:pStyle w:val="CdcTesto"/>
        <w:tabs>
          <w:tab w:val="left" w:pos="284"/>
        </w:tabs>
        <w:rPr>
          <w:rFonts w:eastAsia="Times New Roman"/>
        </w:rPr>
      </w:pPr>
      <w:r>
        <w:rPr>
          <w:rFonts w:eastAsia="Times New Roman"/>
        </w:rPr>
        <w:t xml:space="preserve">Infatti, i quadri contabili generali (schemi e allegati di bilancio e di rendiconto), pur correttamente assemblati, espongono meramente l’ordine delle principali grandezze finanziarie e </w:t>
      </w:r>
      <w:r>
        <w:rPr>
          <w:rFonts w:eastAsia="Times New Roman"/>
        </w:rPr>
        <w:lastRenderedPageBreak/>
        <w:t xml:space="preserve">i loro appostamenti nell’ambito dei richiamati modelli standardizzati, </w:t>
      </w:r>
      <w:r w:rsidRPr="000114E6">
        <w:rPr>
          <w:rFonts w:eastAsia="Times New Roman"/>
        </w:rPr>
        <w:t>mentre permane la necessità di svolgere ulteriori analisi per verificare il concreto perseguimento delle finalità della riforma dell’armonizzazione, attraverso complesse operazioni di disaggregazione.</w:t>
      </w:r>
    </w:p>
    <w:p w:rsidR="00DB3BAA" w:rsidRDefault="00DB3BAA" w:rsidP="00DB3BAA">
      <w:pPr>
        <w:pStyle w:val="CdcTesto"/>
        <w:tabs>
          <w:tab w:val="left" w:pos="284"/>
        </w:tabs>
        <w:rPr>
          <w:rFonts w:eastAsia="Times New Roman"/>
        </w:rPr>
      </w:pPr>
      <w:r>
        <w:rPr>
          <w:rFonts w:eastAsia="Times New Roman"/>
        </w:rPr>
        <w:t xml:space="preserve">A tal fine, al contrario, appare essenziale per il controllo aver contezza,  per esempio, del quadro giuridico che ha presieduto alle distinte </w:t>
      </w:r>
      <w:r w:rsidRPr="004138E3">
        <w:rPr>
          <w:rFonts w:eastAsia="Times New Roman"/>
          <w:b/>
        </w:rPr>
        <w:t>decisioni dei CdR</w:t>
      </w:r>
      <w:r>
        <w:rPr>
          <w:rFonts w:eastAsia="Times New Roman"/>
        </w:rPr>
        <w:t xml:space="preserve"> esemplificativamente: </w:t>
      </w:r>
      <w:r w:rsidRPr="00476DB9">
        <w:rPr>
          <w:rFonts w:eastAsia="Times New Roman"/>
          <w:b/>
        </w:rPr>
        <w:t>a)</w:t>
      </w:r>
      <w:r>
        <w:rPr>
          <w:rFonts w:eastAsia="Times New Roman"/>
        </w:rPr>
        <w:t xml:space="preserve"> in ciascuna operazione di riaccertamento straordinario e ordinario delle partite a residuo (perlomeno di quelle di maggi</w:t>
      </w:r>
      <w:r w:rsidR="00DD11EE">
        <w:rPr>
          <w:rFonts w:eastAsia="Times New Roman"/>
        </w:rPr>
        <w:t xml:space="preserve">ore consistenza finanziaria), </w:t>
      </w:r>
      <w:r w:rsidRPr="00476DB9">
        <w:rPr>
          <w:rFonts w:eastAsia="Times New Roman"/>
          <w:b/>
        </w:rPr>
        <w:t>b)</w:t>
      </w:r>
      <w:r>
        <w:rPr>
          <w:rFonts w:eastAsia="Times New Roman"/>
        </w:rPr>
        <w:t xml:space="preserve"> nelle attività giuridico-amministrative di carattere straordinario messe in campo per la ricognizione delle partite creditorie e debitorie precedentemente non contabilizzate (che si sono dimostrate di ingente consistenza complessiva), ovvero, ancora esemplificando</w:t>
      </w:r>
      <w:r w:rsidRPr="000F7AC1">
        <w:rPr>
          <w:rFonts w:eastAsia="Times New Roman"/>
          <w:b/>
        </w:rPr>
        <w:t>, c)</w:t>
      </w:r>
      <w:r>
        <w:rPr>
          <w:rFonts w:eastAsia="Times New Roman"/>
        </w:rPr>
        <w:t xml:space="preserve"> nelle decisioni che presiedono alla conservazione o alla dichiarazione di insussistenza o prescrizione  dei debiti/residui perenti (di grandissima significatività finanziaria complessiva nel 2016), </w:t>
      </w:r>
      <w:r w:rsidRPr="00476DB9">
        <w:rPr>
          <w:rFonts w:eastAsia="Times New Roman"/>
          <w:b/>
        </w:rPr>
        <w:t>d)</w:t>
      </w:r>
      <w:r>
        <w:rPr>
          <w:rFonts w:eastAsia="Times New Roman"/>
        </w:rPr>
        <w:t xml:space="preserve"> nelle attività ricognitive assunte per il riordino/valorizzazione contabile dei diversi cespiti patrimoniali. Tutto ciò in quanto, oltretutto, non può trascurarsi il fatto che l’alimentazione dei sistemi informatizzati è esclusivamente intestata, appunto, ai diversi Uffici assessoriali competenti per materia. Va conseguentemente precisato che le note difficoltà riscontrate in ambiente regionale, richiamate anche </w:t>
      </w:r>
      <w:r w:rsidRPr="000114E6">
        <w:rPr>
          <w:rFonts w:eastAsia="Times New Roman"/>
        </w:rPr>
        <w:t>nella relazione al rendiconto</w:t>
      </w:r>
      <w:r w:rsidRPr="00802206">
        <w:rPr>
          <w:rFonts w:eastAsia="Times New Roman"/>
        </w:rPr>
        <w:t xml:space="preserve"> </w:t>
      </w:r>
      <w:r>
        <w:rPr>
          <w:rFonts w:eastAsia="Times New Roman"/>
        </w:rPr>
        <w:t xml:space="preserve">del Presidente della Regione, hanno negativamente condizionato i controlli della Sezione.   </w:t>
      </w:r>
    </w:p>
    <w:p w:rsidR="00DB3BAA" w:rsidRDefault="00DB3BAA" w:rsidP="00DB3BAA">
      <w:pPr>
        <w:pStyle w:val="CdcTesto"/>
        <w:tabs>
          <w:tab w:val="left" w:pos="284"/>
        </w:tabs>
        <w:rPr>
          <w:rFonts w:eastAsia="Times New Roman"/>
        </w:rPr>
      </w:pPr>
      <w:r>
        <w:rPr>
          <w:rFonts w:eastAsia="Times New Roman"/>
        </w:rPr>
        <w:t xml:space="preserve">Ciò premesso, la Sezione ha riscontrato che le scritture a rendiconto 2016 espongono grandezze aggregate di dati/notizie, proponendole sotto diverse configurazioni nell’ambito dei numerosi allegati, nei quali non è evidenziata l’analisi sul funzionamento gestionale delle strutture dalle quali i dati provengono. Restano, in conseguenza, prive di esaurienti chiarimenti alcune criticità che la relazione mette nel proseguo in evidenza. </w:t>
      </w:r>
    </w:p>
    <w:p w:rsidR="00DB3BAA" w:rsidRPr="00430E34" w:rsidRDefault="00DB3BAA" w:rsidP="00DB3BAA">
      <w:pPr>
        <w:pStyle w:val="CdcTesto"/>
        <w:tabs>
          <w:tab w:val="left" w:pos="284"/>
        </w:tabs>
        <w:rPr>
          <w:rFonts w:eastAsia="Times New Roman"/>
        </w:rPr>
      </w:pPr>
      <w:r>
        <w:rPr>
          <w:rFonts w:eastAsia="Times New Roman"/>
        </w:rPr>
        <w:t xml:space="preserve">Nelle attestazioni a corredo, contenute nei prescritti modelli ministeriali, si dichiara che il rendiconto è redatto nel rispetto dei canoni costituzionali e statali in materia di equilibrio e pareggio. Come più analiticamente illustrato nel proseguo della presente relazione, va considerato che l’equilibrio e il pareggio a rendiconto 2016 vengono conseguiti per effetto del ricorso all’indebitamento, che ha raggiunto un valore complessivo di debito al 31.12.2016 pari a </w:t>
      </w:r>
      <w:r w:rsidRPr="00AB1CB6">
        <w:rPr>
          <w:rFonts w:eastAsia="Times New Roman"/>
        </w:rPr>
        <w:t>1,324</w:t>
      </w:r>
      <w:r>
        <w:rPr>
          <w:rFonts w:eastAsia="Times New Roman"/>
        </w:rPr>
        <w:t xml:space="preserve"> miliardi di euro, seppur contratto nel rispetto del vigente quadro normativo</w:t>
      </w:r>
      <w:r>
        <w:rPr>
          <w:rStyle w:val="Rimandonotaapidipagina"/>
          <w:rFonts w:eastAsia="Times New Roman"/>
        </w:rPr>
        <w:footnoteReference w:id="4"/>
      </w:r>
      <w:r>
        <w:rPr>
          <w:rFonts w:eastAsia="Times New Roman"/>
        </w:rPr>
        <w:t xml:space="preserve">. </w:t>
      </w:r>
    </w:p>
    <w:p w:rsidR="00DB3BAA" w:rsidRDefault="00DB3BAA" w:rsidP="00DB3BAA">
      <w:pPr>
        <w:pStyle w:val="CdcTesto"/>
        <w:tabs>
          <w:tab w:val="left" w:pos="284"/>
        </w:tabs>
        <w:rPr>
          <w:rFonts w:eastAsia="Times New Roman"/>
        </w:rPr>
      </w:pPr>
      <w:r w:rsidRPr="00430E34">
        <w:rPr>
          <w:rFonts w:eastAsia="Times New Roman"/>
        </w:rPr>
        <w:lastRenderedPageBreak/>
        <w:t xml:space="preserve">La manovra di bilancio 2016, in sede di previsioni definitive, </w:t>
      </w:r>
      <w:r w:rsidRPr="000114E6">
        <w:rPr>
          <w:rFonts w:eastAsia="Times New Roman"/>
        </w:rPr>
        <w:t>mette in campo</w:t>
      </w:r>
      <w:r w:rsidRPr="00430E34">
        <w:rPr>
          <w:rFonts w:eastAsia="Times New Roman"/>
        </w:rPr>
        <w:t xml:space="preserve"> </w:t>
      </w:r>
      <w:r w:rsidRPr="00802206">
        <w:rPr>
          <w:rFonts w:eastAsia="Times New Roman"/>
        </w:rPr>
        <w:t>risorse</w:t>
      </w:r>
      <w:r w:rsidRPr="00430E34">
        <w:rPr>
          <w:rFonts w:eastAsia="Times New Roman"/>
        </w:rPr>
        <w:t xml:space="preserve"> pari a </w:t>
      </w:r>
      <w:r>
        <w:rPr>
          <w:rFonts w:eastAsia="Times New Roman"/>
        </w:rPr>
        <w:t>10,689</w:t>
      </w:r>
      <w:r w:rsidRPr="00AB1CB6">
        <w:rPr>
          <w:rFonts w:eastAsia="Times New Roman"/>
        </w:rPr>
        <w:t xml:space="preserve"> miliardi di euro, essendo partita da previsioni assai più contenute (</w:t>
      </w:r>
      <w:r>
        <w:rPr>
          <w:rFonts w:eastAsia="Times New Roman"/>
        </w:rPr>
        <w:t>8,</w:t>
      </w:r>
      <w:r w:rsidRPr="00AB1CB6">
        <w:rPr>
          <w:rFonts w:eastAsia="Times New Roman"/>
        </w:rPr>
        <w:t xml:space="preserve">852 </w:t>
      </w:r>
      <w:r>
        <w:rPr>
          <w:rFonts w:eastAsia="Times New Roman"/>
        </w:rPr>
        <w:t>miliardi</w:t>
      </w:r>
      <w:r w:rsidRPr="00AB1CB6">
        <w:rPr>
          <w:rFonts w:eastAsia="Times New Roman"/>
        </w:rPr>
        <w:t xml:space="preserve"> di</w:t>
      </w:r>
      <w:r>
        <w:rPr>
          <w:rFonts w:eastAsia="Times New Roman"/>
        </w:rPr>
        <w:t xml:space="preserve"> euro nelle previsioni iniziali nel bilancio)</w:t>
      </w:r>
      <w:r w:rsidRPr="00430E34">
        <w:rPr>
          <w:rFonts w:eastAsia="Times New Roman"/>
        </w:rPr>
        <w:t xml:space="preserve"> e </w:t>
      </w:r>
      <w:r>
        <w:rPr>
          <w:rFonts w:eastAsia="Times New Roman"/>
        </w:rPr>
        <w:t xml:space="preserve">avendo </w:t>
      </w:r>
      <w:r w:rsidRPr="00430E34">
        <w:rPr>
          <w:rFonts w:eastAsia="Times New Roman"/>
        </w:rPr>
        <w:t>adotta</w:t>
      </w:r>
      <w:r>
        <w:rPr>
          <w:rFonts w:eastAsia="Times New Roman"/>
        </w:rPr>
        <w:t>t</w:t>
      </w:r>
      <w:r w:rsidRPr="00430E34">
        <w:rPr>
          <w:rFonts w:eastAsia="Times New Roman"/>
        </w:rPr>
        <w:t xml:space="preserve">o </w:t>
      </w:r>
      <w:r>
        <w:rPr>
          <w:rFonts w:eastAsia="Times New Roman"/>
        </w:rPr>
        <w:t xml:space="preserve">ripetute </w:t>
      </w:r>
      <w:r w:rsidRPr="00430E34">
        <w:rPr>
          <w:rFonts w:eastAsia="Times New Roman"/>
        </w:rPr>
        <w:t>variazioni</w:t>
      </w:r>
      <w:r>
        <w:rPr>
          <w:rFonts w:eastAsia="Times New Roman"/>
        </w:rPr>
        <w:t xml:space="preserve"> alle poste del bilancio</w:t>
      </w:r>
      <w:r w:rsidRPr="00430E34">
        <w:rPr>
          <w:rFonts w:eastAsia="Times New Roman"/>
        </w:rPr>
        <w:t xml:space="preserve"> fino a metà dicembre dell’esercizio</w:t>
      </w:r>
      <w:r>
        <w:rPr>
          <w:rFonts w:eastAsia="Times New Roman"/>
        </w:rPr>
        <w:t>, dando così luogo ad evidenti discontinuità tra la programmazione e la gestione.</w:t>
      </w:r>
    </w:p>
    <w:p w:rsidR="00DB3BAA" w:rsidRDefault="00DB3BAA" w:rsidP="00DB3BAA">
      <w:pPr>
        <w:pStyle w:val="CdcTesto"/>
        <w:tabs>
          <w:tab w:val="left" w:pos="284"/>
        </w:tabs>
        <w:rPr>
          <w:rFonts w:eastAsia="Times New Roman"/>
        </w:rPr>
      </w:pPr>
      <w:r>
        <w:rPr>
          <w:rFonts w:eastAsia="Times New Roman"/>
        </w:rPr>
        <w:t>Nell’analisi della manovra e della sua gestione non può prescindersi dagli effetti che conseguono dalla ritardata chiusura dell’esercizio precedente. Di qui l’importanza di allineare le normative approvative dei bilanci (a preventivo e a consuntivo) all’effettivo esercizio di riferimento.</w:t>
      </w:r>
    </w:p>
    <w:p w:rsidR="00DB3BAA" w:rsidRDefault="00DB3BAA" w:rsidP="00DB3BAA">
      <w:pPr>
        <w:pStyle w:val="CdcTesto"/>
        <w:tabs>
          <w:tab w:val="left" w:pos="284"/>
        </w:tabs>
        <w:rPr>
          <w:rFonts w:eastAsia="Times New Roman"/>
        </w:rPr>
      </w:pPr>
      <w:r>
        <w:rPr>
          <w:rFonts w:eastAsia="Times New Roman"/>
        </w:rPr>
        <w:t>Nel 2016, infatti, le implicazioni finanziarie provenienti dalla ritardata approvazione del rendiconto 2015 sono considerevoli e conducono ad alterare la fisiologica sequenza delle variazioni apportate fino all’assestamento (e oltre) contribuendo a determinare lo sfasamento registrato tra la fase previsionale iniziale e quella definitiva. Infatti solo nel mese di dicembre 2016 (ovvero a gestione pressoché conclusa, per effetto dell’approvazione del rendiconto 2015 con legge regionale) si conosce con certezza il disavanzo di amministrazione 2015, la misura degli accantonamenti, dei vincoli e dei fondi, nonché del FPV in entrata e delle reimputazioni, nella competenza 2016, attive e passive.</w:t>
      </w:r>
    </w:p>
    <w:p w:rsidR="00DB3BAA" w:rsidRDefault="00DB3BAA" w:rsidP="00DB3BAA">
      <w:pPr>
        <w:pStyle w:val="CdcTesto"/>
        <w:tabs>
          <w:tab w:val="left" w:pos="284"/>
        </w:tabs>
        <w:rPr>
          <w:rFonts w:eastAsia="Times New Roman"/>
        </w:rPr>
      </w:pPr>
      <w:r>
        <w:rPr>
          <w:rFonts w:eastAsia="Times New Roman"/>
        </w:rPr>
        <w:t>Dal rendiconto 2015</w:t>
      </w:r>
      <w:r w:rsidRPr="006E6E53">
        <w:rPr>
          <w:rFonts w:eastAsia="Times New Roman"/>
        </w:rPr>
        <w:t xml:space="preserve"> </w:t>
      </w:r>
      <w:r>
        <w:rPr>
          <w:rFonts w:eastAsia="Times New Roman"/>
        </w:rPr>
        <w:t xml:space="preserve">transita alla gestione 2016 un saldo negativo della gestione dei residui </w:t>
      </w:r>
      <w:r w:rsidRPr="00AB1CB6">
        <w:rPr>
          <w:rFonts w:eastAsia="Times New Roman"/>
        </w:rPr>
        <w:t xml:space="preserve">2015 </w:t>
      </w:r>
      <w:r>
        <w:rPr>
          <w:rFonts w:eastAsia="Times New Roman"/>
        </w:rPr>
        <w:t>(</w:t>
      </w:r>
      <w:r>
        <w:rPr>
          <w:rFonts w:eastAsia="Times New Roman"/>
        </w:rPr>
        <w:noBreakHyphen/>
        <w:t>624,54 mln</w:t>
      </w:r>
      <w:r w:rsidRPr="00AB1CB6">
        <w:rPr>
          <w:rFonts w:eastAsia="Times New Roman"/>
        </w:rPr>
        <w:t>),</w:t>
      </w:r>
      <w:r>
        <w:rPr>
          <w:rFonts w:eastAsia="Times New Roman"/>
        </w:rPr>
        <w:t xml:space="preserve"> </w:t>
      </w:r>
      <w:r w:rsidRPr="00AB1CB6">
        <w:rPr>
          <w:rFonts w:eastAsia="Times New Roman"/>
        </w:rPr>
        <w:t xml:space="preserve">il debito per il mutuo da disavanzo </w:t>
      </w:r>
      <w:r>
        <w:rPr>
          <w:rFonts w:eastAsia="Times New Roman"/>
        </w:rPr>
        <w:t>accertato al 31.12.2014</w:t>
      </w:r>
      <w:r w:rsidRPr="00AB1CB6">
        <w:rPr>
          <w:rFonts w:eastAsia="Times New Roman"/>
        </w:rPr>
        <w:t xml:space="preserve"> (</w:t>
      </w:r>
      <w:r>
        <w:rPr>
          <w:rFonts w:eastAsia="Times New Roman"/>
        </w:rPr>
        <w:t xml:space="preserve">504,97 </w:t>
      </w:r>
      <w:r w:rsidR="00031B8B">
        <w:rPr>
          <w:rFonts w:eastAsia="Times New Roman"/>
        </w:rPr>
        <w:t>milioni</w:t>
      </w:r>
      <w:r w:rsidRPr="00AB1CB6">
        <w:rPr>
          <w:rFonts w:eastAsia="Times New Roman"/>
        </w:rPr>
        <w:t xml:space="preserve">), un saldo </w:t>
      </w:r>
      <w:r w:rsidR="00267F6F">
        <w:rPr>
          <w:rFonts w:eastAsia="Times New Roman"/>
        </w:rPr>
        <w:t>positivo</w:t>
      </w:r>
      <w:r w:rsidRPr="00AB1CB6">
        <w:rPr>
          <w:rFonts w:eastAsia="Times New Roman"/>
        </w:rPr>
        <w:t xml:space="preserve"> nelle reimputazioni dei crediti e debiti (</w:t>
      </w:r>
      <w:r w:rsidR="00267F6F">
        <w:rPr>
          <w:rFonts w:eastAsia="Times New Roman"/>
        </w:rPr>
        <w:t>96,403</w:t>
      </w:r>
      <w:r>
        <w:rPr>
          <w:rFonts w:eastAsia="Times New Roman"/>
        </w:rPr>
        <w:t xml:space="preserve"> mln</w:t>
      </w:r>
      <w:r w:rsidRPr="00AB1CB6">
        <w:rPr>
          <w:rFonts w:eastAsia="Times New Roman"/>
        </w:rPr>
        <w:t>), la costituzione in entrata del FPV (pari a circa 344 milioni di euro), un elevato carico di residui perenti (1,766 miliardi di euro).</w:t>
      </w:r>
      <w:r>
        <w:rPr>
          <w:rFonts w:eastAsia="Times New Roman"/>
        </w:rPr>
        <w:t xml:space="preserve"> A ciò va aggiunto il disavanzo derivante dal riaccertamento straordinario da ripianare in 30 anni (-888,73 mln)</w:t>
      </w:r>
      <w:r w:rsidR="00664010">
        <w:rPr>
          <w:rFonts w:eastAsia="Times New Roman"/>
        </w:rPr>
        <w:t>. Si è reso, altresì, necessario nel 2016 ricorre</w:t>
      </w:r>
      <w:r w:rsidR="005F7A8D">
        <w:rPr>
          <w:rFonts w:eastAsia="Times New Roman"/>
        </w:rPr>
        <w:t>re</w:t>
      </w:r>
      <w:r w:rsidR="00664010">
        <w:rPr>
          <w:rFonts w:eastAsia="Times New Roman"/>
        </w:rPr>
        <w:t xml:space="preserve"> all’anticipazione di liquidità per 215.658.000,00 euro (D.L. 35/2013), iscritta nel Titolo di spesa “rimborso prestiti” e incassata nell’esercizio.</w:t>
      </w:r>
    </w:p>
    <w:p w:rsidR="00664010" w:rsidRPr="005D660C" w:rsidRDefault="00664010" w:rsidP="00664010">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Con riguardo agli effetti di sterilizzazione dell’istituto contabile in oggetto e alle modalità per la sua corretta contabilizzazione, si devono richiamare le considerazioni in ultimo svolte dalla Sezione delle Autonomie a mezzo della Del. n. 28/SEZAUT/2017/QMIG, depositata il 19/12/2017,</w:t>
      </w:r>
      <w:r w:rsidR="005F7A8D">
        <w:rPr>
          <w:rFonts w:ascii="Bodoni MT" w:eastAsiaTheme="minorEastAsia" w:hAnsi="Bodoni MT" w:cs="Bodoni MT"/>
          <w:color w:val="000000"/>
          <w:sz w:val="24"/>
          <w:szCs w:val="24"/>
        </w:rPr>
        <w:t xml:space="preserve"> </w:t>
      </w:r>
      <w:r w:rsidR="005F7A8D">
        <w:rPr>
          <w:rFonts w:ascii="Bodoni MT" w:eastAsiaTheme="minorEastAsia" w:hAnsi="Bodoni MT" w:cs="Bodoni MT"/>
          <w:b/>
          <w:color w:val="000000"/>
          <w:sz w:val="24"/>
          <w:szCs w:val="24"/>
        </w:rPr>
        <w:t xml:space="preserve">con la </w:t>
      </w:r>
      <w:r w:rsidRPr="00B77F5B">
        <w:rPr>
          <w:rFonts w:ascii="Bodoni MT" w:eastAsiaTheme="minorEastAsia" w:hAnsi="Bodoni MT" w:cs="Bodoni MT"/>
          <w:b/>
          <w:color w:val="000000"/>
          <w:sz w:val="24"/>
          <w:szCs w:val="24"/>
        </w:rPr>
        <w:t>raccomanda</w:t>
      </w:r>
      <w:r w:rsidR="005F7A8D">
        <w:rPr>
          <w:rFonts w:ascii="Bodoni MT" w:eastAsiaTheme="minorEastAsia" w:hAnsi="Bodoni MT" w:cs="Bodoni MT"/>
          <w:b/>
          <w:color w:val="000000"/>
          <w:sz w:val="24"/>
          <w:szCs w:val="24"/>
        </w:rPr>
        <w:t>zione</w:t>
      </w:r>
      <w:r w:rsidRPr="00B77F5B">
        <w:rPr>
          <w:rFonts w:ascii="Bodoni MT" w:eastAsiaTheme="minorEastAsia" w:hAnsi="Bodoni MT" w:cs="Bodoni MT"/>
          <w:b/>
          <w:color w:val="000000"/>
          <w:sz w:val="24"/>
          <w:szCs w:val="24"/>
        </w:rPr>
        <w:t xml:space="preserve"> alla Regione di unifor</w:t>
      </w:r>
      <w:r w:rsidR="005F7A8D">
        <w:rPr>
          <w:rFonts w:ascii="Bodoni MT" w:eastAsiaTheme="minorEastAsia" w:hAnsi="Bodoni MT" w:cs="Bodoni MT"/>
          <w:b/>
          <w:color w:val="000000"/>
          <w:sz w:val="24"/>
          <w:szCs w:val="24"/>
        </w:rPr>
        <w:t xml:space="preserve">mare le scritture di bilancio </w:t>
      </w:r>
      <w:r w:rsidRPr="00B77F5B">
        <w:rPr>
          <w:rFonts w:ascii="Bodoni MT" w:eastAsiaTheme="minorEastAsia" w:hAnsi="Bodoni MT" w:cs="Bodoni MT"/>
          <w:b/>
          <w:color w:val="000000"/>
          <w:sz w:val="24"/>
          <w:szCs w:val="24"/>
        </w:rPr>
        <w:t>ai principi di diritto già affermati dalla richiamata Deliberazione</w:t>
      </w:r>
      <w:r>
        <w:rPr>
          <w:rFonts w:ascii="Bodoni MT" w:eastAsiaTheme="minorEastAsia" w:hAnsi="Bodoni MT" w:cs="Bodoni MT"/>
          <w:color w:val="000000"/>
          <w:sz w:val="24"/>
          <w:szCs w:val="24"/>
        </w:rPr>
        <w:t>.</w:t>
      </w:r>
    </w:p>
    <w:p w:rsidR="00DB3BAA" w:rsidRPr="00F45F64" w:rsidRDefault="00DB3BAA" w:rsidP="00DB3BAA">
      <w:pPr>
        <w:pStyle w:val="CdcTesto"/>
        <w:tabs>
          <w:tab w:val="left" w:pos="284"/>
        </w:tabs>
        <w:rPr>
          <w:rFonts w:eastAsia="Times New Roman"/>
        </w:rPr>
      </w:pPr>
      <w:r>
        <w:rPr>
          <w:rFonts w:eastAsia="Times New Roman"/>
        </w:rPr>
        <w:t xml:space="preserve">La </w:t>
      </w:r>
      <w:r w:rsidRPr="009A0B6D">
        <w:rPr>
          <w:rFonts w:eastAsia="Times New Roman"/>
          <w:b/>
        </w:rPr>
        <w:t>gestione dell’entrata nel 2016</w:t>
      </w:r>
      <w:r>
        <w:rPr>
          <w:rFonts w:eastAsia="Times New Roman"/>
        </w:rPr>
        <w:t xml:space="preserve"> non pare raggiungere significativi indici di realizzazione rispetto agli obiettivi programmatici, nonostante la sua incrementata consistenza finale (+20% </w:t>
      </w:r>
      <w:r>
        <w:rPr>
          <w:rFonts w:eastAsia="Times New Roman"/>
        </w:rPr>
        <w:lastRenderedPageBreak/>
        <w:t xml:space="preserve">rispetto alle previsioni iniziali), alla quale contribuiscono le reimputazioni dall’esercizio </w:t>
      </w:r>
      <w:r w:rsidRPr="00F45F64">
        <w:rPr>
          <w:rFonts w:eastAsia="Times New Roman"/>
        </w:rPr>
        <w:t>precedente</w:t>
      </w:r>
      <w:r>
        <w:rPr>
          <w:rFonts w:eastAsia="Times New Roman"/>
        </w:rPr>
        <w:t xml:space="preserve"> (510,83 milioni</w:t>
      </w:r>
      <w:r w:rsidRPr="00F45F64">
        <w:rPr>
          <w:rFonts w:eastAsia="Times New Roman"/>
        </w:rPr>
        <w:t xml:space="preserve">) </w:t>
      </w:r>
      <w:r w:rsidR="00267F6F">
        <w:rPr>
          <w:rFonts w:eastAsia="Times New Roman"/>
        </w:rPr>
        <w:t>di cui</w:t>
      </w:r>
      <w:r>
        <w:rPr>
          <w:rFonts w:eastAsia="Times New Roman"/>
        </w:rPr>
        <w:t xml:space="preserve"> d</w:t>
      </w:r>
      <w:r w:rsidR="00031B8B">
        <w:rPr>
          <w:rFonts w:eastAsia="Times New Roman"/>
        </w:rPr>
        <w:t xml:space="preserve">a riaccertamento straordinario </w:t>
      </w:r>
      <w:r w:rsidR="00267F6F">
        <w:rPr>
          <w:rFonts w:eastAsia="Times New Roman"/>
        </w:rPr>
        <w:t>336,5</w:t>
      </w:r>
      <w:r w:rsidR="00031B8B">
        <w:rPr>
          <w:rFonts w:eastAsia="Times New Roman"/>
        </w:rPr>
        <w:t xml:space="preserve"> milioni</w:t>
      </w:r>
      <w:r w:rsidR="00267F6F">
        <w:rPr>
          <w:rFonts w:eastAsia="Times New Roman"/>
        </w:rPr>
        <w:t xml:space="preserve"> (v. </w:t>
      </w:r>
      <w:r w:rsidR="00031B8B">
        <w:rPr>
          <w:rFonts w:eastAsia="Times New Roman"/>
        </w:rPr>
        <w:t xml:space="preserve">tabella </w:t>
      </w:r>
      <w:r w:rsidR="00237328">
        <w:rPr>
          <w:rFonts w:eastAsia="Times New Roman"/>
        </w:rPr>
        <w:t>2)</w:t>
      </w:r>
      <w:r>
        <w:rPr>
          <w:rFonts w:eastAsia="Times New Roman"/>
        </w:rPr>
        <w:t xml:space="preserve">. </w:t>
      </w:r>
      <w:r w:rsidRPr="00F45F64">
        <w:rPr>
          <w:rFonts w:eastAsia="Times New Roman"/>
        </w:rPr>
        <w:t>A rendiconto si registra, innanzitutto, una cospicua formazione di nuovi residui attivi (</w:t>
      </w:r>
      <w:r>
        <w:rPr>
          <w:rFonts w:eastAsia="Times New Roman"/>
        </w:rPr>
        <w:t>1,412</w:t>
      </w:r>
      <w:r w:rsidRPr="00F45F64">
        <w:rPr>
          <w:rFonts w:eastAsia="Times New Roman"/>
        </w:rPr>
        <w:t xml:space="preserve"> </w:t>
      </w:r>
      <w:r>
        <w:rPr>
          <w:rFonts w:eastAsia="Times New Roman"/>
        </w:rPr>
        <w:t>miliardi</w:t>
      </w:r>
      <w:r w:rsidRPr="00F45F64">
        <w:rPr>
          <w:rFonts w:eastAsia="Times New Roman"/>
        </w:rPr>
        <w:t xml:space="preserve"> di euro in competenza), indice di un insufficiente adeguamento ai nuovi principi della competenza pote</w:t>
      </w:r>
      <w:r>
        <w:rPr>
          <w:rFonts w:eastAsia="Times New Roman"/>
        </w:rPr>
        <w:t>nziata, confermato anche dalle notevoli reimputazioni all’esercizio 2017 e seguenti (131,887 milioni</w:t>
      </w:r>
      <w:r w:rsidRPr="00F45F64">
        <w:rPr>
          <w:rFonts w:eastAsia="Times New Roman"/>
        </w:rPr>
        <w:t>)</w:t>
      </w:r>
      <w:r w:rsidR="00267F6F">
        <w:rPr>
          <w:rFonts w:eastAsia="Times New Roman"/>
        </w:rPr>
        <w:t xml:space="preserve"> (v. tabella 12)</w:t>
      </w:r>
      <w:r w:rsidRPr="00F45F64">
        <w:rPr>
          <w:rFonts w:eastAsia="Times New Roman"/>
        </w:rPr>
        <w:t>.</w:t>
      </w:r>
    </w:p>
    <w:p w:rsidR="00DB3BAA" w:rsidRDefault="00DB3BAA" w:rsidP="00DB3BAA">
      <w:pPr>
        <w:pStyle w:val="CdcTesto"/>
        <w:tabs>
          <w:tab w:val="left" w:pos="284"/>
        </w:tabs>
        <w:rPr>
          <w:rFonts w:eastAsia="Times New Roman"/>
        </w:rPr>
      </w:pPr>
      <w:r w:rsidRPr="00F45F64">
        <w:rPr>
          <w:rFonts w:eastAsia="Times New Roman"/>
        </w:rPr>
        <w:t>La manovra di entrata è altre</w:t>
      </w:r>
      <w:r>
        <w:rPr>
          <w:rFonts w:eastAsia="Times New Roman"/>
        </w:rPr>
        <w:t xml:space="preserve">sì </w:t>
      </w:r>
      <w:r w:rsidRPr="00F45F64">
        <w:rPr>
          <w:rFonts w:eastAsia="Times New Roman"/>
        </w:rPr>
        <w:t xml:space="preserve">penalizzata dalla non totale acquisizione delle entrate statutarie in esito alla vertenza con lo Stato (restano da riscuotere a titolo di arretrati circa 290 milioni di euro), mentre, pesano notevolmente gli accantonamenti in favore dello stesso Stato (il quale trattiene 683 milioni di euro nel 2016). Le </w:t>
      </w:r>
      <w:r>
        <w:rPr>
          <w:rFonts w:eastAsia="Times New Roman"/>
        </w:rPr>
        <w:t xml:space="preserve">riscossioni sulle </w:t>
      </w:r>
      <w:r w:rsidRPr="00F45F64">
        <w:rPr>
          <w:rFonts w:eastAsia="Times New Roman"/>
        </w:rPr>
        <w:t>devoluzioni</w:t>
      </w:r>
      <w:r>
        <w:rPr>
          <w:rFonts w:eastAsia="Times New Roman"/>
        </w:rPr>
        <w:t xml:space="preserve"> erariali che sarebbero </w:t>
      </w:r>
      <w:r w:rsidRPr="00F45F64">
        <w:rPr>
          <w:rFonts w:eastAsia="Times New Roman"/>
        </w:rPr>
        <w:t>ammont</w:t>
      </w:r>
      <w:r>
        <w:rPr>
          <w:rFonts w:eastAsia="Times New Roman"/>
        </w:rPr>
        <w:t>ate</w:t>
      </w:r>
      <w:r w:rsidRPr="00F45F64">
        <w:rPr>
          <w:rFonts w:eastAsia="Times New Roman"/>
        </w:rPr>
        <w:t xml:space="preserve"> nel 2016 a circa 5,</w:t>
      </w:r>
      <w:r>
        <w:rPr>
          <w:rFonts w:eastAsia="Times New Roman"/>
        </w:rPr>
        <w:t>547</w:t>
      </w:r>
      <w:r w:rsidRPr="00F45F64">
        <w:rPr>
          <w:rFonts w:eastAsia="Times New Roman"/>
        </w:rPr>
        <w:t xml:space="preserve"> miliardi di euro si riducono a 4,</w:t>
      </w:r>
      <w:r>
        <w:rPr>
          <w:rFonts w:eastAsia="Times New Roman"/>
        </w:rPr>
        <w:t>863</w:t>
      </w:r>
      <w:r w:rsidRPr="00F45F64">
        <w:rPr>
          <w:rFonts w:eastAsia="Times New Roman"/>
        </w:rPr>
        <w:t xml:space="preserve"> miliardi di euro</w:t>
      </w:r>
      <w:r>
        <w:rPr>
          <w:rFonts w:eastAsia="Times New Roman"/>
        </w:rPr>
        <w:t>.</w:t>
      </w:r>
    </w:p>
    <w:p w:rsidR="00DB3BAA" w:rsidRDefault="00DB3BAA" w:rsidP="00DB3BAA">
      <w:pPr>
        <w:pStyle w:val="CdcTesto"/>
        <w:tabs>
          <w:tab w:val="left" w:pos="284"/>
        </w:tabs>
        <w:rPr>
          <w:rFonts w:eastAsia="Times New Roman"/>
        </w:rPr>
      </w:pPr>
      <w:r>
        <w:rPr>
          <w:rFonts w:eastAsia="Times New Roman"/>
        </w:rPr>
        <w:t xml:space="preserve">Con riguardo ai rapporti finanziari con lo Stato </w:t>
      </w:r>
      <w:r w:rsidR="0031237A">
        <w:rPr>
          <w:rFonts w:eastAsia="Times New Roman"/>
        </w:rPr>
        <w:t>è in corso</w:t>
      </w:r>
      <w:r>
        <w:rPr>
          <w:rFonts w:eastAsia="Times New Roman"/>
        </w:rPr>
        <w:t xml:space="preserve"> la definizione delle operazioni di conciliazione creditoria/debitoria</w:t>
      </w:r>
      <w:r w:rsidR="0031237A">
        <w:rPr>
          <w:rFonts w:eastAsia="Times New Roman"/>
        </w:rPr>
        <w:t>,</w:t>
      </w:r>
      <w:r>
        <w:rPr>
          <w:rFonts w:eastAsia="Times New Roman"/>
        </w:rPr>
        <w:t xml:space="preserve"> avviata dal MEF nel corso del 2016. Ciò anche in considerazione del fatto che il peso dei crediti vantati nei confronti dello Stato sul totale delle entrate (peraltro non soggetti a svalutazione e quindi non ricompresi fra quelli coperti dal fondo crediti di dubbia esigibilità), rischia di alterare profondamente la attendibilità dell’intera entrata di bilancio, pregiudicandone la potenzialità di programmazione.</w:t>
      </w:r>
      <w:r w:rsidR="00267F6F">
        <w:rPr>
          <w:rFonts w:eastAsia="Times New Roman"/>
        </w:rPr>
        <w:t xml:space="preserve"> Al 31 dicembre 2016 risulta il credito complessivo nei confronti dello Stato pari a 1,035 miliardi di euro.</w:t>
      </w:r>
    </w:p>
    <w:p w:rsidR="00DB3BAA" w:rsidRPr="004618A4" w:rsidRDefault="00DB3BAA" w:rsidP="00DB3BAA">
      <w:pPr>
        <w:pStyle w:val="CdcTesto"/>
        <w:tabs>
          <w:tab w:val="left" w:pos="284"/>
        </w:tabs>
        <w:rPr>
          <w:rFonts w:eastAsia="Times New Roman"/>
          <w:color w:val="auto"/>
        </w:rPr>
      </w:pPr>
      <w:r>
        <w:rPr>
          <w:rFonts w:eastAsia="Times New Roman"/>
        </w:rPr>
        <w:t>Registrano</w:t>
      </w:r>
      <w:r w:rsidR="00076311">
        <w:rPr>
          <w:rFonts w:eastAsia="Times New Roman"/>
        </w:rPr>
        <w:t xml:space="preserve"> bassi </w:t>
      </w:r>
      <w:r>
        <w:rPr>
          <w:rFonts w:eastAsia="Times New Roman"/>
        </w:rPr>
        <w:t>indici di realizzazione le entrate di fonte comunitaria, ancora riferite alle operazioni di chiusura delle vecchie programmazioni, mentre nessuna rendicontazione è ancora stata presentata s</w:t>
      </w:r>
      <w:r w:rsidR="0031237A">
        <w:rPr>
          <w:rFonts w:eastAsia="Times New Roman"/>
        </w:rPr>
        <w:t xml:space="preserve">ulla programmazione 2014-2020. </w:t>
      </w:r>
      <w:r>
        <w:rPr>
          <w:rFonts w:eastAsia="Times New Roman"/>
        </w:rPr>
        <w:t xml:space="preserve">Analogamente si registrano </w:t>
      </w:r>
      <w:r w:rsidR="0031237A">
        <w:rPr>
          <w:rFonts w:eastAsia="Times New Roman"/>
        </w:rPr>
        <w:t>scarse</w:t>
      </w:r>
      <w:r>
        <w:rPr>
          <w:rFonts w:eastAsia="Times New Roman"/>
        </w:rPr>
        <w:t xml:space="preserve"> acquisizioni di risorse rispetto a quelle previste dalle dotazioni dei programmi</w:t>
      </w:r>
      <w:r w:rsidRPr="008362B6">
        <w:rPr>
          <w:rFonts w:eastAsia="Times New Roman"/>
        </w:rPr>
        <w:t xml:space="preserve"> </w:t>
      </w:r>
      <w:r>
        <w:rPr>
          <w:rFonts w:eastAsia="Times New Roman"/>
        </w:rPr>
        <w:t>a valere s</w:t>
      </w:r>
      <w:r w:rsidR="0031237A">
        <w:rPr>
          <w:rFonts w:eastAsia="Times New Roman"/>
        </w:rPr>
        <w:t>ul PAC Sardegna e FSC 2007-2013</w:t>
      </w:r>
      <w:r>
        <w:rPr>
          <w:rFonts w:eastAsia="Times New Roman"/>
        </w:rPr>
        <w:t>. Tale stato di cose compromette il perseguimento degli</w:t>
      </w:r>
      <w:r w:rsidRPr="008362B6">
        <w:rPr>
          <w:rFonts w:eastAsia="Times New Roman"/>
        </w:rPr>
        <w:t xml:space="preserve"> </w:t>
      </w:r>
      <w:r>
        <w:rPr>
          <w:rFonts w:eastAsia="Times New Roman"/>
        </w:rPr>
        <w:t>obiettivi della programmazione regionale unitaria fondata sulla concentrazione delle risorse</w:t>
      </w:r>
      <w:r w:rsidRPr="004618A4">
        <w:rPr>
          <w:rFonts w:eastAsia="Times New Roman"/>
          <w:color w:val="auto"/>
        </w:rPr>
        <w:t>. Dal rendiconto</w:t>
      </w:r>
      <w:r w:rsidRPr="004618A4">
        <w:rPr>
          <w:rStyle w:val="Rimandonotaapidipagina"/>
          <w:rFonts w:eastAsia="Times New Roman"/>
          <w:color w:val="auto"/>
        </w:rPr>
        <w:footnoteReference w:id="5"/>
      </w:r>
      <w:r w:rsidRPr="004618A4">
        <w:rPr>
          <w:rFonts w:eastAsia="Times New Roman"/>
          <w:color w:val="auto"/>
        </w:rPr>
        <w:t xml:space="preserve"> risulta che sulle previsioni di spesa per circa 169 milioni di euro si impegnano 73 milioni e va</w:t>
      </w:r>
      <w:r>
        <w:rPr>
          <w:rFonts w:eastAsia="Times New Roman"/>
          <w:color w:val="auto"/>
        </w:rPr>
        <w:t>nno in economia altrettanti (</w:t>
      </w:r>
      <w:r w:rsidRPr="004618A4">
        <w:rPr>
          <w:rFonts w:eastAsia="Times New Roman"/>
          <w:color w:val="auto"/>
        </w:rPr>
        <w:t xml:space="preserve">76 milioni di euro). </w:t>
      </w:r>
    </w:p>
    <w:p w:rsidR="00DB3BAA" w:rsidRDefault="00DB3BAA" w:rsidP="00DB3BAA">
      <w:pPr>
        <w:pStyle w:val="CdcTesto"/>
        <w:tabs>
          <w:tab w:val="left" w:pos="284"/>
        </w:tabs>
        <w:rPr>
          <w:rFonts w:eastAsia="Times New Roman"/>
        </w:rPr>
      </w:pPr>
      <w:r w:rsidRPr="004618A4">
        <w:rPr>
          <w:rFonts w:eastAsia="Times New Roman"/>
        </w:rPr>
        <w:t xml:space="preserve">In sintesi </w:t>
      </w:r>
      <w:r w:rsidRPr="004618A4">
        <w:rPr>
          <w:rFonts w:eastAsia="Times New Roman"/>
          <w:color w:val="auto"/>
        </w:rPr>
        <w:t xml:space="preserve">la gestione delle disponibilità dell’entrata 2016, limitatamente alla competenza (che espone dotazioni di entrata pari a circa 10 miliardi di euro </w:t>
      </w:r>
      <w:r>
        <w:rPr>
          <w:rFonts w:eastAsia="Times New Roman"/>
          <w:color w:val="auto"/>
        </w:rPr>
        <w:t>al netto</w:t>
      </w:r>
      <w:r w:rsidRPr="004618A4">
        <w:rPr>
          <w:rFonts w:eastAsia="Times New Roman"/>
          <w:color w:val="auto"/>
        </w:rPr>
        <w:t xml:space="preserve"> </w:t>
      </w:r>
      <w:r>
        <w:rPr>
          <w:rFonts w:eastAsia="Times New Roman"/>
          <w:color w:val="auto"/>
        </w:rPr>
        <w:t>del</w:t>
      </w:r>
      <w:r w:rsidR="00267F6F">
        <w:rPr>
          <w:rFonts w:eastAsia="Times New Roman"/>
          <w:color w:val="auto"/>
        </w:rPr>
        <w:t>l’avanzo applicato e de</w:t>
      </w:r>
      <w:r w:rsidRPr="004618A4">
        <w:rPr>
          <w:rFonts w:eastAsia="Times New Roman"/>
          <w:color w:val="auto"/>
        </w:rPr>
        <w:t xml:space="preserve">l FPV provenienti dal 2015, per totali 628 milioni di euro), tenuto conto dell’accantonamento in favore dello Stato (683 milioni di euro), delle minori entrate realizzate pari ad oltre 11% delle </w:t>
      </w:r>
      <w:r w:rsidRPr="004618A4">
        <w:rPr>
          <w:rFonts w:eastAsia="Times New Roman"/>
          <w:color w:val="auto"/>
        </w:rPr>
        <w:lastRenderedPageBreak/>
        <w:t xml:space="preserve">previsioni finali, viene fortemente ridimensionata. Inoltre la </w:t>
      </w:r>
      <w:r>
        <w:rPr>
          <w:rFonts w:eastAsia="Times New Roman"/>
        </w:rPr>
        <w:t xml:space="preserve">elevata formazione di residui attivi (1,411 miliardi) ne conferma le difficoltà nella realizzazione complessiva. </w:t>
      </w:r>
      <w:r>
        <w:rPr>
          <w:rFonts w:eastAsia="Times New Roman"/>
          <w:color w:val="auto"/>
        </w:rPr>
        <w:t>A</w:t>
      </w:r>
      <w:r>
        <w:rPr>
          <w:rFonts w:eastAsia="Times New Roman"/>
        </w:rPr>
        <w:t xml:space="preserve">nche la </w:t>
      </w:r>
      <w:r w:rsidRPr="00F45F64">
        <w:rPr>
          <w:rFonts w:eastAsia="Times New Roman"/>
        </w:rPr>
        <w:t>capacità di accertamento risente</w:t>
      </w:r>
      <w:r>
        <w:rPr>
          <w:rFonts w:eastAsia="Times New Roman"/>
        </w:rPr>
        <w:t xml:space="preserve"> </w:t>
      </w:r>
      <w:r w:rsidRPr="004618A4">
        <w:rPr>
          <w:rFonts w:eastAsia="Times New Roman"/>
        </w:rPr>
        <w:t>di una ridotta fluidità del ciclo di entrata (accertamenti per 8,936 miliardi di euro su circa 10,689 miliardi</w:t>
      </w:r>
      <w:r>
        <w:rPr>
          <w:rFonts w:eastAsia="Times New Roman"/>
        </w:rPr>
        <w:t>). Al riguardo si consideri, inoltre, che nel corso dell’esercizio è stato necessario ricorrere all’anticipazione di liquidità</w:t>
      </w:r>
      <w:r>
        <w:rPr>
          <w:rFonts w:eastAsia="Times New Roman"/>
          <w:color w:val="auto"/>
        </w:rPr>
        <w:t xml:space="preserve"> per evidenti difficoltà di cassa. </w:t>
      </w:r>
      <w:r w:rsidRPr="004618A4">
        <w:rPr>
          <w:rFonts w:eastAsia="Times New Roman"/>
          <w:color w:val="auto"/>
        </w:rPr>
        <w:t xml:space="preserve">Tale stato di cose influenza rigidamente anche la spesa a </w:t>
      </w:r>
      <w:r>
        <w:rPr>
          <w:rFonts w:eastAsia="Times New Roman"/>
          <w:color w:val="auto"/>
        </w:rPr>
        <w:t>disposizione.</w:t>
      </w:r>
    </w:p>
    <w:p w:rsidR="00DB3BAA" w:rsidRDefault="00DB3BAA" w:rsidP="00DB3BAA">
      <w:pPr>
        <w:pStyle w:val="CdcTesto"/>
        <w:tabs>
          <w:tab w:val="left" w:pos="284"/>
        </w:tabs>
        <w:rPr>
          <w:rFonts w:eastAsia="Times New Roman"/>
        </w:rPr>
      </w:pPr>
      <w:r w:rsidRPr="00D76791">
        <w:rPr>
          <w:rFonts w:eastAsia="Times New Roman"/>
          <w:b/>
        </w:rPr>
        <w:t>Dal lato della spesa</w:t>
      </w:r>
      <w:r w:rsidRPr="00F45F64">
        <w:rPr>
          <w:rFonts w:eastAsia="Times New Roman"/>
          <w:b/>
        </w:rPr>
        <w:t xml:space="preserve">, </w:t>
      </w:r>
      <w:r w:rsidRPr="00F45F64">
        <w:rPr>
          <w:rFonts w:eastAsia="Times New Roman"/>
        </w:rPr>
        <w:t>in aderenza ai nuovi schemi contabili, gli stanziamenti del bilancio di previsione regionale ora espongono la quantità di “</w:t>
      </w:r>
      <w:r w:rsidRPr="00F45F64">
        <w:rPr>
          <w:rFonts w:eastAsia="Times New Roman"/>
          <w:b/>
          <w:i/>
        </w:rPr>
        <w:t>impegni già assunti”</w:t>
      </w:r>
      <w:r>
        <w:rPr>
          <w:rStyle w:val="Rimandonotaapidipagina"/>
          <w:rFonts w:eastAsia="Times New Roman"/>
          <w:b/>
          <w:i/>
        </w:rPr>
        <w:footnoteReference w:id="6"/>
      </w:r>
      <w:r w:rsidRPr="00F45F64">
        <w:rPr>
          <w:rFonts w:eastAsia="Times New Roman"/>
        </w:rPr>
        <w:t xml:space="preserve"> che ammontavano ad oltre 2 miliardi di euro</w:t>
      </w:r>
      <w:r w:rsidR="00237328">
        <w:rPr>
          <w:rFonts w:eastAsia="Times New Roman"/>
        </w:rPr>
        <w:t xml:space="preserve"> (v. tabella 15)</w:t>
      </w:r>
      <w:r w:rsidRPr="00F45F64">
        <w:rPr>
          <w:rFonts w:eastAsia="Times New Roman"/>
        </w:rPr>
        <w:t>. Pertanto le dotazioni</w:t>
      </w:r>
      <w:r>
        <w:rPr>
          <w:rFonts w:eastAsia="Times New Roman"/>
        </w:rPr>
        <w:t xml:space="preserve"> finali di spesa del 2016 (circa 10,689 miliardi di euro), già fortemente diminuite per effetto degli </w:t>
      </w:r>
      <w:r w:rsidRPr="00FA4614">
        <w:rPr>
          <w:rFonts w:eastAsia="Times New Roman"/>
          <w:b/>
        </w:rPr>
        <w:t>“</w:t>
      </w:r>
      <w:r w:rsidRPr="00FA4614">
        <w:rPr>
          <w:rFonts w:eastAsia="Times New Roman"/>
          <w:b/>
          <w:i/>
        </w:rPr>
        <w:t>impegni già assunti</w:t>
      </w:r>
      <w:r w:rsidRPr="00FA4614">
        <w:rPr>
          <w:rFonts w:eastAsia="Times New Roman"/>
          <w:b/>
        </w:rPr>
        <w:t>”</w:t>
      </w:r>
      <w:r>
        <w:rPr>
          <w:rFonts w:eastAsia="Times New Roman"/>
        </w:rPr>
        <w:t xml:space="preserve"> registrati in bilancio di previsione, cui si deve aggiungere il ripiano del disavanzo assestato 2015 (pari a </w:t>
      </w:r>
      <w:r w:rsidRPr="00496615">
        <w:rPr>
          <w:rFonts w:eastAsia="Times New Roman"/>
        </w:rPr>
        <w:t xml:space="preserve">oltre 537 milioni di euro) e il carico delle reimputazioni di debiti provenienti del 2015 </w:t>
      </w:r>
      <w:r>
        <w:rPr>
          <w:rFonts w:eastAsia="Times New Roman"/>
        </w:rPr>
        <w:t xml:space="preserve">e da riaccertamento straordinario </w:t>
      </w:r>
      <w:r w:rsidRPr="00496615">
        <w:rPr>
          <w:rFonts w:eastAsia="Times New Roman"/>
        </w:rPr>
        <w:t>da onorare</w:t>
      </w:r>
      <w:r>
        <w:rPr>
          <w:rFonts w:eastAsia="Times New Roman"/>
        </w:rPr>
        <w:t xml:space="preserve"> -</w:t>
      </w:r>
      <w:r w:rsidRPr="00496615">
        <w:rPr>
          <w:rFonts w:eastAsia="Times New Roman"/>
        </w:rPr>
        <w:t xml:space="preserve"> trattandosi di obbligazioni giuridicamente perfezionate (pari a 970 milioni di euro)</w:t>
      </w:r>
      <w:r>
        <w:rPr>
          <w:rFonts w:eastAsia="Times New Roman"/>
        </w:rPr>
        <w:t xml:space="preserve"> -</w:t>
      </w:r>
      <w:r w:rsidRPr="00496615">
        <w:rPr>
          <w:rFonts w:eastAsia="Times New Roman"/>
        </w:rPr>
        <w:t xml:space="preserve"> vengono fortemente ridimensionate rispetto alle occorrenze della gestione. </w:t>
      </w:r>
    </w:p>
    <w:p w:rsidR="00DB3BAA" w:rsidRDefault="00DB3BAA" w:rsidP="00DB3BAA">
      <w:pPr>
        <w:pStyle w:val="CdcTesto"/>
        <w:tabs>
          <w:tab w:val="left" w:pos="284"/>
        </w:tabs>
        <w:rPr>
          <w:rFonts w:eastAsia="Times New Roman"/>
        </w:rPr>
      </w:pPr>
      <w:r>
        <w:rPr>
          <w:rFonts w:eastAsia="Times New Roman"/>
        </w:rPr>
        <w:t xml:space="preserve">Gli stanziamenti finali di spesa </w:t>
      </w:r>
      <w:r w:rsidR="0031237A">
        <w:rPr>
          <w:rFonts w:eastAsia="Times New Roman"/>
        </w:rPr>
        <w:t>si riducono</w:t>
      </w:r>
      <w:r>
        <w:rPr>
          <w:rFonts w:eastAsia="Times New Roman"/>
        </w:rPr>
        <w:t xml:space="preserve"> e in sede previsionale definitiva si assiste alla riduzione di oltre la metà degli stanziamenti di parte capitale (Titolo II).</w:t>
      </w:r>
    </w:p>
    <w:p w:rsidR="00DB3BAA" w:rsidRDefault="00DB3BAA" w:rsidP="00DB3BAA">
      <w:pPr>
        <w:pStyle w:val="CdcTesto"/>
        <w:tabs>
          <w:tab w:val="left" w:pos="284"/>
        </w:tabs>
        <w:rPr>
          <w:rFonts w:eastAsia="Times New Roman"/>
        </w:rPr>
      </w:pPr>
      <w:r>
        <w:rPr>
          <w:rFonts w:eastAsia="Times New Roman"/>
        </w:rPr>
        <w:t>Gli impegni si attestano su 8,148 miliardi di euro, i pagamenti su 7,074 miliardi di euro e i residui ammontano a 1,074 miliardi di euro</w:t>
      </w:r>
      <w:r w:rsidR="00237328">
        <w:rPr>
          <w:rFonts w:eastAsia="Times New Roman"/>
        </w:rPr>
        <w:t xml:space="preserve"> (v. tabella 17)</w:t>
      </w:r>
      <w:r>
        <w:rPr>
          <w:rFonts w:eastAsia="Times New Roman"/>
        </w:rPr>
        <w:t xml:space="preserve">. </w:t>
      </w:r>
    </w:p>
    <w:p w:rsidR="00DB3BAA" w:rsidRDefault="00DB3BAA" w:rsidP="00DB3BAA">
      <w:pPr>
        <w:pStyle w:val="CdcTesto"/>
        <w:tabs>
          <w:tab w:val="left" w:pos="284"/>
        </w:tabs>
        <w:rPr>
          <w:rFonts w:eastAsia="Times New Roman"/>
        </w:rPr>
      </w:pPr>
      <w:r>
        <w:rPr>
          <w:rFonts w:eastAsia="Times New Roman"/>
        </w:rPr>
        <w:t>Considerando l’incidenza degli impegni per i trasferimenti correnti pari a circa 5,5 miliardi di euro (in favore di enti o agenzie regionali, sanità, enti locali, università, consorzi di bonifica e industriali, istituzioni scolast</w:t>
      </w:r>
      <w:r w:rsidR="00237328">
        <w:rPr>
          <w:rFonts w:eastAsia="Times New Roman"/>
        </w:rPr>
        <w:t>iche, società e fondazioni, ecc</w:t>
      </w:r>
      <w:r w:rsidR="00267F6F">
        <w:rPr>
          <w:rFonts w:eastAsia="Times New Roman"/>
        </w:rPr>
        <w:t>…</w:t>
      </w:r>
      <w:r w:rsidR="00031B8B">
        <w:rPr>
          <w:rFonts w:eastAsia="Times New Roman"/>
        </w:rPr>
        <w:t>,</w:t>
      </w:r>
      <w:r w:rsidR="00267F6F">
        <w:rPr>
          <w:rFonts w:eastAsia="Times New Roman"/>
        </w:rPr>
        <w:t xml:space="preserve"> v. tabella 55</w:t>
      </w:r>
      <w:r>
        <w:rPr>
          <w:rFonts w:eastAsia="Times New Roman"/>
        </w:rPr>
        <w:t>)</w:t>
      </w:r>
      <w:r w:rsidR="004A0B01">
        <w:rPr>
          <w:rFonts w:eastAsia="Times New Roman"/>
        </w:rPr>
        <w:t xml:space="preserve"> e delle al</w:t>
      </w:r>
      <w:r w:rsidR="0031237A">
        <w:rPr>
          <w:rFonts w:eastAsia="Times New Roman"/>
        </w:rPr>
        <w:t>tre voci di spesa obbligatorie</w:t>
      </w:r>
      <w:r>
        <w:rPr>
          <w:rFonts w:eastAsia="Times New Roman"/>
        </w:rPr>
        <w:t xml:space="preserve">, può valutarsi </w:t>
      </w:r>
      <w:r w:rsidR="0031237A">
        <w:rPr>
          <w:rFonts w:eastAsia="Times New Roman"/>
        </w:rPr>
        <w:t xml:space="preserve">il grado </w:t>
      </w:r>
      <w:r>
        <w:rPr>
          <w:rFonts w:eastAsia="Times New Roman"/>
        </w:rPr>
        <w:t xml:space="preserve">di rigidità della spesa nell’esercizio, cioè la sua capacità </w:t>
      </w:r>
      <w:r w:rsidRPr="004618A4">
        <w:rPr>
          <w:rFonts w:eastAsia="Times New Roman"/>
        </w:rPr>
        <w:t>di far fronte ai</w:t>
      </w:r>
      <w:r>
        <w:rPr>
          <w:rFonts w:eastAsia="Times New Roman"/>
        </w:rPr>
        <w:t xml:space="preserve"> diversi obiettivi gestionali e di sostegno agli investimenti. </w:t>
      </w:r>
    </w:p>
    <w:p w:rsidR="00DB3BAA" w:rsidRDefault="00DB3BAA" w:rsidP="00DB3BAA">
      <w:pPr>
        <w:pStyle w:val="CdcTesto"/>
        <w:tabs>
          <w:tab w:val="left" w:pos="284"/>
        </w:tabs>
        <w:rPr>
          <w:rFonts w:eastAsia="Times New Roman"/>
        </w:rPr>
      </w:pPr>
      <w:r w:rsidRPr="00496615">
        <w:rPr>
          <w:rFonts w:eastAsia="Times New Roman"/>
        </w:rPr>
        <w:t>Si registrano, infine, 1,324 miliardi di economie (minori impegni</w:t>
      </w:r>
      <w:r>
        <w:rPr>
          <w:rFonts w:eastAsia="Times New Roman"/>
        </w:rPr>
        <w:t>), tra cui circa 559 milioni di euro per debiti reimputati al 2016 provenienti da esercizi precedenti, ulteriormente differiti al 2017 e successivi e 537 milioni per il disavanzo iscritto come prima posta nel bilancio di previsione.</w:t>
      </w:r>
    </w:p>
    <w:p w:rsidR="00DB3BAA" w:rsidRDefault="00DB3BAA" w:rsidP="00DB3BAA">
      <w:pPr>
        <w:pStyle w:val="CdcTesto"/>
        <w:tabs>
          <w:tab w:val="left" w:pos="284"/>
        </w:tabs>
        <w:rPr>
          <w:rFonts w:eastAsia="Times New Roman"/>
        </w:rPr>
      </w:pPr>
      <w:r>
        <w:rPr>
          <w:rFonts w:eastAsia="Times New Roman"/>
        </w:rPr>
        <w:lastRenderedPageBreak/>
        <w:t xml:space="preserve">Nel corso dell’anno nella gestione </w:t>
      </w:r>
      <w:r w:rsidRPr="008F5E29">
        <w:rPr>
          <w:rFonts w:eastAsia="Times New Roman"/>
        </w:rPr>
        <w:t>d</w:t>
      </w:r>
      <w:r>
        <w:rPr>
          <w:rFonts w:eastAsia="Times New Roman"/>
        </w:rPr>
        <w:t xml:space="preserve">ei </w:t>
      </w:r>
      <w:r w:rsidRPr="00D76791">
        <w:rPr>
          <w:rFonts w:eastAsia="Times New Roman"/>
        </w:rPr>
        <w:t>residui si provvede allo</w:t>
      </w:r>
      <w:r>
        <w:rPr>
          <w:rFonts w:eastAsia="Times New Roman"/>
        </w:rPr>
        <w:t xml:space="preserve"> </w:t>
      </w:r>
      <w:r w:rsidRPr="00D76791">
        <w:rPr>
          <w:rFonts w:eastAsia="Times New Roman"/>
          <w:b/>
        </w:rPr>
        <w:t>stralcio</w:t>
      </w:r>
      <w:r>
        <w:rPr>
          <w:rFonts w:eastAsia="Times New Roman"/>
          <w:b/>
        </w:rPr>
        <w:t xml:space="preserve"> di poste</w:t>
      </w:r>
      <w:r w:rsidRPr="00D76791">
        <w:rPr>
          <w:rFonts w:eastAsia="Times New Roman"/>
        </w:rPr>
        <w:t xml:space="preserve"> attiv</w:t>
      </w:r>
      <w:r>
        <w:rPr>
          <w:rFonts w:eastAsia="Times New Roman"/>
        </w:rPr>
        <w:t>e (circa 100 milioni di euro) e passive (circa 110 milioni di euro) per i quali diviene fondamentale appurare le ragioni giuridiche portate a sostegno delle relative decisioni da parte dei rispettivi CdR.</w:t>
      </w:r>
    </w:p>
    <w:p w:rsidR="00DB3BAA" w:rsidRDefault="00DB3BAA" w:rsidP="00DB3BAA">
      <w:pPr>
        <w:pStyle w:val="CdcTesto"/>
        <w:tabs>
          <w:tab w:val="left" w:pos="284"/>
        </w:tabs>
      </w:pPr>
      <w:r w:rsidRPr="00D16A2A">
        <w:t>Per collegare le risultanze in esame a quelle di chiusura dell’esercizio 2015 va riportato che sono stati reimputati al 2016 residui attivi per 877 milioni di euro e 1,5 miliardi di euro di residui</w:t>
      </w:r>
      <w:r>
        <w:t xml:space="preserve"> passivi, oltre a 1,7 miliardi di euro di residui perenti (non reimputati). Inoltre si imputavano al 2016 crediti per 510 milioni di euro e debiti per 414 milioni di euro.</w:t>
      </w:r>
    </w:p>
    <w:p w:rsidR="00DB3BAA" w:rsidRPr="005D660C" w:rsidRDefault="00DB3BAA" w:rsidP="00EF1956">
      <w:pPr>
        <w:pStyle w:val="CdcTesto"/>
        <w:spacing w:after="240"/>
      </w:pPr>
      <w:r>
        <w:t>L’FPV di spesa è stato quantificato al 31.</w:t>
      </w:r>
      <w:r w:rsidR="0031237A">
        <w:t>12.2015 in 344 milioni di euro e i</w:t>
      </w:r>
      <w:r>
        <w:t>l risultato di amministrazione comprensivo delle quote vinco</w:t>
      </w:r>
      <w:r w:rsidR="0031237A">
        <w:t xml:space="preserve">late e accantonate ammontava a </w:t>
      </w:r>
      <w:r w:rsidR="0031237A">
        <w:noBreakHyphen/>
      </w:r>
      <w:r>
        <w:t>1.393.699.802,24 euro</w:t>
      </w:r>
      <w:r>
        <w:rPr>
          <w:rStyle w:val="Rimandonotaapidipagina"/>
        </w:rPr>
        <w:footnoteReference w:id="7"/>
      </w:r>
      <w:r>
        <w:t>.</w:t>
      </w:r>
    </w:p>
    <w:p w:rsidR="00DB3BAA" w:rsidRDefault="00DB3BAA" w:rsidP="007D10C5">
      <w:pPr>
        <w:pStyle w:val="CdcTesto"/>
        <w:numPr>
          <w:ilvl w:val="0"/>
          <w:numId w:val="27"/>
        </w:numPr>
        <w:tabs>
          <w:tab w:val="left" w:pos="142"/>
          <w:tab w:val="left" w:pos="284"/>
        </w:tabs>
      </w:pPr>
      <w:r w:rsidRPr="00067233">
        <w:rPr>
          <w:b/>
          <w:sz w:val="28"/>
          <w:szCs w:val="28"/>
        </w:rPr>
        <w:t>Le previsioni definitive del bilancio 2016.</w:t>
      </w:r>
      <w:r>
        <w:rPr>
          <w:b/>
        </w:rPr>
        <w:t xml:space="preserve"> </w:t>
      </w:r>
      <w:r>
        <w:t xml:space="preserve">Oltre al ritardo che si è determinato nell’approvazione dell’assestamento del bilancio, nell’esercizio 2016 si apportano numerose variazioni ulteriori (le ultime risalgono al mese di dicembre 2016), talché le previsioni finali </w:t>
      </w:r>
      <w:r w:rsidR="00267F6F">
        <w:t>differiscono</w:t>
      </w:r>
      <w:r>
        <w:t xml:space="preserve"> rispetto alle previsioni iniziali (di oltre il 20%).</w:t>
      </w:r>
    </w:p>
    <w:p w:rsidR="00DB3BAA" w:rsidRDefault="00DB3BAA" w:rsidP="00DB3BAA">
      <w:pPr>
        <w:pStyle w:val="CdcTesto"/>
      </w:pPr>
      <w:r>
        <w:t xml:space="preserve">Infatti a fronte di </w:t>
      </w:r>
      <w:r w:rsidRPr="004A0B01">
        <w:rPr>
          <w:b/>
        </w:rPr>
        <w:t>previsioni iniziali di entrata</w:t>
      </w:r>
      <w:r>
        <w:t xml:space="preserve"> e </w:t>
      </w:r>
      <w:r w:rsidRPr="00C26B20">
        <w:rPr>
          <w:b/>
        </w:rPr>
        <w:t>spesa di competenza per 8,852 miliardi di euro</w:t>
      </w:r>
      <w:r>
        <w:t xml:space="preserve">, si registrano </w:t>
      </w:r>
      <w:r w:rsidRPr="004A0B01">
        <w:rPr>
          <w:b/>
        </w:rPr>
        <w:t>previsioni finali pari a 10,689 miliardi di euro</w:t>
      </w:r>
      <w:r>
        <w:t>; per la cassa previsioni iniziali pari a 8,5151 miliardi di euro e finali pari a 9,990 miliardi di euro</w:t>
      </w:r>
      <w:r w:rsidR="005E221B">
        <w:t xml:space="preserve"> (v. tabelle 8 e 9)</w:t>
      </w:r>
      <w:r>
        <w:t>.</w:t>
      </w:r>
    </w:p>
    <w:p w:rsidR="00DB3BAA" w:rsidRDefault="00DB3BAA" w:rsidP="00DB3BAA">
      <w:pPr>
        <w:pStyle w:val="CdcTesto"/>
        <w:rPr>
          <w:color w:val="000000" w:themeColor="text1"/>
        </w:rPr>
      </w:pPr>
      <w:r w:rsidRPr="007C335A">
        <w:t xml:space="preserve">Le </w:t>
      </w:r>
      <w:r w:rsidRPr="00C26B20">
        <w:rPr>
          <w:b/>
        </w:rPr>
        <w:t>previsioni finali di competenza di entrata e di spesa nel 2016</w:t>
      </w:r>
      <w:r w:rsidRPr="007C335A">
        <w:t xml:space="preserve"> mostrano una lieve flessione rispetto al 2015 (-1,11%). Con riferimento alle </w:t>
      </w:r>
      <w:r w:rsidRPr="00C26B20">
        <w:rPr>
          <w:b/>
        </w:rPr>
        <w:t>previsioni di cassa</w:t>
      </w:r>
      <w:r w:rsidRPr="007C335A">
        <w:t xml:space="preserve"> complessivamente considerate</w:t>
      </w:r>
      <w:r>
        <w:t xml:space="preserve"> (competenze+residui)</w:t>
      </w:r>
      <w:r w:rsidRPr="007C335A">
        <w:t xml:space="preserve">, invece si </w:t>
      </w:r>
      <w:r>
        <w:t>osserva un incremento del 22,55% rispetto all’esercizio precedente</w:t>
      </w:r>
      <w:r w:rsidRPr="007C335A">
        <w:t xml:space="preserve">. </w:t>
      </w:r>
    </w:p>
    <w:p w:rsidR="00DB3BAA" w:rsidRPr="007C335A"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In relazione al peso di ciascuna Missione sulle previsioni di bilancio</w:t>
      </w:r>
      <w:r>
        <w:rPr>
          <w:rFonts w:ascii="Bodoni MT" w:eastAsiaTheme="minorEastAsia" w:hAnsi="Bodoni MT" w:cs="Bodoni MT"/>
          <w:color w:val="000000"/>
          <w:sz w:val="24"/>
          <w:szCs w:val="24"/>
        </w:rPr>
        <w:t xml:space="preserve"> 2016 </w:t>
      </w:r>
      <w:r w:rsidRPr="007C335A">
        <w:rPr>
          <w:rFonts w:ascii="Bodoni MT" w:eastAsiaTheme="minorEastAsia" w:hAnsi="Bodoni MT" w:cs="Bodoni MT"/>
          <w:color w:val="000000"/>
          <w:sz w:val="24"/>
          <w:szCs w:val="24"/>
        </w:rPr>
        <w:t xml:space="preserve">si riscontra la </w:t>
      </w:r>
      <w:r w:rsidRPr="00F940FB">
        <w:rPr>
          <w:rFonts w:ascii="Bodoni MT" w:eastAsiaTheme="minorEastAsia" w:hAnsi="Bodoni MT" w:cs="Bodoni MT"/>
          <w:b/>
          <w:color w:val="000000"/>
          <w:sz w:val="24"/>
          <w:szCs w:val="24"/>
        </w:rPr>
        <w:t>notevole incidenza della Missione 13 “Tutela della salute”,</w:t>
      </w:r>
      <w:r w:rsidRPr="007C335A">
        <w:rPr>
          <w:rFonts w:ascii="Bodoni MT" w:eastAsiaTheme="minorEastAsia" w:hAnsi="Bodoni MT" w:cs="Bodoni MT"/>
          <w:color w:val="000000"/>
          <w:sz w:val="24"/>
          <w:szCs w:val="24"/>
        </w:rPr>
        <w:t xml:space="preserve"> che rappresenta il 35,47% del complesso degli stanziamenti di competenza e il 40% circa degli stanziamenti di cassa, e della Missione 18 “Relazioni con le altre autonomie territoriali e locali” che incide per il 13,62% sulla competenza e per il 15,52% sulla cassa. Rilevante anche l’incidenza della Missione 1 “Servizi istituzionali” i cui stanziamenti costituiscono il 12,33% del totale (10,68% in termini di cassa)</w:t>
      </w:r>
      <w:r w:rsidR="005E221B">
        <w:rPr>
          <w:rFonts w:ascii="Bodoni MT" w:eastAsiaTheme="minorEastAsia" w:hAnsi="Bodoni MT" w:cs="Bodoni MT"/>
          <w:color w:val="000000"/>
          <w:sz w:val="24"/>
          <w:szCs w:val="24"/>
        </w:rPr>
        <w:t xml:space="preserve"> (v. tabella 10)</w:t>
      </w:r>
      <w:r w:rsidRPr="007C335A">
        <w:rPr>
          <w:rFonts w:ascii="Bodoni MT" w:eastAsiaTheme="minorEastAsia" w:hAnsi="Bodoni MT" w:cs="Bodoni MT"/>
          <w:color w:val="000000"/>
          <w:sz w:val="24"/>
          <w:szCs w:val="24"/>
        </w:rPr>
        <w:t>.</w:t>
      </w:r>
    </w:p>
    <w:p w:rsidR="00DB3BAA" w:rsidRDefault="0031237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b/>
          <w:color w:val="000000"/>
          <w:sz w:val="24"/>
          <w:szCs w:val="24"/>
        </w:rPr>
        <w:t xml:space="preserve">Alle </w:t>
      </w:r>
      <w:r w:rsidR="00DB3BAA" w:rsidRPr="00F940FB">
        <w:rPr>
          <w:rFonts w:ascii="Bodoni MT" w:eastAsiaTheme="minorEastAsia" w:hAnsi="Bodoni MT" w:cs="Bodoni MT"/>
          <w:b/>
          <w:color w:val="000000"/>
          <w:sz w:val="24"/>
          <w:szCs w:val="24"/>
        </w:rPr>
        <w:t>Missioni destinate alle politiche sociali e giovanili, allo studio, al lavoro, al turismo</w:t>
      </w:r>
      <w:r w:rsidR="00DB3BAA" w:rsidRPr="007C335A">
        <w:rPr>
          <w:rFonts w:ascii="Bodoni MT" w:eastAsiaTheme="minorEastAsia" w:hAnsi="Bodoni MT" w:cs="Bodoni MT"/>
          <w:color w:val="000000"/>
          <w:sz w:val="24"/>
          <w:szCs w:val="24"/>
        </w:rPr>
        <w:t xml:space="preserve"> (Missioni 4, 5, 6, 7, 12 e 15), sono destinate complessivamente </w:t>
      </w:r>
      <w:r w:rsidR="00DB3BAA" w:rsidRPr="00F940FB">
        <w:rPr>
          <w:rFonts w:ascii="Bodoni MT" w:eastAsiaTheme="minorEastAsia" w:hAnsi="Bodoni MT" w:cs="Bodoni MT"/>
          <w:b/>
          <w:color w:val="000000"/>
          <w:sz w:val="24"/>
          <w:szCs w:val="24"/>
        </w:rPr>
        <w:t>l’8,73% degli stanziamenti di bilancio</w:t>
      </w:r>
      <w:r w:rsidR="00DB3BAA" w:rsidRPr="007C335A">
        <w:rPr>
          <w:rFonts w:ascii="Bodoni MT" w:eastAsiaTheme="minorEastAsia" w:hAnsi="Bodoni MT" w:cs="Bodoni MT"/>
          <w:color w:val="000000"/>
          <w:sz w:val="24"/>
          <w:szCs w:val="24"/>
        </w:rPr>
        <w:t>.</w:t>
      </w:r>
    </w:p>
    <w:p w:rsidR="00DB3BAA"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lastRenderedPageBreak/>
        <w:t>Il confronto della spesa per MISSIONI</w:t>
      </w:r>
      <w:r>
        <w:rPr>
          <w:rFonts w:ascii="Bodoni MT" w:eastAsiaTheme="minorEastAsia" w:hAnsi="Bodoni MT" w:cs="Bodoni MT"/>
          <w:color w:val="000000"/>
          <w:sz w:val="24"/>
          <w:szCs w:val="24"/>
        </w:rPr>
        <w:t xml:space="preserve"> tra il 2015 e il 2016</w:t>
      </w:r>
      <w:r w:rsidRPr="007C335A">
        <w:rPr>
          <w:rFonts w:ascii="Bodoni MT" w:eastAsiaTheme="minorEastAsia" w:hAnsi="Bodoni MT" w:cs="Bodoni MT"/>
          <w:color w:val="000000"/>
          <w:sz w:val="24"/>
          <w:szCs w:val="24"/>
        </w:rPr>
        <w:t xml:space="preserve">, in termini di competenza, evidenzia il maggior stanziamento </w:t>
      </w:r>
      <w:r>
        <w:rPr>
          <w:rFonts w:ascii="Bodoni MT" w:eastAsiaTheme="minorEastAsia" w:hAnsi="Bodoni MT" w:cs="Bodoni MT"/>
          <w:color w:val="000000"/>
          <w:sz w:val="24"/>
          <w:szCs w:val="24"/>
        </w:rPr>
        <w:t xml:space="preserve">nel 2016 </w:t>
      </w:r>
      <w:r w:rsidRPr="007C335A">
        <w:rPr>
          <w:rFonts w:ascii="Bodoni MT" w:eastAsiaTheme="minorEastAsia" w:hAnsi="Bodoni MT" w:cs="Bodoni MT"/>
          <w:color w:val="000000"/>
          <w:sz w:val="24"/>
          <w:szCs w:val="24"/>
        </w:rPr>
        <w:t xml:space="preserve">di 730,9 </w:t>
      </w:r>
      <w:r w:rsidR="005E221B">
        <w:rPr>
          <w:rFonts w:ascii="Bodoni MT" w:eastAsiaTheme="majorEastAsia" w:hAnsi="Bodoni MT" w:cs="Bodoni MT"/>
          <w:color w:val="000000"/>
          <w:sz w:val="24"/>
          <w:szCs w:val="24"/>
        </w:rPr>
        <w:t xml:space="preserve">milioni </w:t>
      </w:r>
      <w:r w:rsidRPr="007C335A">
        <w:rPr>
          <w:rFonts w:ascii="Bodoni MT" w:eastAsiaTheme="minorEastAsia" w:hAnsi="Bodoni MT" w:cs="Bodoni MT"/>
          <w:color w:val="000000"/>
          <w:sz w:val="24"/>
          <w:szCs w:val="24"/>
        </w:rPr>
        <w:t xml:space="preserve">di euro della Missione 18 “Relazioni con le altre autonomie territoriali e locali” e quello di 362,315 </w:t>
      </w:r>
      <w:r w:rsidR="005E221B">
        <w:rPr>
          <w:rFonts w:ascii="Bodoni MT" w:eastAsiaTheme="majorEastAsia" w:hAnsi="Bodoni MT" w:cs="Bodoni MT"/>
          <w:color w:val="000000"/>
          <w:sz w:val="24"/>
          <w:szCs w:val="24"/>
        </w:rPr>
        <w:t xml:space="preserve">milioni </w:t>
      </w:r>
      <w:r w:rsidRPr="007C335A">
        <w:rPr>
          <w:rFonts w:ascii="Bodoni MT" w:eastAsiaTheme="minorEastAsia" w:hAnsi="Bodoni MT" w:cs="Bodoni MT"/>
          <w:color w:val="000000"/>
          <w:sz w:val="24"/>
          <w:szCs w:val="24"/>
        </w:rPr>
        <w:t xml:space="preserve">di euro della Missione 13 “Tutela della salute”. </w:t>
      </w:r>
    </w:p>
    <w:p w:rsidR="00DB3BAA" w:rsidRPr="007C335A"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Da segnalare anche l’incremento delle previsioni della Missione 14 “Sviluppo economico e competitività (+110,5 </w:t>
      </w:r>
      <w:r w:rsidR="005E221B">
        <w:rPr>
          <w:rFonts w:ascii="Bodoni MT" w:eastAsiaTheme="majorEastAsia" w:hAnsi="Bodoni MT" w:cs="Bodoni MT"/>
          <w:color w:val="000000"/>
          <w:sz w:val="24"/>
          <w:szCs w:val="24"/>
        </w:rPr>
        <w:t xml:space="preserve">milioni </w:t>
      </w:r>
      <w:r w:rsidRPr="007C335A">
        <w:rPr>
          <w:rFonts w:ascii="Bodoni MT" w:eastAsiaTheme="minorEastAsia" w:hAnsi="Bodoni MT" w:cs="Bodoni MT"/>
          <w:color w:val="000000"/>
          <w:sz w:val="24"/>
          <w:szCs w:val="24"/>
        </w:rPr>
        <w:t xml:space="preserve">di euro) e quello della Missione 1 “Servizi istituzionali, generali e di gestione” (+98,861 </w:t>
      </w:r>
      <w:r w:rsidR="005E221B">
        <w:rPr>
          <w:rFonts w:ascii="Bodoni MT" w:eastAsiaTheme="majorEastAsia" w:hAnsi="Bodoni MT" w:cs="Bodoni MT"/>
          <w:color w:val="000000"/>
          <w:sz w:val="24"/>
          <w:szCs w:val="24"/>
        </w:rPr>
        <w:t xml:space="preserve">milioni </w:t>
      </w:r>
      <w:r w:rsidRPr="007C335A">
        <w:rPr>
          <w:rFonts w:ascii="Bodoni MT" w:eastAsiaTheme="minorEastAsia" w:hAnsi="Bodoni MT" w:cs="Bodoni MT"/>
          <w:color w:val="000000"/>
          <w:sz w:val="24"/>
          <w:szCs w:val="24"/>
        </w:rPr>
        <w:t xml:space="preserve">di euro). </w:t>
      </w:r>
    </w:p>
    <w:p w:rsidR="00DB3BAA" w:rsidRDefault="0031237A" w:rsidP="00DB3BAA">
      <w:pPr>
        <w:autoSpaceDE w:val="0"/>
        <w:autoSpaceDN w:val="0"/>
        <w:adjustRightInd w:val="0"/>
        <w:spacing w:after="36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Rispetto al 2015 s</w:t>
      </w:r>
      <w:r w:rsidR="00DB3BAA" w:rsidRPr="007C335A">
        <w:rPr>
          <w:rFonts w:ascii="Bodoni MT" w:eastAsiaTheme="minorEastAsia" w:hAnsi="Bodoni MT" w:cs="Bodoni MT"/>
          <w:color w:val="000000"/>
          <w:sz w:val="24"/>
          <w:szCs w:val="24"/>
        </w:rPr>
        <w:t>i ev</w:t>
      </w:r>
      <w:r w:rsidR="00DB3BAA">
        <w:rPr>
          <w:rFonts w:ascii="Bodoni MT" w:eastAsiaTheme="minorEastAsia" w:hAnsi="Bodoni MT" w:cs="Bodoni MT"/>
          <w:color w:val="000000"/>
          <w:sz w:val="24"/>
          <w:szCs w:val="24"/>
        </w:rPr>
        <w:t>idenzia</w:t>
      </w:r>
      <w:r w:rsidR="00DB3BAA" w:rsidRPr="007C335A">
        <w:rPr>
          <w:rFonts w:ascii="Bodoni MT" w:eastAsiaTheme="minorEastAsia" w:hAnsi="Bodoni MT" w:cs="Bodoni MT"/>
          <w:color w:val="000000"/>
          <w:sz w:val="24"/>
          <w:szCs w:val="24"/>
        </w:rPr>
        <w:t xml:space="preserve"> </w:t>
      </w:r>
      <w:r w:rsidR="00DB3BAA" w:rsidRPr="006F2258">
        <w:rPr>
          <w:rFonts w:ascii="Bodoni MT" w:eastAsiaTheme="minorEastAsia" w:hAnsi="Bodoni MT" w:cs="Bodoni MT"/>
          <w:b/>
          <w:color w:val="000000"/>
          <w:sz w:val="24"/>
          <w:szCs w:val="24"/>
        </w:rPr>
        <w:t>l’andamento in riduzione negli stanziamenti della Missione 4“Istruzione e diritto allo studio”</w:t>
      </w:r>
      <w:r w:rsidR="00DB3BAA" w:rsidRPr="007C335A">
        <w:rPr>
          <w:rFonts w:ascii="Bodoni MT" w:eastAsiaTheme="minorEastAsia" w:hAnsi="Bodoni MT" w:cs="Bodoni MT"/>
          <w:color w:val="000000"/>
          <w:sz w:val="24"/>
          <w:szCs w:val="24"/>
        </w:rPr>
        <w:t xml:space="preserve"> (-192,4 </w:t>
      </w:r>
      <w:r w:rsidR="005E221B">
        <w:rPr>
          <w:rFonts w:ascii="Bodoni MT" w:eastAsiaTheme="majorEastAsia" w:hAnsi="Bodoni MT" w:cs="Bodoni MT"/>
          <w:color w:val="000000"/>
          <w:sz w:val="24"/>
          <w:szCs w:val="24"/>
        </w:rPr>
        <w:t xml:space="preserve">milioni </w:t>
      </w:r>
      <w:r w:rsidR="00DB3BAA" w:rsidRPr="007C335A">
        <w:rPr>
          <w:rFonts w:ascii="Bodoni MT" w:eastAsiaTheme="minorEastAsia" w:hAnsi="Bodoni MT" w:cs="Bodoni MT"/>
          <w:color w:val="000000"/>
          <w:sz w:val="24"/>
          <w:szCs w:val="24"/>
        </w:rPr>
        <w:t xml:space="preserve">di euro rispetto al 2015), </w:t>
      </w:r>
      <w:r w:rsidR="00DB3BAA" w:rsidRPr="006F2258">
        <w:rPr>
          <w:rFonts w:ascii="Bodoni MT" w:eastAsiaTheme="minorEastAsia" w:hAnsi="Bodoni MT" w:cs="Bodoni MT"/>
          <w:b/>
          <w:color w:val="000000"/>
          <w:sz w:val="24"/>
          <w:szCs w:val="24"/>
        </w:rPr>
        <w:t>della Missione 10 “Trasporti e diritto alla mobilità”</w:t>
      </w:r>
      <w:r w:rsidR="00DB3BAA">
        <w:rPr>
          <w:rFonts w:ascii="Bodoni MT" w:eastAsiaTheme="minorEastAsia" w:hAnsi="Bodoni MT" w:cs="Bodoni MT"/>
          <w:color w:val="000000"/>
          <w:sz w:val="24"/>
          <w:szCs w:val="24"/>
        </w:rPr>
        <w:t xml:space="preserve"> (</w:t>
      </w:r>
      <w:r w:rsidR="00DB3BAA">
        <w:rPr>
          <w:rFonts w:ascii="Bodoni MT" w:eastAsiaTheme="minorEastAsia" w:hAnsi="Bodoni MT" w:cs="Bodoni MT"/>
          <w:color w:val="000000"/>
          <w:sz w:val="24"/>
          <w:szCs w:val="24"/>
        </w:rPr>
        <w:noBreakHyphen/>
      </w:r>
      <w:r w:rsidR="00DB3BAA" w:rsidRPr="007C335A">
        <w:rPr>
          <w:rFonts w:ascii="Bodoni MT" w:eastAsiaTheme="minorEastAsia" w:hAnsi="Bodoni MT" w:cs="Bodoni MT"/>
          <w:color w:val="000000"/>
          <w:sz w:val="24"/>
          <w:szCs w:val="24"/>
        </w:rPr>
        <w:t xml:space="preserve">291,338 </w:t>
      </w:r>
      <w:r w:rsidR="005E221B">
        <w:rPr>
          <w:rFonts w:ascii="Bodoni MT" w:eastAsiaTheme="majorEastAsia" w:hAnsi="Bodoni MT" w:cs="Bodoni MT"/>
          <w:color w:val="000000"/>
          <w:sz w:val="24"/>
          <w:szCs w:val="24"/>
        </w:rPr>
        <w:t xml:space="preserve">milioni </w:t>
      </w:r>
      <w:r w:rsidR="00DB3BAA" w:rsidRPr="007C335A">
        <w:rPr>
          <w:rFonts w:ascii="Bodoni MT" w:eastAsiaTheme="minorEastAsia" w:hAnsi="Bodoni MT" w:cs="Bodoni MT"/>
          <w:color w:val="000000"/>
          <w:sz w:val="24"/>
          <w:szCs w:val="24"/>
        </w:rPr>
        <w:t xml:space="preserve">di euro), </w:t>
      </w:r>
      <w:r w:rsidR="00DB3BAA" w:rsidRPr="006F2258">
        <w:rPr>
          <w:rFonts w:ascii="Bodoni MT" w:eastAsiaTheme="minorEastAsia" w:hAnsi="Bodoni MT" w:cs="Bodoni MT"/>
          <w:b/>
          <w:color w:val="000000"/>
          <w:sz w:val="24"/>
          <w:szCs w:val="24"/>
        </w:rPr>
        <w:t>della Missione 9 “Sviluppo sostenibile e tutela del territorio e dell’ambiente”</w:t>
      </w:r>
      <w:r w:rsidR="00DB3BAA">
        <w:rPr>
          <w:rFonts w:ascii="Bodoni MT" w:eastAsiaTheme="minorEastAsia" w:hAnsi="Bodoni MT" w:cs="Bodoni MT"/>
          <w:color w:val="000000"/>
          <w:sz w:val="24"/>
          <w:szCs w:val="24"/>
        </w:rPr>
        <w:t xml:space="preserve"> (</w:t>
      </w:r>
      <w:r w:rsidR="00DB3BAA">
        <w:rPr>
          <w:rFonts w:ascii="Bodoni MT" w:eastAsiaTheme="minorEastAsia" w:hAnsi="Bodoni MT" w:cs="Bodoni MT"/>
          <w:color w:val="000000"/>
          <w:sz w:val="24"/>
          <w:szCs w:val="24"/>
        </w:rPr>
        <w:noBreakHyphen/>
      </w:r>
      <w:r w:rsidR="00DB3BAA" w:rsidRPr="007C335A">
        <w:rPr>
          <w:rFonts w:ascii="Bodoni MT" w:eastAsiaTheme="minorEastAsia" w:hAnsi="Bodoni MT" w:cs="Bodoni MT"/>
          <w:color w:val="000000"/>
          <w:sz w:val="24"/>
          <w:szCs w:val="24"/>
        </w:rPr>
        <w:t xml:space="preserve">110,464 </w:t>
      </w:r>
      <w:r w:rsidR="005E221B">
        <w:rPr>
          <w:rFonts w:ascii="Bodoni MT" w:eastAsiaTheme="majorEastAsia" w:hAnsi="Bodoni MT" w:cs="Bodoni MT"/>
          <w:color w:val="000000"/>
          <w:sz w:val="24"/>
          <w:szCs w:val="24"/>
        </w:rPr>
        <w:t xml:space="preserve">milioni </w:t>
      </w:r>
      <w:r w:rsidR="00DB3BAA" w:rsidRPr="007C335A">
        <w:rPr>
          <w:rFonts w:ascii="Bodoni MT" w:eastAsiaTheme="minorEastAsia" w:hAnsi="Bodoni MT" w:cs="Bodoni MT"/>
          <w:color w:val="000000"/>
          <w:sz w:val="24"/>
          <w:szCs w:val="24"/>
        </w:rPr>
        <w:t xml:space="preserve">di euro), </w:t>
      </w:r>
      <w:r w:rsidR="00DB3BAA" w:rsidRPr="006F2258">
        <w:rPr>
          <w:rFonts w:ascii="Bodoni MT" w:eastAsiaTheme="minorEastAsia" w:hAnsi="Bodoni MT" w:cs="Bodoni MT"/>
          <w:b/>
          <w:color w:val="000000"/>
          <w:sz w:val="24"/>
          <w:szCs w:val="24"/>
        </w:rPr>
        <w:t>della Missione 15 “Politiche per il lavoro e la formazione professionale”</w:t>
      </w:r>
      <w:r w:rsidR="00DB3BAA" w:rsidRPr="007C335A">
        <w:rPr>
          <w:rFonts w:ascii="Bodoni MT" w:eastAsiaTheme="minorEastAsia" w:hAnsi="Bodoni MT" w:cs="Bodoni MT"/>
          <w:color w:val="000000"/>
          <w:sz w:val="24"/>
          <w:szCs w:val="24"/>
        </w:rPr>
        <w:t xml:space="preserve"> (-103,776 </w:t>
      </w:r>
      <w:r w:rsidR="005E221B">
        <w:rPr>
          <w:rFonts w:ascii="Bodoni MT" w:eastAsiaTheme="majorEastAsia" w:hAnsi="Bodoni MT" w:cs="Bodoni MT"/>
          <w:color w:val="000000"/>
          <w:sz w:val="24"/>
          <w:szCs w:val="24"/>
        </w:rPr>
        <w:t xml:space="preserve">milioni </w:t>
      </w:r>
      <w:r w:rsidR="00A00467">
        <w:rPr>
          <w:rFonts w:ascii="Bodoni MT" w:eastAsiaTheme="minorEastAsia" w:hAnsi="Bodoni MT" w:cs="Bodoni MT"/>
          <w:color w:val="000000"/>
          <w:sz w:val="24"/>
          <w:szCs w:val="24"/>
        </w:rPr>
        <w:t>di euro).</w:t>
      </w:r>
      <w:r w:rsidR="00DB3BAA" w:rsidRPr="007C335A">
        <w:rPr>
          <w:rFonts w:ascii="Bodoni MT" w:eastAsiaTheme="minorEastAsia" w:hAnsi="Bodoni MT" w:cs="Bodoni MT"/>
          <w:color w:val="000000"/>
          <w:sz w:val="24"/>
          <w:szCs w:val="24"/>
        </w:rPr>
        <w:t xml:space="preserve"> </w:t>
      </w:r>
      <w:r w:rsidR="00A00467">
        <w:rPr>
          <w:rFonts w:ascii="Bodoni MT" w:eastAsiaTheme="minorEastAsia" w:hAnsi="Bodoni MT" w:cs="Bodoni MT"/>
          <w:color w:val="000000"/>
          <w:sz w:val="24"/>
          <w:szCs w:val="24"/>
        </w:rPr>
        <w:t xml:space="preserve">Tali </w:t>
      </w:r>
      <w:r w:rsidR="00DB3BAA" w:rsidRPr="007C335A">
        <w:rPr>
          <w:rFonts w:ascii="Bodoni MT" w:eastAsiaTheme="minorEastAsia" w:hAnsi="Bodoni MT" w:cs="Bodoni MT"/>
          <w:color w:val="000000"/>
          <w:sz w:val="24"/>
          <w:szCs w:val="24"/>
        </w:rPr>
        <w:t xml:space="preserve">riduzioni </w:t>
      </w:r>
      <w:r w:rsidR="00A00467">
        <w:rPr>
          <w:rFonts w:ascii="Bodoni MT" w:eastAsiaTheme="minorEastAsia" w:hAnsi="Bodoni MT" w:cs="Bodoni MT"/>
          <w:color w:val="000000"/>
          <w:sz w:val="24"/>
          <w:szCs w:val="24"/>
        </w:rPr>
        <w:t>degli stanziamenti sono dovute all’azione in riduzione delle diverse fonti che alimentano lo stanziamento di origine, statale, regionale e comunitaria.</w:t>
      </w:r>
      <w:r w:rsidR="00DB3BAA" w:rsidRPr="007C335A">
        <w:rPr>
          <w:rFonts w:ascii="Bodoni MT" w:eastAsiaTheme="minorEastAsia" w:hAnsi="Bodoni MT" w:cs="Bodoni MT"/>
          <w:color w:val="000000"/>
          <w:sz w:val="24"/>
          <w:szCs w:val="24"/>
        </w:rPr>
        <w:t xml:space="preserve"> </w:t>
      </w:r>
      <w:r w:rsidR="00A00467">
        <w:rPr>
          <w:rFonts w:ascii="Bodoni MT" w:eastAsiaTheme="minorEastAsia" w:hAnsi="Bodoni MT" w:cs="Bodoni MT"/>
          <w:color w:val="000000"/>
          <w:sz w:val="24"/>
          <w:szCs w:val="24"/>
        </w:rPr>
        <w:t>Si rileva</w:t>
      </w:r>
      <w:r w:rsidR="00267F6F">
        <w:rPr>
          <w:rFonts w:ascii="Bodoni MT" w:eastAsiaTheme="minorEastAsia" w:hAnsi="Bodoni MT" w:cs="Bodoni MT"/>
          <w:color w:val="000000"/>
          <w:sz w:val="24"/>
          <w:szCs w:val="24"/>
        </w:rPr>
        <w:t>,</w:t>
      </w:r>
      <w:r w:rsidR="00A00467">
        <w:rPr>
          <w:rFonts w:ascii="Bodoni MT" w:eastAsiaTheme="minorEastAsia" w:hAnsi="Bodoni MT" w:cs="Bodoni MT"/>
          <w:color w:val="000000"/>
          <w:sz w:val="24"/>
          <w:szCs w:val="24"/>
        </w:rPr>
        <w:t xml:space="preserve"> tuttavia, che hanno risentito di minori dotazioni </w:t>
      </w:r>
      <w:r w:rsidR="00DB3BAA" w:rsidRPr="007C335A">
        <w:rPr>
          <w:rFonts w:ascii="Bodoni MT" w:eastAsiaTheme="minorEastAsia" w:hAnsi="Bodoni MT" w:cs="Bodoni MT"/>
          <w:color w:val="000000"/>
          <w:sz w:val="24"/>
          <w:szCs w:val="24"/>
        </w:rPr>
        <w:t xml:space="preserve">settori che avrebbero maggiore necessità di sostegno in considerazione delle condizioni economiche e sociali della </w:t>
      </w:r>
      <w:r w:rsidR="00DB3BAA" w:rsidRPr="00C26B20">
        <w:rPr>
          <w:rFonts w:ascii="Bodoni MT" w:eastAsiaTheme="minorEastAsia" w:hAnsi="Bodoni MT" w:cs="Bodoni MT"/>
          <w:color w:val="000000"/>
          <w:sz w:val="24"/>
          <w:szCs w:val="24"/>
        </w:rPr>
        <w:t>Regione</w:t>
      </w:r>
      <w:r w:rsidR="00DB3BAA">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 xml:space="preserve">descritte nel DEFR </w:t>
      </w:r>
      <w:r w:rsidR="00DB3BAA">
        <w:rPr>
          <w:rFonts w:ascii="Bodoni MT" w:eastAsiaTheme="minorEastAsia" w:hAnsi="Bodoni MT" w:cs="Bodoni MT"/>
          <w:color w:val="000000"/>
          <w:sz w:val="24"/>
          <w:szCs w:val="24"/>
        </w:rPr>
        <w:t>e degli obiet</w:t>
      </w:r>
      <w:r>
        <w:rPr>
          <w:rFonts w:ascii="Bodoni MT" w:eastAsiaTheme="minorEastAsia" w:hAnsi="Bodoni MT" w:cs="Bodoni MT"/>
          <w:color w:val="000000"/>
          <w:sz w:val="24"/>
          <w:szCs w:val="24"/>
        </w:rPr>
        <w:t xml:space="preserve">tivi di crescita progettati nello stesso </w:t>
      </w:r>
      <w:r w:rsidR="00DB3BAA">
        <w:rPr>
          <w:rFonts w:ascii="Bodoni MT" w:eastAsiaTheme="minorEastAsia" w:hAnsi="Bodoni MT" w:cs="Bodoni MT"/>
          <w:color w:val="000000"/>
          <w:sz w:val="24"/>
          <w:szCs w:val="24"/>
        </w:rPr>
        <w:t>DEFR</w:t>
      </w:r>
      <w:r w:rsidR="00DB3BAA" w:rsidRPr="007C335A">
        <w:rPr>
          <w:rFonts w:ascii="Bodoni MT" w:eastAsiaTheme="minorEastAsia" w:hAnsi="Bodoni MT" w:cs="Bodoni MT"/>
          <w:color w:val="000000"/>
          <w:sz w:val="24"/>
          <w:szCs w:val="24"/>
        </w:rPr>
        <w:t>.</w:t>
      </w:r>
    </w:p>
    <w:p w:rsidR="00DB3BAA" w:rsidRDefault="00DB3BAA" w:rsidP="007D10C5">
      <w:pPr>
        <w:pStyle w:val="CdcTesto"/>
        <w:numPr>
          <w:ilvl w:val="0"/>
          <w:numId w:val="27"/>
        </w:numPr>
        <w:tabs>
          <w:tab w:val="left" w:pos="284"/>
        </w:tabs>
      </w:pPr>
      <w:r w:rsidRPr="00067233">
        <w:rPr>
          <w:b/>
          <w:sz w:val="28"/>
          <w:szCs w:val="28"/>
        </w:rPr>
        <w:t>La gestione dell’entrata 2016.</w:t>
      </w:r>
      <w:r>
        <w:rPr>
          <w:b/>
        </w:rPr>
        <w:t xml:space="preserve"> </w:t>
      </w:r>
      <w:r>
        <w:t>Il decreto legislativo 9 giugno 2016 n. 114 (in vigore dal 12 luglio 2016) ha definitivamente determinato l’attribuzione delle quote di gettito delle entrate erariali spettanti alla Regione in attuazione delle riformate norme statutarie</w:t>
      </w:r>
      <w:r>
        <w:rPr>
          <w:rStyle w:val="Rimandonotaapidipagina"/>
        </w:rPr>
        <w:footnoteReference w:id="8"/>
      </w:r>
      <w:r>
        <w:t xml:space="preserve"> decorrenti dal 1° gennaio 2010.</w:t>
      </w:r>
    </w:p>
    <w:p w:rsidR="00DB3BAA" w:rsidRDefault="00DB3BAA" w:rsidP="00DB3BAA">
      <w:pPr>
        <w:pStyle w:val="CdcTesto"/>
      </w:pPr>
      <w:r w:rsidRPr="00B530C1">
        <w:t xml:space="preserve">Conclusivamente per gli anni dal 2010 al 2015 sono quantificati arretrati pari a 686.978.787 euro di cui 300 milioni di euro d’acconto erogati nel 2015, 96.744.697 </w:t>
      </w:r>
      <w:r>
        <w:t xml:space="preserve">di </w:t>
      </w:r>
      <w:r w:rsidRPr="00B530C1">
        <w:t>euro erogati nel 2016 ed euro 290.234.090 da erogare negli anni 2017/2019.</w:t>
      </w:r>
      <w:r>
        <w:t xml:space="preserve"> </w:t>
      </w:r>
      <w:r w:rsidRPr="00B530C1">
        <w:t>Per i redditi</w:t>
      </w:r>
      <w:r>
        <w:t xml:space="preserve"> da capitale non si è ancora pervenut</w:t>
      </w:r>
      <w:r w:rsidR="005E221B">
        <w:t xml:space="preserve">i all’intesa prevista dall’art. </w:t>
      </w:r>
      <w:r>
        <w:t>7 del citato D.Lgs. 114/2016.</w:t>
      </w:r>
    </w:p>
    <w:p w:rsidR="00DB3BAA" w:rsidRDefault="00DB3BAA" w:rsidP="00DB3BAA">
      <w:pPr>
        <w:pStyle w:val="CdcTesto"/>
      </w:pPr>
      <w:r>
        <w:t>L’effettiva acquisizione delle spettanze erariali annualmente dovute viene, però, incisa dal contestuale obbligo di contribuire al raggiungimento degli obiettivi di finanza pubblica. Il contributo a carico della Sardegna per il 2016, quantificato in 683,995 milioni di euro va a ridurre le devoluzioni erariali per l’esercizio (che ammonterebbero a 5.425.261.660,94 euro) riducendole a 4.741.265.672,19 euro.</w:t>
      </w:r>
    </w:p>
    <w:p w:rsidR="00DB3BAA" w:rsidRDefault="00DB3BAA" w:rsidP="00DB3BAA">
      <w:pPr>
        <w:pStyle w:val="CdcTesto"/>
      </w:pPr>
      <w:r>
        <w:lastRenderedPageBreak/>
        <w:t>La regione ha garantito allo Stato un contributo complessivo dal 2012 al 2016 pari a 2,6 miliardi di euro di “…</w:t>
      </w:r>
      <w:r w:rsidRPr="00787DCF">
        <w:rPr>
          <w:i/>
        </w:rPr>
        <w:t>risorse spettanti statutariamente alla Sardegna come quote erariali che sono state sottratte al bilancio regionale</w:t>
      </w:r>
      <w:r>
        <w:t>…”.</w:t>
      </w:r>
    </w:p>
    <w:p w:rsidR="00DB3BAA" w:rsidRPr="005D660C"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A fronte di previsioni definitive per 10.062,12 mln di euro (escluso l'avanzo di amministrazione dell'esercizio precedente e il Fondo pluriennale vincolato di parte corrente e di parte capitale), </w:t>
      </w:r>
      <w:r w:rsidRPr="00E860E7">
        <w:rPr>
          <w:rFonts w:ascii="Bodoni MT" w:eastAsiaTheme="minorEastAsia" w:hAnsi="Bodoni MT" w:cs="Bodoni MT"/>
          <w:b/>
          <w:color w:val="000000"/>
          <w:sz w:val="24"/>
          <w:szCs w:val="24"/>
        </w:rPr>
        <w:t>son</w:t>
      </w:r>
      <w:r>
        <w:rPr>
          <w:rFonts w:ascii="Bodoni MT" w:eastAsiaTheme="minorEastAsia" w:hAnsi="Bodoni MT" w:cs="Bodoni MT"/>
          <w:b/>
          <w:color w:val="000000"/>
          <w:sz w:val="24"/>
          <w:szCs w:val="24"/>
        </w:rPr>
        <w:t>o state accertate entrate per 8,936</w:t>
      </w:r>
      <w:r w:rsidRPr="00E860E7">
        <w:rPr>
          <w:rFonts w:ascii="Bodoni MT" w:eastAsiaTheme="minorEastAsia" w:hAnsi="Bodoni MT" w:cs="Bodoni MT"/>
          <w:b/>
          <w:color w:val="000000"/>
          <w:sz w:val="24"/>
          <w:szCs w:val="24"/>
        </w:rPr>
        <w:t xml:space="preserve"> </w:t>
      </w:r>
      <w:r>
        <w:rPr>
          <w:rFonts w:ascii="Bodoni MT" w:eastAsiaTheme="minorEastAsia" w:hAnsi="Bodoni MT" w:cs="Bodoni MT"/>
          <w:b/>
          <w:color w:val="000000"/>
          <w:sz w:val="24"/>
          <w:szCs w:val="24"/>
        </w:rPr>
        <w:t>miliardi</w:t>
      </w:r>
      <w:r w:rsidRPr="00E860E7">
        <w:rPr>
          <w:rFonts w:ascii="Bodoni MT" w:eastAsiaTheme="minorEastAsia" w:hAnsi="Bodoni MT" w:cs="Bodoni MT"/>
          <w:b/>
          <w:color w:val="000000"/>
          <w:sz w:val="24"/>
          <w:szCs w:val="24"/>
        </w:rPr>
        <w:t xml:space="preserve"> di euro</w:t>
      </w:r>
      <w:r w:rsidRPr="005D660C">
        <w:rPr>
          <w:rFonts w:ascii="Bodoni MT" w:eastAsiaTheme="minorEastAsia" w:hAnsi="Bodoni MT" w:cs="Bodoni MT"/>
          <w:color w:val="000000"/>
          <w:sz w:val="24"/>
          <w:szCs w:val="24"/>
        </w:rPr>
        <w:t xml:space="preserve"> che corrispondono </w:t>
      </w:r>
      <w:r w:rsidRPr="00E860E7">
        <w:rPr>
          <w:rFonts w:ascii="Bodoni MT" w:eastAsiaTheme="minorEastAsia" w:hAnsi="Bodoni MT" w:cs="Bodoni MT"/>
          <w:b/>
          <w:color w:val="000000"/>
          <w:sz w:val="24"/>
          <w:szCs w:val="24"/>
        </w:rPr>
        <w:t>all’88,8% delle previsioni</w:t>
      </w:r>
      <w:r>
        <w:rPr>
          <w:rStyle w:val="Rimandonotaapidipagina"/>
          <w:rFonts w:ascii="Bodoni MT" w:eastAsiaTheme="minorEastAsia" w:hAnsi="Bodoni MT" w:cs="Bodoni MT"/>
          <w:b/>
          <w:color w:val="000000"/>
          <w:sz w:val="24"/>
          <w:szCs w:val="24"/>
        </w:rPr>
        <w:footnoteReference w:id="9"/>
      </w:r>
      <w:r w:rsidRPr="005D660C">
        <w:rPr>
          <w:rFonts w:ascii="Bodoni MT" w:eastAsiaTheme="minorEastAsia" w:hAnsi="Bodoni MT" w:cs="Bodoni MT"/>
          <w:color w:val="000000"/>
          <w:sz w:val="24"/>
          <w:szCs w:val="24"/>
        </w:rPr>
        <w:t xml:space="preserve">. </w:t>
      </w:r>
    </w:p>
    <w:p w:rsidR="00DB3BAA" w:rsidRPr="005D660C" w:rsidRDefault="00DB3BAA" w:rsidP="00DB3BAA">
      <w:pPr>
        <w:pStyle w:val="CdcTesto"/>
      </w:pPr>
      <w:r w:rsidRPr="005D660C">
        <w:t xml:space="preserve">Le </w:t>
      </w:r>
      <w:r w:rsidRPr="00E860E7">
        <w:rPr>
          <w:b/>
        </w:rPr>
        <w:t>riscossioni in</w:t>
      </w:r>
      <w:r>
        <w:rPr>
          <w:b/>
        </w:rPr>
        <w:t xml:space="preserve"> conto competenza sono pari a 7,524</w:t>
      </w:r>
      <w:r w:rsidRPr="00E860E7">
        <w:rPr>
          <w:b/>
        </w:rPr>
        <w:t xml:space="preserve"> </w:t>
      </w:r>
      <w:r>
        <w:rPr>
          <w:b/>
        </w:rPr>
        <w:t>miliardi</w:t>
      </w:r>
      <w:r w:rsidRPr="00E860E7">
        <w:rPr>
          <w:b/>
        </w:rPr>
        <w:t xml:space="preserve"> di euro</w:t>
      </w:r>
      <w:r w:rsidRPr="005D660C">
        <w:t xml:space="preserve"> e corrispondono </w:t>
      </w:r>
      <w:r w:rsidRPr="00E860E7">
        <w:rPr>
          <w:b/>
        </w:rPr>
        <w:t>all’84,2% degli accertamenti</w:t>
      </w:r>
      <w:r w:rsidRPr="005D660C">
        <w:t>.</w:t>
      </w:r>
    </w:p>
    <w:p w:rsidR="00DB3BAA" w:rsidRPr="005D660C" w:rsidRDefault="00DB3BAA" w:rsidP="00DB3BAA">
      <w:pPr>
        <w:pStyle w:val="CdcTesto"/>
      </w:pPr>
      <w:r w:rsidRPr="005D660C">
        <w:t xml:space="preserve">I </w:t>
      </w:r>
      <w:r w:rsidRPr="00E860E7">
        <w:rPr>
          <w:b/>
        </w:rPr>
        <w:t>residui attivi</w:t>
      </w:r>
      <w:r w:rsidRPr="005D660C">
        <w:t xml:space="preserve"> che si sono generati nell’esercizio 2016 ammontano a </w:t>
      </w:r>
      <w:r>
        <w:rPr>
          <w:b/>
        </w:rPr>
        <w:t>1,411</w:t>
      </w:r>
      <w:r w:rsidRPr="00E860E7">
        <w:rPr>
          <w:b/>
        </w:rPr>
        <w:t xml:space="preserve"> </w:t>
      </w:r>
      <w:r>
        <w:rPr>
          <w:b/>
        </w:rPr>
        <w:t>miliardi</w:t>
      </w:r>
      <w:r w:rsidRPr="00E860E7">
        <w:rPr>
          <w:b/>
        </w:rPr>
        <w:t xml:space="preserve"> di euro</w:t>
      </w:r>
      <w:r>
        <w:t xml:space="preserve">, e sono </w:t>
      </w:r>
      <w:r w:rsidRPr="005D660C">
        <w:t>pari al 15,8% delle entrate accertate.</w:t>
      </w:r>
    </w:p>
    <w:p w:rsidR="00DB3BAA" w:rsidRPr="005D660C" w:rsidRDefault="00DB3BAA" w:rsidP="00DB3BAA">
      <w:pPr>
        <w:pStyle w:val="CdcTesto"/>
      </w:pPr>
      <w:r w:rsidRPr="005D660C">
        <w:t xml:space="preserve">Le </w:t>
      </w:r>
      <w:r w:rsidRPr="00E860E7">
        <w:rPr>
          <w:b/>
        </w:rPr>
        <w:t>minori entrate</w:t>
      </w:r>
      <w:r w:rsidRPr="005D660C">
        <w:t xml:space="preserve"> sono state pari a </w:t>
      </w:r>
      <w:r>
        <w:rPr>
          <w:b/>
        </w:rPr>
        <w:t>1,125</w:t>
      </w:r>
      <w:r w:rsidRPr="00E860E7">
        <w:rPr>
          <w:b/>
        </w:rPr>
        <w:t xml:space="preserve"> </w:t>
      </w:r>
      <w:r>
        <w:rPr>
          <w:b/>
        </w:rPr>
        <w:t>miliardi</w:t>
      </w:r>
      <w:r w:rsidRPr="00E860E7">
        <w:rPr>
          <w:b/>
        </w:rPr>
        <w:t xml:space="preserve"> di euro</w:t>
      </w:r>
      <w:r w:rsidRPr="005D660C">
        <w:t xml:space="preserve"> e corrispondono al 10,88% delle previsioni finali.</w:t>
      </w:r>
    </w:p>
    <w:p w:rsidR="00DB3BAA" w:rsidRDefault="00DB3BAA" w:rsidP="00DB3BAA">
      <w:pPr>
        <w:pStyle w:val="CdcTesto"/>
      </w:pPr>
      <w:r>
        <w:t>E’, però, importante, considerare che le reimputazioni attive provenienti dal 2015 costituiscono l’8,63% della manovra finale dell’entrata (esclusi l’Avanzo di amministrazione applicato al FPV).</w:t>
      </w:r>
    </w:p>
    <w:p w:rsidR="00DB3BAA" w:rsidRDefault="00DB3BAA" w:rsidP="00DB3BAA">
      <w:pPr>
        <w:pStyle w:val="CdcTesto"/>
      </w:pPr>
      <w:r>
        <w:t>Le entrate correnti (Titolo I), pari 7,1 miliardi di euro, rappresentano circa il 70% dei titoli (al netto del FPV) ed evidenziano un leggero miglioramento nella loro capacità di realizzazione rispetto all’esercizio precedente.</w:t>
      </w:r>
    </w:p>
    <w:p w:rsidR="00DB3BAA" w:rsidRDefault="00DB3BAA" w:rsidP="00DB3BAA">
      <w:pPr>
        <w:pStyle w:val="CdcTesto"/>
      </w:pPr>
      <w:r>
        <w:t>Manifestano, invece, insufficienti indici di realizzazione le entrate da trasferimenti correnti (Titolo II, pari al 4,14% del totale dei Titoli).</w:t>
      </w:r>
    </w:p>
    <w:p w:rsidR="00DB3BAA" w:rsidRDefault="00DB3BAA" w:rsidP="00DB3BAA">
      <w:pPr>
        <w:pStyle w:val="CdcTesto"/>
      </w:pPr>
      <w:r>
        <w:t>Le entrate in conto capitale (Titolo IV) sono pari a 1,062 miliardi di euro e rappresentano la seconda fonte di finanziamento del bilancio (il 10,50%), la cui capacità di realizzazione (accertamento e riscossione) va, però, riconsiderata alla luce della cospicua consistenza delle reimputazioni dell’esercizio precedente, che incidono circa per un terzo sul totale del titolo.</w:t>
      </w:r>
    </w:p>
    <w:p w:rsidR="00DB3BAA" w:rsidRDefault="00DB3BAA" w:rsidP="00DB3BAA">
      <w:pPr>
        <w:pStyle w:val="CdcTesto"/>
      </w:pPr>
      <w:r>
        <w:t>Tali reimputazioni, infatti, sono costituite da obbligazioni giuridicamente perfezionate per le quali è stata già valutata la esigibilità nell’esercizio 2016. In tale Titolo IV si assumono accertamenti per 898 milioni di eur</w:t>
      </w:r>
      <w:r w:rsidR="00267F6F">
        <w:t>o mentre risultano risc</w:t>
      </w:r>
      <w:r w:rsidR="00031B8B">
        <w:t>ossioni per 108 milioni di euro.</w:t>
      </w:r>
      <w:r>
        <w:t xml:space="preserve"> </w:t>
      </w:r>
      <w:r w:rsidR="00031B8B" w:rsidRPr="00D16A2A">
        <w:t xml:space="preserve">Tale </w:t>
      </w:r>
      <w:r w:rsidRPr="00D16A2A">
        <w:t>scarso livello di realizzazione può trovare spiegazione nella</w:t>
      </w:r>
      <w:r>
        <w:t xml:space="preserve"> </w:t>
      </w:r>
      <w:r w:rsidR="00267F6F">
        <w:t xml:space="preserve">loro </w:t>
      </w:r>
      <w:r>
        <w:t xml:space="preserve">natura di entrate costituite da </w:t>
      </w:r>
      <w:r>
        <w:lastRenderedPageBreak/>
        <w:t>contributi soggetti a rendicontazione. Si realizzano, conseguentemente, consistenti residui per oltre 790 milioni di euro.</w:t>
      </w:r>
    </w:p>
    <w:p w:rsidR="00DB3BAA" w:rsidRDefault="00DB3BAA" w:rsidP="00DB3BAA">
      <w:pPr>
        <w:pStyle w:val="CdcTesto"/>
      </w:pPr>
      <w:r>
        <w:t xml:space="preserve">Anche le accensioni di prestiti (Titolo VI) costituiscono una cospicua quota di finanziamento del bilancio regionale (circa l’8%) e ammontano </w:t>
      </w:r>
      <w:r w:rsidR="00267F6F">
        <w:t xml:space="preserve">a </w:t>
      </w:r>
      <w:r>
        <w:t>808 milioni di eu</w:t>
      </w:r>
      <w:r w:rsidR="00B46CA0">
        <w:t>ro in sede previsionale. I mutu</w:t>
      </w:r>
      <w:r>
        <w:t>i effettivamente contratti sono stati pari a circa 370 milioni di euro, di cui 104 milioni per la parziale contrazione del mutuo già autorizzato nel 2015 (per spese di investimento già assunte e contabilizzate nelle partite andate in perenzione) e per circa 215 milioni per anticipazione di liquidità.</w:t>
      </w:r>
    </w:p>
    <w:p w:rsidR="00DB3BAA" w:rsidRPr="00D16A2A" w:rsidRDefault="00DB3BAA" w:rsidP="00091CB8">
      <w:pPr>
        <w:pStyle w:val="CdcTesto"/>
        <w:tabs>
          <w:tab w:val="left" w:pos="284"/>
        </w:tabs>
        <w:spacing w:after="360"/>
      </w:pPr>
      <w:r w:rsidRPr="005D660C">
        <w:rPr>
          <w:rFonts w:eastAsia="Verdana"/>
          <w:spacing w:val="-3"/>
        </w:rPr>
        <w:t>Le previsioni che non si sono tradotte in accertamenti</w:t>
      </w:r>
      <w:r>
        <w:rPr>
          <w:rFonts w:eastAsia="Verdana"/>
          <w:spacing w:val="-3"/>
        </w:rPr>
        <w:t xml:space="preserve">, costituiscono minori entrate e </w:t>
      </w:r>
      <w:r w:rsidRPr="00D16A2A">
        <w:rPr>
          <w:rFonts w:eastAsia="Verdana"/>
          <w:spacing w:val="-3"/>
        </w:rPr>
        <w:t>dimostrano una sovrastima in sede previsionale. A tale proposito, come anche evidenziato nel Rapporto di gestione - anno 2016 dell’Ufficio di controllo interno della Regione, la ril</w:t>
      </w:r>
      <w:r>
        <w:rPr>
          <w:rFonts w:eastAsia="Verdana"/>
          <w:spacing w:val="-3"/>
        </w:rPr>
        <w:t>evazione di economie di entrata</w:t>
      </w:r>
      <w:r w:rsidRPr="00D16A2A">
        <w:rPr>
          <w:rFonts w:eastAsia="Verdana"/>
          <w:spacing w:val="-3"/>
        </w:rPr>
        <w:t xml:space="preserve"> è una prassi corretta, in quanto evita la formazione di nuovi residui attivi “</w:t>
      </w:r>
      <w:r w:rsidRPr="00D16A2A">
        <w:rPr>
          <w:rFonts w:eastAsia="Verdana"/>
          <w:i/>
          <w:spacing w:val="-3"/>
        </w:rPr>
        <w:t>non veritieri</w:t>
      </w:r>
      <w:r w:rsidRPr="00D16A2A">
        <w:rPr>
          <w:rFonts w:eastAsia="Verdana"/>
          <w:spacing w:val="-3"/>
        </w:rPr>
        <w:t>”</w:t>
      </w:r>
      <w:r w:rsidRPr="00D16A2A">
        <w:rPr>
          <w:rFonts w:eastAsia="Verdana"/>
          <w:spacing w:val="-3"/>
          <w:vertAlign w:val="superscript"/>
        </w:rPr>
        <w:footnoteReference w:id="10"/>
      </w:r>
      <w:r w:rsidRPr="00D16A2A">
        <w:rPr>
          <w:rFonts w:eastAsia="Verdana"/>
          <w:spacing w:val="-3"/>
        </w:rPr>
        <w:t>.</w:t>
      </w:r>
    </w:p>
    <w:p w:rsidR="00DB3BAA" w:rsidRDefault="00DB3BAA" w:rsidP="007D10C5">
      <w:pPr>
        <w:pStyle w:val="CdcTesto"/>
        <w:numPr>
          <w:ilvl w:val="0"/>
          <w:numId w:val="27"/>
        </w:numPr>
        <w:tabs>
          <w:tab w:val="left" w:pos="284"/>
        </w:tabs>
      </w:pPr>
      <w:r w:rsidRPr="00067233">
        <w:rPr>
          <w:b/>
          <w:sz w:val="28"/>
          <w:szCs w:val="28"/>
        </w:rPr>
        <w:t>La gestione della spesa</w:t>
      </w:r>
      <w:r>
        <w:rPr>
          <w:b/>
        </w:rPr>
        <w:t xml:space="preserve">. </w:t>
      </w:r>
      <w:r w:rsidRPr="005D660C">
        <w:t>L’analisi della gestione delle spese mostra che, a fronte di previsioni definitive di € 10.010.106.472,88 (al netto del FPV e al lordo delle reimputazioni), sono stati assunti impegni per € 8.148.137.354,95 (pari all’81,40% delle prevision</w:t>
      </w:r>
      <w:r w:rsidR="005E221B">
        <w:t xml:space="preserve">i) e effettuati pagamenti per € </w:t>
      </w:r>
      <w:r w:rsidRPr="005D660C">
        <w:t>7.074.527.371,30 (pari all’86,82% degli impegni)</w:t>
      </w:r>
      <w:r w:rsidR="005E221B">
        <w:t xml:space="preserve"> (v. tabella 17)</w:t>
      </w:r>
      <w:r w:rsidRPr="005D660C">
        <w:t xml:space="preserve">. </w:t>
      </w:r>
    </w:p>
    <w:p w:rsidR="00DB3BAA" w:rsidRDefault="00DB3BAA" w:rsidP="00DB3BAA">
      <w:pPr>
        <w:pStyle w:val="CdcTesto"/>
      </w:pPr>
      <w:r w:rsidRPr="00FA0C74">
        <w:rPr>
          <w:rStyle w:val="CdcTestoCarattere"/>
        </w:rPr>
        <w:t xml:space="preserve">Con riguardo, peraltro, all’analisi </w:t>
      </w:r>
      <w:r w:rsidRPr="00DC0749">
        <w:rPr>
          <w:rStyle w:val="CdcTestoCarattere"/>
        </w:rPr>
        <w:t>dei margini di flessibilità</w:t>
      </w:r>
      <w:r>
        <w:rPr>
          <w:rStyle w:val="CdcTestoCarattere"/>
        </w:rPr>
        <w:t xml:space="preserve"> </w:t>
      </w:r>
      <w:r w:rsidRPr="00FA0C74">
        <w:rPr>
          <w:rStyle w:val="CdcTestoCarattere"/>
        </w:rPr>
        <w:t xml:space="preserve">della manovra di spesa del 2016, si deve sottolineare che nel bilancio di previsione (e poi nel bilancio assestato), </w:t>
      </w:r>
      <w:r w:rsidRPr="00064BC1">
        <w:rPr>
          <w:rStyle w:val="CdcTestoCarattere"/>
          <w:b/>
        </w:rPr>
        <w:t>risultavano “già impegnati” b</w:t>
      </w:r>
      <w:r>
        <w:rPr>
          <w:rStyle w:val="CdcTestoCarattere"/>
          <w:b/>
        </w:rPr>
        <w:t xml:space="preserve">en € </w:t>
      </w:r>
      <w:r w:rsidRPr="00064BC1">
        <w:rPr>
          <w:rStyle w:val="CdcTestoCarattere"/>
          <w:b/>
        </w:rPr>
        <w:t>2.039.270.808,54</w:t>
      </w:r>
      <w:r w:rsidR="007C0396">
        <w:rPr>
          <w:rStyle w:val="CdcTestoCarattere"/>
          <w:b/>
        </w:rPr>
        <w:t xml:space="preserve"> </w:t>
      </w:r>
      <w:r w:rsidR="007C0396" w:rsidRPr="007C0396">
        <w:rPr>
          <w:rStyle w:val="CdcTestoCarattere"/>
        </w:rPr>
        <w:t>(di cui 781 milioni per gli impegni as</w:t>
      </w:r>
      <w:r w:rsidR="007C0396">
        <w:rPr>
          <w:rStyle w:val="CdcTestoCarattere"/>
        </w:rPr>
        <w:t>sunti in esercizio provvisorio)</w:t>
      </w:r>
      <w:r w:rsidRPr="00FA0C74">
        <w:rPr>
          <w:rStyle w:val="CdcTestoCarattere"/>
        </w:rPr>
        <w:t>. Si deve osservare, infatti, che tali impegni, incidendo per il</w:t>
      </w:r>
      <w:r w:rsidRPr="005D660C">
        <w:t xml:space="preserve"> 21,53% sulle previsioni finali di spesa (al netto del FPV e del disavanzo di amministrazione) riducono sensibilment</w:t>
      </w:r>
      <w:r w:rsidR="007C0396">
        <w:t>e la manovrabilità del bilancio, poiché trattasi prevalentemente di spesa obbligatoria.</w:t>
      </w:r>
    </w:p>
    <w:p w:rsidR="00DB3BAA" w:rsidRDefault="00DB3BAA" w:rsidP="00DB3BAA">
      <w:pPr>
        <w:pStyle w:val="CdcTesto"/>
      </w:pPr>
      <w:r w:rsidRPr="005D660C">
        <w:t xml:space="preserve">La differenza tra le previsioni finali </w:t>
      </w:r>
      <w:r>
        <w:t>e gli impegni ammonta a € 1.861.969.117,93, di cui € </w:t>
      </w:r>
      <w:r w:rsidRPr="005D660C">
        <w:t>1.</w:t>
      </w:r>
      <w:r>
        <w:t>324.707.117,93</w:t>
      </w:r>
      <w:r w:rsidRPr="005D660C">
        <w:t xml:space="preserve"> di minori impegni (economie) e € 537.262.000,00 per copertura del disavanzo applicato al bilancio 2016.</w:t>
      </w:r>
    </w:p>
    <w:p w:rsidR="00DB3BAA" w:rsidRPr="00064BC1" w:rsidRDefault="00DB3BAA" w:rsidP="00DB3BAA">
      <w:pPr>
        <w:autoSpaceDE w:val="0"/>
        <w:autoSpaceDN w:val="0"/>
        <w:adjustRightInd w:val="0"/>
        <w:spacing w:after="120" w:line="360" w:lineRule="auto"/>
        <w:jc w:val="both"/>
        <w:textAlignment w:val="center"/>
        <w:rPr>
          <w:rFonts w:ascii="Bodoni MT" w:eastAsiaTheme="minorEastAsia" w:hAnsi="Bodoni MT" w:cs="Bodoni MT"/>
          <w:b/>
          <w:color w:val="000000"/>
          <w:sz w:val="24"/>
          <w:szCs w:val="24"/>
        </w:rPr>
      </w:pPr>
      <w:r w:rsidRPr="00064BC1">
        <w:rPr>
          <w:rFonts w:ascii="Bodoni MT" w:eastAsiaTheme="minorEastAsia" w:hAnsi="Bodoni MT" w:cs="Bodoni MT"/>
          <w:b/>
          <w:color w:val="000000"/>
          <w:sz w:val="24"/>
          <w:szCs w:val="24"/>
        </w:rPr>
        <w:t xml:space="preserve">I residui della competenza ammontano </w:t>
      </w:r>
      <w:r>
        <w:rPr>
          <w:rFonts w:ascii="Bodoni MT" w:eastAsiaTheme="minorEastAsia" w:hAnsi="Bodoni MT" w:cs="Bodoni MT"/>
          <w:b/>
          <w:color w:val="000000"/>
          <w:sz w:val="24"/>
          <w:szCs w:val="24"/>
        </w:rPr>
        <w:t xml:space="preserve">a </w:t>
      </w:r>
      <w:r w:rsidRPr="00064BC1">
        <w:rPr>
          <w:rFonts w:ascii="Bodoni MT" w:eastAsiaTheme="minorEastAsia" w:hAnsi="Bodoni MT" w:cs="Bodoni MT"/>
          <w:b/>
          <w:color w:val="000000"/>
          <w:sz w:val="24"/>
          <w:szCs w:val="24"/>
        </w:rPr>
        <w:t xml:space="preserve">€ 1.073.609.983,65. </w:t>
      </w:r>
    </w:p>
    <w:p w:rsidR="00DB3BAA" w:rsidRPr="006E7C7B" w:rsidRDefault="00DB3BAA" w:rsidP="00DB3BAA">
      <w:pPr>
        <w:pStyle w:val="CdcTesto"/>
      </w:pPr>
      <w:r w:rsidRPr="006E7C7B">
        <w:t xml:space="preserve">La consistenza delle economie realizzate (1,324 miliardi) </w:t>
      </w:r>
      <w:r w:rsidRPr="00D16A2A">
        <w:t xml:space="preserve">risulta particolarmente rilevante rispetto all’ammontare della manovra di spesa, </w:t>
      </w:r>
      <w:r w:rsidR="00D42F1C">
        <w:t>e</w:t>
      </w:r>
      <w:r w:rsidRPr="00D16A2A">
        <w:t xml:space="preserve"> segnala che una parte delle previsioni non si sono tradotte in impegni di spesa assunti nell’esercizio</w:t>
      </w:r>
      <w:r>
        <w:t>,</w:t>
      </w:r>
      <w:r w:rsidRPr="00D16A2A">
        <w:t xml:space="preserve"> con effetti negativi per il conseguimento</w:t>
      </w:r>
      <w:r w:rsidRPr="006E7C7B">
        <w:t xml:space="preserve"> </w:t>
      </w:r>
      <w:r w:rsidRPr="006E7C7B">
        <w:lastRenderedPageBreak/>
        <w:t>dei corrispondenti obiettivi programmati.</w:t>
      </w:r>
      <w:r w:rsidR="007C0396">
        <w:t xml:space="preserve"> Al riguardo la Regione in sede di controdeduzioni finali ha precisato che fra le somme non impegnate (pari a 1,324 miliardi di euro) sono compresi gli accantonamenti previsti dalla normativa, per loro natura non impegnabili, pari a464 milioni di euro.</w:t>
      </w:r>
    </w:p>
    <w:p w:rsidR="00DB3BAA" w:rsidRDefault="00DB3BAA" w:rsidP="00DB3BAA">
      <w:pPr>
        <w:pStyle w:val="CdcTesto"/>
      </w:pPr>
      <w:r>
        <w:t xml:space="preserve">Conclusivamente, tenuto conto delle economie di spesa, quanto alla effettività di realizzazione delle politiche di spesa programmata nel bilancio, </w:t>
      </w:r>
      <w:r w:rsidRPr="00DC0749">
        <w:t>va ribadito che gli stanziamenti finali di spesa (circa 10 miliardi di euro) si riducono di 2,039 miliardi di euro cir</w:t>
      </w:r>
      <w:r>
        <w:t xml:space="preserve">ca per gli impegni già assunti in esercizi precedenti e per </w:t>
      </w:r>
      <w:r w:rsidRPr="00DC0749">
        <w:t>quelli assunti in</w:t>
      </w:r>
      <w:r>
        <w:t xml:space="preserve"> corso di esercizio provvisorio</w:t>
      </w:r>
      <w:r w:rsidRPr="00DC0749">
        <w:t>.</w:t>
      </w:r>
    </w:p>
    <w:p w:rsidR="00DB3BAA" w:rsidRPr="005D660C" w:rsidRDefault="00DB3BAA" w:rsidP="00EF1956">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L’analisi per titoli evidenzia che il 78,58% degli impegni si concentra nelle spese</w:t>
      </w:r>
      <w:r>
        <w:rPr>
          <w:rFonts w:ascii="Bodoni MT" w:eastAsiaTheme="majorEastAsia" w:hAnsi="Bodoni MT" w:cs="Bodoni MT"/>
          <w:color w:val="000000"/>
          <w:sz w:val="24"/>
          <w:szCs w:val="24"/>
        </w:rPr>
        <w:t xml:space="preserve"> correnti del Titolo </w:t>
      </w:r>
      <w:r w:rsidRPr="005D660C">
        <w:rPr>
          <w:rFonts w:ascii="Bodoni MT" w:eastAsiaTheme="majorEastAsia" w:hAnsi="Bodoni MT" w:cs="Bodoni MT"/>
          <w:color w:val="000000"/>
          <w:sz w:val="24"/>
          <w:szCs w:val="24"/>
        </w:rPr>
        <w:t>I</w:t>
      </w:r>
      <w:r>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il quale risente maggiormente degli effetti delle reimputazioni. Infatti, a parità d’impegni rispetto all’esercizio precedente, si sono effettuati maggiori pagamenti (+3,5%) e, di conseguenza, si sono formati minori residui (-21%), anche se, in valore assoluto, la consistenza </w:t>
      </w:r>
      <w:r>
        <w:rPr>
          <w:rFonts w:ascii="Bodoni MT" w:eastAsiaTheme="majorEastAsia" w:hAnsi="Bodoni MT" w:cs="Bodoni MT"/>
          <w:color w:val="000000"/>
          <w:sz w:val="24"/>
          <w:szCs w:val="24"/>
        </w:rPr>
        <w:t xml:space="preserve">dei residui </w:t>
      </w:r>
      <w:r w:rsidRPr="005D660C">
        <w:rPr>
          <w:rFonts w:ascii="Bodoni MT" w:eastAsiaTheme="majorEastAsia" w:hAnsi="Bodoni MT" w:cs="Bodoni MT"/>
          <w:color w:val="000000"/>
          <w:sz w:val="24"/>
          <w:szCs w:val="24"/>
        </w:rPr>
        <w:t xml:space="preserve">(722 mln di euro) rimane notevole. I pagamenti sono stati pari a € 5.681.050.772,26 (88,72% degli impegni) e le economie </w:t>
      </w:r>
      <w:r>
        <w:rPr>
          <w:rFonts w:ascii="Bodoni MT" w:eastAsiaTheme="majorEastAsia" w:hAnsi="Bodoni MT" w:cs="Bodoni MT"/>
          <w:color w:val="000000"/>
          <w:sz w:val="24"/>
          <w:szCs w:val="24"/>
        </w:rPr>
        <w:t>si attestano su</w:t>
      </w:r>
      <w:r w:rsidRPr="005D660C">
        <w:rPr>
          <w:rFonts w:ascii="Bodoni MT" w:eastAsiaTheme="majorEastAsia" w:hAnsi="Bodoni MT" w:cs="Bodoni MT"/>
          <w:color w:val="000000"/>
          <w:sz w:val="24"/>
          <w:szCs w:val="24"/>
        </w:rPr>
        <w:t xml:space="preserve"> €</w:t>
      </w:r>
      <w:r>
        <w:rPr>
          <w:rFonts w:ascii="Bodoni MT" w:eastAsiaTheme="majorEastAsia" w:hAnsi="Bodoni MT" w:cs="Bodoni MT"/>
          <w:color w:val="000000"/>
          <w:sz w:val="24"/>
          <w:szCs w:val="24"/>
        </w:rPr>
        <w:t xml:space="preserve"> </w:t>
      </w:r>
      <w:r w:rsidRPr="005D660C">
        <w:rPr>
          <w:rFonts w:ascii="Bodoni MT" w:eastAsiaTheme="majorEastAsia" w:hAnsi="Bodoni MT" w:cs="Bodoni MT"/>
          <w:color w:val="000000"/>
          <w:sz w:val="24"/>
          <w:szCs w:val="24"/>
        </w:rPr>
        <w:t xml:space="preserve">477.591.018,99 (7% circa delle previsioni). </w:t>
      </w:r>
    </w:p>
    <w:p w:rsidR="00DB3BAA" w:rsidRDefault="00DB3BAA" w:rsidP="00DB3BAA">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505CB">
        <w:rPr>
          <w:rFonts w:ascii="Bodoni MT" w:eastAsiaTheme="majorEastAsia" w:hAnsi="Bodoni MT" w:cs="Bodoni MT"/>
          <w:color w:val="000000"/>
          <w:sz w:val="24"/>
          <w:szCs w:val="24"/>
        </w:rPr>
        <w:t>Solo</w:t>
      </w:r>
      <w:r>
        <w:rPr>
          <w:rFonts w:ascii="Bodoni MT" w:eastAsiaTheme="majorEastAsia" w:hAnsi="Bodoni MT" w:cs="Bodoni MT"/>
          <w:color w:val="000000"/>
          <w:sz w:val="24"/>
          <w:szCs w:val="24"/>
        </w:rPr>
        <w:t xml:space="preserve"> i</w:t>
      </w:r>
      <w:r w:rsidRPr="005D660C">
        <w:rPr>
          <w:rFonts w:ascii="Bodoni MT" w:eastAsiaTheme="majorEastAsia" w:hAnsi="Bodoni MT" w:cs="Bodoni MT"/>
          <w:color w:val="000000"/>
          <w:sz w:val="24"/>
          <w:szCs w:val="24"/>
        </w:rPr>
        <w:t xml:space="preserve">l 15,22% degli impegni riguarda le spese del </w:t>
      </w:r>
      <w:r w:rsidRPr="008013F3">
        <w:rPr>
          <w:rFonts w:ascii="Bodoni MT" w:eastAsiaTheme="majorEastAsia" w:hAnsi="Bodoni MT" w:cs="Bodoni MT"/>
          <w:b/>
          <w:color w:val="000000"/>
          <w:sz w:val="24"/>
          <w:szCs w:val="24"/>
        </w:rPr>
        <w:t>Titolo II “</w:t>
      </w:r>
      <w:r w:rsidRPr="008013F3">
        <w:rPr>
          <w:rFonts w:ascii="Bodoni MT" w:eastAsiaTheme="majorEastAsia" w:hAnsi="Bodoni MT" w:cs="Bodoni MT"/>
          <w:b/>
          <w:i/>
          <w:color w:val="000000"/>
          <w:sz w:val="24"/>
          <w:szCs w:val="24"/>
        </w:rPr>
        <w:t>Spese in conto capitale</w:t>
      </w:r>
      <w:r w:rsidRPr="008013F3">
        <w:rPr>
          <w:rFonts w:ascii="Bodoni MT" w:eastAsiaTheme="majorEastAsia" w:hAnsi="Bodoni MT" w:cs="Bodoni MT"/>
          <w:b/>
          <w:color w:val="000000"/>
          <w:sz w:val="24"/>
          <w:szCs w:val="24"/>
        </w:rPr>
        <w:t>”</w:t>
      </w:r>
      <w:r w:rsidRPr="005D660C">
        <w:rPr>
          <w:rFonts w:ascii="Bodoni MT" w:eastAsiaTheme="majorEastAsia" w:hAnsi="Bodoni MT" w:cs="Bodoni MT"/>
          <w:color w:val="000000"/>
          <w:sz w:val="24"/>
          <w:szCs w:val="24"/>
        </w:rPr>
        <w:t xml:space="preserve">, corrispondenti al 76,77% delle previsioni, in netto miglioramento rispetto al 40% registrato nel 2015. </w:t>
      </w:r>
    </w:p>
    <w:p w:rsidR="00DB3BAA" w:rsidRPr="005D660C" w:rsidRDefault="00DB3BAA" w:rsidP="00DB3BAA">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I pagamenti sono stati di € 890.019.928,80 (+24,5% rispetto al 2015 e pari al 71,75% degli impegni 2016). Anche tale miglioramento è da ascrivere alle reimputazioni. Infatti, al netto delle stesse, le previsioni finali del Titolo si r</w:t>
      </w:r>
      <w:r>
        <w:rPr>
          <w:rFonts w:ascii="Bodoni MT" w:eastAsiaTheme="majorEastAsia" w:hAnsi="Bodoni MT" w:cs="Bodoni MT"/>
          <w:color w:val="000000"/>
          <w:sz w:val="24"/>
          <w:szCs w:val="24"/>
        </w:rPr>
        <w:t xml:space="preserve">iducono a 735,210 </w:t>
      </w:r>
      <w:r w:rsidR="00237328">
        <w:rPr>
          <w:rFonts w:ascii="Bodoni MT" w:eastAsiaTheme="majorEastAsia" w:hAnsi="Bodoni MT" w:cs="Bodoni MT"/>
          <w:color w:val="000000"/>
          <w:sz w:val="24"/>
          <w:szCs w:val="24"/>
        </w:rPr>
        <w:t>milioni</w:t>
      </w:r>
      <w:r>
        <w:rPr>
          <w:rFonts w:ascii="Bodoni MT" w:eastAsiaTheme="majorEastAsia" w:hAnsi="Bodoni MT" w:cs="Bodoni MT"/>
          <w:color w:val="000000"/>
          <w:sz w:val="24"/>
          <w:szCs w:val="24"/>
        </w:rPr>
        <w:t xml:space="preserve"> di euro. </w:t>
      </w:r>
      <w:r w:rsidRPr="005D660C">
        <w:rPr>
          <w:rFonts w:ascii="Bodoni MT" w:eastAsiaTheme="majorEastAsia" w:hAnsi="Bodoni MT" w:cs="Bodoni MT"/>
          <w:color w:val="000000"/>
          <w:sz w:val="24"/>
          <w:szCs w:val="24"/>
        </w:rPr>
        <w:t xml:space="preserve">Malgrado l’aumento dei pagamenti, aumentano anche i residui (+33,5% rispetto al 2015), che ammontano a 350,480 </w:t>
      </w:r>
      <w:r w:rsidR="00237328">
        <w:rPr>
          <w:rFonts w:ascii="Bodoni MT" w:eastAsiaTheme="majorEastAsia" w:hAnsi="Bodoni MT" w:cs="Bodoni MT"/>
          <w:color w:val="000000"/>
          <w:sz w:val="24"/>
          <w:szCs w:val="24"/>
        </w:rPr>
        <w:t xml:space="preserve">milioni </w:t>
      </w:r>
      <w:r w:rsidRPr="005D660C">
        <w:rPr>
          <w:rFonts w:ascii="Bodoni MT" w:eastAsiaTheme="majorEastAsia" w:hAnsi="Bodoni MT" w:cs="Bodoni MT"/>
          <w:color w:val="000000"/>
          <w:sz w:val="24"/>
          <w:szCs w:val="24"/>
        </w:rPr>
        <w:t xml:space="preserve">di euro (pari al 28,25% degli impegni). Le economie sono state di 375,286 </w:t>
      </w:r>
      <w:r w:rsidR="00237328">
        <w:rPr>
          <w:rFonts w:ascii="Bodoni MT" w:eastAsiaTheme="majorEastAsia" w:hAnsi="Bodoni MT" w:cs="Bodoni MT"/>
          <w:color w:val="000000"/>
          <w:sz w:val="24"/>
          <w:szCs w:val="24"/>
        </w:rPr>
        <w:t xml:space="preserve">milioni </w:t>
      </w:r>
      <w:r w:rsidRPr="005D660C">
        <w:rPr>
          <w:rFonts w:ascii="Bodoni MT" w:eastAsiaTheme="majorEastAsia" w:hAnsi="Bodoni MT" w:cs="Bodoni MT"/>
          <w:color w:val="000000"/>
          <w:sz w:val="24"/>
          <w:szCs w:val="24"/>
        </w:rPr>
        <w:t>(pari al 23,22% delle previsioni del Titolo), notevolmente inferiori rispetto all’esercizio precedente.</w:t>
      </w:r>
    </w:p>
    <w:p w:rsidR="00DB3BAA" w:rsidRDefault="00DB3BAA" w:rsidP="00DB3BAA">
      <w:pPr>
        <w:pStyle w:val="CdcTesto"/>
        <w:rPr>
          <w:rFonts w:eastAsiaTheme="majorEastAsia"/>
        </w:rPr>
      </w:pPr>
      <w:r w:rsidRPr="008013F3">
        <w:rPr>
          <w:rFonts w:eastAsiaTheme="majorEastAsia"/>
        </w:rPr>
        <w:t xml:space="preserve">La formazione di così consistenti residui fa sorgere perplessità sulla corretta programmazione delle </w:t>
      </w:r>
      <w:r w:rsidRPr="00D16A2A">
        <w:rPr>
          <w:rFonts w:eastAsiaTheme="majorEastAsia"/>
        </w:rPr>
        <w:t>spese di investimento che dovrebbero trovare copertura all’interno del bilancio al momento della scadenza degli stati di avanzamento.</w:t>
      </w:r>
      <w:r>
        <w:rPr>
          <w:rFonts w:eastAsiaTheme="majorEastAsia"/>
        </w:rPr>
        <w:t xml:space="preserve"> </w:t>
      </w:r>
    </w:p>
    <w:p w:rsidR="00DB3BAA" w:rsidRPr="005D660C" w:rsidRDefault="00DB3BAA" w:rsidP="00DB3BAA">
      <w:pPr>
        <w:pStyle w:val="CdcTesto"/>
        <w:rPr>
          <w:rFonts w:eastAsiaTheme="majorEastAsia"/>
        </w:rPr>
      </w:pPr>
      <w:r w:rsidRPr="005D660C">
        <w:rPr>
          <w:rFonts w:eastAsiaTheme="majorEastAsia"/>
        </w:rPr>
        <w:t xml:space="preserve">Il </w:t>
      </w:r>
      <w:r w:rsidRPr="008013F3">
        <w:rPr>
          <w:rFonts w:eastAsiaTheme="majorEastAsia"/>
          <w:b/>
        </w:rPr>
        <w:t>Titolo IV</w:t>
      </w:r>
      <w:r>
        <w:rPr>
          <w:rFonts w:eastAsiaTheme="majorEastAsia"/>
        </w:rPr>
        <w:t xml:space="preserve"> </w:t>
      </w:r>
      <w:r w:rsidRPr="008013F3">
        <w:rPr>
          <w:rFonts w:eastAsiaTheme="majorEastAsia"/>
          <w:b/>
        </w:rPr>
        <w:t>“Rimborso prestiti</w:t>
      </w:r>
      <w:r>
        <w:rPr>
          <w:rFonts w:eastAsiaTheme="majorEastAsia"/>
        </w:rPr>
        <w:t>”</w:t>
      </w:r>
      <w:r w:rsidRPr="005D660C">
        <w:rPr>
          <w:rFonts w:eastAsiaTheme="majorEastAsia"/>
        </w:rPr>
        <w:t xml:space="preserve"> presenta impegni pari al 44,74% delle previsioni e pagamenti di pari importo.</w:t>
      </w:r>
    </w:p>
    <w:p w:rsidR="00DB3BAA" w:rsidRPr="005D660C" w:rsidRDefault="00DB3BAA" w:rsidP="00DB3BAA">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Le spese del </w:t>
      </w:r>
      <w:r w:rsidRPr="008013F3">
        <w:rPr>
          <w:rFonts w:ascii="Bodoni MT" w:eastAsiaTheme="majorEastAsia" w:hAnsi="Bodoni MT" w:cs="Bodoni MT"/>
          <w:b/>
          <w:color w:val="000000"/>
          <w:sz w:val="24"/>
          <w:szCs w:val="24"/>
        </w:rPr>
        <w:t>Titolo VII “</w:t>
      </w:r>
      <w:r w:rsidRPr="008013F3">
        <w:rPr>
          <w:rFonts w:ascii="Bodoni MT" w:eastAsiaTheme="majorEastAsia" w:hAnsi="Bodoni MT" w:cs="Bodoni MT"/>
          <w:b/>
          <w:i/>
          <w:color w:val="000000"/>
          <w:sz w:val="24"/>
          <w:szCs w:val="24"/>
        </w:rPr>
        <w:t>Uscite per conto terzi e partite di giro</w:t>
      </w:r>
      <w:r w:rsidRPr="008013F3">
        <w:rPr>
          <w:rFonts w:ascii="Bodoni MT" w:eastAsiaTheme="majorEastAsia" w:hAnsi="Bodoni MT" w:cs="Bodoni MT"/>
          <w:b/>
          <w:color w:val="000000"/>
          <w:sz w:val="24"/>
          <w:szCs w:val="24"/>
        </w:rPr>
        <w:t>”</w:t>
      </w:r>
      <w:r w:rsidRPr="005D660C">
        <w:rPr>
          <w:rFonts w:ascii="Bodoni MT" w:eastAsiaTheme="majorEastAsia" w:hAnsi="Bodoni MT" w:cs="Bodoni MT"/>
          <w:color w:val="000000"/>
          <w:sz w:val="24"/>
          <w:szCs w:val="24"/>
        </w:rPr>
        <w:t xml:space="preserve"> registrano una riduzione rispetto all’esercizio 2015.</w:t>
      </w:r>
    </w:p>
    <w:p w:rsidR="00DB3BAA" w:rsidRPr="00DC0749" w:rsidRDefault="00DB3BAA" w:rsidP="00DB3BAA">
      <w:pPr>
        <w:pStyle w:val="CdcTesto"/>
        <w:spacing w:after="360"/>
      </w:pPr>
      <w:r w:rsidRPr="00267F6F">
        <w:rPr>
          <w:rFonts w:eastAsiaTheme="majorEastAsia"/>
          <w:b/>
        </w:rPr>
        <w:lastRenderedPageBreak/>
        <w:t>L’analisi delle spese per fonte di finanziamento mostra che gli impegni sono finanziati per il 91,12% da risorse regionali, per il 6,94% da assegnazioni statali e per il re</w:t>
      </w:r>
      <w:r w:rsidR="00D42F1C" w:rsidRPr="00267F6F">
        <w:rPr>
          <w:rFonts w:eastAsiaTheme="majorEastAsia"/>
          <w:b/>
        </w:rPr>
        <w:t>siduo 1,93% da fondi comunitari</w:t>
      </w:r>
      <w:r w:rsidR="00D42F1C">
        <w:rPr>
          <w:rFonts w:eastAsiaTheme="majorEastAsia"/>
        </w:rPr>
        <w:t>.</w:t>
      </w:r>
      <w:r>
        <w:rPr>
          <w:rFonts w:eastAsiaTheme="majorEastAsia"/>
        </w:rPr>
        <w:t xml:space="preserve"> </w:t>
      </w:r>
    </w:p>
    <w:p w:rsidR="00DB3BAA" w:rsidRDefault="00DB3BAA" w:rsidP="007D10C5">
      <w:pPr>
        <w:pStyle w:val="CdcTesto"/>
        <w:numPr>
          <w:ilvl w:val="0"/>
          <w:numId w:val="27"/>
        </w:numPr>
        <w:tabs>
          <w:tab w:val="left" w:pos="284"/>
        </w:tabs>
      </w:pPr>
      <w:r w:rsidRPr="00067233">
        <w:rPr>
          <w:b/>
          <w:sz w:val="28"/>
          <w:szCs w:val="28"/>
        </w:rPr>
        <w:t>La gestione dei residui e gli stralci</w:t>
      </w:r>
      <w:r>
        <w:rPr>
          <w:b/>
        </w:rPr>
        <w:t xml:space="preserve">. </w:t>
      </w:r>
      <w:r>
        <w:t>La Giunta regionale</w:t>
      </w:r>
      <w:r w:rsidRPr="005D660C">
        <w:t xml:space="preserve"> ha approvato il riaccertamento ordinario dei residui al 31/12/2016 con la DGR</w:t>
      </w:r>
      <w:r>
        <w:rPr>
          <w:rStyle w:val="Rimandonotaapidipagina"/>
        </w:rPr>
        <w:footnoteReference w:id="11"/>
      </w:r>
      <w:r w:rsidRPr="005D660C">
        <w:t xml:space="preserve"> n. 26/48 del 30/05/2017</w:t>
      </w:r>
      <w:r w:rsidRPr="005D660C">
        <w:rPr>
          <w:vertAlign w:val="superscript"/>
        </w:rPr>
        <w:footnoteReference w:id="12"/>
      </w:r>
      <w:r>
        <w:t>.</w:t>
      </w:r>
    </w:p>
    <w:p w:rsidR="00DB3BAA" w:rsidRDefault="00DB3BAA" w:rsidP="00DB3BAA">
      <w:pPr>
        <w:pStyle w:val="CdcTesto"/>
      </w:pPr>
      <w:r w:rsidRPr="005D660C">
        <w:t xml:space="preserve">Per effetto del riaccertamento ordinario </w:t>
      </w:r>
      <w:r w:rsidRPr="005D660C">
        <w:rPr>
          <w:b/>
        </w:rPr>
        <w:t>i residui attivi da riportare all’01/01/2017</w:t>
      </w:r>
      <w:r w:rsidRPr="005D660C">
        <w:t xml:space="preserve"> ammontano complessivamente a </w:t>
      </w:r>
      <w:r w:rsidRPr="005D660C">
        <w:rPr>
          <w:b/>
        </w:rPr>
        <w:t>€</w:t>
      </w:r>
      <w:r>
        <w:rPr>
          <w:b/>
        </w:rPr>
        <w:t xml:space="preserve"> </w:t>
      </w:r>
      <w:r w:rsidRPr="005D660C">
        <w:rPr>
          <w:b/>
        </w:rPr>
        <w:t>1.836.868.992,22</w:t>
      </w:r>
      <w:r w:rsidRPr="005D660C">
        <w:t xml:space="preserve"> (Allegato C alla DGR 26/48), di cui € 425.157.164,17 provenienti dalla gestione dei residui</w:t>
      </w:r>
      <w:r w:rsidRPr="005D660C">
        <w:rPr>
          <w:vertAlign w:val="superscript"/>
        </w:rPr>
        <w:footnoteReference w:id="13"/>
      </w:r>
      <w:r w:rsidRPr="005D660C">
        <w:t xml:space="preserve"> e € 1.411.711.828,05 provenienti dalla gestione di competenza</w:t>
      </w:r>
      <w:r w:rsidRPr="005D660C">
        <w:rPr>
          <w:vertAlign w:val="superscript"/>
        </w:rPr>
        <w:footnoteReference w:id="14"/>
      </w:r>
      <w:r w:rsidR="005E221B">
        <w:t xml:space="preserve"> (v. tabella 21)</w:t>
      </w:r>
      <w:r w:rsidRPr="005D660C">
        <w:t>.</w:t>
      </w:r>
    </w:p>
    <w:p w:rsidR="00DB3BAA" w:rsidRDefault="00DB3BAA" w:rsidP="00DB3BAA">
      <w:pPr>
        <w:pStyle w:val="CdcTesto"/>
      </w:pPr>
      <w:r>
        <w:t xml:space="preserve">I residui formatisi nella competenza sono riferiti ad entrate tributarie di spettanza statutaria (circa 427 milioni di euro) e circa 880 milioni </w:t>
      </w:r>
      <w:r w:rsidRPr="00BF665A">
        <w:t>riguardano</w:t>
      </w:r>
      <w:r>
        <w:t xml:space="preserve"> prevalentemente risorse per la realizzazione dei programmi nazionali e comunitari, in particolare circa 392 milioni sono relativi al programma FSC 2007/2013, 268 milioni al APQ, 98 milioni al POR e 48 milioni al PAC.</w:t>
      </w:r>
    </w:p>
    <w:p w:rsidR="00DB3BAA" w:rsidRDefault="00DB3BAA" w:rsidP="00DB3BAA">
      <w:pPr>
        <w:pStyle w:val="CdcTesto"/>
      </w:pPr>
      <w:r w:rsidRPr="005D660C">
        <w:rPr>
          <w:b/>
        </w:rPr>
        <w:t xml:space="preserve">I </w:t>
      </w:r>
      <w:r>
        <w:rPr>
          <w:b/>
        </w:rPr>
        <w:t>residui passivi da riportare all’</w:t>
      </w:r>
      <w:r w:rsidRPr="005D660C">
        <w:rPr>
          <w:b/>
        </w:rPr>
        <w:t>01/01/2017</w:t>
      </w:r>
      <w:r w:rsidRPr="005D660C">
        <w:t xml:space="preserve"> ammontano complessivamente a </w:t>
      </w:r>
      <w:r w:rsidRPr="005D660C">
        <w:rPr>
          <w:b/>
        </w:rPr>
        <w:t>€ 1.400.963.879,52</w:t>
      </w:r>
      <w:r w:rsidRPr="005D660C">
        <w:t xml:space="preserve"> di cui € 327.353.895,87 provenienti dalla gestione dei residui</w:t>
      </w:r>
      <w:r w:rsidRPr="005D660C">
        <w:rPr>
          <w:vertAlign w:val="superscript"/>
        </w:rPr>
        <w:footnoteReference w:id="15"/>
      </w:r>
      <w:r>
        <w:t xml:space="preserve"> e € </w:t>
      </w:r>
      <w:r w:rsidRPr="005D660C">
        <w:t>1.073.609.983,65 provenienti dalla gestione di competenza</w:t>
      </w:r>
      <w:r w:rsidRPr="005D660C">
        <w:rPr>
          <w:vertAlign w:val="superscript"/>
        </w:rPr>
        <w:footnoteReference w:id="16"/>
      </w:r>
      <w:r w:rsidRPr="005D660C">
        <w:t>.</w:t>
      </w:r>
    </w:p>
    <w:p w:rsidR="00DB3BAA" w:rsidRDefault="00DB3BAA" w:rsidP="00DB3BAA">
      <w:pPr>
        <w:pStyle w:val="CdcTesto"/>
      </w:pPr>
      <w:r w:rsidRPr="004762E0">
        <w:t>Al termine dell’esercizio il saldo delle partite del conto residui risulta quindi</w:t>
      </w:r>
      <w:r>
        <w:t xml:space="preserve"> positivo per </w:t>
      </w:r>
      <w:r w:rsidRPr="0030281D">
        <w:t xml:space="preserve">circa </w:t>
      </w:r>
      <w:r>
        <w:t xml:space="preserve">436 milioni, mentre all’01.01.2016 il saldo del conto dei residui era </w:t>
      </w:r>
      <w:r w:rsidRPr="00BF665A">
        <w:t>in disavanzo per</w:t>
      </w:r>
      <w:r>
        <w:t xml:space="preserve"> circa 650 milioni di euro.</w:t>
      </w:r>
    </w:p>
    <w:p w:rsidR="00DB3BAA" w:rsidRDefault="00DB3BAA" w:rsidP="00DB3BAA">
      <w:pPr>
        <w:pStyle w:val="CdcTesto"/>
      </w:pPr>
      <w:r w:rsidRPr="005D660C">
        <w:rPr>
          <w:b/>
        </w:rPr>
        <w:t>I residui attivi eliminati</w:t>
      </w:r>
      <w:r w:rsidRPr="005D660C">
        <w:t xml:space="preserve"> in sede di riaccertamento sono stati complessivamente pari a € 99.233.919,86 di cui € 26.090.569,84 derivanti dalla competenza 2016 e € 73.143.350,02 derivanti dalla gestione dei residui</w:t>
      </w:r>
      <w:r w:rsidR="005E221B">
        <w:t xml:space="preserve"> (v. tabella 22)</w:t>
      </w:r>
      <w:r>
        <w:t>.</w:t>
      </w:r>
    </w:p>
    <w:p w:rsidR="00DB3BAA" w:rsidRDefault="00DB3BAA" w:rsidP="00DB3BAA">
      <w:pPr>
        <w:pStyle w:val="CdcTesto"/>
      </w:pPr>
      <w:r w:rsidRPr="005D660C">
        <w:rPr>
          <w:b/>
        </w:rPr>
        <w:t>I residui passivi eliminati</w:t>
      </w:r>
      <w:r w:rsidRPr="005D660C">
        <w:t xml:space="preserve"> sono stati invece complessivamente pari a </w:t>
      </w:r>
      <w:r w:rsidRPr="005D660C">
        <w:rPr>
          <w:b/>
        </w:rPr>
        <w:t>€ 110.648.051,88,</w:t>
      </w:r>
      <w:r w:rsidRPr="005D660C">
        <w:t xml:space="preserve"> di cui €</w:t>
      </w:r>
      <w:r>
        <w:t> </w:t>
      </w:r>
      <w:r w:rsidRPr="005D660C">
        <w:t>47.003.881,26 dalla gestione di competenza, e € 63.644.170,62 dalla gestione dei residui</w:t>
      </w:r>
      <w:r>
        <w:t>.</w:t>
      </w:r>
    </w:p>
    <w:p w:rsidR="00DB3BAA" w:rsidRDefault="00DB3BAA" w:rsidP="00DB3BAA">
      <w:pPr>
        <w:pStyle w:val="CdcTesto"/>
      </w:pPr>
      <w:r>
        <w:lastRenderedPageBreak/>
        <w:t>La relazione riporta i prospetti dell’anzianità dei residui (dal 2002 al 2016</w:t>
      </w:r>
      <w:r w:rsidR="00267F6F">
        <w:t xml:space="preserve"> v. tabelle n. 27 e n. 29</w:t>
      </w:r>
      <w:r>
        <w:t>). I residui attivi di maggiore consistenza/anzianità si riferiscono alle entrate in conto capitale (Titolo IV) che costituiscono il 55% circa dell’intera consistenza.</w:t>
      </w:r>
    </w:p>
    <w:p w:rsidR="00DB3BAA" w:rsidRDefault="00DB3BAA" w:rsidP="00267F6F">
      <w:pPr>
        <w:pStyle w:val="CdcTesto"/>
        <w:spacing w:after="360"/>
      </w:pPr>
      <w:r>
        <w:t>I residui passivi di maggiore consistenza/</w:t>
      </w:r>
      <w:r w:rsidRPr="00BF665A">
        <w:t>anzianità</w:t>
      </w:r>
      <w:r>
        <w:t xml:space="preserve"> sono quelli della spesa corrente (Titolo I), pari al 63% dell’intera consistenza.</w:t>
      </w:r>
    </w:p>
    <w:p w:rsidR="00DB3BAA" w:rsidRPr="00C07DB6" w:rsidRDefault="00DB3BAA" w:rsidP="007D10C5">
      <w:pPr>
        <w:pStyle w:val="Paragrafoelenco"/>
        <w:numPr>
          <w:ilvl w:val="0"/>
          <w:numId w:val="27"/>
        </w:numPr>
        <w:tabs>
          <w:tab w:val="left" w:pos="142"/>
          <w:tab w:val="left" w:pos="284"/>
        </w:tabs>
        <w:autoSpaceDE w:val="0"/>
        <w:autoSpaceDN w:val="0"/>
        <w:adjustRightInd w:val="0"/>
        <w:spacing w:after="120"/>
        <w:jc w:val="both"/>
        <w:textAlignment w:val="center"/>
        <w:rPr>
          <w:rFonts w:ascii="Bodoni MT" w:eastAsiaTheme="majorEastAsia" w:hAnsi="Bodoni MT" w:cs="Bodoni MT"/>
          <w:color w:val="000000"/>
          <w:sz w:val="24"/>
          <w:szCs w:val="24"/>
        </w:rPr>
      </w:pPr>
      <w:r w:rsidRPr="00067233">
        <w:rPr>
          <w:rFonts w:ascii="Bodoni MT" w:eastAsiaTheme="majorEastAsia" w:hAnsi="Bodoni MT" w:cs="Bodoni MT"/>
          <w:b/>
          <w:color w:val="000000"/>
          <w:sz w:val="28"/>
          <w:szCs w:val="28"/>
        </w:rPr>
        <w:t>La spesa per Missioni</w:t>
      </w:r>
      <w:r w:rsidR="005E221B">
        <w:rPr>
          <w:rStyle w:val="Rimandonotaapidipagina"/>
          <w:rFonts w:ascii="Bodoni MT" w:eastAsiaTheme="majorEastAsia" w:hAnsi="Bodoni MT" w:cs="Bodoni MT"/>
          <w:b/>
          <w:color w:val="000000"/>
          <w:sz w:val="28"/>
          <w:szCs w:val="28"/>
        </w:rPr>
        <w:footnoteReference w:id="17"/>
      </w:r>
      <w:r w:rsidRPr="00C07DB6">
        <w:rPr>
          <w:rFonts w:ascii="Bodoni MT" w:eastAsiaTheme="majorEastAsia" w:hAnsi="Bodoni MT" w:cs="Bodoni MT"/>
          <w:b/>
          <w:color w:val="000000"/>
          <w:sz w:val="24"/>
          <w:szCs w:val="24"/>
        </w:rPr>
        <w:t>.</w:t>
      </w:r>
      <w:r w:rsidRPr="00C07DB6">
        <w:rPr>
          <w:rFonts w:ascii="Bodoni MT" w:eastAsiaTheme="majorEastAsia" w:hAnsi="Bodoni MT" w:cs="Bodoni MT"/>
          <w:color w:val="000000"/>
          <w:sz w:val="24"/>
          <w:szCs w:val="24"/>
        </w:rPr>
        <w:t xml:space="preserve"> La parte più cospicua degli impegni complessivi riguarda la </w:t>
      </w:r>
      <w:r w:rsidRPr="00C07DB6">
        <w:rPr>
          <w:rFonts w:ascii="Bodoni MT" w:eastAsiaTheme="majorEastAsia" w:hAnsi="Bodoni MT" w:cs="Bodoni MT"/>
          <w:b/>
          <w:color w:val="000000"/>
          <w:sz w:val="24"/>
          <w:szCs w:val="24"/>
        </w:rPr>
        <w:t xml:space="preserve">Missione 13 </w:t>
      </w:r>
      <w:r w:rsidRPr="00C07DB6">
        <w:rPr>
          <w:rFonts w:ascii="Bodoni MT" w:eastAsiaTheme="majorEastAsia" w:hAnsi="Bodoni MT" w:cs="Bodoni MT"/>
          <w:b/>
          <w:i/>
          <w:color w:val="000000"/>
          <w:sz w:val="24"/>
          <w:szCs w:val="24"/>
        </w:rPr>
        <w:t>“Tutela della salute”</w:t>
      </w:r>
      <w:r w:rsidRPr="00C07DB6">
        <w:rPr>
          <w:rFonts w:ascii="Bodoni MT" w:eastAsiaTheme="majorEastAsia" w:hAnsi="Bodoni MT" w:cs="Bodoni MT"/>
          <w:color w:val="000000"/>
          <w:sz w:val="24"/>
          <w:szCs w:val="24"/>
        </w:rPr>
        <w:t xml:space="preserve"> che, assorbendo il 35,47% degli impegni, ha comportato spese per 3.523,25 mln di euro a fronte di previsioni finali di 3.601,05 </w:t>
      </w:r>
      <w:r>
        <w:rPr>
          <w:rFonts w:ascii="Bodoni MT" w:eastAsiaTheme="majorEastAsia" w:hAnsi="Bodoni MT" w:cs="Bodoni MT"/>
          <w:color w:val="000000"/>
          <w:sz w:val="24"/>
          <w:szCs w:val="24"/>
        </w:rPr>
        <w:t>milioni</w:t>
      </w:r>
      <w:r w:rsidRPr="00C07DB6">
        <w:rPr>
          <w:rFonts w:ascii="Bodoni MT" w:eastAsiaTheme="majorEastAsia" w:hAnsi="Bodoni MT" w:cs="Bodoni MT"/>
          <w:color w:val="000000"/>
          <w:sz w:val="24"/>
          <w:szCs w:val="24"/>
        </w:rPr>
        <w:t xml:space="preserve"> di euro. Sulla stessa Missione sono stati effettuati pagamenti per 3.403 </w:t>
      </w:r>
      <w:r>
        <w:rPr>
          <w:rFonts w:ascii="Bodoni MT" w:eastAsiaTheme="majorEastAsia" w:hAnsi="Bodoni MT" w:cs="Bodoni MT"/>
          <w:color w:val="000000"/>
          <w:sz w:val="24"/>
          <w:szCs w:val="24"/>
        </w:rPr>
        <w:t>milioni</w:t>
      </w:r>
      <w:r w:rsidRPr="00C07DB6">
        <w:rPr>
          <w:rFonts w:ascii="Bodoni MT" w:eastAsiaTheme="majorEastAsia" w:hAnsi="Bodoni MT" w:cs="Bodoni MT"/>
          <w:color w:val="000000"/>
          <w:sz w:val="24"/>
          <w:szCs w:val="24"/>
        </w:rPr>
        <w:t xml:space="preserve"> di euro, pari al 48% del totale dei pagamenti.</w:t>
      </w:r>
    </w:p>
    <w:p w:rsidR="00DB3BAA" w:rsidRPr="002C0B0B" w:rsidRDefault="00DB3BAA" w:rsidP="00DB3BAA">
      <w:pPr>
        <w:pStyle w:val="CdcTesto"/>
        <w:rPr>
          <w:color w:val="auto"/>
        </w:rPr>
      </w:pPr>
      <w:r w:rsidRPr="005D660C">
        <w:rPr>
          <w:rFonts w:eastAsiaTheme="majorEastAsia"/>
        </w:rPr>
        <w:t xml:space="preserve">Il 13,62% degli impegni, pari a 1.233,64 mln di euro, riguarda la </w:t>
      </w:r>
      <w:r w:rsidRPr="00E602C1">
        <w:rPr>
          <w:rFonts w:eastAsiaTheme="majorEastAsia"/>
          <w:b/>
        </w:rPr>
        <w:t xml:space="preserve">Missione 18 </w:t>
      </w:r>
      <w:r w:rsidRPr="00E602C1">
        <w:rPr>
          <w:rFonts w:eastAsiaTheme="majorEastAsia"/>
          <w:b/>
          <w:i/>
        </w:rPr>
        <w:t>“Relazioni con le altre autonomie territoriali e locali”</w:t>
      </w:r>
      <w:r>
        <w:rPr>
          <w:rStyle w:val="Rimandonotaapidipagina"/>
          <w:rFonts w:eastAsiaTheme="majorEastAsia"/>
          <w:b/>
          <w:i/>
        </w:rPr>
        <w:footnoteReference w:id="18"/>
      </w:r>
      <w:r w:rsidRPr="005D660C">
        <w:rPr>
          <w:rFonts w:eastAsiaTheme="majorEastAsia"/>
        </w:rPr>
        <w:t>. La Missione registra una capacità di impegno del 93,6% e di pagamento del 91,85%.</w:t>
      </w:r>
    </w:p>
    <w:p w:rsidR="00DB3BAA" w:rsidRDefault="00DB3BAA" w:rsidP="00DB3BAA">
      <w:pPr>
        <w:pStyle w:val="CdcTesto"/>
      </w:pPr>
      <w:r w:rsidRPr="005D660C">
        <w:rPr>
          <w:rFonts w:eastAsiaTheme="majorEastAsia"/>
        </w:rPr>
        <w:t xml:space="preserve">Gli impegni riconducibili alla </w:t>
      </w:r>
      <w:r w:rsidRPr="00E602C1">
        <w:rPr>
          <w:rFonts w:eastAsiaTheme="majorEastAsia"/>
          <w:b/>
        </w:rPr>
        <w:t xml:space="preserve">Missione 1 </w:t>
      </w:r>
      <w:r w:rsidRPr="00E602C1">
        <w:rPr>
          <w:rFonts w:eastAsiaTheme="majorEastAsia"/>
          <w:b/>
          <w:i/>
        </w:rPr>
        <w:t xml:space="preserve">“Servizi istituzionali, generali e di gestione” </w:t>
      </w:r>
      <w:r>
        <w:rPr>
          <w:rFonts w:eastAsiaTheme="majorEastAsia"/>
        </w:rPr>
        <w:t>costituiscono il 12,33% del t</w:t>
      </w:r>
      <w:r w:rsidRPr="005D660C">
        <w:rPr>
          <w:rFonts w:eastAsiaTheme="majorEastAsia"/>
        </w:rPr>
        <w:t xml:space="preserve">otale, tuttavia si rileva una scarsa capacità d’impegno all’interno della Missione, pari solo al 52% delle previsioni, collegata soprattutto ai capitoli riguardanti i </w:t>
      </w:r>
      <w:r w:rsidRPr="00E602C1">
        <w:rPr>
          <w:rFonts w:eastAsiaTheme="majorEastAsia"/>
          <w:b/>
        </w:rPr>
        <w:t>fondi statali (FSC, PAC)</w:t>
      </w:r>
      <w:r w:rsidRPr="005D660C">
        <w:rPr>
          <w:rFonts w:eastAsiaTheme="majorEastAsia"/>
        </w:rPr>
        <w:t xml:space="preserve"> e comunitari del </w:t>
      </w:r>
      <w:r w:rsidRPr="00E602C1">
        <w:rPr>
          <w:rFonts w:eastAsiaTheme="majorEastAsia"/>
          <w:b/>
        </w:rPr>
        <w:t>POR FESR 2014-2020</w:t>
      </w:r>
      <w:r w:rsidRPr="005D660C">
        <w:rPr>
          <w:rFonts w:eastAsiaTheme="majorEastAsia"/>
        </w:rPr>
        <w:t>. I pagamenti risultano pari al 94,21% degli impegni.</w:t>
      </w:r>
    </w:p>
    <w:p w:rsidR="00DB3BAA" w:rsidRDefault="00A00467" w:rsidP="00DB3BAA">
      <w:pPr>
        <w:pStyle w:val="CdcTesto"/>
        <w:rPr>
          <w:rFonts w:eastAsiaTheme="majorEastAsia" w:cstheme="majorBidi"/>
          <w:color w:val="000000" w:themeColor="text1"/>
        </w:rPr>
      </w:pPr>
      <w:r w:rsidRPr="00535A6B">
        <w:rPr>
          <w:rFonts w:eastAsiaTheme="majorEastAsia" w:cstheme="majorBidi"/>
          <w:color w:val="000000" w:themeColor="text1"/>
        </w:rPr>
        <w:t xml:space="preserve">In </w:t>
      </w:r>
      <w:r w:rsidR="00DB3BAA" w:rsidRPr="00535A6B">
        <w:rPr>
          <w:rFonts w:eastAsiaTheme="majorEastAsia" w:cstheme="majorBidi"/>
          <w:color w:val="000000" w:themeColor="text1"/>
        </w:rPr>
        <w:t xml:space="preserve">fase di gestione hanno </w:t>
      </w:r>
      <w:r>
        <w:rPr>
          <w:rFonts w:eastAsiaTheme="majorEastAsia" w:cstheme="majorBidi"/>
          <w:color w:val="000000" w:themeColor="text1"/>
        </w:rPr>
        <w:t xml:space="preserve">scarsa incidenza </w:t>
      </w:r>
      <w:r w:rsidR="00DB3BAA" w:rsidRPr="00535A6B">
        <w:rPr>
          <w:rFonts w:eastAsiaTheme="majorEastAsia" w:cstheme="majorBidi"/>
          <w:color w:val="000000" w:themeColor="text1"/>
        </w:rPr>
        <w:t xml:space="preserve">di realizzazione le spese di alcune Missioni aventi un’elevata valenza sociale ed economica, </w:t>
      </w:r>
      <w:r w:rsidR="00DB3BAA">
        <w:rPr>
          <w:rFonts w:eastAsiaTheme="majorEastAsia" w:cstheme="majorBidi"/>
          <w:b/>
          <w:color w:val="000000" w:themeColor="text1"/>
        </w:rPr>
        <w:t xml:space="preserve">quali la </w:t>
      </w:r>
      <w:r w:rsidR="00DB3BAA" w:rsidRPr="00E602C1">
        <w:rPr>
          <w:rFonts w:eastAsiaTheme="majorEastAsia" w:cstheme="majorBidi"/>
          <w:b/>
          <w:color w:val="000000" w:themeColor="text1"/>
        </w:rPr>
        <w:t xml:space="preserve">Missione 4 </w:t>
      </w:r>
      <w:r w:rsidR="00DB3BAA" w:rsidRPr="00E602C1">
        <w:rPr>
          <w:rFonts w:eastAsiaTheme="majorEastAsia" w:cstheme="majorBidi"/>
          <w:b/>
          <w:i/>
          <w:color w:val="000000" w:themeColor="text1"/>
        </w:rPr>
        <w:t>“Istruzione e diritto allo studio”</w:t>
      </w:r>
      <w:r w:rsidR="00DB3BAA" w:rsidRPr="005D660C">
        <w:rPr>
          <w:rFonts w:eastAsiaTheme="majorEastAsia" w:cstheme="majorBidi"/>
          <w:i/>
          <w:color w:val="000000" w:themeColor="text1"/>
        </w:rPr>
        <w:t>,</w:t>
      </w:r>
      <w:r w:rsidR="00DB3BAA" w:rsidRPr="005D660C">
        <w:rPr>
          <w:rFonts w:eastAsiaTheme="majorEastAsia" w:cstheme="majorBidi"/>
          <w:color w:val="000000" w:themeColor="text1"/>
        </w:rPr>
        <w:t xml:space="preserve"> per la quale sono stati registrati pagamenti per soli 96,707 </w:t>
      </w:r>
      <w:r w:rsidR="00DB3BAA">
        <w:rPr>
          <w:rFonts w:eastAsiaTheme="majorEastAsia" w:cstheme="majorBidi"/>
          <w:color w:val="000000" w:themeColor="text1"/>
        </w:rPr>
        <w:t xml:space="preserve">milioni </w:t>
      </w:r>
      <w:r w:rsidR="00DB3BAA" w:rsidRPr="005D660C">
        <w:rPr>
          <w:rFonts w:eastAsiaTheme="majorEastAsia" w:cstheme="majorBidi"/>
          <w:color w:val="000000" w:themeColor="text1"/>
        </w:rPr>
        <w:t>di euro a fronte di pr</w:t>
      </w:r>
      <w:r w:rsidR="00DB3BAA">
        <w:rPr>
          <w:rFonts w:eastAsiaTheme="majorEastAsia" w:cstheme="majorBidi"/>
          <w:color w:val="000000" w:themeColor="text1"/>
        </w:rPr>
        <w:t>evisioni di 276,489 milioni di euro.</w:t>
      </w:r>
    </w:p>
    <w:p w:rsidR="00DB3BAA" w:rsidRDefault="00DB3BAA" w:rsidP="00DB3BAA">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La </w:t>
      </w:r>
      <w:r w:rsidRPr="00E602C1">
        <w:rPr>
          <w:rFonts w:ascii="Bodoni MT" w:eastAsiaTheme="majorEastAsia" w:hAnsi="Bodoni MT" w:cstheme="majorBidi"/>
          <w:b/>
          <w:color w:val="000000" w:themeColor="text1"/>
          <w:sz w:val="24"/>
          <w:szCs w:val="24"/>
        </w:rPr>
        <w:t xml:space="preserve">Missione 5 </w:t>
      </w:r>
      <w:r w:rsidRPr="00E602C1">
        <w:rPr>
          <w:rFonts w:ascii="Bodoni MT" w:eastAsiaTheme="majorEastAsia" w:hAnsi="Bodoni MT" w:cstheme="majorBidi"/>
          <w:b/>
          <w:i/>
          <w:color w:val="000000" w:themeColor="text1"/>
          <w:sz w:val="24"/>
          <w:szCs w:val="24"/>
        </w:rPr>
        <w:t>“Tutela e valorizzazione dei beni e delle attività culturali”</w:t>
      </w:r>
      <w:r w:rsidRPr="005D660C">
        <w:rPr>
          <w:rFonts w:ascii="Bodoni MT" w:eastAsiaTheme="majorEastAsia" w:hAnsi="Bodoni MT" w:cstheme="majorBidi"/>
          <w:color w:val="000000" w:themeColor="text1"/>
          <w:sz w:val="24"/>
          <w:szCs w:val="24"/>
        </w:rPr>
        <w:t xml:space="preserve">, per la quale sono stati </w:t>
      </w:r>
      <w:r>
        <w:rPr>
          <w:rFonts w:ascii="Bodoni MT" w:eastAsiaTheme="majorEastAsia" w:hAnsi="Bodoni MT" w:cstheme="majorBidi"/>
          <w:color w:val="000000" w:themeColor="text1"/>
          <w:sz w:val="24"/>
          <w:szCs w:val="24"/>
        </w:rPr>
        <w:t>effettuati pagamenti pari a circa il 50% delle previsioni.</w:t>
      </w:r>
      <w:r w:rsidRPr="005D660C">
        <w:rPr>
          <w:rFonts w:ascii="Bodoni MT" w:eastAsiaTheme="majorEastAsia" w:hAnsi="Bodoni MT" w:cstheme="majorBidi"/>
          <w:color w:val="000000" w:themeColor="text1"/>
          <w:sz w:val="24"/>
          <w:szCs w:val="24"/>
        </w:rPr>
        <w:t xml:space="preserve"> </w:t>
      </w:r>
    </w:p>
    <w:p w:rsidR="00DB3BAA" w:rsidRDefault="00DB3BAA" w:rsidP="00DB3BAA">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La </w:t>
      </w:r>
      <w:r w:rsidRPr="00E602C1">
        <w:rPr>
          <w:rFonts w:ascii="Bodoni MT" w:eastAsiaTheme="majorEastAsia" w:hAnsi="Bodoni MT" w:cstheme="majorBidi"/>
          <w:b/>
          <w:color w:val="000000" w:themeColor="text1"/>
          <w:sz w:val="24"/>
          <w:szCs w:val="24"/>
        </w:rPr>
        <w:t xml:space="preserve">Missione 6 </w:t>
      </w:r>
      <w:r w:rsidRPr="00E602C1">
        <w:rPr>
          <w:rFonts w:ascii="Bodoni MT" w:eastAsiaTheme="majorEastAsia" w:hAnsi="Bodoni MT" w:cstheme="majorBidi"/>
          <w:b/>
          <w:i/>
          <w:color w:val="000000" w:themeColor="text1"/>
          <w:sz w:val="24"/>
          <w:szCs w:val="24"/>
        </w:rPr>
        <w:t>“Politiche giovanili, sport e tempo libero”</w:t>
      </w:r>
      <w:r w:rsidRPr="005D660C">
        <w:rPr>
          <w:rFonts w:ascii="Bodoni MT" w:eastAsiaTheme="majorEastAsia" w:hAnsi="Bodoni MT" w:cstheme="majorBidi"/>
          <w:color w:val="000000" w:themeColor="text1"/>
          <w:sz w:val="24"/>
          <w:szCs w:val="24"/>
        </w:rPr>
        <w:t xml:space="preserve"> che, a f</w:t>
      </w:r>
      <w:r>
        <w:rPr>
          <w:rFonts w:ascii="Bodoni MT" w:eastAsiaTheme="majorEastAsia" w:hAnsi="Bodoni MT" w:cstheme="majorBidi"/>
          <w:color w:val="000000" w:themeColor="text1"/>
          <w:sz w:val="24"/>
          <w:szCs w:val="24"/>
        </w:rPr>
        <w:t>ronte di già scarse previsioni (</w:t>
      </w:r>
      <w:r w:rsidRPr="005D660C">
        <w:rPr>
          <w:rFonts w:ascii="Bodoni MT" w:eastAsiaTheme="majorEastAsia" w:hAnsi="Bodoni MT" w:cstheme="majorBidi"/>
          <w:color w:val="000000" w:themeColor="text1"/>
          <w:sz w:val="24"/>
          <w:szCs w:val="24"/>
        </w:rPr>
        <w:t xml:space="preserve">11,3 </w:t>
      </w:r>
      <w:r>
        <w:rPr>
          <w:rFonts w:ascii="Bodoni MT" w:eastAsiaTheme="majorEastAsia" w:hAnsi="Bodoni MT" w:cstheme="majorBidi"/>
          <w:color w:val="000000" w:themeColor="text1"/>
          <w:sz w:val="24"/>
          <w:szCs w:val="24"/>
        </w:rPr>
        <w:t>milioni</w:t>
      </w:r>
      <w:r w:rsidRPr="005D660C">
        <w:rPr>
          <w:rFonts w:ascii="Bodoni MT" w:eastAsiaTheme="majorEastAsia" w:hAnsi="Bodoni MT" w:cstheme="majorBidi"/>
          <w:color w:val="000000" w:themeColor="text1"/>
          <w:sz w:val="24"/>
          <w:szCs w:val="24"/>
        </w:rPr>
        <w:t xml:space="preserve"> di euro), registra </w:t>
      </w:r>
      <w:r>
        <w:rPr>
          <w:rFonts w:ascii="Bodoni MT" w:eastAsiaTheme="majorEastAsia" w:hAnsi="Bodoni MT" w:cstheme="majorBidi"/>
          <w:color w:val="000000" w:themeColor="text1"/>
          <w:sz w:val="24"/>
          <w:szCs w:val="24"/>
        </w:rPr>
        <w:t>pagamenti</w:t>
      </w:r>
      <w:r w:rsidRPr="005D660C">
        <w:rPr>
          <w:rFonts w:ascii="Bodoni MT" w:eastAsiaTheme="majorEastAsia" w:hAnsi="Bodoni MT" w:cstheme="majorBidi"/>
          <w:color w:val="000000" w:themeColor="text1"/>
          <w:sz w:val="24"/>
          <w:szCs w:val="24"/>
        </w:rPr>
        <w:t xml:space="preserve"> pari solo a </w:t>
      </w:r>
      <w:r>
        <w:rPr>
          <w:rFonts w:ascii="Bodoni MT" w:eastAsiaTheme="majorEastAsia" w:hAnsi="Bodoni MT" w:cstheme="majorBidi"/>
          <w:color w:val="000000" w:themeColor="text1"/>
          <w:sz w:val="24"/>
          <w:szCs w:val="24"/>
        </w:rPr>
        <w:t>3 milioni di euro.</w:t>
      </w:r>
      <w:r w:rsidRPr="005D660C">
        <w:rPr>
          <w:rFonts w:ascii="Bodoni MT" w:eastAsiaTheme="majorEastAsia" w:hAnsi="Bodoni MT" w:cstheme="majorBidi"/>
          <w:color w:val="000000" w:themeColor="text1"/>
          <w:sz w:val="24"/>
          <w:szCs w:val="24"/>
        </w:rPr>
        <w:t xml:space="preserve"> </w:t>
      </w:r>
    </w:p>
    <w:p w:rsidR="00DB3BAA" w:rsidRPr="005D660C" w:rsidRDefault="00DB3BAA" w:rsidP="00DB3BAA">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lastRenderedPageBreak/>
        <w:t xml:space="preserve">La </w:t>
      </w:r>
      <w:r w:rsidRPr="00E602C1">
        <w:rPr>
          <w:rFonts w:ascii="Bodoni MT" w:eastAsiaTheme="majorEastAsia" w:hAnsi="Bodoni MT" w:cstheme="majorBidi"/>
          <w:b/>
          <w:color w:val="000000" w:themeColor="text1"/>
          <w:sz w:val="24"/>
          <w:szCs w:val="24"/>
        </w:rPr>
        <w:t xml:space="preserve">Missione 7 </w:t>
      </w:r>
      <w:r w:rsidRPr="00E602C1">
        <w:rPr>
          <w:rFonts w:ascii="Bodoni MT" w:eastAsiaTheme="majorEastAsia" w:hAnsi="Bodoni MT" w:cstheme="majorBidi"/>
          <w:b/>
          <w:i/>
          <w:color w:val="000000" w:themeColor="text1"/>
          <w:sz w:val="24"/>
          <w:szCs w:val="24"/>
        </w:rPr>
        <w:t>“Turismo”</w:t>
      </w:r>
      <w:r w:rsidRPr="005D660C">
        <w:rPr>
          <w:rFonts w:ascii="Bodoni MT" w:eastAsiaTheme="majorEastAsia" w:hAnsi="Bodoni MT" w:cstheme="majorBidi"/>
          <w:color w:val="000000" w:themeColor="text1"/>
          <w:sz w:val="24"/>
          <w:szCs w:val="24"/>
        </w:rPr>
        <w:t xml:space="preserve"> per la quale risultano pagati solo 14 </w:t>
      </w:r>
      <w:r>
        <w:rPr>
          <w:rFonts w:ascii="Bodoni MT" w:eastAsiaTheme="majorEastAsia" w:hAnsi="Bodoni MT" w:cstheme="majorBidi"/>
          <w:color w:val="000000" w:themeColor="text1"/>
          <w:sz w:val="24"/>
          <w:szCs w:val="24"/>
        </w:rPr>
        <w:t>milioni</w:t>
      </w:r>
      <w:r w:rsidRPr="005D660C">
        <w:rPr>
          <w:rFonts w:ascii="Bodoni MT" w:eastAsiaTheme="majorEastAsia" w:hAnsi="Bodoni MT" w:cstheme="majorBidi"/>
          <w:color w:val="000000" w:themeColor="text1"/>
          <w:sz w:val="24"/>
          <w:szCs w:val="24"/>
        </w:rPr>
        <w:t xml:space="preserve"> di euro su previsioni di 43 </w:t>
      </w:r>
      <w:r>
        <w:rPr>
          <w:rFonts w:ascii="Bodoni MT" w:eastAsiaTheme="majorEastAsia" w:hAnsi="Bodoni MT" w:cstheme="majorBidi"/>
          <w:color w:val="000000" w:themeColor="text1"/>
          <w:sz w:val="24"/>
          <w:szCs w:val="24"/>
        </w:rPr>
        <w:t>milioni</w:t>
      </w:r>
      <w:r w:rsidRPr="005D660C">
        <w:rPr>
          <w:rFonts w:ascii="Bodoni MT" w:eastAsiaTheme="majorEastAsia" w:hAnsi="Bodoni MT" w:cstheme="majorBidi"/>
          <w:color w:val="000000" w:themeColor="text1"/>
          <w:sz w:val="24"/>
          <w:szCs w:val="24"/>
        </w:rPr>
        <w:t xml:space="preserve"> di euro circa.</w:t>
      </w:r>
    </w:p>
    <w:p w:rsidR="00DB3BAA" w:rsidRPr="005D660C" w:rsidRDefault="00DB3BAA" w:rsidP="00DB3BAA">
      <w:pPr>
        <w:autoSpaceDE w:val="0"/>
        <w:autoSpaceDN w:val="0"/>
        <w:adjustRightInd w:val="0"/>
        <w:spacing w:after="36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Si segnala anche la </w:t>
      </w:r>
      <w:r w:rsidRPr="00E602C1">
        <w:rPr>
          <w:rFonts w:ascii="Bodoni MT" w:eastAsiaTheme="majorEastAsia" w:hAnsi="Bodoni MT" w:cs="Bodoni MT"/>
          <w:b/>
          <w:color w:val="000000"/>
          <w:sz w:val="24"/>
          <w:szCs w:val="24"/>
        </w:rPr>
        <w:t xml:space="preserve">Missione 15 </w:t>
      </w:r>
      <w:r w:rsidRPr="00E602C1">
        <w:rPr>
          <w:rFonts w:ascii="Bodoni MT" w:eastAsiaTheme="majorEastAsia" w:hAnsi="Bodoni MT" w:cs="Bodoni MT"/>
          <w:b/>
          <w:i/>
          <w:color w:val="000000"/>
          <w:sz w:val="24"/>
          <w:szCs w:val="24"/>
        </w:rPr>
        <w:t>“Politiche per il lavoro e la formazione professionale”</w:t>
      </w:r>
      <w:r w:rsidRPr="005D660C">
        <w:rPr>
          <w:rFonts w:ascii="Bodoni MT" w:eastAsiaTheme="majorEastAsia" w:hAnsi="Bodoni MT" w:cs="Bodoni MT"/>
          <w:color w:val="000000"/>
          <w:sz w:val="24"/>
          <w:szCs w:val="24"/>
        </w:rPr>
        <w:t xml:space="preserve"> che, pur registrando buone percentuali di impegno e pagamento, ha una scarsa incidenza sul totale degli impegni (1,51%) e dei pagamenti (1,14%)</w:t>
      </w:r>
      <w:r>
        <w:rPr>
          <w:rFonts w:ascii="Bodoni MT" w:eastAsiaTheme="majorEastAsia" w:hAnsi="Bodoni MT" w:cs="Bodoni MT"/>
          <w:color w:val="000000"/>
          <w:sz w:val="24"/>
          <w:szCs w:val="24"/>
        </w:rPr>
        <w:t xml:space="preserve"> di bilancio</w:t>
      </w:r>
      <w:r w:rsidRPr="005D660C">
        <w:rPr>
          <w:rFonts w:ascii="Bodoni MT" w:eastAsiaTheme="majorEastAsia" w:hAnsi="Bodoni MT" w:cs="Bodoni MT"/>
          <w:color w:val="000000"/>
          <w:sz w:val="24"/>
          <w:szCs w:val="24"/>
        </w:rPr>
        <w:t>.</w:t>
      </w:r>
    </w:p>
    <w:p w:rsidR="00DB3BAA" w:rsidRDefault="00DB3BAA" w:rsidP="007D10C5">
      <w:pPr>
        <w:pStyle w:val="Paragrafoelenco"/>
        <w:numPr>
          <w:ilvl w:val="0"/>
          <w:numId w:val="27"/>
        </w:numPr>
        <w:tabs>
          <w:tab w:val="left" w:pos="284"/>
        </w:tabs>
        <w:jc w:val="both"/>
        <w:rPr>
          <w:rStyle w:val="CdcTestoCarattere"/>
        </w:rPr>
      </w:pPr>
      <w:r w:rsidRPr="00067233">
        <w:rPr>
          <w:rFonts w:ascii="Bodoni MT" w:eastAsiaTheme="minorEastAsia" w:hAnsi="Bodoni MT" w:cs="Bodoni MT"/>
          <w:b/>
          <w:color w:val="000000"/>
          <w:sz w:val="28"/>
          <w:szCs w:val="28"/>
        </w:rPr>
        <w:t>Le reimputazioni di crediti e debiti all’esercizio 2017 e successivi</w:t>
      </w:r>
      <w:r w:rsidR="005E221B">
        <w:rPr>
          <w:rStyle w:val="Rimandonotaapidipagina"/>
          <w:rFonts w:ascii="Bodoni MT" w:eastAsiaTheme="minorEastAsia" w:hAnsi="Bodoni MT" w:cs="Bodoni MT"/>
          <w:b/>
          <w:color w:val="000000"/>
          <w:sz w:val="28"/>
          <w:szCs w:val="28"/>
        </w:rPr>
        <w:footnoteReference w:id="19"/>
      </w:r>
      <w:r w:rsidRPr="0018525B">
        <w:rPr>
          <w:rFonts w:ascii="Bodoni MT" w:eastAsiaTheme="minorEastAsia" w:hAnsi="Bodoni MT" w:cs="Bodoni MT"/>
          <w:b/>
          <w:color w:val="000000"/>
          <w:sz w:val="24"/>
          <w:szCs w:val="24"/>
        </w:rPr>
        <w:t xml:space="preserve">. </w:t>
      </w:r>
      <w:r w:rsidRPr="0018525B">
        <w:rPr>
          <w:rFonts w:ascii="Bodoni MT" w:eastAsiaTheme="minorEastAsia" w:hAnsi="Bodoni MT" w:cs="Bodoni MT"/>
          <w:color w:val="000000"/>
          <w:sz w:val="24"/>
          <w:szCs w:val="24"/>
        </w:rPr>
        <w:t xml:space="preserve">I </w:t>
      </w:r>
      <w:r w:rsidRPr="0018525B">
        <w:rPr>
          <w:rFonts w:ascii="Bodoni MT" w:eastAsiaTheme="minorEastAsia" w:hAnsi="Bodoni MT" w:cs="Bodoni MT"/>
          <w:b/>
          <w:color w:val="000000"/>
          <w:sz w:val="24"/>
          <w:szCs w:val="24"/>
        </w:rPr>
        <w:t xml:space="preserve">crediti reimputati, </w:t>
      </w:r>
      <w:r w:rsidRPr="0018525B">
        <w:rPr>
          <w:rFonts w:ascii="Bodoni MT" w:eastAsiaTheme="minorEastAsia" w:hAnsi="Bodoni MT" w:cs="Bodoni MT"/>
          <w:color w:val="000000"/>
          <w:sz w:val="24"/>
          <w:szCs w:val="24"/>
        </w:rPr>
        <w:t xml:space="preserve">di cui è stata verificata l’inesigibilità nel 2016 che non hanno dato origine al FPV, ammontano a </w:t>
      </w:r>
      <w:r>
        <w:rPr>
          <w:rFonts w:ascii="Bodoni MT" w:eastAsiaTheme="minorEastAsia" w:hAnsi="Bodoni MT" w:cs="Bodoni MT"/>
          <w:b/>
          <w:color w:val="000000"/>
          <w:sz w:val="24"/>
          <w:szCs w:val="24"/>
        </w:rPr>
        <w:t>€ </w:t>
      </w:r>
      <w:r w:rsidRPr="0018525B">
        <w:rPr>
          <w:rFonts w:ascii="Bodoni MT" w:eastAsiaTheme="minorEastAsia" w:hAnsi="Bodoni MT" w:cs="Bodoni MT"/>
          <w:b/>
          <w:color w:val="000000"/>
          <w:sz w:val="24"/>
          <w:szCs w:val="24"/>
        </w:rPr>
        <w:t>131.886.895,64.</w:t>
      </w:r>
    </w:p>
    <w:p w:rsidR="00DB3BAA" w:rsidRDefault="00DB3BAA" w:rsidP="00EF1956">
      <w:pPr>
        <w:spacing w:after="120" w:line="360" w:lineRule="auto"/>
        <w:jc w:val="both"/>
        <w:rPr>
          <w:rFonts w:ascii="Bodoni MT" w:hAnsi="Bodoni MT"/>
          <w:sz w:val="24"/>
          <w:szCs w:val="24"/>
        </w:rPr>
      </w:pPr>
      <w:r>
        <w:rPr>
          <w:rFonts w:ascii="Bodoni MT" w:eastAsiaTheme="minorEastAsia" w:hAnsi="Bodoni MT" w:cs="Bodoni MT"/>
          <w:color w:val="000000"/>
          <w:sz w:val="24"/>
          <w:szCs w:val="24"/>
        </w:rPr>
        <w:t xml:space="preserve">I debiti </w:t>
      </w:r>
      <w:r w:rsidRPr="00535A6B">
        <w:rPr>
          <w:rFonts w:ascii="Bodoni MT" w:eastAsiaTheme="minorEastAsia" w:hAnsi="Bodoni MT" w:cs="Bodoni MT"/>
          <w:b/>
          <w:color w:val="000000"/>
          <w:sz w:val="24"/>
          <w:szCs w:val="24"/>
        </w:rPr>
        <w:t>reimputati all’esercizio</w:t>
      </w:r>
      <w:r w:rsidRPr="005D660C">
        <w:rPr>
          <w:rFonts w:ascii="Bodoni MT" w:eastAsiaTheme="minorEastAsia" w:hAnsi="Bodoni MT" w:cs="Bodoni MT"/>
          <w:b/>
          <w:color w:val="000000"/>
          <w:sz w:val="24"/>
          <w:szCs w:val="24"/>
        </w:rPr>
        <w:t xml:space="preserve"> 2017 e successivi</w:t>
      </w:r>
      <w:r>
        <w:rPr>
          <w:rFonts w:ascii="Bodoni MT" w:eastAsiaTheme="minorEastAsia" w:hAnsi="Bodoni MT" w:cs="Bodoni MT"/>
          <w:b/>
          <w:color w:val="000000"/>
          <w:sz w:val="24"/>
          <w:szCs w:val="24"/>
        </w:rPr>
        <w:t xml:space="preserve"> </w:t>
      </w:r>
      <w:r w:rsidRPr="006E7C7B">
        <w:rPr>
          <w:rFonts w:ascii="Bodoni MT" w:eastAsiaTheme="minorEastAsia" w:hAnsi="Bodoni MT" w:cs="Bodoni MT"/>
          <w:color w:val="000000"/>
          <w:sz w:val="24"/>
          <w:szCs w:val="24"/>
        </w:rPr>
        <w:t>sono</w:t>
      </w:r>
      <w:r w:rsidRPr="005D660C">
        <w:rPr>
          <w:rFonts w:ascii="Bodoni MT" w:eastAsiaTheme="minorEastAsia" w:hAnsi="Bodoni MT" w:cs="Bodoni MT"/>
          <w:color w:val="000000"/>
          <w:sz w:val="24"/>
          <w:szCs w:val="24"/>
        </w:rPr>
        <w:t xml:space="preserve"> quantificati complessivamente in </w:t>
      </w:r>
      <w:r>
        <w:rPr>
          <w:rFonts w:ascii="Bodoni MT" w:eastAsiaTheme="minorEastAsia" w:hAnsi="Bodoni MT" w:cs="Bodoni MT"/>
          <w:b/>
          <w:color w:val="000000"/>
          <w:sz w:val="24"/>
          <w:szCs w:val="24"/>
        </w:rPr>
        <w:t>€ </w:t>
      </w:r>
      <w:r w:rsidRPr="005D660C">
        <w:rPr>
          <w:rFonts w:ascii="Bodoni MT" w:eastAsiaTheme="minorEastAsia" w:hAnsi="Bodoni MT" w:cs="Bodoni MT"/>
          <w:b/>
          <w:color w:val="000000"/>
          <w:sz w:val="24"/>
          <w:szCs w:val="24"/>
        </w:rPr>
        <w:t>558.977.451,90</w:t>
      </w:r>
      <w:r w:rsidRPr="005D660C">
        <w:rPr>
          <w:rFonts w:ascii="Bodoni MT" w:eastAsiaTheme="minorEastAsia" w:hAnsi="Bodoni MT" w:cs="Bodoni MT"/>
          <w:color w:val="000000"/>
          <w:sz w:val="24"/>
          <w:szCs w:val="24"/>
        </w:rPr>
        <w:t>.</w:t>
      </w:r>
    </w:p>
    <w:p w:rsidR="00DB3BAA" w:rsidRDefault="00DB3BAA" w:rsidP="00EF1956">
      <w:pPr>
        <w:spacing w:after="120" w:line="360" w:lineRule="auto"/>
        <w:jc w:val="both"/>
        <w:rPr>
          <w:rFonts w:ascii="Bodoni MT" w:hAnsi="Bodoni MT"/>
          <w:sz w:val="24"/>
          <w:szCs w:val="24"/>
        </w:rPr>
      </w:pPr>
      <w:r w:rsidRPr="00FF3300">
        <w:rPr>
          <w:rFonts w:ascii="Bodoni MT" w:eastAsiaTheme="minorEastAsia" w:hAnsi="Bodoni MT" w:cs="Bodoni MT"/>
          <w:b/>
          <w:color w:val="000000"/>
          <w:sz w:val="24"/>
          <w:szCs w:val="24"/>
        </w:rPr>
        <w:t>I debiti reimputati derivano per € 451.744.796,66 (circa l’81% del totale) dal riaccertamento straordinario dei residui effettuato nel 2015</w:t>
      </w:r>
      <w:r w:rsidRPr="005D660C">
        <w:rPr>
          <w:rFonts w:ascii="Bodoni MT" w:eastAsiaTheme="minorEastAsia" w:hAnsi="Bodoni MT" w:cs="Bodoni MT"/>
          <w:color w:val="000000"/>
          <w:sz w:val="24"/>
          <w:szCs w:val="24"/>
        </w:rPr>
        <w:t xml:space="preserve">. </w:t>
      </w:r>
      <w:r w:rsidRPr="00F217D3">
        <w:rPr>
          <w:rFonts w:ascii="Bodoni MT" w:eastAsiaTheme="minorEastAsia" w:hAnsi="Bodoni MT" w:cs="Bodoni MT"/>
          <w:b/>
          <w:color w:val="000000"/>
          <w:sz w:val="24"/>
          <w:szCs w:val="24"/>
        </w:rPr>
        <w:t xml:space="preserve">Si tratta quindi della terza volta che, tali debiti, </w:t>
      </w:r>
      <w:r>
        <w:rPr>
          <w:rFonts w:ascii="Bodoni MT" w:eastAsiaTheme="minorEastAsia" w:hAnsi="Bodoni MT" w:cs="Bodoni MT"/>
          <w:b/>
          <w:color w:val="000000"/>
          <w:sz w:val="24"/>
          <w:szCs w:val="24"/>
        </w:rPr>
        <w:t>non v</w:t>
      </w:r>
      <w:r w:rsidRPr="00F217D3">
        <w:rPr>
          <w:rFonts w:ascii="Bodoni MT" w:eastAsiaTheme="minorEastAsia" w:hAnsi="Bodoni MT" w:cs="Bodoni MT"/>
          <w:b/>
          <w:color w:val="000000"/>
          <w:sz w:val="24"/>
          <w:szCs w:val="24"/>
        </w:rPr>
        <w:t>e</w:t>
      </w:r>
      <w:r>
        <w:rPr>
          <w:rFonts w:ascii="Bodoni MT" w:eastAsiaTheme="minorEastAsia" w:hAnsi="Bodoni MT" w:cs="Bodoni MT"/>
          <w:b/>
          <w:color w:val="000000"/>
          <w:sz w:val="24"/>
          <w:szCs w:val="24"/>
        </w:rPr>
        <w:t>ngo</w:t>
      </w:r>
      <w:r w:rsidRPr="00F217D3">
        <w:rPr>
          <w:rFonts w:ascii="Bodoni MT" w:eastAsiaTheme="minorEastAsia" w:hAnsi="Bodoni MT" w:cs="Bodoni MT"/>
          <w:b/>
          <w:color w:val="000000"/>
          <w:sz w:val="24"/>
          <w:szCs w:val="24"/>
        </w:rPr>
        <w:t>n</w:t>
      </w:r>
      <w:r>
        <w:rPr>
          <w:rFonts w:ascii="Bodoni MT" w:eastAsiaTheme="minorEastAsia" w:hAnsi="Bodoni MT" w:cs="Bodoni MT"/>
          <w:b/>
          <w:color w:val="000000"/>
          <w:sz w:val="24"/>
          <w:szCs w:val="24"/>
        </w:rPr>
        <w:t>o</w:t>
      </w:r>
      <w:r w:rsidRPr="00F217D3">
        <w:rPr>
          <w:rFonts w:ascii="Bodoni MT" w:eastAsiaTheme="minorEastAsia" w:hAnsi="Bodoni MT" w:cs="Bodoni MT"/>
          <w:b/>
          <w:color w:val="000000"/>
          <w:sz w:val="24"/>
          <w:szCs w:val="24"/>
        </w:rPr>
        <w:t xml:space="preserve"> </w:t>
      </w:r>
      <w:r w:rsidRPr="0046680E">
        <w:rPr>
          <w:rFonts w:ascii="Bodoni MT" w:eastAsiaTheme="minorEastAsia" w:hAnsi="Bodoni MT" w:cs="Bodoni MT"/>
          <w:b/>
          <w:color w:val="000000"/>
          <w:sz w:val="24"/>
          <w:szCs w:val="24"/>
        </w:rPr>
        <w:t>realizzati nell’esercizio di imputazione e si ripresenta la necessità</w:t>
      </w:r>
      <w:r w:rsidRPr="00F217D3">
        <w:rPr>
          <w:rFonts w:ascii="Bodoni MT" w:eastAsiaTheme="minorEastAsia" w:hAnsi="Bodoni MT" w:cs="Bodoni MT"/>
          <w:b/>
          <w:color w:val="000000"/>
          <w:sz w:val="24"/>
          <w:szCs w:val="24"/>
        </w:rPr>
        <w:t xml:space="preserve"> di rettificare la relativa scadenza</w:t>
      </w:r>
      <w:r w:rsidRPr="005D660C">
        <w:rPr>
          <w:rFonts w:ascii="Bodoni MT" w:eastAsiaTheme="minorEastAsia" w:hAnsi="Bodoni MT" w:cs="Bodoni MT"/>
          <w:color w:val="000000"/>
          <w:sz w:val="24"/>
          <w:szCs w:val="24"/>
        </w:rPr>
        <w:t>.</w:t>
      </w:r>
    </w:p>
    <w:p w:rsidR="00DB3BAA"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 debiti reimputati sono coperti per € 555.762.438,7</w:t>
      </w:r>
      <w:r>
        <w:rPr>
          <w:rFonts w:ascii="Bodoni MT" w:eastAsiaTheme="minorEastAsia" w:hAnsi="Bodoni MT" w:cs="Bodoni MT"/>
          <w:color w:val="000000"/>
          <w:sz w:val="24"/>
          <w:szCs w:val="24"/>
        </w:rPr>
        <w:t>2 dal FPV e per € 3.152.284,51 da</w:t>
      </w:r>
      <w:r w:rsidRPr="005D660C">
        <w:rPr>
          <w:rFonts w:ascii="Bodoni MT" w:eastAsiaTheme="minorEastAsia" w:hAnsi="Bodoni MT" w:cs="Bodoni MT"/>
          <w:color w:val="000000"/>
          <w:sz w:val="24"/>
          <w:szCs w:val="24"/>
        </w:rPr>
        <w:t xml:space="preserve"> crediti reimputati che non g</w:t>
      </w:r>
      <w:r>
        <w:rPr>
          <w:rFonts w:ascii="Bodoni MT" w:eastAsiaTheme="minorEastAsia" w:hAnsi="Bodoni MT" w:cs="Bodoni MT"/>
          <w:color w:val="000000"/>
          <w:sz w:val="24"/>
          <w:szCs w:val="24"/>
        </w:rPr>
        <w:t>enerano FPV, per un totale di € 558.914.723,23. La differenza, pari a € </w:t>
      </w:r>
      <w:r w:rsidRPr="005D660C">
        <w:rPr>
          <w:rFonts w:ascii="Bodoni MT" w:eastAsiaTheme="minorEastAsia" w:hAnsi="Bodoni MT" w:cs="Bodoni MT"/>
          <w:color w:val="000000"/>
          <w:sz w:val="24"/>
          <w:szCs w:val="24"/>
        </w:rPr>
        <w:t>62.728,67, è stata stralciata dai residui passivi finanziati da FPV a seguito delle modifiche dei cronoprogrammi</w:t>
      </w:r>
      <w:r w:rsidRPr="006E7C7B">
        <w:rPr>
          <w:rFonts w:ascii="Bodoni MT" w:eastAsiaTheme="minorEastAsia" w:hAnsi="Bodoni MT" w:cs="Bodoni MT"/>
          <w:color w:val="000000"/>
          <w:sz w:val="24"/>
          <w:szCs w:val="24"/>
          <w:vertAlign w:val="superscript"/>
        </w:rPr>
        <w:footnoteReference w:id="20"/>
      </w:r>
      <w:r>
        <w:rPr>
          <w:rFonts w:ascii="Bodoni MT" w:eastAsiaTheme="minorEastAsia" w:hAnsi="Bodoni MT" w:cs="Bodoni MT"/>
          <w:color w:val="000000"/>
          <w:sz w:val="24"/>
          <w:szCs w:val="24"/>
        </w:rPr>
        <w:t>.</w:t>
      </w:r>
    </w:p>
    <w:p w:rsidR="00DB3BAA" w:rsidRDefault="00DB3BAA" w:rsidP="00DB3BAA">
      <w:pPr>
        <w:pStyle w:val="CdcTesto"/>
      </w:pPr>
      <w:r w:rsidRPr="005D660C">
        <w:t>Con riguardo alle reimputazioni, il confronto con l’esercizio precedente mostra un miglioramento soprattutto in riferimento alle reimputazioni attive. Meno significativa è invece la riduzione delle reimputazioni passive che, come già osservato, mostra ancora le carenze delle attività di verifica condotte in sede di riaccertamento straordinario.</w:t>
      </w:r>
      <w:r>
        <w:t xml:space="preserve"> Le risultanze della gestione/movimentazione dei residui attivi segnalano un </w:t>
      </w:r>
      <w:r w:rsidRPr="003A571D">
        <w:t>non puntuale adeguamento</w:t>
      </w:r>
      <w:r>
        <w:t xml:space="preserve"> al principio di competenza finanziaria cui avrebbe dovuto uniformarsi la gestione del bilancio 2016.</w:t>
      </w:r>
    </w:p>
    <w:p w:rsidR="00DB3BAA" w:rsidRDefault="00DB3BAA" w:rsidP="00DB3BAA">
      <w:pPr>
        <w:pStyle w:val="CdcTesto"/>
      </w:pPr>
      <w:r>
        <w:t>Inoltre l’assenza di indicazioni (anche nei documenti a corredo del rendiconto) in ordine alle cause di carattere organizzativo-gestionale che hanno determinato le risultanze in esame, non favorisce l’adozione di proficui strumenti correttivi.</w:t>
      </w:r>
    </w:p>
    <w:p w:rsidR="00DB3BAA" w:rsidRDefault="00DB3BAA" w:rsidP="00DB3BAA">
      <w:pPr>
        <w:pStyle w:val="CdcTesto"/>
      </w:pPr>
      <w:r>
        <w:lastRenderedPageBreak/>
        <w:t xml:space="preserve">Considerando l’importanza rivestita dalle somme attive stralciate, </w:t>
      </w:r>
      <w:r w:rsidRPr="0046680E">
        <w:t>risulterebbe di notevole interesse informativo acquisire notizie in ordine alle ragioni sostanziali a sostegno delle loro eliminazione dalle scritture</w:t>
      </w:r>
      <w:r>
        <w:t>,</w:t>
      </w:r>
      <w:r w:rsidRPr="0046680E">
        <w:t xml:space="preserve"> con riferimento alle di operazioni maggiore rilievo.</w:t>
      </w:r>
    </w:p>
    <w:p w:rsidR="00DB3BAA" w:rsidRPr="005D660C" w:rsidRDefault="00DB3BAA" w:rsidP="00DB3BAA">
      <w:pPr>
        <w:autoSpaceDE w:val="0"/>
        <w:autoSpaceDN w:val="0"/>
        <w:adjustRightInd w:val="0"/>
        <w:spacing w:after="360" w:line="360" w:lineRule="auto"/>
        <w:jc w:val="both"/>
        <w:textAlignment w:val="center"/>
        <w:rPr>
          <w:rFonts w:ascii="Bodoni MT" w:hAnsi="Bodoni MT"/>
          <w:sz w:val="24"/>
          <w:szCs w:val="24"/>
        </w:rPr>
      </w:pPr>
      <w:r>
        <w:rPr>
          <w:rFonts w:ascii="Bodoni MT" w:eastAsiaTheme="minorEastAsia" w:hAnsi="Bodoni MT" w:cs="Bodoni MT"/>
          <w:color w:val="000000"/>
          <w:sz w:val="24"/>
          <w:szCs w:val="24"/>
        </w:rPr>
        <w:t>Si tenga conto, infine, del fatto che la reiscrizione delle partite contabili a residuo e le reimputazioni di partite che erano state ritenute esigibili, non solo segnalano scarsa aderenza alle finalità della competenza potenziata, ma sono destinate ad appesantire le successive manovre di bilancio, sia in sede programmatoria-previsionale che gestionale.</w:t>
      </w:r>
    </w:p>
    <w:p w:rsidR="00DB3BAA" w:rsidRDefault="00DB3BAA" w:rsidP="007D10C5">
      <w:pPr>
        <w:pStyle w:val="CdcTesto"/>
        <w:numPr>
          <w:ilvl w:val="0"/>
          <w:numId w:val="27"/>
        </w:numPr>
        <w:tabs>
          <w:tab w:val="left" w:pos="284"/>
          <w:tab w:val="left" w:pos="426"/>
        </w:tabs>
      </w:pPr>
      <w:r w:rsidRPr="00067233">
        <w:rPr>
          <w:b/>
          <w:sz w:val="28"/>
          <w:szCs w:val="28"/>
        </w:rPr>
        <w:t>I residui perenti</w:t>
      </w:r>
      <w:r w:rsidRPr="0018525B">
        <w:rPr>
          <w:b/>
        </w:rPr>
        <w:t>.</w:t>
      </w:r>
      <w:r>
        <w:t xml:space="preserve"> </w:t>
      </w:r>
      <w:r w:rsidRPr="00BC3647">
        <w:rPr>
          <w:b/>
        </w:rPr>
        <w:t>Al 31/12/2015 i residui perenti ammontavano a € 1.766.201.800,21.</w:t>
      </w:r>
      <w:r w:rsidRPr="005D660C">
        <w:t xml:space="preserve"> L’accantonamento al Fondo per la loro reiscrizione è sta</w:t>
      </w:r>
      <w:r>
        <w:t>to determinato in complessivi € </w:t>
      </w:r>
      <w:r w:rsidRPr="005D660C">
        <w:t xml:space="preserve">400.788.035,52, con una </w:t>
      </w:r>
      <w:r w:rsidRPr="003A571D">
        <w:t>ridotta</w:t>
      </w:r>
      <w:r>
        <w:t xml:space="preserve"> </w:t>
      </w:r>
      <w:r w:rsidRPr="005D660C">
        <w:t xml:space="preserve">percentuale di copertura garantita </w:t>
      </w:r>
      <w:r>
        <w:t>(</w:t>
      </w:r>
      <w:r w:rsidRPr="005D660C">
        <w:t>22,69%</w:t>
      </w:r>
      <w:r>
        <w:t>)</w:t>
      </w:r>
      <w:r w:rsidRPr="005D660C">
        <w:t xml:space="preserve">, ritenuta, in sede di parifica del rendiconto 2015, </w:t>
      </w:r>
      <w:r w:rsidRPr="003A571D">
        <w:t>inadeguata</w:t>
      </w:r>
      <w:r w:rsidRPr="005D660C">
        <w:t xml:space="preserve"> rispetto all’elevato volume dei residui perenti risultante dal conto del patrimonio</w:t>
      </w:r>
      <w:r>
        <w:t>.</w:t>
      </w:r>
    </w:p>
    <w:p w:rsidR="00DB3BAA" w:rsidRPr="003A571D" w:rsidRDefault="00DB3BAA" w:rsidP="00DB3BAA">
      <w:pPr>
        <w:pStyle w:val="CdcTesto"/>
      </w:pPr>
      <w:r w:rsidRPr="005D660C">
        <w:t xml:space="preserve">Nel corso del 2016 i residui perenti sono </w:t>
      </w:r>
      <w:r w:rsidRPr="007041C5">
        <w:rPr>
          <w:b/>
        </w:rPr>
        <w:t>diminuiti di complessivi € 404.349.478,58</w:t>
      </w:r>
      <w:r w:rsidRPr="005D660C">
        <w:t xml:space="preserve">, di cui € 135.610.425,30 per riassegnazioni di parte capitale, € 52.562.478,02 per riassegnazioni di parte corrente, e € 216.176.575,26 per cancellazioni. </w:t>
      </w:r>
      <w:r w:rsidRPr="00BC3647">
        <w:rPr>
          <w:b/>
        </w:rPr>
        <w:t xml:space="preserve">I residui perenti al 31/12/2016 </w:t>
      </w:r>
      <w:r w:rsidRPr="003A571D">
        <w:rPr>
          <w:b/>
        </w:rPr>
        <w:t>ammontano</w:t>
      </w:r>
      <w:r w:rsidRPr="00BC3647">
        <w:rPr>
          <w:b/>
        </w:rPr>
        <w:t xml:space="preserve"> pertanto </w:t>
      </w:r>
      <w:r>
        <w:rPr>
          <w:b/>
        </w:rPr>
        <w:t>a € 1.363.489.033,70</w:t>
      </w:r>
      <w:r w:rsidRPr="00BC3647">
        <w:rPr>
          <w:b/>
        </w:rPr>
        <w:t xml:space="preserve">, con una riduzione </w:t>
      </w:r>
      <w:r>
        <w:rPr>
          <w:b/>
        </w:rPr>
        <w:t xml:space="preserve">del 22,89% </w:t>
      </w:r>
      <w:r w:rsidRPr="00BC3647">
        <w:rPr>
          <w:b/>
        </w:rPr>
        <w:t xml:space="preserve">rispetto al valore registrato al 31/12/2015. </w:t>
      </w:r>
      <w:r>
        <w:t>Va premesso che i dati contabili comunicati dagli Assessorati relativamente alle attività svolte nel 2016 presentano lievi divergenze rispetto ai dati contenuti nelle scritture a rendiconto in ragione delle diverse sequenze temporali delle relative rilevazioni finanziarie (da parte degli Assessorati e dei Servizi finanziari</w:t>
      </w:r>
      <w:r w:rsidR="00267F6F">
        <w:t xml:space="preserve"> v. tabelle n. 30 e n. 31</w:t>
      </w:r>
      <w:r>
        <w:t>).</w:t>
      </w:r>
    </w:p>
    <w:p w:rsidR="00DB3BAA" w:rsidRDefault="00DB3BAA" w:rsidP="00DB3BAA">
      <w:pPr>
        <w:pStyle w:val="CdcTesto"/>
      </w:pPr>
      <w:r w:rsidRPr="00F438AA">
        <w:rPr>
          <w:b/>
        </w:rPr>
        <w:t>L’accantonamento al Fondo al 31/12/2016 è pari a € 480.946.000,00</w:t>
      </w:r>
      <w:r w:rsidRPr="005D660C">
        <w:t xml:space="preserve">, determinato incrementando del 20% il Fondo accantonato al 31/12/2015. La percentuale di copertura dei residui perenti al 31/12/2016 risulta del 35,31%, con un </w:t>
      </w:r>
      <w:r>
        <w:t xml:space="preserve">incremento </w:t>
      </w:r>
      <w:r w:rsidRPr="005D660C">
        <w:t>del 12,62% rispetto all’esercizio precedente.</w:t>
      </w:r>
    </w:p>
    <w:p w:rsidR="00DB3BAA" w:rsidRPr="005D660C" w:rsidRDefault="00DB3BAA" w:rsidP="00DB3BA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Lo </w:t>
      </w:r>
      <w:r w:rsidRPr="005D660C">
        <w:rPr>
          <w:rFonts w:ascii="Bodoni MT" w:eastAsiaTheme="minorEastAsia" w:hAnsi="Bodoni MT" w:cs="Bodoni MT"/>
          <w:b/>
          <w:i/>
          <w:color w:val="000000"/>
          <w:sz w:val="24"/>
          <w:szCs w:val="24"/>
        </w:rPr>
        <w:t>smaltimento</w:t>
      </w:r>
      <w:r w:rsidRPr="005D660C">
        <w:rPr>
          <w:rFonts w:ascii="Bodoni MT" w:eastAsiaTheme="minorEastAsia" w:hAnsi="Bodoni MT" w:cs="Bodoni MT"/>
          <w:b/>
          <w:color w:val="000000"/>
          <w:sz w:val="24"/>
          <w:szCs w:val="24"/>
        </w:rPr>
        <w:t xml:space="preserve"> dei </w:t>
      </w:r>
      <w:r w:rsidRPr="00467A71">
        <w:rPr>
          <w:rFonts w:ascii="Bodoni MT" w:eastAsiaTheme="minorEastAsia" w:hAnsi="Bodoni MT" w:cs="Bodoni MT"/>
          <w:b/>
          <w:color w:val="000000"/>
          <w:sz w:val="24"/>
          <w:szCs w:val="24"/>
        </w:rPr>
        <w:t>residui</w:t>
      </w:r>
      <w:r>
        <w:rPr>
          <w:rFonts w:ascii="Bodoni MT" w:eastAsiaTheme="minorEastAsia" w:hAnsi="Bodoni MT" w:cs="Bodoni MT"/>
          <w:b/>
          <w:color w:val="000000"/>
          <w:sz w:val="24"/>
          <w:szCs w:val="24"/>
        </w:rPr>
        <w:t xml:space="preserve"> </w:t>
      </w:r>
      <w:r w:rsidRPr="005D660C">
        <w:rPr>
          <w:rFonts w:ascii="Bodoni MT" w:eastAsiaTheme="minorEastAsia" w:hAnsi="Bodoni MT" w:cs="Bodoni MT"/>
          <w:b/>
          <w:color w:val="000000"/>
          <w:sz w:val="24"/>
          <w:szCs w:val="24"/>
        </w:rPr>
        <w:t xml:space="preserve">perenti ha interessato circa 384 milioni di euro di partite debitorie, </w:t>
      </w:r>
      <w:r w:rsidRPr="005D660C">
        <w:rPr>
          <w:rFonts w:ascii="Bodoni MT" w:eastAsiaTheme="minorEastAsia" w:hAnsi="Bodoni MT" w:cs="Bodoni MT"/>
          <w:color w:val="000000"/>
          <w:sz w:val="24"/>
          <w:szCs w:val="24"/>
        </w:rPr>
        <w:t>ovvero circa il 22% dell’intero importo registrato all’inizio dell’esercizio 2016, pervenendo ai seguenti esiti</w:t>
      </w:r>
      <w:r>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w:t>
      </w:r>
    </w:p>
    <w:p w:rsidR="00DB3BAA" w:rsidRPr="005D660C" w:rsidRDefault="00DB3BAA" w:rsidP="007D10C5">
      <w:pPr>
        <w:numPr>
          <w:ilvl w:val="0"/>
          <w:numId w:val="5"/>
        </w:numPr>
        <w:autoSpaceDE w:val="0"/>
        <w:autoSpaceDN w:val="0"/>
        <w:adjustRightInd w:val="0"/>
        <w:spacing w:after="0" w:line="360" w:lineRule="auto"/>
        <w:ind w:left="714" w:hanging="357"/>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cancellazioni per </w:t>
      </w:r>
      <w:r w:rsidRPr="005D660C">
        <w:rPr>
          <w:rFonts w:ascii="Bodoni MT" w:eastAsiaTheme="minorEastAsia" w:hAnsi="Bodoni MT" w:cs="Bodoni MT"/>
          <w:b/>
          <w:color w:val="000000"/>
          <w:sz w:val="24"/>
          <w:szCs w:val="24"/>
        </w:rPr>
        <w:t>obbligazioni ritenute insussistenti</w:t>
      </w:r>
      <w:r w:rsidRPr="005D660C">
        <w:rPr>
          <w:rFonts w:ascii="Bodoni MT" w:eastAsiaTheme="minorEastAsia" w:hAnsi="Bodoni MT" w:cs="Bodoni MT"/>
          <w:color w:val="000000"/>
          <w:sz w:val="24"/>
          <w:szCs w:val="24"/>
        </w:rPr>
        <w:t xml:space="preserve"> pari a circa 131 milioni di euro (</w:t>
      </w:r>
      <w:r w:rsidRPr="005D660C">
        <w:rPr>
          <w:rFonts w:ascii="Bodoni MT" w:eastAsiaTheme="minorEastAsia" w:hAnsi="Bodoni MT" w:cs="Bodoni MT"/>
          <w:b/>
          <w:color w:val="000000"/>
          <w:sz w:val="24"/>
          <w:szCs w:val="24"/>
        </w:rPr>
        <w:t>7%</w:t>
      </w:r>
      <w:r w:rsidRPr="005D660C">
        <w:rPr>
          <w:rFonts w:ascii="Bodoni MT" w:eastAsiaTheme="minorEastAsia" w:hAnsi="Bodoni MT" w:cs="Bodoni MT"/>
          <w:color w:val="000000"/>
          <w:sz w:val="24"/>
          <w:szCs w:val="24"/>
        </w:rPr>
        <w:t>);</w:t>
      </w:r>
    </w:p>
    <w:p w:rsidR="00DB3BAA" w:rsidRPr="005D660C" w:rsidRDefault="00DB3BAA" w:rsidP="007D10C5">
      <w:pPr>
        <w:numPr>
          <w:ilvl w:val="0"/>
          <w:numId w:val="5"/>
        </w:numPr>
        <w:autoSpaceDE w:val="0"/>
        <w:autoSpaceDN w:val="0"/>
        <w:adjustRightInd w:val="0"/>
        <w:spacing w:after="0" w:line="360" w:lineRule="auto"/>
        <w:ind w:left="714" w:hanging="357"/>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cancellazioni per </w:t>
      </w:r>
      <w:r w:rsidRPr="005D660C">
        <w:rPr>
          <w:rFonts w:ascii="Bodoni MT" w:eastAsiaTheme="minorEastAsia" w:hAnsi="Bodoni MT" w:cs="Bodoni MT"/>
          <w:b/>
          <w:color w:val="000000"/>
          <w:sz w:val="24"/>
          <w:szCs w:val="24"/>
        </w:rPr>
        <w:t>prescrizione del diritto di credito</w:t>
      </w:r>
      <w:r w:rsidRPr="005D660C">
        <w:rPr>
          <w:rFonts w:ascii="Bodoni MT" w:eastAsiaTheme="minorEastAsia" w:hAnsi="Bodoni MT" w:cs="Bodoni MT"/>
          <w:color w:val="000000"/>
          <w:sz w:val="24"/>
          <w:szCs w:val="24"/>
        </w:rPr>
        <w:t xml:space="preserve"> pari a circa 61 milioni di euro (</w:t>
      </w:r>
      <w:r w:rsidRPr="005D660C">
        <w:rPr>
          <w:rFonts w:ascii="Bodoni MT" w:eastAsiaTheme="minorEastAsia" w:hAnsi="Bodoni MT" w:cs="Bodoni MT"/>
          <w:b/>
          <w:color w:val="000000"/>
          <w:sz w:val="24"/>
          <w:szCs w:val="24"/>
        </w:rPr>
        <w:t>4%</w:t>
      </w:r>
      <w:r w:rsidRPr="005D660C">
        <w:rPr>
          <w:rFonts w:ascii="Bodoni MT" w:eastAsiaTheme="minorEastAsia" w:hAnsi="Bodoni MT" w:cs="Bodoni MT"/>
          <w:color w:val="000000"/>
          <w:sz w:val="24"/>
          <w:szCs w:val="24"/>
        </w:rPr>
        <w:t>);</w:t>
      </w:r>
    </w:p>
    <w:p w:rsidR="00DB3BAA" w:rsidRPr="00FC4A03" w:rsidRDefault="00DB3BAA" w:rsidP="007D10C5">
      <w:pPr>
        <w:pStyle w:val="CdcTesto"/>
        <w:numPr>
          <w:ilvl w:val="0"/>
          <w:numId w:val="24"/>
        </w:numPr>
        <w:spacing w:after="360"/>
        <w:ind w:left="0" w:firstLine="425"/>
      </w:pPr>
      <w:r w:rsidRPr="005D660C">
        <w:t xml:space="preserve">cancellazioni per </w:t>
      </w:r>
      <w:r w:rsidRPr="005D660C">
        <w:rPr>
          <w:b/>
        </w:rPr>
        <w:t xml:space="preserve">pagamenti di debiti </w:t>
      </w:r>
      <w:r w:rsidRPr="005D660C">
        <w:t>per circa 191 milioni di euro</w:t>
      </w:r>
      <w:r w:rsidRPr="005D660C">
        <w:rPr>
          <w:b/>
        </w:rPr>
        <w:t xml:space="preserve"> </w:t>
      </w:r>
      <w:r w:rsidRPr="005D660C">
        <w:t>(</w:t>
      </w:r>
      <w:r w:rsidRPr="005D660C">
        <w:rPr>
          <w:b/>
        </w:rPr>
        <w:t>11%</w:t>
      </w:r>
      <w:r w:rsidRPr="005D660C">
        <w:t>).</w:t>
      </w:r>
    </w:p>
    <w:p w:rsidR="00DB3BAA" w:rsidRPr="0018525B" w:rsidRDefault="00DB3BAA" w:rsidP="007D10C5">
      <w:pPr>
        <w:pStyle w:val="Paragrafoelenco"/>
        <w:numPr>
          <w:ilvl w:val="0"/>
          <w:numId w:val="27"/>
        </w:numPr>
        <w:tabs>
          <w:tab w:val="left" w:pos="426"/>
        </w:tabs>
        <w:autoSpaceDE w:val="0"/>
        <w:autoSpaceDN w:val="0"/>
        <w:adjustRightInd w:val="0"/>
        <w:spacing w:after="120"/>
        <w:jc w:val="both"/>
        <w:textAlignment w:val="center"/>
        <w:rPr>
          <w:rFonts w:ascii="Bodoni MT" w:eastAsiaTheme="minorEastAsia" w:hAnsi="Bodoni MT" w:cs="Bodoni MT"/>
          <w:color w:val="000000"/>
          <w:sz w:val="24"/>
          <w:szCs w:val="24"/>
        </w:rPr>
      </w:pPr>
      <w:r w:rsidRPr="00067233">
        <w:rPr>
          <w:rFonts w:ascii="Bodoni MT" w:eastAsiaTheme="minorEastAsia" w:hAnsi="Bodoni MT" w:cs="Bodoni MT"/>
          <w:b/>
          <w:color w:val="000000"/>
          <w:sz w:val="28"/>
          <w:szCs w:val="28"/>
        </w:rPr>
        <w:lastRenderedPageBreak/>
        <w:t>Il Fondo Pluriennale Vincolato</w:t>
      </w:r>
      <w:r w:rsidRPr="0018525B">
        <w:rPr>
          <w:rFonts w:ascii="Bodoni MT" w:eastAsiaTheme="minorEastAsia" w:hAnsi="Bodoni MT" w:cs="Bodoni MT"/>
          <w:b/>
          <w:color w:val="000000"/>
          <w:sz w:val="24"/>
          <w:szCs w:val="24"/>
        </w:rPr>
        <w:t xml:space="preserve">. </w:t>
      </w:r>
      <w:r w:rsidRPr="0018525B">
        <w:rPr>
          <w:rFonts w:ascii="Bodoni MT" w:eastAsiaTheme="minorEastAsia" w:hAnsi="Bodoni MT" w:cs="Bodoni MT"/>
          <w:color w:val="000000"/>
          <w:sz w:val="24"/>
          <w:szCs w:val="24"/>
        </w:rPr>
        <w:t xml:space="preserve">Nel bilancio di previsione 2016/2018, il </w:t>
      </w:r>
      <w:r w:rsidRPr="0018525B">
        <w:rPr>
          <w:rFonts w:ascii="Bodoni MT" w:eastAsiaTheme="minorEastAsia" w:hAnsi="Bodoni MT" w:cs="Bodoni MT"/>
          <w:b/>
          <w:color w:val="000000"/>
          <w:sz w:val="24"/>
          <w:szCs w:val="24"/>
        </w:rPr>
        <w:t>FPV di entrata</w:t>
      </w:r>
      <w:r w:rsidRPr="0018525B">
        <w:rPr>
          <w:rFonts w:ascii="Bodoni MT" w:eastAsiaTheme="minorEastAsia" w:hAnsi="Bodoni MT" w:cs="Bodoni MT"/>
          <w:color w:val="000000"/>
          <w:sz w:val="24"/>
          <w:szCs w:val="24"/>
        </w:rPr>
        <w:t xml:space="preserve"> era stato stimato in € 235.209.887,87</w:t>
      </w:r>
      <w:r w:rsidRPr="0018525B">
        <w:rPr>
          <w:rFonts w:ascii="Bodoni MT" w:eastAsia="Bodoni MT" w:hAnsi="Bodoni MT" w:cs="Bodoni MT"/>
          <w:color w:val="000000"/>
          <w:sz w:val="24"/>
          <w:szCs w:val="24"/>
          <w:lang w:eastAsia="it-IT"/>
        </w:rPr>
        <w:t xml:space="preserve"> </w:t>
      </w:r>
      <w:r w:rsidRPr="0018525B">
        <w:rPr>
          <w:rFonts w:ascii="Bodoni MT" w:eastAsiaTheme="minorEastAsia" w:hAnsi="Bodoni MT" w:cs="Bodoni MT"/>
          <w:color w:val="000000"/>
          <w:sz w:val="24"/>
          <w:szCs w:val="24"/>
        </w:rPr>
        <w:t xml:space="preserve">è stato rideterminato a seguito dell’approvazione del rendiconto 2015 in </w:t>
      </w:r>
      <w:r w:rsidRPr="0018525B">
        <w:rPr>
          <w:rFonts w:ascii="Bodoni MT" w:eastAsiaTheme="minorEastAsia" w:hAnsi="Bodoni MT" w:cs="Bodoni MT"/>
          <w:b/>
          <w:color w:val="000000"/>
          <w:sz w:val="24"/>
          <w:szCs w:val="24"/>
        </w:rPr>
        <w:t>€ 344.982.335,65</w:t>
      </w:r>
      <w:r>
        <w:rPr>
          <w:rFonts w:ascii="Bodoni MT" w:eastAsiaTheme="minorEastAsia" w:hAnsi="Bodoni MT" w:cs="Bodoni MT"/>
          <w:color w:val="000000"/>
          <w:sz w:val="24"/>
          <w:szCs w:val="24"/>
        </w:rPr>
        <w:t xml:space="preserve"> (di cui € </w:t>
      </w:r>
      <w:r w:rsidRPr="0018525B">
        <w:rPr>
          <w:rFonts w:ascii="Bodoni MT" w:eastAsiaTheme="minorEastAsia" w:hAnsi="Bodoni MT" w:cs="Bodoni MT"/>
          <w:color w:val="000000"/>
          <w:sz w:val="24"/>
          <w:szCs w:val="24"/>
        </w:rPr>
        <w:t>56.502.635,51 a copertura dell</w:t>
      </w:r>
      <w:r>
        <w:rPr>
          <w:rFonts w:ascii="Bodoni MT" w:eastAsiaTheme="minorEastAsia" w:hAnsi="Bodoni MT" w:cs="Bodoni MT"/>
          <w:color w:val="000000"/>
          <w:sz w:val="24"/>
          <w:szCs w:val="24"/>
        </w:rPr>
        <w:t>e spese di parte corrente e € </w:t>
      </w:r>
      <w:r w:rsidRPr="0018525B">
        <w:rPr>
          <w:rFonts w:ascii="Bodoni MT" w:eastAsiaTheme="minorEastAsia" w:hAnsi="Bodoni MT" w:cs="Bodoni MT"/>
          <w:color w:val="000000"/>
          <w:sz w:val="24"/>
          <w:szCs w:val="24"/>
        </w:rPr>
        <w:t>288.479.700,14 per le spese in conto capitale).</w:t>
      </w:r>
    </w:p>
    <w:p w:rsidR="00DB3BAA" w:rsidRDefault="00DB3BAA" w:rsidP="00DB3BAA">
      <w:pPr>
        <w:pStyle w:val="CdcTesto"/>
      </w:pPr>
      <w:r w:rsidRPr="005D660C">
        <w:t xml:space="preserve">Il </w:t>
      </w:r>
      <w:r w:rsidRPr="00467A71">
        <w:rPr>
          <w:b/>
        </w:rPr>
        <w:t>FPV di spesa</w:t>
      </w:r>
      <w:r w:rsidRPr="005D660C">
        <w:t xml:space="preserve"> era stato iscritto, nel bilancio di previsione, per complessivi € 961.328,80, di cui €</w:t>
      </w:r>
      <w:r>
        <w:t> </w:t>
      </w:r>
      <w:r w:rsidRPr="005D660C">
        <w:t>244.000 di parte corrente e € 717.328,80 in conto capitale. In sede di assestamento</w:t>
      </w:r>
      <w:r w:rsidRPr="005D660C">
        <w:rPr>
          <w:vertAlign w:val="superscript"/>
        </w:rPr>
        <w:footnoteReference w:id="21"/>
      </w:r>
      <w:r w:rsidRPr="005D660C">
        <w:t>, a seguito del riaccertamento ordinario per l’esercizio 2015 (DGR n.</w:t>
      </w:r>
      <w:r>
        <w:t xml:space="preserve"> </w:t>
      </w:r>
      <w:r w:rsidRPr="005D660C">
        <w:t xml:space="preserve">44/17/2016), e delle ulteriori variazioni nel frattempo intervenute, il FPV di spesa è stato rideterminato in </w:t>
      </w:r>
      <w:r w:rsidRPr="00467A71">
        <w:rPr>
          <w:b/>
        </w:rPr>
        <w:t>€ 123.295.148,02</w:t>
      </w:r>
      <w:r w:rsidRPr="005D660C">
        <w:t>, di cui € 8.404.716,29 di parte corrente e € 114.890.431,73 in conto capitale. Successivamente, con la delibera di riaccertamento ordinario 2016 (DGR n.</w:t>
      </w:r>
      <w:r>
        <w:t xml:space="preserve"> </w:t>
      </w:r>
      <w:r w:rsidRPr="005D660C">
        <w:t xml:space="preserve">26/48/2017, Allegato G), il FPV di spesa è stato definitivamente quantificato in </w:t>
      </w:r>
      <w:r w:rsidRPr="00467A71">
        <w:rPr>
          <w:b/>
        </w:rPr>
        <w:t>€ 679.057.586,74</w:t>
      </w:r>
      <w:r w:rsidRPr="005D660C">
        <w:t xml:space="preserve"> di cui € 35.087.191,51 di parte corrente e € 643.970.395,23 in conto capitale.</w:t>
      </w:r>
    </w:p>
    <w:p w:rsidR="00DB3BAA" w:rsidRDefault="00DB3BAA" w:rsidP="00267F6F">
      <w:pPr>
        <w:pStyle w:val="CdcTesto"/>
      </w:pPr>
      <w:r w:rsidRPr="0046680E">
        <w:t>Si e</w:t>
      </w:r>
      <w:r w:rsidRPr="005D660C">
        <w:t>videnzia</w:t>
      </w:r>
      <w:r>
        <w:t>no</w:t>
      </w:r>
      <w:r w:rsidRPr="005D660C">
        <w:t xml:space="preserve"> notevoli </w:t>
      </w:r>
      <w:r>
        <w:t>discordanze</w:t>
      </w:r>
      <w:r w:rsidRPr="005D660C">
        <w:t xml:space="preserve"> tra le stime effettuate in sede di bilancio di previsione iniziale, concorrenti alla costruzione degli equilibri, e il dato reale emergente solo al termine dell’esercizio. </w:t>
      </w:r>
    </w:p>
    <w:p w:rsidR="00DB3BAA" w:rsidRPr="0046680E" w:rsidRDefault="00DB3BAA" w:rsidP="00267F6F">
      <w:pPr>
        <w:pStyle w:val="CdcTesto"/>
      </w:pPr>
      <w:r w:rsidRPr="0046680E">
        <w:t>Anche le variazioni subite dal FPV in corso di gestione, rispetto a quelle iscritte in sede previsionale, segnalano la opportunità di un più stretto collegamento tra le strutture regionali per efficientare i flussi informativi, in modo da aggiornare con t</w:t>
      </w:r>
      <w:r>
        <w:t xml:space="preserve">empestività le reimputazioni e </w:t>
      </w:r>
      <w:r w:rsidRPr="0046680E">
        <w:t>consentire stime più attendibili del FPV in sede previsionale.</w:t>
      </w:r>
    </w:p>
    <w:p w:rsidR="00DB3BAA" w:rsidRPr="0046680E" w:rsidRDefault="00DB3BAA" w:rsidP="00267F6F">
      <w:pPr>
        <w:pStyle w:val="CdcTesto"/>
        <w:spacing w:after="360"/>
        <w:rPr>
          <w:vertAlign w:val="superscript"/>
        </w:rPr>
      </w:pPr>
      <w:r w:rsidRPr="0046680E">
        <w:t>A rendiconto si determina un FPV in spesa pari a circa 679 milioni di euro.</w:t>
      </w:r>
    </w:p>
    <w:p w:rsidR="00DB3BAA" w:rsidRPr="003F0FC0" w:rsidRDefault="00DB3BAA" w:rsidP="007D10C5">
      <w:pPr>
        <w:pStyle w:val="CdcTesto"/>
        <w:numPr>
          <w:ilvl w:val="0"/>
          <w:numId w:val="27"/>
        </w:numPr>
        <w:tabs>
          <w:tab w:val="left" w:pos="426"/>
        </w:tabs>
        <w:spacing w:after="360"/>
        <w:rPr>
          <w:b/>
        </w:rPr>
      </w:pPr>
      <w:r w:rsidRPr="00067233">
        <w:rPr>
          <w:b/>
          <w:sz w:val="28"/>
          <w:szCs w:val="28"/>
        </w:rPr>
        <w:t>I saldi della gestione corrente e di cassa</w:t>
      </w:r>
      <w:r w:rsidR="005E221B">
        <w:rPr>
          <w:rStyle w:val="Rimandonotaapidipagina"/>
          <w:b/>
          <w:sz w:val="28"/>
          <w:szCs w:val="28"/>
        </w:rPr>
        <w:footnoteReference w:id="22"/>
      </w:r>
      <w:r w:rsidRPr="007210EA">
        <w:rPr>
          <w:b/>
        </w:rPr>
        <w:t xml:space="preserve">. </w:t>
      </w:r>
      <w:r>
        <w:t xml:space="preserve">Conclusivamente la gestione di competenza si chiude con un saldo positivo </w:t>
      </w:r>
      <w:r w:rsidRPr="0030281D">
        <w:t>di € 167.948.175,99, mentre la gestione</w:t>
      </w:r>
      <w:r>
        <w:t xml:space="preserve"> di cassa presenta una forte riduzione </w:t>
      </w:r>
      <w:r w:rsidRPr="0046680E">
        <w:t>del saldo a fine esercizio (da € 340.832.737,09 all’01.01.2016 a € 59.353.302,11</w:t>
      </w:r>
      <w:r>
        <w:t xml:space="preserve"> al 31.12.2016</w:t>
      </w:r>
      <w:r w:rsidRPr="0046680E">
        <w:t xml:space="preserve">). </w:t>
      </w:r>
      <w:r w:rsidRPr="0046680E">
        <w:rPr>
          <w:color w:val="auto"/>
        </w:rPr>
        <w:t xml:space="preserve">In ordine </w:t>
      </w:r>
      <w:r>
        <w:rPr>
          <w:color w:val="auto"/>
        </w:rPr>
        <w:t>al</w:t>
      </w:r>
      <w:r w:rsidRPr="0046680E">
        <w:rPr>
          <w:color w:val="auto"/>
        </w:rPr>
        <w:t xml:space="preserve"> disallineamento riscontrato tra gestione di</w:t>
      </w:r>
      <w:r>
        <w:rPr>
          <w:color w:val="auto"/>
        </w:rPr>
        <w:t xml:space="preserve"> cassa e di competenza</w:t>
      </w:r>
      <w:r w:rsidRPr="0046680E">
        <w:rPr>
          <w:color w:val="auto"/>
        </w:rPr>
        <w:t xml:space="preserve"> per effetto del risultato di cassa</w:t>
      </w:r>
      <w:r>
        <w:rPr>
          <w:color w:val="auto"/>
        </w:rPr>
        <w:t>,</w:t>
      </w:r>
      <w:r w:rsidRPr="0046680E">
        <w:rPr>
          <w:color w:val="auto"/>
        </w:rPr>
        <w:t xml:space="preserve"> che al termine dell’esercizio si è ridotto ad un livello preoccupante</w:t>
      </w:r>
      <w:r>
        <w:rPr>
          <w:color w:val="auto"/>
        </w:rPr>
        <w:t>,</w:t>
      </w:r>
      <w:r w:rsidRPr="0046680E">
        <w:rPr>
          <w:color w:val="auto"/>
        </w:rPr>
        <w:t xml:space="preserve"> e alle presumibili tensioni in atto, la Regione precisa che le rimesse, cui lo Stato provvede nei primi mesi </w:t>
      </w:r>
      <w:r w:rsidRPr="0046680E">
        <w:t>dell’esercizio, sarebbero sufficienti a far fronte alle esigenze di cassa all’avvio del nuovo esercizio.</w:t>
      </w:r>
    </w:p>
    <w:p w:rsidR="003F0FC0" w:rsidRDefault="003F0FC0" w:rsidP="003F0FC0">
      <w:pPr>
        <w:pStyle w:val="CdcTesto"/>
        <w:numPr>
          <w:ilvl w:val="0"/>
          <w:numId w:val="27"/>
        </w:numPr>
        <w:tabs>
          <w:tab w:val="left" w:pos="426"/>
        </w:tabs>
      </w:pPr>
      <w:r>
        <w:rPr>
          <w:b/>
          <w:sz w:val="28"/>
          <w:szCs w:val="28"/>
        </w:rPr>
        <w:lastRenderedPageBreak/>
        <w:t xml:space="preserve"> </w:t>
      </w:r>
      <w:r w:rsidRPr="00067233">
        <w:rPr>
          <w:b/>
          <w:sz w:val="28"/>
          <w:szCs w:val="28"/>
        </w:rPr>
        <w:t>Il risultato di amministrazione</w:t>
      </w:r>
      <w:r>
        <w:rPr>
          <w:b/>
        </w:rPr>
        <w:t xml:space="preserve">. </w:t>
      </w:r>
      <w:r w:rsidRPr="005D660C">
        <w:t>Ai sensi dell’art.</w:t>
      </w:r>
      <w:r>
        <w:t xml:space="preserve"> </w:t>
      </w:r>
      <w:r w:rsidRPr="005D660C">
        <w:t>42 del D</w:t>
      </w:r>
      <w:r>
        <w:t>.</w:t>
      </w:r>
      <w:r w:rsidRPr="005D660C">
        <w:t>Lgs</w:t>
      </w:r>
      <w:r>
        <w:t>.</w:t>
      </w:r>
      <w:r w:rsidRPr="005D660C">
        <w:t xml:space="preserve"> 118/2011, il risultato di amministrazione è pari al fondo di cassa aumentato dei residui attivi e diminuito dei residui passivi. </w:t>
      </w:r>
      <w:r w:rsidRPr="004579ED">
        <w:rPr>
          <w:b/>
        </w:rPr>
        <w:t xml:space="preserve">Non comprende le risorse accertate che hanno finanziato spese impegnate con imputazioni agli esercizi successivi, rappresentate dal fondo pluriennale </w:t>
      </w:r>
      <w:r>
        <w:rPr>
          <w:b/>
        </w:rPr>
        <w:t>vincolato determinato in spesa n</w:t>
      </w:r>
      <w:r w:rsidRPr="004579ED">
        <w:rPr>
          <w:b/>
        </w:rPr>
        <w:t>el conto del bilancio</w:t>
      </w:r>
      <w:r w:rsidRPr="005D660C">
        <w:t>.</w:t>
      </w:r>
    </w:p>
    <w:p w:rsidR="003F0FC0" w:rsidRPr="00B81F5B" w:rsidRDefault="003F0FC0" w:rsidP="003F0FC0">
      <w:pPr>
        <w:pStyle w:val="CdcTesto"/>
        <w:spacing w:after="0"/>
        <w:jc w:val="center"/>
        <w:rPr>
          <w:b/>
          <w:sz w:val="22"/>
          <w:szCs w:val="22"/>
        </w:rPr>
      </w:pPr>
      <w:r>
        <w:rPr>
          <w:b/>
          <w:sz w:val="22"/>
          <w:szCs w:val="22"/>
        </w:rPr>
        <w:t xml:space="preserve">Tabella 1 - </w:t>
      </w:r>
      <w:r w:rsidRPr="00B81F5B">
        <w:rPr>
          <w:b/>
          <w:sz w:val="22"/>
          <w:szCs w:val="22"/>
        </w:rPr>
        <w:t>Prospetto dimostrativo del Risultato di Amministrazione al 31/12/2016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84"/>
        <w:gridCol w:w="383"/>
        <w:gridCol w:w="1437"/>
        <w:gridCol w:w="1437"/>
        <w:gridCol w:w="1437"/>
      </w:tblGrid>
      <w:tr w:rsidR="003F0FC0" w:rsidRPr="005D660C" w:rsidTr="00E12A0A">
        <w:trPr>
          <w:trHeight w:val="221"/>
          <w:jc w:val="center"/>
        </w:trPr>
        <w:tc>
          <w:tcPr>
            <w:tcW w:w="2598" w:type="pct"/>
            <w:shd w:val="clear" w:color="auto" w:fill="17365D" w:themeFill="text2" w:themeFillShade="BF"/>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18"/>
                <w:szCs w:val="18"/>
                <w:lang w:eastAsia="it-IT"/>
              </w:rPr>
            </w:pPr>
          </w:p>
        </w:tc>
        <w:tc>
          <w:tcPr>
            <w:tcW w:w="196" w:type="pct"/>
            <w:shd w:val="clear" w:color="auto" w:fill="0F243E" w:themeFill="text2" w:themeFillShade="80"/>
            <w:vAlign w:val="center"/>
            <w:hideMark/>
          </w:tcPr>
          <w:p w:rsidR="003F0FC0" w:rsidRPr="005D660C" w:rsidRDefault="003F0FC0" w:rsidP="00E12A0A">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w:t>
            </w:r>
          </w:p>
        </w:tc>
        <w:tc>
          <w:tcPr>
            <w:tcW w:w="735" w:type="pct"/>
            <w:shd w:val="clear" w:color="auto" w:fill="0F243E" w:themeFill="text2" w:themeFillShade="80"/>
            <w:vAlign w:val="center"/>
            <w:hideMark/>
          </w:tcPr>
          <w:p w:rsidR="003F0FC0" w:rsidRPr="005D660C" w:rsidRDefault="003F0FC0" w:rsidP="00E12A0A">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Residui </w:t>
            </w:r>
          </w:p>
        </w:tc>
        <w:tc>
          <w:tcPr>
            <w:tcW w:w="735" w:type="pct"/>
            <w:shd w:val="clear" w:color="auto" w:fill="0F243E" w:themeFill="text2" w:themeFillShade="80"/>
            <w:vAlign w:val="center"/>
            <w:hideMark/>
          </w:tcPr>
          <w:p w:rsidR="003F0FC0" w:rsidRPr="005D660C" w:rsidRDefault="003F0FC0" w:rsidP="00E12A0A">
            <w:pPr>
              <w:spacing w:after="0" w:line="240" w:lineRule="auto"/>
              <w:jc w:val="center"/>
              <w:rPr>
                <w:rFonts w:ascii="Bodoni MT" w:eastAsia="Times New Roman" w:hAnsi="Bodoni MT" w:cs="Calibri"/>
                <w:b/>
                <w:bCs/>
                <w:color w:val="FFFFFF" w:themeColor="background1"/>
                <w:sz w:val="18"/>
                <w:szCs w:val="18"/>
                <w:lang w:eastAsia="it-IT"/>
              </w:rPr>
            </w:pPr>
            <w:r>
              <w:rPr>
                <w:rFonts w:ascii="Bodoni MT" w:eastAsia="Times New Roman" w:hAnsi="Bodoni MT" w:cs="Calibri"/>
                <w:b/>
                <w:bCs/>
                <w:color w:val="FFFFFF" w:themeColor="background1"/>
                <w:sz w:val="18"/>
                <w:szCs w:val="18"/>
                <w:lang w:eastAsia="it-IT"/>
              </w:rPr>
              <w:t xml:space="preserve">Gestione </w:t>
            </w:r>
            <w:r w:rsidRPr="005D660C">
              <w:rPr>
                <w:rFonts w:ascii="Bodoni MT" w:eastAsia="Times New Roman" w:hAnsi="Bodoni MT" w:cs="Calibri"/>
                <w:b/>
                <w:bCs/>
                <w:color w:val="FFFFFF" w:themeColor="background1"/>
                <w:sz w:val="18"/>
                <w:szCs w:val="18"/>
                <w:lang w:eastAsia="it-IT"/>
              </w:rPr>
              <w:t xml:space="preserve">Competenza </w:t>
            </w:r>
          </w:p>
        </w:tc>
        <w:tc>
          <w:tcPr>
            <w:tcW w:w="735" w:type="pct"/>
            <w:shd w:val="clear" w:color="auto" w:fill="0F243E" w:themeFill="text2" w:themeFillShade="80"/>
            <w:vAlign w:val="center"/>
            <w:hideMark/>
          </w:tcPr>
          <w:p w:rsidR="003F0FC0" w:rsidRPr="005D660C" w:rsidRDefault="003F0FC0" w:rsidP="00E12A0A">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Totale </w:t>
            </w:r>
          </w:p>
        </w:tc>
      </w:tr>
      <w:tr w:rsidR="003F0FC0" w:rsidRPr="005D660C" w:rsidTr="00E12A0A">
        <w:trPr>
          <w:trHeight w:val="70"/>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cassa al 1° gennaio </w:t>
            </w:r>
          </w:p>
        </w:tc>
        <w:tc>
          <w:tcPr>
            <w:tcW w:w="196" w:type="pct"/>
            <w:shd w:val="clear" w:color="auto" w:fill="auto"/>
            <w:noWrap/>
            <w:vAlign w:val="bottom"/>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 </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340.832.737,09</w:t>
            </w:r>
          </w:p>
        </w:tc>
      </w:tr>
      <w:tr w:rsidR="003F0FC0" w:rsidRPr="005D660C" w:rsidTr="00E12A0A">
        <w:trPr>
          <w:trHeight w:val="129"/>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Riscossioni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379.395.363,04</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7.524.888.588,46</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7.904.283.951,50</w:t>
            </w:r>
          </w:p>
        </w:tc>
      </w:tr>
      <w:tr w:rsidR="003F0FC0" w:rsidRPr="005D660C" w:rsidTr="00E12A0A">
        <w:trPr>
          <w:trHeight w:val="175"/>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Pagamenti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1.111.236.015,18</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7.074.527.371,30</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8.185.763.386,48</w:t>
            </w:r>
          </w:p>
        </w:tc>
      </w:tr>
      <w:tr w:rsidR="003F0FC0" w:rsidRPr="005D660C" w:rsidTr="00E12A0A">
        <w:trPr>
          <w:trHeight w:val="81"/>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Saldo di cassa al 31 dicembre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b/>
                <w:bCs/>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59.353.302,11</w:t>
            </w:r>
          </w:p>
        </w:tc>
      </w:tr>
      <w:tr w:rsidR="003F0FC0" w:rsidRPr="005D660C" w:rsidTr="00E12A0A">
        <w:trPr>
          <w:trHeight w:val="127"/>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Pagamenti per azioni esecutive non regolarizzate al 31 dicembre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w:t>
            </w:r>
          </w:p>
        </w:tc>
      </w:tr>
      <w:tr w:rsidR="003F0FC0" w:rsidRPr="005D660C" w:rsidTr="00E12A0A">
        <w:trPr>
          <w:trHeight w:val="115"/>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di cassa al 31 dicembre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59.353.302,11</w:t>
            </w:r>
          </w:p>
        </w:tc>
      </w:tr>
      <w:tr w:rsidR="003F0FC0" w:rsidRPr="005D660C" w:rsidTr="00E12A0A">
        <w:trPr>
          <w:trHeight w:val="91"/>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Residui attivi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425.157.164,17</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1.411.711.828,05</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1.836.868.992,22</w:t>
            </w:r>
          </w:p>
        </w:tc>
      </w:tr>
      <w:tr w:rsidR="003F0FC0" w:rsidRPr="005D660C" w:rsidTr="00E12A0A">
        <w:trPr>
          <w:trHeight w:val="337"/>
          <w:jc w:val="center"/>
        </w:trPr>
        <w:tc>
          <w:tcPr>
            <w:tcW w:w="2598" w:type="pct"/>
            <w:shd w:val="clear" w:color="auto" w:fill="95B3D7" w:themeFill="accent1" w:themeFillTint="99"/>
            <w:vAlign w:val="center"/>
            <w:hideMark/>
          </w:tcPr>
          <w:p w:rsidR="003F0FC0" w:rsidRPr="005D660C" w:rsidRDefault="003F0FC0" w:rsidP="00E12A0A">
            <w:pPr>
              <w:spacing w:after="0" w:line="240" w:lineRule="auto"/>
              <w:rPr>
                <w:rFonts w:ascii="Bodoni MT" w:eastAsia="Times New Roman" w:hAnsi="Bodoni MT" w:cs="Calibri"/>
                <w:i/>
                <w:iCs/>
                <w:color w:val="FFFFFF" w:themeColor="background1"/>
                <w:sz w:val="18"/>
                <w:szCs w:val="18"/>
                <w:lang w:eastAsia="it-IT"/>
              </w:rPr>
            </w:pPr>
            <w:r w:rsidRPr="005D660C">
              <w:rPr>
                <w:rFonts w:ascii="Bodoni MT" w:eastAsia="Times New Roman" w:hAnsi="Bodoni MT" w:cs="Calibri"/>
                <w:i/>
                <w:iCs/>
                <w:color w:val="FFFFFF" w:themeColor="background1"/>
                <w:sz w:val="18"/>
                <w:szCs w:val="18"/>
                <w:lang w:eastAsia="it-IT"/>
              </w:rPr>
              <w:t xml:space="preserve">    di cui derivanti da accertamenti di tributi effettuati sulla base della stima del dipartimento delle finanze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i/>
                <w:iCs/>
                <w:color w:val="000000"/>
                <w:sz w:val="16"/>
                <w:szCs w:val="16"/>
                <w:lang w:eastAsia="it-IT"/>
              </w:rPr>
            </w:pPr>
            <w:r w:rsidRPr="00267F6F">
              <w:rPr>
                <w:rFonts w:ascii="Calibri" w:eastAsia="Times New Roman" w:hAnsi="Calibri" w:cs="Calibri"/>
                <w:i/>
                <w:iCs/>
                <w:color w:val="000000"/>
                <w:sz w:val="16"/>
                <w:szCs w:val="16"/>
                <w:lang w:eastAsia="it-IT"/>
              </w:rPr>
              <w:t>137.189.322,55</w:t>
            </w:r>
          </w:p>
        </w:tc>
      </w:tr>
      <w:tr w:rsidR="003F0FC0" w:rsidRPr="005D660C" w:rsidTr="00E12A0A">
        <w:trPr>
          <w:trHeight w:val="217"/>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Residui passivi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327.353.895,87</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1.073.609.983,65</w:t>
            </w: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1.400.963.879,52</w:t>
            </w:r>
          </w:p>
        </w:tc>
      </w:tr>
      <w:tr w:rsidR="003F0FC0" w:rsidRPr="005D660C" w:rsidTr="00E12A0A">
        <w:trPr>
          <w:trHeight w:val="217"/>
          <w:jc w:val="center"/>
        </w:trPr>
        <w:tc>
          <w:tcPr>
            <w:tcW w:w="2598" w:type="pct"/>
            <w:shd w:val="clear" w:color="auto" w:fill="95B3D7" w:themeFill="accent1" w:themeFillTint="99"/>
            <w:noWrap/>
            <w:vAlign w:val="center"/>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Pr>
                <w:rFonts w:ascii="Bodoni MT" w:eastAsia="Times New Roman" w:hAnsi="Bodoni MT" w:cs="Calibri"/>
                <w:color w:val="FFFFFF" w:themeColor="background1"/>
                <w:sz w:val="18"/>
                <w:szCs w:val="18"/>
                <w:lang w:eastAsia="it-IT"/>
              </w:rPr>
              <w:t>Disavanzo/avanzo complessivo al netto del FPV</w:t>
            </w:r>
          </w:p>
        </w:tc>
        <w:tc>
          <w:tcPr>
            <w:tcW w:w="196" w:type="pct"/>
            <w:shd w:val="clear" w:color="auto" w:fill="auto"/>
            <w:noWrap/>
            <w:vAlign w:val="center"/>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p>
        </w:tc>
        <w:tc>
          <w:tcPr>
            <w:tcW w:w="735" w:type="pct"/>
            <w:shd w:val="clear" w:color="auto" w:fill="auto"/>
            <w:noWrap/>
            <w:vAlign w:val="center"/>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p>
        </w:tc>
        <w:tc>
          <w:tcPr>
            <w:tcW w:w="735" w:type="pct"/>
            <w:shd w:val="clear" w:color="auto" w:fill="auto"/>
            <w:noWrap/>
            <w:vAlign w:val="center"/>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495.258.414,81</w:t>
            </w:r>
          </w:p>
        </w:tc>
      </w:tr>
      <w:tr w:rsidR="003F0FC0" w:rsidRPr="005D660C" w:rsidTr="00E12A0A">
        <w:trPr>
          <w:trHeight w:val="137"/>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pluriennale vincolato per spese correnti (1)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b/>
                <w:bCs/>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35.087.191,51</w:t>
            </w:r>
          </w:p>
        </w:tc>
      </w:tr>
      <w:tr w:rsidR="003F0FC0" w:rsidRPr="005D660C" w:rsidTr="00E12A0A">
        <w:trPr>
          <w:trHeight w:val="132"/>
          <w:jc w:val="center"/>
        </w:trPr>
        <w:tc>
          <w:tcPr>
            <w:tcW w:w="2598" w:type="pct"/>
            <w:shd w:val="clear" w:color="auto" w:fill="95B3D7" w:themeFill="accent1" w:themeFillTint="99"/>
            <w:vAlign w:val="center"/>
            <w:hideMark/>
          </w:tcPr>
          <w:p w:rsidR="003F0FC0" w:rsidRPr="005D660C" w:rsidRDefault="003F0FC0" w:rsidP="00E12A0A">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pluriennale vincolato per spese in conto capitale (1)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267F6F" w:rsidRDefault="003F0FC0" w:rsidP="00E12A0A">
            <w:pPr>
              <w:spacing w:after="0" w:line="240" w:lineRule="auto"/>
              <w:jc w:val="center"/>
              <w:rPr>
                <w:rFonts w:ascii="Bodoni MT" w:eastAsia="Times New Roman" w:hAnsi="Bodoni MT" w:cs="Calibri"/>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b/>
                <w:bCs/>
                <w:color w:val="000000"/>
                <w:sz w:val="16"/>
                <w:szCs w:val="16"/>
                <w:lang w:eastAsia="it-IT"/>
              </w:rPr>
            </w:pPr>
          </w:p>
        </w:tc>
        <w:tc>
          <w:tcPr>
            <w:tcW w:w="735" w:type="pct"/>
            <w:shd w:val="clear" w:color="auto" w:fill="auto"/>
            <w:noWrap/>
            <w:vAlign w:val="center"/>
            <w:hideMark/>
          </w:tcPr>
          <w:p w:rsidR="003F0FC0" w:rsidRPr="00267F6F" w:rsidRDefault="003F0FC0" w:rsidP="00E12A0A">
            <w:pPr>
              <w:spacing w:after="0" w:line="240" w:lineRule="auto"/>
              <w:jc w:val="center"/>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643.970.395,23</w:t>
            </w:r>
          </w:p>
        </w:tc>
      </w:tr>
      <w:tr w:rsidR="003F0FC0" w:rsidRPr="005D660C" w:rsidTr="00E12A0A">
        <w:trPr>
          <w:trHeight w:val="201"/>
          <w:jc w:val="center"/>
        </w:trPr>
        <w:tc>
          <w:tcPr>
            <w:tcW w:w="2598"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Risultato di amministrazione al 31 dicembre 2016 (A)(2) </w:t>
            </w:r>
          </w:p>
        </w:tc>
        <w:tc>
          <w:tcPr>
            <w:tcW w:w="196"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35" w:type="pct"/>
            <w:shd w:val="clear" w:color="auto" w:fill="auto"/>
            <w:noWrap/>
            <w:vAlign w:val="center"/>
            <w:hideMark/>
          </w:tcPr>
          <w:p w:rsidR="003F0FC0" w:rsidRPr="005D660C" w:rsidRDefault="003F0FC0" w:rsidP="00E12A0A">
            <w:pPr>
              <w:spacing w:after="0" w:line="240" w:lineRule="auto"/>
              <w:jc w:val="center"/>
              <w:rPr>
                <w:rFonts w:ascii="Bodoni MT" w:eastAsia="Times New Roman" w:hAnsi="Bodoni MT" w:cs="Calibri"/>
                <w:color w:val="000000"/>
                <w:sz w:val="18"/>
                <w:szCs w:val="18"/>
                <w:lang w:eastAsia="it-IT"/>
              </w:rPr>
            </w:pPr>
          </w:p>
        </w:tc>
        <w:tc>
          <w:tcPr>
            <w:tcW w:w="735" w:type="pct"/>
            <w:shd w:val="clear" w:color="auto" w:fill="auto"/>
            <w:noWrap/>
            <w:vAlign w:val="center"/>
            <w:hideMark/>
          </w:tcPr>
          <w:p w:rsidR="003F0FC0" w:rsidRPr="005D660C" w:rsidRDefault="003F0FC0" w:rsidP="00E12A0A">
            <w:pPr>
              <w:spacing w:after="0" w:line="240" w:lineRule="auto"/>
              <w:jc w:val="center"/>
              <w:rPr>
                <w:rFonts w:ascii="Calibri" w:eastAsia="Times New Roman" w:hAnsi="Calibri" w:cs="Calibri"/>
                <w:color w:val="000000"/>
                <w:sz w:val="18"/>
                <w:szCs w:val="18"/>
                <w:lang w:eastAsia="it-IT"/>
              </w:rPr>
            </w:pPr>
          </w:p>
        </w:tc>
        <w:tc>
          <w:tcPr>
            <w:tcW w:w="735" w:type="pct"/>
            <w:shd w:val="clear" w:color="auto" w:fill="auto"/>
            <w:noWrap/>
            <w:vAlign w:val="center"/>
            <w:hideMark/>
          </w:tcPr>
          <w:p w:rsidR="003F0FC0" w:rsidRPr="005D660C" w:rsidRDefault="003F0FC0" w:rsidP="00E12A0A">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-183.799.171,93</w:t>
            </w:r>
          </w:p>
        </w:tc>
      </w:tr>
    </w:tbl>
    <w:p w:rsidR="003F0FC0" w:rsidRPr="005D660C" w:rsidRDefault="003F0FC0" w:rsidP="003F0FC0">
      <w:pPr>
        <w:spacing w:after="120" w:line="240" w:lineRule="auto"/>
        <w:jc w:val="both"/>
        <w:rPr>
          <w:rFonts w:ascii="Bodoni MT" w:hAnsi="Bodoni MT"/>
          <w:sz w:val="16"/>
          <w:szCs w:val="16"/>
        </w:rPr>
      </w:pPr>
      <w:r w:rsidRPr="005D660C">
        <w:rPr>
          <w:rFonts w:ascii="Bodoni MT" w:hAnsi="Bodoni MT"/>
          <w:sz w:val="16"/>
          <w:szCs w:val="16"/>
        </w:rPr>
        <w:t>Fonte: dati da Allegato 7) al Rendiconto RAS 2016</w:t>
      </w:r>
    </w:p>
    <w:p w:rsidR="003F0FC0" w:rsidRPr="00B81F5B" w:rsidRDefault="003F0FC0" w:rsidP="003F0FC0">
      <w:pPr>
        <w:pStyle w:val="CdcTesto"/>
        <w:spacing w:after="0"/>
        <w:jc w:val="center"/>
        <w:rPr>
          <w:b/>
          <w:sz w:val="22"/>
          <w:szCs w:val="22"/>
        </w:rPr>
      </w:pPr>
      <w:r>
        <w:rPr>
          <w:b/>
          <w:sz w:val="22"/>
          <w:szCs w:val="22"/>
        </w:rPr>
        <w:t xml:space="preserve">Tabella 2 - </w:t>
      </w:r>
      <w:r w:rsidRPr="00B81F5B">
        <w:rPr>
          <w:b/>
          <w:sz w:val="22"/>
          <w:szCs w:val="22"/>
        </w:rPr>
        <w:t>Composizione del Risultato di Amministrazione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37"/>
        <w:gridCol w:w="1541"/>
      </w:tblGrid>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Risultato di amministrazione al 31 dicembre 2016:  </w:t>
            </w:r>
          </w:p>
        </w:tc>
        <w:tc>
          <w:tcPr>
            <w:tcW w:w="788" w:type="pct"/>
            <w:shd w:val="clear" w:color="auto" w:fill="auto"/>
            <w:vAlign w:val="center"/>
            <w:hideMark/>
          </w:tcPr>
          <w:p w:rsidR="003F0FC0" w:rsidRPr="00267F6F" w:rsidRDefault="003F0FC0" w:rsidP="00E12A0A">
            <w:pPr>
              <w:spacing w:after="0" w:line="240" w:lineRule="auto"/>
              <w:jc w:val="right"/>
              <w:rPr>
                <w:rFonts w:ascii="Calibri" w:eastAsia="Times New Roman" w:hAnsi="Calibri" w:cs="Calibri"/>
                <w:b/>
                <w:bCs/>
                <w:sz w:val="16"/>
                <w:szCs w:val="16"/>
                <w:lang w:eastAsia="it-IT"/>
              </w:rPr>
            </w:pPr>
            <w:r w:rsidRPr="00267F6F">
              <w:rPr>
                <w:rFonts w:ascii="Calibri" w:eastAsia="Times New Roman" w:hAnsi="Calibri" w:cs="Calibri"/>
                <w:b/>
                <w:bCs/>
                <w:sz w:val="16"/>
                <w:szCs w:val="16"/>
                <w:lang w:eastAsia="it-IT"/>
              </w:rPr>
              <w:t>-183.799.171,93</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accantonata (3)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crediti di dubbia esigibilità al 31/12/2016 (4)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52.796.560,80</w:t>
            </w: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Accantonamento residui perenti al 31/12/2016 (solo per le regioni) (5)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480.946.000,00</w:t>
            </w: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anticipazioni liquidità D.L. 35/2013 e s.m. e rifinanziamenti al 31/12/2016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215.658.000,00</w:t>
            </w: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per le perdite delle società partecipate (L. 147/2013) al 31/12/2016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1.607.251,00</w:t>
            </w: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contenzioso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3.899.207,71</w:t>
            </w:r>
          </w:p>
        </w:tc>
      </w:tr>
      <w:tr w:rsidR="003F0FC0" w:rsidRPr="005D660C" w:rsidTr="00E12A0A">
        <w:trPr>
          <w:trHeight w:val="20"/>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soppressione fondi garanzie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36.543.224,10</w:t>
            </w:r>
          </w:p>
        </w:tc>
      </w:tr>
      <w:tr w:rsidR="003F0FC0" w:rsidRPr="005D660C" w:rsidTr="00E12A0A">
        <w:trPr>
          <w:trHeight w:val="129"/>
          <w:jc w:val="center"/>
        </w:trPr>
        <w:tc>
          <w:tcPr>
            <w:tcW w:w="4212" w:type="pct"/>
            <w:shd w:val="clear" w:color="auto" w:fill="95B3D7" w:themeFill="accent1" w:themeFillTint="99"/>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Altri accantonamenti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32.512,35</w:t>
            </w:r>
          </w:p>
        </w:tc>
      </w:tr>
      <w:tr w:rsidR="003F0FC0" w:rsidRPr="005D660C" w:rsidTr="00E12A0A">
        <w:trPr>
          <w:trHeight w:val="20"/>
          <w:jc w:val="center"/>
        </w:trPr>
        <w:tc>
          <w:tcPr>
            <w:tcW w:w="4212" w:type="pct"/>
            <w:shd w:val="clear" w:color="auto" w:fill="95B3D7" w:themeFill="accent1" w:themeFillTint="99"/>
            <w:noWrap/>
            <w:vAlign w:val="center"/>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totale parte accantonata (b)</w:t>
            </w:r>
          </w:p>
        </w:tc>
        <w:tc>
          <w:tcPr>
            <w:tcW w:w="788" w:type="pct"/>
            <w:shd w:val="clear" w:color="auto" w:fill="auto"/>
            <w:noWrap/>
            <w:vAlign w:val="center"/>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b/>
                <w:bCs/>
                <w:color w:val="000000"/>
                <w:sz w:val="16"/>
                <w:szCs w:val="16"/>
                <w:lang w:eastAsia="it-IT"/>
              </w:rPr>
              <w:t>791.482.755,96</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vincolata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 leggi e dai principi contabili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39.147.329,22</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 trasferimenti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231.139.238,91</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dalla contrazione di mutui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8.010,73</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formalmente attribuiti dall'ente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8.796.652,98</w:t>
            </w:r>
          </w:p>
        </w:tc>
      </w:tr>
      <w:tr w:rsidR="003F0FC0" w:rsidRPr="005D660C" w:rsidTr="00E12A0A">
        <w:trPr>
          <w:trHeight w:val="7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Altri vincoli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color w:val="000000"/>
                <w:sz w:val="16"/>
                <w:szCs w:val="16"/>
                <w:lang w:eastAsia="it-IT"/>
              </w:rPr>
            </w:pPr>
            <w:r w:rsidRPr="00267F6F">
              <w:rPr>
                <w:rFonts w:ascii="Calibri" w:eastAsia="Times New Roman" w:hAnsi="Calibri" w:cs="Calibri"/>
                <w:color w:val="000000"/>
                <w:sz w:val="16"/>
                <w:szCs w:val="16"/>
                <w:lang w:eastAsia="it-IT"/>
              </w:rPr>
              <w:t>2.678.622,21</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vincolata (c)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b/>
                <w:bCs/>
                <w:color w:val="000000"/>
                <w:sz w:val="16"/>
                <w:szCs w:val="16"/>
                <w:lang w:eastAsia="it-IT"/>
              </w:rPr>
            </w:pPr>
            <w:r w:rsidRPr="00267F6F">
              <w:rPr>
                <w:rFonts w:ascii="Calibri" w:eastAsia="Times New Roman" w:hAnsi="Calibri" w:cs="Calibri"/>
                <w:b/>
                <w:bCs/>
                <w:color w:val="000000"/>
                <w:sz w:val="16"/>
                <w:szCs w:val="16"/>
                <w:lang w:eastAsia="it-IT"/>
              </w:rPr>
              <w:t>281.769.854,05</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destinata agli investimenti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b/>
                <w:bCs/>
                <w:color w:val="000000"/>
                <w:sz w:val="16"/>
                <w:szCs w:val="16"/>
                <w:lang w:eastAsia="it-IT"/>
              </w:rPr>
            </w:pP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destinata agli investimenti(d)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b/>
                <w:bCs/>
                <w:color w:val="000000"/>
                <w:sz w:val="16"/>
                <w:szCs w:val="16"/>
                <w:lang w:eastAsia="it-IT"/>
              </w:rPr>
            </w:pPr>
            <w:r w:rsidRPr="00267F6F">
              <w:rPr>
                <w:rFonts w:ascii="Calibri" w:eastAsia="Times New Roman" w:hAnsi="Calibri" w:cs="Calibri"/>
                <w:b/>
                <w:bCs/>
                <w:color w:val="000000"/>
                <w:sz w:val="16"/>
                <w:szCs w:val="16"/>
                <w:lang w:eastAsia="it-IT"/>
              </w:rPr>
              <w:t>-</w:t>
            </w:r>
          </w:p>
        </w:tc>
      </w:tr>
      <w:tr w:rsidR="003F0FC0" w:rsidRPr="005D660C" w:rsidTr="00E12A0A">
        <w:trPr>
          <w:trHeight w:val="20"/>
          <w:jc w:val="center"/>
        </w:trPr>
        <w:tc>
          <w:tcPr>
            <w:tcW w:w="4212" w:type="pct"/>
            <w:shd w:val="clear" w:color="auto" w:fill="95B3D7" w:themeFill="accent1" w:themeFillTint="99"/>
            <w:noWrap/>
            <w:vAlign w:val="center"/>
            <w:hideMark/>
          </w:tcPr>
          <w:p w:rsidR="003F0FC0" w:rsidRPr="005D660C" w:rsidRDefault="003F0FC0" w:rsidP="00E12A0A">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disponibile (e=a-b-c-d) </w:t>
            </w:r>
          </w:p>
        </w:tc>
        <w:tc>
          <w:tcPr>
            <w:tcW w:w="788" w:type="pct"/>
            <w:shd w:val="clear" w:color="auto" w:fill="auto"/>
            <w:noWrap/>
            <w:vAlign w:val="center"/>
            <w:hideMark/>
          </w:tcPr>
          <w:p w:rsidR="003F0FC0" w:rsidRPr="00267F6F" w:rsidRDefault="003F0FC0" w:rsidP="00E12A0A">
            <w:pPr>
              <w:spacing w:after="0" w:line="240" w:lineRule="auto"/>
              <w:jc w:val="right"/>
              <w:rPr>
                <w:rFonts w:ascii="Calibri" w:eastAsia="Times New Roman" w:hAnsi="Calibri" w:cs="Calibri"/>
                <w:b/>
                <w:bCs/>
                <w:color w:val="000000"/>
                <w:sz w:val="16"/>
                <w:szCs w:val="16"/>
                <w:lang w:eastAsia="it-IT"/>
              </w:rPr>
            </w:pPr>
            <w:r w:rsidRPr="00267F6F">
              <w:rPr>
                <w:rFonts w:ascii="Calibri" w:eastAsia="Times New Roman" w:hAnsi="Calibri" w:cs="Calibri"/>
                <w:b/>
                <w:bCs/>
                <w:color w:val="000000"/>
                <w:sz w:val="16"/>
                <w:szCs w:val="16"/>
                <w:lang w:eastAsia="it-IT"/>
              </w:rPr>
              <w:t>-1.257.051.781,94</w:t>
            </w:r>
          </w:p>
        </w:tc>
      </w:tr>
      <w:tr w:rsidR="003F0FC0" w:rsidRPr="005D660C" w:rsidTr="00E12A0A">
        <w:trPr>
          <w:trHeight w:val="20"/>
          <w:jc w:val="center"/>
        </w:trPr>
        <w:tc>
          <w:tcPr>
            <w:tcW w:w="5000" w:type="pct"/>
            <w:gridSpan w:val="2"/>
            <w:shd w:val="clear" w:color="auto" w:fill="auto"/>
            <w:noWrap/>
            <w:vAlign w:val="center"/>
            <w:hideMark/>
          </w:tcPr>
          <w:p w:rsidR="003F0FC0" w:rsidRPr="001C2B44" w:rsidRDefault="003F0FC0" w:rsidP="00E12A0A">
            <w:pPr>
              <w:spacing w:after="0" w:line="240" w:lineRule="auto"/>
              <w:rPr>
                <w:rFonts w:ascii="Bodoni MT" w:eastAsia="Times New Roman" w:hAnsi="Bodoni MT" w:cs="Calibri"/>
                <w:color w:val="000000"/>
                <w:sz w:val="16"/>
                <w:szCs w:val="16"/>
                <w:lang w:eastAsia="it-IT"/>
              </w:rPr>
            </w:pPr>
            <w:r w:rsidRPr="001C2B44">
              <w:rPr>
                <w:rFonts w:ascii="Bodoni MT" w:eastAsia="Times New Roman" w:hAnsi="Bodoni MT" w:cs="Calibri"/>
                <w:b/>
                <w:bCs/>
                <w:sz w:val="16"/>
                <w:szCs w:val="16"/>
                <w:lang w:eastAsia="it-IT"/>
              </w:rPr>
              <w:t xml:space="preserve">Se E è negativo, tale importo è iscritto tra le spese del bilancio di previsione come disavanzo da ripianare (6) </w:t>
            </w:r>
          </w:p>
        </w:tc>
      </w:tr>
      <w:tr w:rsidR="003F0FC0" w:rsidRPr="005D660C" w:rsidTr="00E12A0A">
        <w:trPr>
          <w:trHeight w:val="20"/>
          <w:jc w:val="center"/>
        </w:trPr>
        <w:tc>
          <w:tcPr>
            <w:tcW w:w="5000" w:type="pct"/>
            <w:gridSpan w:val="2"/>
            <w:shd w:val="clear" w:color="auto" w:fill="auto"/>
            <w:vAlign w:val="center"/>
            <w:hideMark/>
          </w:tcPr>
          <w:p w:rsidR="003F0FC0" w:rsidRPr="001C2B44" w:rsidRDefault="003F0FC0" w:rsidP="00E12A0A">
            <w:pPr>
              <w:spacing w:after="0" w:line="240" w:lineRule="auto"/>
              <w:rPr>
                <w:rFonts w:ascii="Bodoni MT" w:eastAsia="Times New Roman" w:hAnsi="Bodoni MT" w:cs="Calibri"/>
                <w:color w:val="000000"/>
                <w:sz w:val="16"/>
                <w:szCs w:val="16"/>
                <w:lang w:eastAsia="it-IT"/>
              </w:rPr>
            </w:pPr>
            <w:r w:rsidRPr="001C2B44">
              <w:rPr>
                <w:rFonts w:ascii="Bodoni MT" w:eastAsia="Times New Roman" w:hAnsi="Bodoni MT" w:cs="Calibri"/>
                <w:color w:val="000000"/>
                <w:sz w:val="16"/>
                <w:szCs w:val="16"/>
                <w:lang w:eastAsia="it-IT"/>
              </w:rPr>
              <w:t>Indicare l'importo del fondo pluriennale vincolato risultante dal conto del bilancio (in spesa).</w:t>
            </w:r>
          </w:p>
        </w:tc>
      </w:tr>
      <w:tr w:rsidR="003F0FC0" w:rsidRPr="005D660C" w:rsidTr="00E12A0A">
        <w:trPr>
          <w:trHeight w:val="20"/>
          <w:jc w:val="center"/>
        </w:trPr>
        <w:tc>
          <w:tcPr>
            <w:tcW w:w="5000" w:type="pct"/>
            <w:gridSpan w:val="2"/>
            <w:shd w:val="clear" w:color="auto" w:fill="auto"/>
            <w:vAlign w:val="center"/>
            <w:hideMark/>
          </w:tcPr>
          <w:p w:rsidR="003F0FC0" w:rsidRPr="001C2B44" w:rsidRDefault="003F0FC0" w:rsidP="00E12A0A">
            <w:pPr>
              <w:spacing w:after="0" w:line="240" w:lineRule="auto"/>
              <w:jc w:val="both"/>
              <w:rPr>
                <w:rFonts w:ascii="Bodoni MT" w:eastAsia="Times New Roman" w:hAnsi="Bodoni MT" w:cs="Calibri"/>
                <w:color w:val="000000"/>
                <w:sz w:val="16"/>
                <w:szCs w:val="16"/>
                <w:lang w:eastAsia="it-IT"/>
              </w:rPr>
            </w:pPr>
            <w:r w:rsidRPr="001C2B44">
              <w:rPr>
                <w:rFonts w:ascii="Bodoni MT" w:eastAsia="Times New Roman" w:hAnsi="Bodoni MT" w:cs="Calibri"/>
                <w:color w:val="000000"/>
                <w:sz w:val="16"/>
                <w:szCs w:val="16"/>
                <w:lang w:eastAsia="it-IT"/>
              </w:rPr>
              <w:t>Se negativo, le regioni indicano in nota la quota del disavanzo corrispondente al debito autorizzato e non contratto, distintamente da quella derivante dalla gestione ordinaria.</w:t>
            </w:r>
          </w:p>
        </w:tc>
      </w:tr>
      <w:tr w:rsidR="003F0FC0" w:rsidRPr="005D660C" w:rsidTr="00E12A0A">
        <w:trPr>
          <w:trHeight w:val="20"/>
          <w:jc w:val="center"/>
        </w:trPr>
        <w:tc>
          <w:tcPr>
            <w:tcW w:w="5000" w:type="pct"/>
            <w:gridSpan w:val="2"/>
            <w:shd w:val="clear" w:color="auto" w:fill="auto"/>
            <w:vAlign w:val="center"/>
            <w:hideMark/>
          </w:tcPr>
          <w:p w:rsidR="003F0FC0" w:rsidRPr="001C2B44" w:rsidRDefault="003F0FC0" w:rsidP="00E12A0A">
            <w:pPr>
              <w:spacing w:after="0" w:line="240" w:lineRule="auto"/>
              <w:rPr>
                <w:rFonts w:ascii="Times New Roman" w:eastAsia="Times New Roman" w:hAnsi="Times New Roman" w:cs="Times New Roman"/>
                <w:sz w:val="16"/>
                <w:szCs w:val="16"/>
                <w:lang w:eastAsia="it-IT"/>
              </w:rPr>
            </w:pPr>
            <w:r w:rsidRPr="001C2B44">
              <w:rPr>
                <w:rFonts w:ascii="Bodoni MT" w:eastAsia="Times New Roman" w:hAnsi="Bodoni MT" w:cs="Calibri"/>
                <w:sz w:val="16"/>
                <w:szCs w:val="16"/>
                <w:lang w:eastAsia="it-IT"/>
              </w:rPr>
              <w:t>Non comprende il fondo pluriennale vincolato.</w:t>
            </w:r>
          </w:p>
        </w:tc>
      </w:tr>
      <w:tr w:rsidR="003F0FC0" w:rsidRPr="005D660C" w:rsidTr="00E12A0A">
        <w:trPr>
          <w:trHeight w:val="20"/>
          <w:jc w:val="center"/>
        </w:trPr>
        <w:tc>
          <w:tcPr>
            <w:tcW w:w="5000" w:type="pct"/>
            <w:gridSpan w:val="2"/>
            <w:shd w:val="clear" w:color="auto" w:fill="auto"/>
            <w:vAlign w:val="center"/>
            <w:hideMark/>
          </w:tcPr>
          <w:p w:rsidR="003F0FC0" w:rsidRPr="001C2B44" w:rsidRDefault="003F0FC0" w:rsidP="00E12A0A">
            <w:pPr>
              <w:spacing w:after="0" w:line="240" w:lineRule="auto"/>
              <w:rPr>
                <w:rFonts w:ascii="Bodoni MT" w:eastAsia="Times New Roman" w:hAnsi="Bodoni MT" w:cs="Calibri"/>
                <w:color w:val="000000"/>
                <w:sz w:val="16"/>
                <w:szCs w:val="16"/>
                <w:lang w:eastAsia="it-IT"/>
              </w:rPr>
            </w:pPr>
            <w:r w:rsidRPr="001C2B44">
              <w:rPr>
                <w:rFonts w:ascii="Bodoni MT" w:eastAsia="Times New Roman" w:hAnsi="Bodoni MT" w:cs="Calibri"/>
                <w:color w:val="000000"/>
                <w:sz w:val="16"/>
                <w:szCs w:val="16"/>
                <w:lang w:eastAsia="it-IT"/>
              </w:rPr>
              <w:t>Solo per le regioni Indicare l'importo dell'accantonamento per residui perenti al 31 dicembre2016</w:t>
            </w:r>
          </w:p>
        </w:tc>
      </w:tr>
      <w:tr w:rsidR="003F0FC0" w:rsidRPr="005D660C" w:rsidTr="00E12A0A">
        <w:trPr>
          <w:trHeight w:val="20"/>
          <w:jc w:val="center"/>
        </w:trPr>
        <w:tc>
          <w:tcPr>
            <w:tcW w:w="5000" w:type="pct"/>
            <w:gridSpan w:val="2"/>
            <w:shd w:val="clear" w:color="auto" w:fill="auto"/>
            <w:vAlign w:val="center"/>
            <w:hideMark/>
          </w:tcPr>
          <w:p w:rsidR="003F0FC0" w:rsidRPr="001C2B44" w:rsidRDefault="003F0FC0" w:rsidP="00E12A0A">
            <w:pPr>
              <w:spacing w:after="0" w:line="240" w:lineRule="auto"/>
              <w:jc w:val="both"/>
              <w:rPr>
                <w:rFonts w:ascii="Bodoni MT" w:eastAsia="Times New Roman" w:hAnsi="Bodoni MT" w:cs="Calibri"/>
                <w:sz w:val="16"/>
                <w:szCs w:val="16"/>
                <w:lang w:eastAsia="it-IT"/>
              </w:rPr>
            </w:pPr>
            <w:r w:rsidRPr="001C2B44">
              <w:rPr>
                <w:rFonts w:ascii="Bodoni MT" w:eastAsia="Times New Roman" w:hAnsi="Bodoni MT" w:cs="Calibri"/>
                <w:sz w:val="16"/>
                <w:szCs w:val="16"/>
                <w:lang w:eastAsia="it-IT"/>
              </w:rPr>
              <w:t>In caso di risultato negativo, le regioni indicano in nota la quota del disavanzo corrispondente al debito autorizzato e non contratto, distintamente da quella derivante dalla gestione ordinaria e iscrivono nel passivo del bilancio di previsione N l'importo di cui alla lettera E, distinguendo le due componenti del disavanzo. A decorrere dal 2016 si fa riferimento all'ammontare del debito autorizzato alla data del 31 dicembre 2015.</w:t>
            </w:r>
          </w:p>
        </w:tc>
      </w:tr>
    </w:tbl>
    <w:p w:rsidR="003F0FC0" w:rsidRDefault="003F0FC0" w:rsidP="00EF1956">
      <w:pPr>
        <w:pStyle w:val="CdcTesto"/>
        <w:spacing w:before="360"/>
      </w:pPr>
      <w:r w:rsidRPr="00F44BB0">
        <w:lastRenderedPageBreak/>
        <w:t>Al risultato di amministrazione determinato in € -183.799.171,93 si devono applicare le quote accantonate e vincolate così come illustrato nella tabella.</w:t>
      </w:r>
    </w:p>
    <w:p w:rsidR="003F0FC0" w:rsidRDefault="003F0FC0" w:rsidP="003F0FC0">
      <w:pPr>
        <w:pStyle w:val="CdcTesto"/>
      </w:pPr>
      <w:r w:rsidRPr="005D660C">
        <w:t xml:space="preserve">Il risultato di amministrazione accertato con l’approvazione del rendiconto della gestione 2016 è pertanto di € -1.257.051.781,94. </w:t>
      </w:r>
    </w:p>
    <w:p w:rsidR="003F0FC0" w:rsidRPr="003E1AB6" w:rsidRDefault="003F0FC0" w:rsidP="003F0FC0">
      <w:pPr>
        <w:pStyle w:val="CdcTesto"/>
        <w:rPr>
          <w:rFonts w:eastAsia="Times New Roman"/>
        </w:rPr>
      </w:pPr>
      <w:r w:rsidRPr="003E1AB6">
        <w:rPr>
          <w:rFonts w:eastAsia="Times New Roman"/>
        </w:rPr>
        <w:t>Con la legge di stabilità n.</w:t>
      </w:r>
      <w:r>
        <w:rPr>
          <w:rFonts w:eastAsia="Times New Roman"/>
        </w:rPr>
        <w:t xml:space="preserve"> </w:t>
      </w:r>
      <w:r w:rsidRPr="003E1AB6">
        <w:rPr>
          <w:rFonts w:eastAsia="Times New Roman"/>
        </w:rPr>
        <w:t>5/2016 (art.</w:t>
      </w:r>
      <w:r>
        <w:rPr>
          <w:rFonts w:eastAsia="Times New Roman"/>
        </w:rPr>
        <w:t xml:space="preserve"> </w:t>
      </w:r>
      <w:r w:rsidRPr="003E1AB6">
        <w:rPr>
          <w:rFonts w:eastAsia="Times New Roman"/>
        </w:rPr>
        <w:t>1, comma 7)</w:t>
      </w:r>
      <w:r w:rsidRPr="003E1AB6">
        <w:rPr>
          <w:rFonts w:eastAsia="Calibri" w:cs="Times New Roman"/>
        </w:rPr>
        <w:t xml:space="preserve"> la Regione ha nuovamente autorizzato il ricorso all’indebitamento per la copertura del suddetto disavanzo (</w:t>
      </w:r>
      <w:r>
        <w:rPr>
          <w:rFonts w:eastAsia="Calibri" w:cs="Times New Roman"/>
        </w:rPr>
        <w:t xml:space="preserve">€ </w:t>
      </w:r>
      <w:r w:rsidRPr="003E1AB6">
        <w:rPr>
          <w:rFonts w:eastAsia="Calibri" w:cs="Times New Roman"/>
        </w:rPr>
        <w:t>504.971.752,63) derivante dall’esercizio 2014</w:t>
      </w:r>
      <w:r w:rsidRPr="003E1AB6">
        <w:rPr>
          <w:rFonts w:eastAsia="Calibri" w:cs="Times New Roman"/>
          <w:vertAlign w:val="superscript"/>
        </w:rPr>
        <w:footnoteReference w:id="23"/>
      </w:r>
      <w:r w:rsidRPr="003E1AB6">
        <w:rPr>
          <w:rFonts w:eastAsia="Calibri" w:cs="Times New Roman"/>
        </w:rPr>
        <w:t>.</w:t>
      </w:r>
    </w:p>
    <w:p w:rsidR="003F0FC0" w:rsidRDefault="003F0FC0" w:rsidP="003F0FC0">
      <w:pPr>
        <w:pStyle w:val="CdcTesto"/>
        <w:rPr>
          <w:rFonts w:eastAsia="Calibri"/>
        </w:rPr>
      </w:pPr>
      <w:r w:rsidRPr="003E1AB6">
        <w:rPr>
          <w:rFonts w:eastAsia="Calibri"/>
        </w:rPr>
        <w:t>A dicembre del 2016 è stato stipulato il contratto di mutuo a erogazione multipla con C.D.P., a copertura del disavanzo di cui si tratta, da erogarsi in cinque anni massimo, per effettive esigenze di cassa (ai sensi dell’art.</w:t>
      </w:r>
      <w:r>
        <w:rPr>
          <w:rFonts w:eastAsia="Calibri"/>
        </w:rPr>
        <w:t xml:space="preserve"> </w:t>
      </w:r>
      <w:r w:rsidRPr="003E1AB6">
        <w:rPr>
          <w:rFonts w:eastAsia="Calibri"/>
        </w:rPr>
        <w:t>40, comma 2, del D</w:t>
      </w:r>
      <w:r>
        <w:rPr>
          <w:rFonts w:eastAsia="Calibri"/>
        </w:rPr>
        <w:t>.</w:t>
      </w:r>
      <w:r w:rsidRPr="003E1AB6">
        <w:rPr>
          <w:rFonts w:eastAsia="Calibri"/>
        </w:rPr>
        <w:t>Lgs</w:t>
      </w:r>
      <w:r>
        <w:rPr>
          <w:rFonts w:eastAsia="Calibri"/>
        </w:rPr>
        <w:t>.</w:t>
      </w:r>
      <w:r w:rsidRPr="003E1AB6">
        <w:rPr>
          <w:rFonts w:eastAsia="Calibri"/>
        </w:rPr>
        <w:t xml:space="preserve"> 118/2011). Nel 2016 C.D.P. ha accordato una prima erogazione</w:t>
      </w:r>
      <w:r>
        <w:rPr>
          <w:rFonts w:eastAsia="Calibri"/>
        </w:rPr>
        <w:t xml:space="preserve"> pari a € </w:t>
      </w:r>
      <w:r w:rsidRPr="003E1AB6">
        <w:rPr>
          <w:rFonts w:eastAsia="Calibri"/>
        </w:rPr>
        <w:t>104.021.036,16, da restituire in trent’anni, con decorrenza del rimborso da giugno 2017. L’erogazione è dichiaratamente correlata a spese d’investimento già sostenute per effetto del richiamo contenuto nella L.R</w:t>
      </w:r>
      <w:r>
        <w:rPr>
          <w:rFonts w:eastAsia="Calibri"/>
        </w:rPr>
        <w:t>.</w:t>
      </w:r>
      <w:r w:rsidRPr="003E1AB6">
        <w:rPr>
          <w:rFonts w:eastAsia="Calibri"/>
        </w:rPr>
        <w:t xml:space="preserve"> 31/2015 che ne autorizzava la contrazione a copertura del fondo residui perenti</w:t>
      </w:r>
      <w:r w:rsidRPr="003E1AB6">
        <w:rPr>
          <w:rFonts w:eastAsia="Calibri"/>
          <w:vertAlign w:val="superscript"/>
        </w:rPr>
        <w:footnoteReference w:id="24"/>
      </w:r>
      <w:r w:rsidRPr="003E1AB6">
        <w:rPr>
          <w:rFonts w:eastAsia="Calibri"/>
        </w:rPr>
        <w:t>.</w:t>
      </w:r>
    </w:p>
    <w:p w:rsidR="003F0FC0" w:rsidRDefault="003F0FC0" w:rsidP="003F0FC0">
      <w:pPr>
        <w:pStyle w:val="CdcTesto"/>
        <w:rPr>
          <w:rFonts w:eastAsia="Calibri"/>
        </w:rPr>
      </w:pPr>
      <w:r w:rsidRPr="003E1AB6">
        <w:rPr>
          <w:rFonts w:eastAsia="Calibri"/>
        </w:rPr>
        <w:t xml:space="preserve">Per effetto della suddetta erogazione di </w:t>
      </w:r>
      <w:r>
        <w:rPr>
          <w:rFonts w:eastAsia="Calibri"/>
        </w:rPr>
        <w:t xml:space="preserve">€ </w:t>
      </w:r>
      <w:r w:rsidRPr="003E1AB6">
        <w:rPr>
          <w:rFonts w:eastAsia="Calibri"/>
        </w:rPr>
        <w:t>104.021.036,16, al 31/12/2016 il debito autorizzato</w:t>
      </w:r>
      <w:r>
        <w:rPr>
          <w:rFonts w:eastAsia="Calibri"/>
        </w:rPr>
        <w:t>,</w:t>
      </w:r>
      <w:r w:rsidRPr="003E1AB6">
        <w:rPr>
          <w:rFonts w:eastAsia="Calibri"/>
        </w:rPr>
        <w:t xml:space="preserve"> </w:t>
      </w:r>
      <w:r>
        <w:rPr>
          <w:rFonts w:eastAsia="Calibri"/>
        </w:rPr>
        <w:t xml:space="preserve">ma non ancora erogato </w:t>
      </w:r>
      <w:r w:rsidRPr="003E1AB6">
        <w:rPr>
          <w:rFonts w:eastAsia="Calibri"/>
        </w:rPr>
        <w:t>(derivante dall’esercizio 2014)</w:t>
      </w:r>
      <w:r>
        <w:rPr>
          <w:rFonts w:eastAsia="Calibri"/>
        </w:rPr>
        <w:t>,</w:t>
      </w:r>
      <w:r w:rsidRPr="003E1AB6">
        <w:rPr>
          <w:rFonts w:eastAsia="Calibri"/>
        </w:rPr>
        <w:t xml:space="preserve"> scende a € 400.950.536,47 e il disavanzo di</w:t>
      </w:r>
      <w:r>
        <w:rPr>
          <w:rFonts w:eastAsia="Calibri"/>
        </w:rPr>
        <w:t xml:space="preserve"> amministrazione al 31/12/2016 è pari a –1.257.051.781,94 euro. All’interno di tale disavanzo la componente relativa al disavanzo da RS ammonta a</w:t>
      </w:r>
      <w:r w:rsidRPr="003E1AB6">
        <w:rPr>
          <w:rFonts w:eastAsia="Calibri"/>
        </w:rPr>
        <w:t xml:space="preserve"> -856.101.245,47 euro.</w:t>
      </w:r>
    </w:p>
    <w:p w:rsidR="003F0FC0" w:rsidRPr="003E1AB6" w:rsidRDefault="003F0FC0" w:rsidP="003F0FC0">
      <w:pPr>
        <w:pStyle w:val="CdcTesto"/>
        <w:spacing w:after="360"/>
        <w:rPr>
          <w:rFonts w:eastAsia="Times New Roman"/>
        </w:rPr>
      </w:pPr>
      <w:r>
        <w:rPr>
          <w:rFonts w:eastAsia="Calibri"/>
        </w:rPr>
        <w:t>Infatti n</w:t>
      </w:r>
      <w:r w:rsidRPr="003E1AB6">
        <w:rPr>
          <w:rFonts w:eastAsia="Calibri"/>
        </w:rPr>
        <w:t xml:space="preserve">el corso del 2016 è stata ripianata la prevista quota trentennale di </w:t>
      </w:r>
      <w:r>
        <w:rPr>
          <w:rFonts w:eastAsia="Calibri"/>
        </w:rPr>
        <w:t xml:space="preserve">€ </w:t>
      </w:r>
      <w:r w:rsidRPr="003E1AB6">
        <w:rPr>
          <w:rFonts w:eastAsia="Calibri"/>
        </w:rPr>
        <w:t xml:space="preserve">32.290.000 relativa al disavanzo conseguente al riaccertamento straordinario dei residui disposto nel 2015. Come si evince dalla tabella sottostante, che analizza la composizione del disavanzo a confronto con l’esercizio 2015, l’importo ripianato è leggermente superiore (pari a </w:t>
      </w:r>
      <w:r>
        <w:rPr>
          <w:rFonts w:eastAsia="Calibri"/>
        </w:rPr>
        <w:t xml:space="preserve">€ </w:t>
      </w:r>
      <w:r w:rsidRPr="003E1AB6">
        <w:rPr>
          <w:rFonts w:eastAsia="Calibri"/>
        </w:rPr>
        <w:t>32.626.984,14).</w:t>
      </w:r>
    </w:p>
    <w:p w:rsidR="00DB3BAA" w:rsidRPr="00782A2D" w:rsidRDefault="00DB3BAA" w:rsidP="007D10C5">
      <w:pPr>
        <w:pStyle w:val="Paragrafoelenco"/>
        <w:numPr>
          <w:ilvl w:val="0"/>
          <w:numId w:val="27"/>
        </w:numPr>
        <w:tabs>
          <w:tab w:val="left" w:pos="142"/>
          <w:tab w:val="left" w:pos="426"/>
        </w:tabs>
        <w:spacing w:after="120"/>
        <w:jc w:val="both"/>
        <w:rPr>
          <w:rFonts w:ascii="Bodoni MT" w:hAnsi="Bodoni MT"/>
          <w:sz w:val="24"/>
          <w:szCs w:val="24"/>
        </w:rPr>
      </w:pPr>
      <w:r w:rsidRPr="00067233">
        <w:rPr>
          <w:rFonts w:ascii="Bodoni MT" w:hAnsi="Bodoni MT"/>
          <w:b/>
          <w:sz w:val="28"/>
          <w:szCs w:val="28"/>
        </w:rPr>
        <w:t>I debiti fuori bilancio.</w:t>
      </w:r>
      <w:r w:rsidRPr="00782A2D">
        <w:rPr>
          <w:rFonts w:ascii="Bodoni MT" w:hAnsi="Bodoni MT"/>
          <w:sz w:val="24"/>
          <w:szCs w:val="24"/>
        </w:rPr>
        <w:t xml:space="preserve"> Nel corso del </w:t>
      </w:r>
      <w:r w:rsidRPr="00782A2D">
        <w:rPr>
          <w:rFonts w:ascii="Bodoni MT" w:hAnsi="Bodoni MT"/>
          <w:b/>
          <w:sz w:val="24"/>
          <w:szCs w:val="24"/>
        </w:rPr>
        <w:t>2016</w:t>
      </w:r>
      <w:r w:rsidRPr="00782A2D">
        <w:rPr>
          <w:rFonts w:ascii="Bodoni MT" w:hAnsi="Bodoni MT"/>
          <w:sz w:val="24"/>
          <w:szCs w:val="24"/>
        </w:rPr>
        <w:t xml:space="preserve"> la RAS ha riconosciuto </w:t>
      </w:r>
      <w:r w:rsidRPr="00782A2D">
        <w:rPr>
          <w:rFonts w:ascii="Bodoni MT" w:hAnsi="Bodoni MT"/>
          <w:b/>
          <w:sz w:val="24"/>
          <w:szCs w:val="24"/>
        </w:rPr>
        <w:t xml:space="preserve">debiti fuori bilancio derivanti da acquisto di beni e servizi senza il preventivo impegno di spesa </w:t>
      </w:r>
      <w:r w:rsidRPr="00782A2D">
        <w:rPr>
          <w:rFonts w:ascii="Bodoni MT" w:hAnsi="Bodoni MT"/>
          <w:sz w:val="24"/>
          <w:szCs w:val="24"/>
        </w:rPr>
        <w:t xml:space="preserve">per un ammontare complessivo di </w:t>
      </w:r>
      <w:r>
        <w:rPr>
          <w:rFonts w:ascii="Bodoni MT" w:hAnsi="Bodoni MT"/>
          <w:b/>
          <w:sz w:val="24"/>
          <w:szCs w:val="24"/>
        </w:rPr>
        <w:t>€ </w:t>
      </w:r>
      <w:r w:rsidRPr="00782A2D">
        <w:rPr>
          <w:rFonts w:ascii="Bodoni MT" w:hAnsi="Bodoni MT"/>
          <w:b/>
          <w:sz w:val="24"/>
          <w:szCs w:val="24"/>
        </w:rPr>
        <w:t>14.656.274,06</w:t>
      </w:r>
      <w:r>
        <w:rPr>
          <w:rFonts w:ascii="Bodoni MT" w:hAnsi="Bodoni MT"/>
          <w:sz w:val="24"/>
          <w:szCs w:val="24"/>
        </w:rPr>
        <w:t xml:space="preserve"> a mezzo della L.R. n. </w:t>
      </w:r>
      <w:r w:rsidRPr="00782A2D">
        <w:rPr>
          <w:rFonts w:ascii="Bodoni MT" w:hAnsi="Bodoni MT"/>
          <w:sz w:val="24"/>
          <w:szCs w:val="24"/>
        </w:rPr>
        <w:t>32/2016, art. 1 comma 50</w:t>
      </w:r>
      <w:r>
        <w:rPr>
          <w:rStyle w:val="Rimandonotaapidipagina"/>
          <w:rFonts w:ascii="Bodoni MT" w:hAnsi="Bodoni MT"/>
          <w:sz w:val="24"/>
          <w:szCs w:val="24"/>
        </w:rPr>
        <w:footnoteReference w:id="25"/>
      </w:r>
      <w:r w:rsidRPr="00782A2D">
        <w:rPr>
          <w:rFonts w:ascii="Bodoni MT" w:hAnsi="Bodoni MT"/>
          <w:sz w:val="24"/>
          <w:szCs w:val="24"/>
        </w:rPr>
        <w:t xml:space="preserve">. A conferma della </w:t>
      </w:r>
      <w:r w:rsidRPr="00782A2D">
        <w:rPr>
          <w:rFonts w:ascii="Bodoni MT" w:hAnsi="Bodoni MT"/>
          <w:b/>
          <w:sz w:val="24"/>
          <w:szCs w:val="24"/>
        </w:rPr>
        <w:t>provvisorietà del quadro di notizie contenuto nella legge regionale 32/2016</w:t>
      </w:r>
      <w:r w:rsidRPr="00782A2D">
        <w:rPr>
          <w:rFonts w:ascii="Bodoni MT" w:hAnsi="Bodoni MT"/>
          <w:sz w:val="24"/>
          <w:szCs w:val="24"/>
        </w:rPr>
        <w:t xml:space="preserve">, </w:t>
      </w:r>
      <w:r w:rsidRPr="00782A2D">
        <w:rPr>
          <w:rFonts w:ascii="Bodoni MT" w:hAnsi="Bodoni MT"/>
          <w:b/>
          <w:sz w:val="24"/>
          <w:szCs w:val="24"/>
        </w:rPr>
        <w:t>la legge regionale 27 luglio 2017 n. 15</w:t>
      </w:r>
      <w:r w:rsidRPr="00782A2D">
        <w:rPr>
          <w:rFonts w:ascii="Bodoni MT" w:hAnsi="Bodoni MT"/>
          <w:sz w:val="24"/>
          <w:szCs w:val="24"/>
        </w:rPr>
        <w:t xml:space="preserve"> (“</w:t>
      </w:r>
      <w:r w:rsidRPr="00782A2D">
        <w:rPr>
          <w:rFonts w:ascii="Bodoni MT" w:hAnsi="Bodoni MT"/>
          <w:i/>
          <w:sz w:val="24"/>
          <w:szCs w:val="24"/>
        </w:rPr>
        <w:t>Riconoscimento debiti fuori bilancio ai sensi dell’art. 73 comma 1 lettere a) ed e) del decreto legislativo 23 giugno 2011 n. 118</w:t>
      </w:r>
      <w:r w:rsidRPr="00782A2D">
        <w:rPr>
          <w:rFonts w:ascii="Bodoni MT" w:hAnsi="Bodoni MT"/>
          <w:sz w:val="24"/>
          <w:szCs w:val="24"/>
        </w:rPr>
        <w:t xml:space="preserve">”) riconosce una cospicua mole di debiti </w:t>
      </w:r>
      <w:r w:rsidRPr="00782A2D">
        <w:rPr>
          <w:rFonts w:ascii="Bodoni MT" w:hAnsi="Bodoni MT"/>
          <w:sz w:val="24"/>
          <w:szCs w:val="24"/>
        </w:rPr>
        <w:lastRenderedPageBreak/>
        <w:t xml:space="preserve">fuori bilancio </w:t>
      </w:r>
      <w:r w:rsidRPr="00782A2D">
        <w:rPr>
          <w:rFonts w:ascii="Bodoni MT" w:hAnsi="Bodoni MT"/>
          <w:b/>
          <w:sz w:val="24"/>
          <w:szCs w:val="24"/>
        </w:rPr>
        <w:t>per il periodo primo semestre 2017 ed esercizi precedenti</w:t>
      </w:r>
      <w:r>
        <w:rPr>
          <w:rFonts w:ascii="Bodoni MT" w:hAnsi="Bodoni MT"/>
          <w:sz w:val="24"/>
          <w:szCs w:val="24"/>
        </w:rPr>
        <w:t xml:space="preserve"> (</w:t>
      </w:r>
      <w:r w:rsidRPr="00782A2D">
        <w:rPr>
          <w:rFonts w:ascii="Bodoni MT" w:hAnsi="Bodoni MT"/>
          <w:b/>
          <w:sz w:val="24"/>
          <w:szCs w:val="24"/>
        </w:rPr>
        <w:t>a</w:t>
      </w:r>
      <w:r>
        <w:rPr>
          <w:rFonts w:ascii="Bodoni MT" w:hAnsi="Bodoni MT"/>
          <w:b/>
          <w:sz w:val="24"/>
          <w:szCs w:val="24"/>
        </w:rPr>
        <w:t xml:space="preserve">. </w:t>
      </w:r>
      <w:r w:rsidRPr="00CE5A2E">
        <w:rPr>
          <w:rFonts w:ascii="Bodoni MT" w:hAnsi="Bodoni MT"/>
          <w:sz w:val="24"/>
          <w:szCs w:val="24"/>
        </w:rPr>
        <w:t>80 casi di debiti co</w:t>
      </w:r>
      <w:r>
        <w:rPr>
          <w:rFonts w:ascii="Bodoni MT" w:hAnsi="Bodoni MT"/>
          <w:sz w:val="24"/>
          <w:szCs w:val="24"/>
        </w:rPr>
        <w:t xml:space="preserve">nseguenti a sentenze esecutive; </w:t>
      </w:r>
      <w:r w:rsidRPr="00782A2D">
        <w:rPr>
          <w:rFonts w:ascii="Bodoni MT" w:hAnsi="Bodoni MT"/>
          <w:b/>
          <w:sz w:val="24"/>
          <w:szCs w:val="24"/>
        </w:rPr>
        <w:t>b.</w:t>
      </w:r>
      <w:r w:rsidRPr="00782A2D">
        <w:rPr>
          <w:rFonts w:ascii="Bodoni MT" w:hAnsi="Bodoni MT"/>
          <w:sz w:val="24"/>
          <w:szCs w:val="24"/>
        </w:rPr>
        <w:t xml:space="preserve"> </w:t>
      </w:r>
      <w:r w:rsidRPr="00CE5A2E">
        <w:rPr>
          <w:rFonts w:ascii="Bodoni MT" w:hAnsi="Bodoni MT"/>
          <w:sz w:val="24"/>
          <w:szCs w:val="24"/>
        </w:rPr>
        <w:t>101 casi per debiti da acquisizione di beni e servizi in assenza di preventivo impegno di spesa</w:t>
      </w:r>
      <w:r>
        <w:rPr>
          <w:rFonts w:ascii="Bodoni MT" w:hAnsi="Bodoni MT"/>
          <w:sz w:val="24"/>
          <w:szCs w:val="24"/>
        </w:rPr>
        <w:t>).</w:t>
      </w:r>
    </w:p>
    <w:p w:rsidR="00DB3BAA" w:rsidRPr="00782A2D" w:rsidRDefault="00DB3BAA" w:rsidP="00DB3BAA">
      <w:pPr>
        <w:pStyle w:val="CdcTesto"/>
        <w:spacing w:after="360"/>
        <w:rPr>
          <w:b/>
        </w:rPr>
      </w:pPr>
      <w:r w:rsidRPr="00CE5A2E">
        <w:t>Per la necessaria copertura finanziaria la citata legge dispone le conseguenti variazioni alle poste del bilancio previsionale 2017-201</w:t>
      </w:r>
      <w:r>
        <w:t xml:space="preserve">9. </w:t>
      </w:r>
      <w:r w:rsidRPr="00782A2D">
        <w:rPr>
          <w:rStyle w:val="CdcTestoCarattere"/>
          <w:b/>
        </w:rPr>
        <w:t>L’onere complessivo che risulta dai nuovi allegati di bilancio è previsto in € 1.716.793,15</w:t>
      </w:r>
      <w:r>
        <w:rPr>
          <w:rStyle w:val="CdcTestoCarattere"/>
        </w:rPr>
        <w:t>, di cui € 1.212.632,25 prelevati dalla Missione 20 “Fondi e accantonamenti”, mentre per la parte restante si prevedevano variazioni compensative all’interno delle diverse Missioni di bilancio.</w:t>
      </w:r>
    </w:p>
    <w:p w:rsidR="00DB3BAA" w:rsidRDefault="00DB3BAA" w:rsidP="007D10C5">
      <w:pPr>
        <w:pStyle w:val="CdcTesto"/>
        <w:numPr>
          <w:ilvl w:val="0"/>
          <w:numId w:val="27"/>
        </w:numPr>
        <w:tabs>
          <w:tab w:val="left" w:pos="426"/>
        </w:tabs>
      </w:pPr>
      <w:r w:rsidRPr="00067233">
        <w:rPr>
          <w:b/>
          <w:sz w:val="28"/>
          <w:szCs w:val="28"/>
        </w:rPr>
        <w:t>La spesa per il personale, per il lavoro flessibile e per gli incarichi di consulenza e studio</w:t>
      </w:r>
      <w:r>
        <w:rPr>
          <w:b/>
        </w:rPr>
        <w:t xml:space="preserve">. </w:t>
      </w:r>
      <w:r>
        <w:t xml:space="preserve">Nel 2016 la </w:t>
      </w:r>
      <w:r w:rsidRPr="00161247">
        <w:rPr>
          <w:b/>
        </w:rPr>
        <w:t xml:space="preserve">spesa per il personale ammonta complessivamente a </w:t>
      </w:r>
      <w:r>
        <w:rPr>
          <w:b/>
        </w:rPr>
        <w:t xml:space="preserve">€ </w:t>
      </w:r>
      <w:r w:rsidRPr="00161247">
        <w:rPr>
          <w:b/>
        </w:rPr>
        <w:t xml:space="preserve">265.935.253,83 </w:t>
      </w:r>
      <w:r>
        <w:t>(MISSIONE 01 – Servizi istituzionali e generali).</w:t>
      </w:r>
    </w:p>
    <w:p w:rsidR="00DB3BAA" w:rsidRDefault="00DB3BAA" w:rsidP="00DB3BAA">
      <w:pPr>
        <w:pStyle w:val="CdcTesto"/>
      </w:pPr>
      <w:r>
        <w:t>La spesa per il personale è stata rappresentata a rendiconto secondo la disaggregazione per missioni e programmi prescritta dall’art. 14 comma 3 del D.Lgs. 118/2011 (v. allegato 19.8).</w:t>
      </w:r>
    </w:p>
    <w:p w:rsidR="00DB3BAA" w:rsidRDefault="00DB3BAA" w:rsidP="00DB3BAA">
      <w:pPr>
        <w:pStyle w:val="CdcTesto"/>
      </w:pPr>
      <w:r>
        <w:t>La Regione dichiara</w:t>
      </w:r>
      <w:r>
        <w:rPr>
          <w:rStyle w:val="Rimandonotaapidipagina"/>
        </w:rPr>
        <w:footnoteReference w:id="26"/>
      </w:r>
      <w:r>
        <w:t xml:space="preserve"> di aver rispettato i limiti di spesa per il personale di cui all’art. 1 commi 557 e 557 quater legge n. 296/2006, provvedendo a ridurla con riferimento al valore medio della spesa sostenuta nel triennio precedente di riferimento. </w:t>
      </w:r>
    </w:p>
    <w:p w:rsidR="00DB3BAA" w:rsidRDefault="00DB3BAA" w:rsidP="00DB3BAA">
      <w:pPr>
        <w:pStyle w:val="CdcTesto"/>
      </w:pPr>
      <w:r>
        <w:t>Dichiara, inoltre, di aver ricompreso tra le componenti di spesa quelle relative al personale iscritto nella c.d. “</w:t>
      </w:r>
      <w:r w:rsidRPr="00161247">
        <w:rPr>
          <w:b/>
        </w:rPr>
        <w:t>lista speciale ad esaurimento ex L.R. 42/1989</w:t>
      </w:r>
      <w:r>
        <w:t>”, secondo le indicazioni formulate dalla Corte dei conti in sede di parifica del rendiconto 2015.</w:t>
      </w:r>
    </w:p>
    <w:p w:rsidR="00DB3BAA" w:rsidRDefault="00DB3BAA" w:rsidP="00DB3BAA">
      <w:pPr>
        <w:pStyle w:val="CdcTesto"/>
      </w:pPr>
      <w:r w:rsidRPr="00587DC8">
        <w:rPr>
          <w:b/>
        </w:rPr>
        <w:t>La spesa complessiva indistinta</w:t>
      </w:r>
      <w:r>
        <w:rPr>
          <w:b/>
        </w:rPr>
        <w:t xml:space="preserve"> per il 2016</w:t>
      </w:r>
      <w:r>
        <w:t xml:space="preserve">, al netto dell’IRAP, per lavoro flessibile ammonta a titolo di impegni a </w:t>
      </w:r>
      <w:r>
        <w:rPr>
          <w:b/>
        </w:rPr>
        <w:t xml:space="preserve">€ </w:t>
      </w:r>
      <w:r w:rsidRPr="00470A45">
        <w:rPr>
          <w:b/>
        </w:rPr>
        <w:t>4.614.690,49</w:t>
      </w:r>
      <w:r w:rsidRPr="00A06261">
        <w:rPr>
          <w:b/>
        </w:rPr>
        <w:t xml:space="preserve">, di cui pagati € 4.217.403,29 </w:t>
      </w:r>
      <w:r w:rsidRPr="00470A45">
        <w:rPr>
          <w:b/>
        </w:rPr>
        <w:t>per n. 176 incarichi</w:t>
      </w:r>
      <w:r>
        <w:t>, mentre (ai fini dell’osservanza del limite fissato dall’art. 9, comma 28 del D.L. 78/2010) l’importo totale della spesa impegnata per lavoro flessibile nel 2009 (ovvero la spesa media del triennio 2007-2009) viene indicato dalla Regione in € 4.748.887,14. Il limite di spesa pari a 2.374.443,57 euro risulta conseguentemente superato.</w:t>
      </w:r>
    </w:p>
    <w:p w:rsidR="00DB3BAA" w:rsidRPr="005A13A3" w:rsidRDefault="00DB3BAA" w:rsidP="00DB3BAA">
      <w:pPr>
        <w:pStyle w:val="CdcTesto"/>
      </w:pPr>
      <w:r w:rsidRPr="005A13A3">
        <w:t xml:space="preserve">Per quanto attiene ai limiti fissati alla spesa regionale per gli </w:t>
      </w:r>
      <w:r w:rsidRPr="00161247">
        <w:rPr>
          <w:b/>
        </w:rPr>
        <w:t>incarichi di consulenza, studio e ricerca</w:t>
      </w:r>
      <w:r w:rsidRPr="005A13A3">
        <w:t xml:space="preserve">, </w:t>
      </w:r>
      <w:r>
        <w:t>a fronte degli</w:t>
      </w:r>
      <w:r w:rsidRPr="005A13A3">
        <w:t xml:space="preserve"> impegni </w:t>
      </w:r>
      <w:r>
        <w:t xml:space="preserve">interessati </w:t>
      </w:r>
      <w:r w:rsidRPr="005A13A3">
        <w:t>(</w:t>
      </w:r>
      <w:r>
        <w:t xml:space="preserve">€ </w:t>
      </w:r>
      <w:r w:rsidRPr="005A13A3">
        <w:t xml:space="preserve">273.740,10) i prospetti evidenziano, </w:t>
      </w:r>
      <w:r>
        <w:t>distintamente</w:t>
      </w:r>
      <w:r w:rsidRPr="005A13A3">
        <w:t xml:space="preserve">, </w:t>
      </w:r>
      <w:r w:rsidRPr="005A13A3">
        <w:lastRenderedPageBreak/>
        <w:t>il rispetto del limite del 20% della spesa sostenuta nel 2009</w:t>
      </w:r>
      <w:r w:rsidRPr="005A13A3">
        <w:rPr>
          <w:rStyle w:val="Rimandonotaapidipagina"/>
        </w:rPr>
        <w:footnoteReference w:id="27"/>
      </w:r>
      <w:r w:rsidRPr="005A13A3">
        <w:t xml:space="preserve"> (uguale a </w:t>
      </w:r>
      <w:r>
        <w:t xml:space="preserve">€ </w:t>
      </w:r>
      <w:r w:rsidRPr="005A13A3">
        <w:t>435.972,39) e il rispetto del limite dell’1,4% della spesa per il personale dell’anno 2012</w:t>
      </w:r>
      <w:r w:rsidRPr="005A13A3">
        <w:rPr>
          <w:rStyle w:val="Rimandonotaapidipagina"/>
        </w:rPr>
        <w:footnoteReference w:id="28"/>
      </w:r>
      <w:r w:rsidRPr="005A13A3">
        <w:rPr>
          <w:vertAlign w:val="superscript"/>
        </w:rPr>
        <w:t xml:space="preserve"> </w:t>
      </w:r>
      <w:r w:rsidRPr="005A13A3">
        <w:t xml:space="preserve">(che era pari a </w:t>
      </w:r>
      <w:r>
        <w:t xml:space="preserve">€ </w:t>
      </w:r>
      <w:r w:rsidRPr="005A13A3">
        <w:t>3.247.314,66).</w:t>
      </w:r>
    </w:p>
    <w:p w:rsidR="00DB3BAA" w:rsidRDefault="00DB3BAA" w:rsidP="00DB3BAA">
      <w:pPr>
        <w:pStyle w:val="CdcTesto"/>
        <w:spacing w:after="360"/>
      </w:pPr>
      <w:r>
        <w:t>L</w:t>
      </w:r>
      <w:r w:rsidR="005E221B">
        <w:t>a spesa per il personale-esperto</w:t>
      </w:r>
      <w:r>
        <w:t xml:space="preserve"> del </w:t>
      </w:r>
      <w:r w:rsidRPr="005A13A3">
        <w:rPr>
          <w:b/>
        </w:rPr>
        <w:t>Centro Regionale di programmazione (CRP)</w:t>
      </w:r>
      <w:r w:rsidRPr="005A13A3">
        <w:t>,</w:t>
      </w:r>
      <w:r>
        <w:t xml:space="preserve"> assunto con contratti di diritto privato, </w:t>
      </w:r>
      <w:r w:rsidRPr="00EF1956">
        <w:rPr>
          <w:i/>
        </w:rPr>
        <w:t>non grava sul bilancio regionale, bensì sui fondi della contabilità speciale relativa al Piano di Rinascita</w:t>
      </w:r>
      <w:r>
        <w:t xml:space="preserve"> (Legge 11 giugno 1962 n. 588 e legge 24 giugno 1974 n. 268). </w:t>
      </w:r>
      <w:r w:rsidR="00EF1956">
        <w:t xml:space="preserve">Sul punto, però, si vedano le notizie in ultimo comunicate relative alla rendicontazione a valere sul Piano (v. paragrafo 11.2). </w:t>
      </w:r>
      <w:r>
        <w:t xml:space="preserve">Il costo ammonta per </w:t>
      </w:r>
      <w:r w:rsidRPr="005A13A3">
        <w:rPr>
          <w:b/>
        </w:rPr>
        <w:t>n. 19 unità lavorative a € 3.109.106,72</w:t>
      </w:r>
      <w:r>
        <w:t>: trattasi di un costo unitario più elevato di quello necessario per il personale dirigente del ruolo regionale</w:t>
      </w:r>
      <w:r>
        <w:rPr>
          <w:rStyle w:val="Rimandonotaapidipagina"/>
        </w:rPr>
        <w:footnoteReference w:id="29"/>
      </w:r>
      <w:r>
        <w:t xml:space="preserve"> (circa 164 mila euro contro 142 mila euro di costo medio per i dirigenti del ruolo regionale).</w:t>
      </w:r>
    </w:p>
    <w:p w:rsidR="00DB3BAA" w:rsidRDefault="00DB3BAA" w:rsidP="007D10C5">
      <w:pPr>
        <w:pStyle w:val="CdcTesto"/>
        <w:numPr>
          <w:ilvl w:val="0"/>
          <w:numId w:val="27"/>
        </w:numPr>
        <w:tabs>
          <w:tab w:val="left" w:pos="426"/>
        </w:tabs>
      </w:pPr>
      <w:r w:rsidRPr="00067233">
        <w:rPr>
          <w:b/>
          <w:sz w:val="28"/>
          <w:szCs w:val="28"/>
        </w:rPr>
        <w:t>L’avanzamento della programmazione finanziata con fondi comunitari</w:t>
      </w:r>
      <w:r>
        <w:rPr>
          <w:b/>
        </w:rPr>
        <w:t xml:space="preserve">. </w:t>
      </w:r>
      <w:r>
        <w:t>Nella legge di stabilità per il 2016 (art. 2 L.R. 5/2016) la Regione introduce la costituzione</w:t>
      </w:r>
      <w:r>
        <w:rPr>
          <w:rStyle w:val="Rimandonotaapidipagina"/>
        </w:rPr>
        <w:footnoteReference w:id="30"/>
      </w:r>
      <w:r>
        <w:t xml:space="preserve"> di un “</w:t>
      </w:r>
      <w:r w:rsidRPr="00554210">
        <w:rPr>
          <w:b/>
        </w:rPr>
        <w:t>Organismo strumentale per gli interventi europei nella Regione</w:t>
      </w:r>
      <w:r>
        <w:t>”, disponendo che nell’attività detto Organismo si avvarrà di beni e personale della Regione e successivamente la abroga (</w:t>
      </w:r>
      <w:r w:rsidR="0047082C">
        <w:rPr>
          <w:b/>
        </w:rPr>
        <w:t>L.R. 2 </w:t>
      </w:r>
      <w:r w:rsidRPr="002F3A4E">
        <w:rPr>
          <w:b/>
        </w:rPr>
        <w:t>dicembre 2016</w:t>
      </w:r>
      <w:r>
        <w:rPr>
          <w:b/>
        </w:rPr>
        <w:t xml:space="preserve"> n. 32 art. 1 comma 3)</w:t>
      </w:r>
      <w:r w:rsidRPr="002F3A4E">
        <w:rPr>
          <w:b/>
        </w:rPr>
        <w:t>.</w:t>
      </w:r>
    </w:p>
    <w:p w:rsidR="00DB3BAA" w:rsidRPr="00581817" w:rsidRDefault="00DB3BAA" w:rsidP="00DB3BAA">
      <w:pPr>
        <w:pStyle w:val="CdcTesto"/>
        <w:rPr>
          <w:i/>
        </w:rPr>
      </w:pPr>
      <w:r>
        <w:t>Con successiva deliberazione</w:t>
      </w:r>
      <w:r>
        <w:rPr>
          <w:rStyle w:val="Rimandonotaapidipagina"/>
        </w:rPr>
        <w:footnoteReference w:id="31"/>
      </w:r>
      <w:r>
        <w:t xml:space="preserve"> la Giunta regionale ha </w:t>
      </w:r>
      <w:r w:rsidRPr="0080404B">
        <w:t>espresso dubbi sulla</w:t>
      </w:r>
      <w:r>
        <w:t xml:space="preserve"> opportunità di tale istituzione dichiarando di voler evitare costi aggiuntivi di organizzazione/mantenimento. </w:t>
      </w:r>
    </w:p>
    <w:p w:rsidR="00DB3BAA" w:rsidRPr="00201A5E" w:rsidRDefault="00DB3BAA" w:rsidP="00DB3BAA">
      <w:pPr>
        <w:pStyle w:val="CdcTesto"/>
      </w:pPr>
      <w:r>
        <w:t>Allo stato, pertanto, sopravvivono integralmente le difficoltà di ricostruire all’interno delle scritture di bilancio l’andamento dei flussi di risorse in questione, sia in fase programmatoria, sia, soprattutto, in fase consuntiva. Gli effetti vantaggiosi, ripetutamente evocati dall’Amministrazione regionale, che conseguirebbero alla “unitarietà e concentrazione” delle risorse per il raggiungimento degli obiettivi di bilancio, non possono trovare agevole verifica</w:t>
      </w:r>
      <w:r w:rsidR="00D42F1C">
        <w:t>.</w:t>
      </w:r>
      <w:r>
        <w:t xml:space="preserve"> </w:t>
      </w:r>
      <w:r w:rsidR="00D42F1C">
        <w:t xml:space="preserve">L’odierno </w:t>
      </w:r>
      <w:r>
        <w:t xml:space="preserve">quadro di notizie </w:t>
      </w:r>
      <w:r w:rsidR="00D42F1C">
        <w:t xml:space="preserve">dal Rendiconto </w:t>
      </w:r>
      <w:r>
        <w:t>si presenta frammentario rispetto alle valutazioni di efficacia sostanziale che si dovrebbero desumere dall’esame analitico dei quadri complessivi di entrata e di spesa del rendiconto.</w:t>
      </w:r>
    </w:p>
    <w:p w:rsidR="00DB3BAA" w:rsidRDefault="00DB3BAA" w:rsidP="003F0FC0">
      <w:pPr>
        <w:pStyle w:val="CdcTesto"/>
      </w:pPr>
      <w:r>
        <w:lastRenderedPageBreak/>
        <w:t>In sede previsionale il quadro delle finalità strategiche per il 2016 si avvale di circa 8,395 milioni di euro di cui 1,054 milioni provenienti dalla Programmazione unitaria</w:t>
      </w:r>
      <w:r>
        <w:rPr>
          <w:rStyle w:val="Rimandonotaapidipagina"/>
        </w:rPr>
        <w:footnoteReference w:id="32"/>
      </w:r>
      <w:r>
        <w:t>, che comprende il POR 2013-2017, il PO 2014-2020, i fondi PAC (piano azione e coesione), i fondi FSC (fondo di sviluppo e coesione) e si sottolinea che “…</w:t>
      </w:r>
      <w:r w:rsidRPr="009B2ECC">
        <w:t>le risorse…di varia natura si fondono sinergicamente per l’attuazione delle politiche</w:t>
      </w:r>
      <w:r>
        <w:t>”.</w:t>
      </w:r>
    </w:p>
    <w:p w:rsidR="00DB3BAA" w:rsidRDefault="00DB3BAA" w:rsidP="003F0FC0">
      <w:pPr>
        <w:pStyle w:val="CdcTesto"/>
      </w:pPr>
      <w:r>
        <w:t>E’ risultato che al 31.12.2016 sono state certificate dalla Regione all’UE spese a valere sulla programmazione 2007-2013</w:t>
      </w:r>
      <w:r w:rsidR="00D42F1C">
        <w:t>,</w:t>
      </w:r>
      <w:r>
        <w:t xml:space="preserve"> mentre nessuna spesa risulta certificata a valere sulla programmazione 2014-2020. Inoltre i rimborsi UE effettivamente riconosciuti risultano di importo inferiore rispetto alle richieste regionali di rimborso (ovvero rispetto alle spese ritenute in sede regionale certificabili e presentate come tali a rimborso).</w:t>
      </w:r>
    </w:p>
    <w:p w:rsidR="00DB3BAA" w:rsidRDefault="00DB3BAA" w:rsidP="003F0FC0">
      <w:pPr>
        <w:pStyle w:val="CdcTesto"/>
      </w:pPr>
      <w:r>
        <w:t xml:space="preserve">Anche </w:t>
      </w:r>
      <w:r w:rsidR="00D42F1C">
        <w:t xml:space="preserve">per </w:t>
      </w:r>
      <w:r>
        <w:t>gli interventi relativi alla nuova programmazione 2014-2020 nessun</w:t>
      </w:r>
      <w:r w:rsidR="00D42F1C">
        <w:t>a spesa è ancora certificabile e presentabile a rimborso</w:t>
      </w:r>
      <w:r>
        <w:t xml:space="preserve"> (vengono erogati importi a titolo provvisorio di mero anticipo).</w:t>
      </w:r>
    </w:p>
    <w:p w:rsidR="00DB3BAA" w:rsidRPr="00201A5E" w:rsidRDefault="00DB3BAA" w:rsidP="003F0FC0">
      <w:pPr>
        <w:pStyle w:val="CdcTesto"/>
      </w:pPr>
      <w:r>
        <w:t xml:space="preserve">Il quadro di risorse “aggiuntive” (tali nella logica della unitarietà delle risorse a disposizione) si completa a seguito del </w:t>
      </w:r>
      <w:r w:rsidRPr="00862879">
        <w:rPr>
          <w:b/>
        </w:rPr>
        <w:t>Patto per lo sviluppo della Regione Sardegna</w:t>
      </w:r>
      <w:r>
        <w:t>, sottoscritto a Sassari il 29 luglio 2016 dallo Stato e dalla Regione, con cui viene programmata la quota regionale del FSC 2014-2020 a favore della Sardegna pari a 1,509 miliardi di euro, di cui 267,6 milioni di euro spendibili negli anni 2016-2017, per interventi individuati nel confronto con lo Stato.</w:t>
      </w:r>
    </w:p>
    <w:p w:rsidR="00DB3BAA" w:rsidRDefault="00DB3BAA" w:rsidP="00DB3BAA">
      <w:pPr>
        <w:pStyle w:val="CdcTesto"/>
        <w:spacing w:after="360"/>
      </w:pPr>
      <w:r>
        <w:t>Il CIPE ha già assegnato al Patto per la Sardegna 1,509 miliardi d</w:t>
      </w:r>
      <w:r w:rsidR="0047082C">
        <w:t>i euro (delibera 26/2016 del 10 </w:t>
      </w:r>
      <w:r>
        <w:t>agosto 2016) e successivamente la Giunta regionale ha individuato le Linee d’Azione, le strutture competenti all’attuazione e le relative dotazioni finanziarie (D.G.R. 5/1 del 24 gennaio 2017).</w:t>
      </w:r>
    </w:p>
    <w:p w:rsidR="00DB3BAA" w:rsidRDefault="00DB3BAA" w:rsidP="007D10C5">
      <w:pPr>
        <w:pStyle w:val="CdcTesto"/>
        <w:numPr>
          <w:ilvl w:val="0"/>
          <w:numId w:val="26"/>
        </w:numPr>
        <w:tabs>
          <w:tab w:val="left" w:pos="426"/>
        </w:tabs>
        <w:rPr>
          <w:b/>
        </w:rPr>
      </w:pPr>
      <w:r w:rsidRPr="00067233">
        <w:rPr>
          <w:b/>
          <w:sz w:val="28"/>
          <w:szCs w:val="28"/>
        </w:rPr>
        <w:t>La spesa per la Sanità regionale</w:t>
      </w:r>
      <w:r>
        <w:rPr>
          <w:b/>
        </w:rPr>
        <w:t>.</w:t>
      </w:r>
    </w:p>
    <w:p w:rsidR="00DB3BAA" w:rsidRPr="004B0524" w:rsidRDefault="00DB3BAA" w:rsidP="00DB3BAA">
      <w:pPr>
        <w:pStyle w:val="CdcTesto"/>
      </w:pPr>
      <w:r w:rsidRPr="004B0524">
        <w:t xml:space="preserve">La Legge finanziaria regionale </w:t>
      </w:r>
      <w:r>
        <w:t xml:space="preserve">2015 </w:t>
      </w:r>
      <w:r w:rsidRPr="004B0524">
        <w:t xml:space="preserve">ha previsto </w:t>
      </w:r>
      <w:r>
        <w:t xml:space="preserve">(L.R. n. 5/2015 </w:t>
      </w:r>
      <w:r w:rsidRPr="004B0524">
        <w:t>art. 29</w:t>
      </w:r>
      <w:r w:rsidR="0047082C">
        <w:t>, comma 2) che a decorrere dall’</w:t>
      </w:r>
      <w:r>
        <w:t>0</w:t>
      </w:r>
      <w:r w:rsidRPr="004B0524">
        <w:t xml:space="preserve">1/01/2015, le disposizioni di cui al Titolo II del D.Lgs. n. 118/2011, si applicano </w:t>
      </w:r>
      <w:r>
        <w:t xml:space="preserve">in via esclusiva alle </w:t>
      </w:r>
      <w:r w:rsidRPr="004B0524">
        <w:t>aziende sanitarie</w:t>
      </w:r>
      <w:r>
        <w:t xml:space="preserve"> (</w:t>
      </w:r>
      <w:r w:rsidRPr="004B0524">
        <w:t>artt. 25 e 32 del D.Lgs. n. 118/2011</w:t>
      </w:r>
      <w:r>
        <w:t>)</w:t>
      </w:r>
      <w:r w:rsidRPr="004B0524">
        <w:t>.</w:t>
      </w:r>
      <w:r>
        <w:t xml:space="preserve"> </w:t>
      </w:r>
    </w:p>
    <w:p w:rsidR="00DB3BAA" w:rsidRDefault="004A0B01" w:rsidP="00DB3BAA">
      <w:pPr>
        <w:pStyle w:val="CdcTesto"/>
      </w:pPr>
      <w:r>
        <w:t xml:space="preserve">In </w:t>
      </w:r>
      <w:r w:rsidR="00DB3BAA">
        <w:t xml:space="preserve">relazione alle problematiche legate alla perimetrazione della spesa sanitaria, </w:t>
      </w:r>
      <w:r>
        <w:t>il Direttore Generale dei Servizi Finanziari ha riferito</w:t>
      </w:r>
      <w:r>
        <w:rPr>
          <w:rStyle w:val="Rimandonotaapidipagina"/>
        </w:rPr>
        <w:footnoteReference w:id="33"/>
      </w:r>
      <w:r>
        <w:t xml:space="preserve"> di aver</w:t>
      </w:r>
      <w:r w:rsidR="00DB3BAA">
        <w:t xml:space="preserve"> proceduto, a partire dal 2015, a una prima </w:t>
      </w:r>
      <w:r w:rsidR="00DB3BAA">
        <w:lastRenderedPageBreak/>
        <w:t>classificazione della spesa sanitaria in analogia con le indicazioni di</w:t>
      </w:r>
      <w:r>
        <w:t xml:space="preserve"> cui all’art. 20, c. </w:t>
      </w:r>
      <w:r w:rsidR="00DB3BAA">
        <w:t xml:space="preserve">1, lett. a) del D.Lgs. </w:t>
      </w:r>
      <w:r w:rsidR="0047082C">
        <w:t xml:space="preserve">n. </w:t>
      </w:r>
      <w:r w:rsidR="00DB3BAA">
        <w:t xml:space="preserve">118/2011. </w:t>
      </w:r>
    </w:p>
    <w:p w:rsidR="00DB3BAA" w:rsidRPr="001416F5" w:rsidRDefault="00DB3BAA" w:rsidP="00DB3BAA">
      <w:pPr>
        <w:pStyle w:val="CdcTesto"/>
      </w:pPr>
      <w:r>
        <w:t xml:space="preserve">Ferma restando la posizione espressa in sede politica con </w:t>
      </w:r>
      <w:r w:rsidRPr="001416F5">
        <w:t xml:space="preserve">la </w:t>
      </w:r>
      <w:r>
        <w:t>nota congiunta dei Presidenti delle Autonomie Speciali indirizzata al MEF</w:t>
      </w:r>
      <w:r>
        <w:rPr>
          <w:rStyle w:val="Rimandonotaapidipagina"/>
        </w:rPr>
        <w:footnoteReference w:id="34"/>
      </w:r>
      <w:r>
        <w:t xml:space="preserve"> </w:t>
      </w:r>
      <w:r w:rsidR="004A0B01">
        <w:t>(</w:t>
      </w:r>
      <w:r>
        <w:t>al fine di soddisfare l’esigenza manifestata di una migliore rappresentazione della spesa sanitaria obbligatoria (LEA) e non obbligatoria, e della sua copertura nel bilancio regionale</w:t>
      </w:r>
      <w:r w:rsidR="004A0B01">
        <w:t>)</w:t>
      </w:r>
      <w:r>
        <w:t xml:space="preserve"> a</w:t>
      </w:r>
      <w:r w:rsidRPr="001416F5">
        <w:t xml:space="preserve"> partire dal 2016</w:t>
      </w:r>
      <w:r>
        <w:t>, in vista della predisposizione della manovra 2018/2020,</w:t>
      </w:r>
      <w:r w:rsidRPr="001416F5">
        <w:t xml:space="preserve"> </w:t>
      </w:r>
      <w:r>
        <w:t>la Regione h</w:t>
      </w:r>
      <w:r w:rsidRPr="001416F5">
        <w:t xml:space="preserve">a </w:t>
      </w:r>
      <w:r>
        <w:t xml:space="preserve">riferito di aver </w:t>
      </w:r>
      <w:r w:rsidRPr="001416F5">
        <w:t xml:space="preserve">provveduto ad una accurata analisi tesa a scomporre la suddetta spesa obbligatoria in maniera più aderente all'esigenza di differenziare le risorse destinate al finanziamento del fabbisogno aggiuntivo corrente, in analogia con le voci indicate dall’articolo 20 del </w:t>
      </w:r>
      <w:r>
        <w:t>D.Lgs.</w:t>
      </w:r>
      <w:r w:rsidRPr="001416F5">
        <w:t xml:space="preserve"> </w:t>
      </w:r>
      <w:r w:rsidR="0047082C">
        <w:t xml:space="preserve">n. </w:t>
      </w:r>
      <w:r w:rsidRPr="001416F5">
        <w:t>118/2011.</w:t>
      </w:r>
    </w:p>
    <w:p w:rsidR="00DB3BAA" w:rsidRPr="001416F5" w:rsidRDefault="00DB3BAA" w:rsidP="00DB3BAA">
      <w:pPr>
        <w:spacing w:line="360" w:lineRule="auto"/>
        <w:jc w:val="both"/>
        <w:rPr>
          <w:rFonts w:ascii="Bodoni MT" w:hAnsi="Bodoni MT"/>
          <w:sz w:val="24"/>
          <w:szCs w:val="24"/>
        </w:rPr>
      </w:pPr>
      <w:r>
        <w:rPr>
          <w:rFonts w:ascii="Bodoni MT" w:hAnsi="Bodoni MT"/>
          <w:sz w:val="24"/>
          <w:szCs w:val="24"/>
        </w:rPr>
        <w:t>Dopo aver q</w:t>
      </w:r>
      <w:r w:rsidRPr="001416F5">
        <w:rPr>
          <w:rFonts w:ascii="Bodoni MT" w:hAnsi="Bodoni MT"/>
          <w:sz w:val="24"/>
          <w:szCs w:val="24"/>
        </w:rPr>
        <w:t>uantificat</w:t>
      </w:r>
      <w:r>
        <w:rPr>
          <w:rFonts w:ascii="Bodoni MT" w:hAnsi="Bodoni MT"/>
          <w:sz w:val="24"/>
          <w:szCs w:val="24"/>
        </w:rPr>
        <w:t>o</w:t>
      </w:r>
      <w:r w:rsidRPr="001416F5">
        <w:rPr>
          <w:rFonts w:ascii="Bodoni MT" w:hAnsi="Bodoni MT"/>
          <w:sz w:val="24"/>
          <w:szCs w:val="24"/>
        </w:rPr>
        <w:t xml:space="preserve"> la spesa sanitaria</w:t>
      </w:r>
      <w:r>
        <w:rPr>
          <w:rFonts w:ascii="Bodoni MT" w:hAnsi="Bodoni MT"/>
          <w:sz w:val="24"/>
          <w:szCs w:val="24"/>
        </w:rPr>
        <w:t>, a garanzia della sua copertura</w:t>
      </w:r>
      <w:r w:rsidRPr="001416F5">
        <w:rPr>
          <w:rFonts w:ascii="Bodoni MT" w:hAnsi="Bodoni MT"/>
          <w:sz w:val="24"/>
          <w:szCs w:val="24"/>
        </w:rPr>
        <w:t xml:space="preserve"> è stata pe</w:t>
      </w:r>
      <w:r>
        <w:rPr>
          <w:rFonts w:ascii="Bodoni MT" w:hAnsi="Bodoni MT"/>
          <w:sz w:val="24"/>
          <w:szCs w:val="24"/>
        </w:rPr>
        <w:t>rimetrata l’entrata</w:t>
      </w:r>
      <w:r w:rsidRPr="001416F5">
        <w:rPr>
          <w:rFonts w:ascii="Bodoni MT" w:hAnsi="Bodoni MT"/>
          <w:sz w:val="24"/>
          <w:szCs w:val="24"/>
        </w:rPr>
        <w:t xml:space="preserve"> </w:t>
      </w:r>
      <w:r>
        <w:rPr>
          <w:rFonts w:ascii="Bodoni MT" w:hAnsi="Bodoni MT"/>
          <w:sz w:val="24"/>
          <w:szCs w:val="24"/>
        </w:rPr>
        <w:t>indicando l</w:t>
      </w:r>
      <w:r w:rsidRPr="001416F5">
        <w:rPr>
          <w:rFonts w:ascii="Bodoni MT" w:hAnsi="Bodoni MT"/>
          <w:sz w:val="24"/>
          <w:szCs w:val="24"/>
        </w:rPr>
        <w:t>a tipologia e i capitoli</w:t>
      </w:r>
      <w:r>
        <w:rPr>
          <w:rFonts w:ascii="Bodoni MT" w:hAnsi="Bodoni MT"/>
          <w:sz w:val="24"/>
          <w:szCs w:val="24"/>
        </w:rPr>
        <w:t>.</w:t>
      </w:r>
    </w:p>
    <w:p w:rsidR="00DB3BAA" w:rsidRPr="007D55D7" w:rsidRDefault="00DB3BAA" w:rsidP="00DB3BAA">
      <w:pPr>
        <w:spacing w:line="360" w:lineRule="auto"/>
        <w:jc w:val="both"/>
        <w:rPr>
          <w:rFonts w:ascii="Bodoni MT" w:hAnsi="Bodoni MT"/>
          <w:b/>
          <w:sz w:val="24"/>
          <w:szCs w:val="24"/>
        </w:rPr>
      </w:pPr>
      <w:r>
        <w:rPr>
          <w:rFonts w:ascii="Bodoni MT" w:hAnsi="Bodoni MT"/>
          <w:b/>
          <w:sz w:val="24"/>
          <w:szCs w:val="24"/>
        </w:rPr>
        <w:t>L</w:t>
      </w:r>
      <w:r w:rsidRPr="007D55D7">
        <w:rPr>
          <w:rFonts w:ascii="Bodoni MT" w:hAnsi="Bodoni MT"/>
          <w:b/>
          <w:sz w:val="24"/>
          <w:szCs w:val="24"/>
        </w:rPr>
        <w:t>e entrate principalmente dedicate sono i tributi propri (I</w:t>
      </w:r>
      <w:r>
        <w:rPr>
          <w:rFonts w:ascii="Bodoni MT" w:hAnsi="Bodoni MT"/>
          <w:b/>
          <w:sz w:val="24"/>
          <w:szCs w:val="24"/>
        </w:rPr>
        <w:t>RAP e Addizionale IRPEF) e l’IVA e,</w:t>
      </w:r>
      <w:r w:rsidRPr="007D55D7">
        <w:rPr>
          <w:rFonts w:ascii="Bodoni MT" w:hAnsi="Bodoni MT"/>
          <w:b/>
          <w:sz w:val="24"/>
          <w:szCs w:val="24"/>
        </w:rPr>
        <w:t xml:space="preserve"> </w:t>
      </w:r>
      <w:r>
        <w:rPr>
          <w:rFonts w:ascii="Bodoni MT" w:hAnsi="Bodoni MT"/>
          <w:b/>
          <w:sz w:val="24"/>
          <w:szCs w:val="24"/>
        </w:rPr>
        <w:t>in via residuale,</w:t>
      </w:r>
      <w:r w:rsidRPr="007D55D7">
        <w:rPr>
          <w:rFonts w:ascii="Bodoni MT" w:hAnsi="Bodoni MT"/>
          <w:b/>
          <w:sz w:val="24"/>
          <w:szCs w:val="24"/>
        </w:rPr>
        <w:t xml:space="preserve"> fino a soddisfazione delle esigenze di coperture</w:t>
      </w:r>
      <w:r>
        <w:rPr>
          <w:rFonts w:ascii="Bodoni MT" w:hAnsi="Bodoni MT"/>
          <w:b/>
          <w:sz w:val="24"/>
          <w:szCs w:val="24"/>
        </w:rPr>
        <w:t xml:space="preserve">, sono dedicati </w:t>
      </w:r>
      <w:r w:rsidRPr="007D55D7">
        <w:rPr>
          <w:rFonts w:ascii="Bodoni MT" w:hAnsi="Bodoni MT"/>
          <w:b/>
          <w:sz w:val="24"/>
          <w:szCs w:val="24"/>
        </w:rPr>
        <w:t>alla spesa sanitaria il gettito IRES e IRE.</w:t>
      </w:r>
    </w:p>
    <w:p w:rsidR="00DB3BAA" w:rsidRDefault="00DB3BAA" w:rsidP="00DB3BAA">
      <w:pPr>
        <w:pStyle w:val="CdcTesto"/>
      </w:pPr>
      <w:r w:rsidRPr="00FB5B4B">
        <w:t xml:space="preserve">Con specifico riguardo all’esercizio 2016, </w:t>
      </w:r>
      <w:r>
        <w:t xml:space="preserve">la spesa sanitaria è finanziata dagli stanziamenti, pari a € 3.601.051.175,83, sui capitoli della </w:t>
      </w:r>
      <w:r w:rsidRPr="001E653B">
        <w:rPr>
          <w:b/>
        </w:rPr>
        <w:t xml:space="preserve">Missione 13 - </w:t>
      </w:r>
      <w:r w:rsidRPr="001E653B">
        <w:rPr>
          <w:b/>
          <w:i/>
        </w:rPr>
        <w:t>“Tutela della salute”</w:t>
      </w:r>
      <w:r w:rsidRPr="001E653B">
        <w:rPr>
          <w:b/>
        </w:rPr>
        <w:t xml:space="preserve"> che assorbe il 35,47% delle risorse del Bilancio</w:t>
      </w:r>
      <w:r>
        <w:t xml:space="preserve"> regionale, </w:t>
      </w:r>
      <w:r w:rsidRPr="001E653B">
        <w:rPr>
          <w:b/>
        </w:rPr>
        <w:t>in aumento rispetto al 2015</w:t>
      </w:r>
      <w:r>
        <w:t xml:space="preserve"> quando la medesima spesa si attestava su</w:t>
      </w:r>
      <w:r w:rsidR="00EF1956">
        <w:t>l</w:t>
      </w:r>
      <w:r>
        <w:t xml:space="preserve"> 34,17% degli stanziamenti complessivi</w:t>
      </w:r>
      <w:r w:rsidR="005E221B">
        <w:t xml:space="preserve"> (v. tabella 75)</w:t>
      </w:r>
      <w:r>
        <w:t>. La stessa spesa è da intendersi interamente finanziata dalle entrate tributarie proprie, compartecipate e devolute di spettanza statutaria</w:t>
      </w:r>
      <w:r>
        <w:rPr>
          <w:rStyle w:val="Rimandonotaapidipagina"/>
        </w:rPr>
        <w:footnoteReference w:id="35"/>
      </w:r>
      <w:r>
        <w:t xml:space="preserve">. </w:t>
      </w:r>
    </w:p>
    <w:p w:rsidR="00DB3BAA" w:rsidRDefault="00DB3BAA" w:rsidP="00DB3BAA">
      <w:pPr>
        <w:pStyle w:val="CdcTesto"/>
      </w:pPr>
      <w:r>
        <w:t xml:space="preserve">Gli </w:t>
      </w:r>
      <w:r w:rsidRPr="001E653B">
        <w:rPr>
          <w:b/>
        </w:rPr>
        <w:t xml:space="preserve">impegni </w:t>
      </w:r>
      <w:r>
        <w:rPr>
          <w:b/>
        </w:rPr>
        <w:t xml:space="preserve">di competenza </w:t>
      </w:r>
      <w:r w:rsidRPr="001E653B">
        <w:rPr>
          <w:b/>
        </w:rPr>
        <w:t>sono stati pari al 97,84% degli stanziamenti complessivi</w:t>
      </w:r>
      <w:r>
        <w:t xml:space="preserve">, mentre i </w:t>
      </w:r>
      <w:r w:rsidRPr="001E653B">
        <w:rPr>
          <w:b/>
        </w:rPr>
        <w:t xml:space="preserve">pagamenti </w:t>
      </w:r>
      <w:r>
        <w:rPr>
          <w:b/>
        </w:rPr>
        <w:t xml:space="preserve">di competenza </w:t>
      </w:r>
      <w:r w:rsidRPr="001E653B">
        <w:rPr>
          <w:b/>
        </w:rPr>
        <w:t>risultano pari al 96,59% degli impegni</w:t>
      </w:r>
      <w:r>
        <w:t>. L’analisi dei programmi di spesa mostra che l’84,15% degli stanziamenti riguarda il finanziamento ordinario dei LEA e il 9,9% afferisce al programma 04 “ripiano disavanzi esercizi pregressi”.</w:t>
      </w:r>
    </w:p>
    <w:p w:rsidR="00DB3BAA" w:rsidRDefault="00DB3BAA" w:rsidP="00DB3BAA">
      <w:pPr>
        <w:pStyle w:val="CdcTesto"/>
      </w:pPr>
      <w:r>
        <w:t xml:space="preserve">Anche la gestione dei residui presenta una elevata capacità di pagamento, infatti, a fronte di </w:t>
      </w:r>
      <w:r w:rsidRPr="001E653B">
        <w:rPr>
          <w:b/>
        </w:rPr>
        <w:t xml:space="preserve">residui iniziali pari a </w:t>
      </w:r>
      <w:r>
        <w:rPr>
          <w:b/>
        </w:rPr>
        <w:t xml:space="preserve">€ </w:t>
      </w:r>
      <w:r w:rsidRPr="001E653B">
        <w:rPr>
          <w:b/>
        </w:rPr>
        <w:t xml:space="preserve">300.880.496,73, sono stati pagati </w:t>
      </w:r>
      <w:r>
        <w:rPr>
          <w:b/>
        </w:rPr>
        <w:t xml:space="preserve">€ </w:t>
      </w:r>
      <w:r w:rsidRPr="001E653B">
        <w:rPr>
          <w:b/>
        </w:rPr>
        <w:t>258.299.136,35 (pari all’85,8%)</w:t>
      </w:r>
      <w:r w:rsidR="005E221B">
        <w:rPr>
          <w:b/>
        </w:rPr>
        <w:t xml:space="preserve"> </w:t>
      </w:r>
      <w:r w:rsidR="005E221B">
        <w:t>(v. tabella 76)</w:t>
      </w:r>
      <w:r>
        <w:t>.</w:t>
      </w:r>
    </w:p>
    <w:p w:rsidR="00DB3BAA" w:rsidRDefault="00DB3BAA" w:rsidP="00DB3BAA">
      <w:pPr>
        <w:pStyle w:val="CdcTesto"/>
        <w:rPr>
          <w:rFonts w:eastAsia="Times New Roman"/>
          <w:lang w:eastAsia="it-IT"/>
        </w:rPr>
      </w:pPr>
      <w:r>
        <w:rPr>
          <w:rFonts w:eastAsia="Times New Roman"/>
          <w:lang w:eastAsia="it-IT"/>
        </w:rPr>
        <w:lastRenderedPageBreak/>
        <w:t xml:space="preserve">Pertanto, a fronte di </w:t>
      </w:r>
      <w:r w:rsidRPr="001E653B">
        <w:rPr>
          <w:rFonts w:eastAsia="Times New Roman"/>
          <w:b/>
          <w:lang w:eastAsia="it-IT"/>
        </w:rPr>
        <w:t>previsioni definitive di cassa della Missione 13 pari a € 3.763.832.451,17</w:t>
      </w:r>
      <w:r>
        <w:rPr>
          <w:rFonts w:eastAsia="Times New Roman"/>
          <w:lang w:eastAsia="it-IT"/>
        </w:rPr>
        <w:t xml:space="preserve">, sono stati effettuati </w:t>
      </w:r>
      <w:r w:rsidRPr="001E653B">
        <w:rPr>
          <w:rFonts w:eastAsia="Times New Roman"/>
          <w:b/>
          <w:lang w:eastAsia="it-IT"/>
        </w:rPr>
        <w:t>pagamenti complessivi per € 3.661.260.163,70</w:t>
      </w:r>
      <w:r>
        <w:rPr>
          <w:rFonts w:eastAsia="Times New Roman"/>
          <w:lang w:eastAsia="it-IT"/>
        </w:rPr>
        <w:t>.</w:t>
      </w:r>
    </w:p>
    <w:p w:rsidR="00DB3BAA" w:rsidRDefault="00DB3BAA" w:rsidP="00DB3BAA">
      <w:pPr>
        <w:pStyle w:val="CdcTesto"/>
        <w:rPr>
          <w:rFonts w:eastAsia="Times New Roman"/>
          <w:lang w:eastAsia="it-IT"/>
        </w:rPr>
      </w:pPr>
      <w:r>
        <w:t xml:space="preserve">I residui complessivi della gestione 2016 (competenza più residui) sono </w:t>
      </w:r>
      <w:r w:rsidRPr="009B670C">
        <w:t xml:space="preserve">pari a </w:t>
      </w:r>
      <w:r>
        <w:t xml:space="preserve">€ </w:t>
      </w:r>
      <w:r w:rsidRPr="009B670C">
        <w:rPr>
          <w:rFonts w:eastAsia="Times New Roman"/>
          <w:lang w:eastAsia="it-IT"/>
        </w:rPr>
        <w:t>162</w:t>
      </w:r>
      <w:r>
        <w:rPr>
          <w:rFonts w:eastAsia="Times New Roman"/>
          <w:lang w:eastAsia="it-IT"/>
        </w:rPr>
        <w:t>.</w:t>
      </w:r>
      <w:r w:rsidRPr="009B670C">
        <w:rPr>
          <w:rFonts w:eastAsia="Times New Roman"/>
          <w:lang w:eastAsia="it-IT"/>
        </w:rPr>
        <w:t>135</w:t>
      </w:r>
      <w:r>
        <w:rPr>
          <w:rFonts w:eastAsia="Times New Roman"/>
          <w:lang w:eastAsia="it-IT"/>
        </w:rPr>
        <w:t>.</w:t>
      </w:r>
      <w:r w:rsidRPr="009B670C">
        <w:rPr>
          <w:rFonts w:eastAsia="Times New Roman"/>
          <w:lang w:eastAsia="it-IT"/>
        </w:rPr>
        <w:t>359,24</w:t>
      </w:r>
      <w:r>
        <w:rPr>
          <w:rFonts w:eastAsia="Times New Roman"/>
          <w:lang w:eastAsia="it-IT"/>
        </w:rPr>
        <w:t>, sensibilmente ridotti rispetto a quelli registrati al 31/12/2015 (€ 300.880.496,73).</w:t>
      </w:r>
    </w:p>
    <w:p w:rsidR="00DB3BAA" w:rsidRDefault="00DB3BAA" w:rsidP="00DB3BAA">
      <w:pPr>
        <w:pStyle w:val="CdcTesto"/>
        <w:rPr>
          <w:rFonts w:eastAsia="Times New Roman"/>
          <w:lang w:eastAsia="it-IT"/>
        </w:rPr>
      </w:pPr>
      <w:r w:rsidRPr="001E653B">
        <w:rPr>
          <w:b/>
          <w:color w:val="auto"/>
          <w:szCs w:val="21"/>
        </w:rPr>
        <w:t>Le risorse destinate al finanziamento indistinto della spesa sanitaria di parte corrente per l’esercizio 2016</w:t>
      </w:r>
      <w:r w:rsidRPr="003032B0">
        <w:rPr>
          <w:color w:val="auto"/>
          <w:szCs w:val="21"/>
        </w:rPr>
        <w:t xml:space="preserve">, ammontano complessivamente a </w:t>
      </w:r>
      <w:r w:rsidRPr="003032B0">
        <w:rPr>
          <w:b/>
          <w:color w:val="auto"/>
          <w:szCs w:val="21"/>
        </w:rPr>
        <w:t>€ 2.946.644.140</w:t>
      </w:r>
      <w:r w:rsidRPr="003032B0">
        <w:rPr>
          <w:color w:val="auto"/>
          <w:szCs w:val="21"/>
        </w:rPr>
        <w:t xml:space="preserve"> (al </w:t>
      </w:r>
      <w:r w:rsidR="008B5981">
        <w:rPr>
          <w:color w:val="auto"/>
          <w:szCs w:val="21"/>
        </w:rPr>
        <w:t>lordo</w:t>
      </w:r>
      <w:r w:rsidRPr="003032B0">
        <w:rPr>
          <w:color w:val="auto"/>
          <w:szCs w:val="21"/>
        </w:rPr>
        <w:t xml:space="preserve"> della mobilità </w:t>
      </w:r>
      <w:r w:rsidR="008B5981">
        <w:rPr>
          <w:color w:val="auto"/>
          <w:szCs w:val="21"/>
        </w:rPr>
        <w:t>sia intra che extra region</w:t>
      </w:r>
      <w:r w:rsidRPr="003032B0">
        <w:rPr>
          <w:color w:val="auto"/>
          <w:szCs w:val="21"/>
        </w:rPr>
        <w:t>e)</w:t>
      </w:r>
      <w:r w:rsidR="005E221B">
        <w:rPr>
          <w:color w:val="auto"/>
          <w:szCs w:val="21"/>
        </w:rPr>
        <w:t xml:space="preserve"> (v. tabella 76)</w:t>
      </w:r>
      <w:r>
        <w:rPr>
          <w:color w:val="auto"/>
          <w:szCs w:val="21"/>
        </w:rPr>
        <w:t>.</w:t>
      </w:r>
    </w:p>
    <w:p w:rsidR="00DB3BAA" w:rsidRDefault="00DB3BAA" w:rsidP="00DB3BAA">
      <w:pPr>
        <w:pStyle w:val="CdcTesto"/>
        <w:rPr>
          <w:color w:val="auto"/>
          <w:szCs w:val="21"/>
        </w:rPr>
      </w:pPr>
      <w:r>
        <w:rPr>
          <w:color w:val="auto"/>
          <w:szCs w:val="21"/>
        </w:rPr>
        <w:t>Nella Relazione sulla gestione viene riferito</w:t>
      </w:r>
      <w:r>
        <w:rPr>
          <w:rStyle w:val="Rimandonotaapidipagina"/>
          <w:color w:val="auto"/>
          <w:szCs w:val="21"/>
        </w:rPr>
        <w:footnoteReference w:id="36"/>
      </w:r>
      <w:r>
        <w:rPr>
          <w:color w:val="auto"/>
          <w:szCs w:val="21"/>
        </w:rPr>
        <w:t xml:space="preserve"> che </w:t>
      </w:r>
      <w:r w:rsidRPr="001E653B">
        <w:rPr>
          <w:b/>
          <w:color w:val="auto"/>
          <w:szCs w:val="21"/>
        </w:rPr>
        <w:t>a partire dal 2015 la Regione Sardegna ha fatto fronte ad una spesa per farmaci innovativi per la cura dell’epatite C che ha comportato, per gli anni 2015 e 2016, una spesa di poco più di 120 milioni di euro</w:t>
      </w:r>
      <w:r>
        <w:rPr>
          <w:color w:val="auto"/>
          <w:szCs w:val="21"/>
        </w:rPr>
        <w:t xml:space="preserve">, al lordo degli sconti previsti dagli accordi sottoscritti tra AIFA e Aziende farmaceutiche. Tale impegno economico finanziario è stato </w:t>
      </w:r>
      <w:r w:rsidRPr="001E653B">
        <w:rPr>
          <w:b/>
          <w:color w:val="auto"/>
          <w:szCs w:val="21"/>
        </w:rPr>
        <w:t>sostenuto con risorse quasi esclusivamente proprie</w:t>
      </w:r>
      <w:r>
        <w:rPr>
          <w:b/>
          <w:color w:val="auto"/>
          <w:szCs w:val="21"/>
        </w:rPr>
        <w:t xml:space="preserve">. </w:t>
      </w:r>
    </w:p>
    <w:p w:rsidR="00DB3BAA" w:rsidRDefault="00DB3BAA" w:rsidP="00DB3BAA">
      <w:pPr>
        <w:pStyle w:val="CdcTesto"/>
        <w:rPr>
          <w:color w:val="auto"/>
          <w:szCs w:val="21"/>
        </w:rPr>
      </w:pPr>
      <w:r>
        <w:rPr>
          <w:color w:val="auto"/>
          <w:szCs w:val="21"/>
        </w:rPr>
        <w:t xml:space="preserve">I risultati della gestione delle Aziende sanitarie evidenziano che il disavanzo complessivo per l’esercizio 2016 ammonta a € 299.665.000,00 in diminuzione rispetto all’esercizio precedente: il miglioramento è </w:t>
      </w:r>
      <w:r w:rsidR="00A00467">
        <w:rPr>
          <w:color w:val="auto"/>
          <w:szCs w:val="21"/>
        </w:rPr>
        <w:t>in parte</w:t>
      </w:r>
      <w:r>
        <w:rPr>
          <w:color w:val="auto"/>
          <w:szCs w:val="21"/>
        </w:rPr>
        <w:t xml:space="preserve"> ascrivibile ai maggiori finanziamenti erogati dalla Regione, destinati a parziale copertura delle perdite pregresse</w:t>
      </w:r>
      <w:r w:rsidR="005E221B">
        <w:rPr>
          <w:color w:val="auto"/>
          <w:szCs w:val="21"/>
        </w:rPr>
        <w:t xml:space="preserve"> (v. tabella</w:t>
      </w:r>
      <w:r w:rsidR="00C22E8C">
        <w:rPr>
          <w:color w:val="auto"/>
          <w:szCs w:val="21"/>
        </w:rPr>
        <w:t xml:space="preserve"> </w:t>
      </w:r>
      <w:r w:rsidR="005E221B">
        <w:rPr>
          <w:color w:val="auto"/>
          <w:szCs w:val="21"/>
        </w:rPr>
        <w:t>83)</w:t>
      </w:r>
      <w:r>
        <w:rPr>
          <w:color w:val="auto"/>
          <w:szCs w:val="21"/>
        </w:rPr>
        <w:t>.</w:t>
      </w:r>
    </w:p>
    <w:p w:rsidR="00DB3BAA" w:rsidRDefault="00DB3BAA" w:rsidP="00DB3BAA">
      <w:pPr>
        <w:pStyle w:val="CdcTesto"/>
        <w:rPr>
          <w:color w:val="auto"/>
          <w:szCs w:val="21"/>
        </w:rPr>
      </w:pPr>
      <w:r w:rsidRPr="00A20EAB">
        <w:rPr>
          <w:szCs w:val="21"/>
        </w:rPr>
        <w:t xml:space="preserve">In presenza di costi </w:t>
      </w:r>
      <w:r>
        <w:rPr>
          <w:szCs w:val="21"/>
        </w:rPr>
        <w:t xml:space="preserve">della produzione delle Aziende </w:t>
      </w:r>
      <w:r w:rsidRPr="00A20EAB">
        <w:rPr>
          <w:szCs w:val="21"/>
        </w:rPr>
        <w:t>sensibilmente superiori</w:t>
      </w:r>
      <w:r>
        <w:rPr>
          <w:szCs w:val="21"/>
        </w:rPr>
        <w:t xml:space="preserve"> </w:t>
      </w:r>
      <w:r w:rsidRPr="00A20EAB">
        <w:rPr>
          <w:szCs w:val="21"/>
        </w:rPr>
        <w:t>rispetto al tasso di crescita del fabbisogno standard quantificato dal CIPE</w:t>
      </w:r>
      <w:r>
        <w:rPr>
          <w:szCs w:val="21"/>
        </w:rPr>
        <w:t xml:space="preserve">, </w:t>
      </w:r>
      <w:r w:rsidRPr="00A20EAB">
        <w:rPr>
          <w:szCs w:val="21"/>
        </w:rPr>
        <w:t xml:space="preserve">la legge regionale di stabilità 2016 (L.R. n. 5/2016, all’art. 6 comma 5 </w:t>
      </w:r>
      <w:r w:rsidRPr="00A20EAB">
        <w:rPr>
          <w:i/>
          <w:szCs w:val="21"/>
        </w:rPr>
        <w:t>Disposizioni in materia di sanità e politiche sociali</w:t>
      </w:r>
      <w:r w:rsidRPr="00A20EAB">
        <w:rPr>
          <w:szCs w:val="21"/>
        </w:rPr>
        <w:t>), in conformità a tali disposizioni, ha rivisitato le norme che dettano le modalità di finanziamento del SSR</w:t>
      </w:r>
      <w:r w:rsidRPr="00A20EAB">
        <w:rPr>
          <w:szCs w:val="21"/>
          <w:vertAlign w:val="superscript"/>
        </w:rPr>
        <w:footnoteReference w:id="37"/>
      </w:r>
      <w:r w:rsidRPr="00A20EAB">
        <w:rPr>
          <w:szCs w:val="21"/>
        </w:rPr>
        <w:t>.</w:t>
      </w:r>
    </w:p>
    <w:p w:rsidR="00DB3BAA" w:rsidRPr="00A20EAB" w:rsidRDefault="00DB3BAA" w:rsidP="00DB3BAA">
      <w:pPr>
        <w:pStyle w:val="CdcTesto"/>
        <w:rPr>
          <w:szCs w:val="21"/>
        </w:rPr>
      </w:pPr>
      <w:r>
        <w:rPr>
          <w:szCs w:val="21"/>
        </w:rPr>
        <w:t xml:space="preserve">In conseguenza la Regione ha </w:t>
      </w:r>
      <w:r w:rsidRPr="00A20EAB">
        <w:rPr>
          <w:szCs w:val="21"/>
        </w:rPr>
        <w:t>approvato “</w:t>
      </w:r>
      <w:r w:rsidRPr="004A0B01">
        <w:rPr>
          <w:b/>
          <w:i/>
          <w:szCs w:val="21"/>
        </w:rPr>
        <w:t>Il Piano di Riorganizzazione e di Riqualificazione del Servizio Sanitario Regionale – Anni 2016 – 2018</w:t>
      </w:r>
      <w:r w:rsidRPr="00A20EAB">
        <w:rPr>
          <w:i/>
          <w:szCs w:val="21"/>
        </w:rPr>
        <w:t xml:space="preserve">”, </w:t>
      </w:r>
      <w:r w:rsidRPr="00A20EAB">
        <w:rPr>
          <w:szCs w:val="21"/>
        </w:rPr>
        <w:t xml:space="preserve">affidandone la governance al </w:t>
      </w:r>
      <w:r w:rsidRPr="00A20EAB">
        <w:rPr>
          <w:i/>
          <w:szCs w:val="21"/>
        </w:rPr>
        <w:t>Comitato</w:t>
      </w:r>
      <w:r w:rsidRPr="00A20EAB">
        <w:rPr>
          <w:i/>
          <w:szCs w:val="21"/>
          <w:vertAlign w:val="superscript"/>
        </w:rPr>
        <w:footnoteReference w:id="38"/>
      </w:r>
      <w:r w:rsidRPr="00A20EAB">
        <w:rPr>
          <w:i/>
          <w:szCs w:val="21"/>
        </w:rPr>
        <w:t xml:space="preserve"> permanente di monitoraggio dell’andamento della gestione delle aziende </w:t>
      </w:r>
      <w:r w:rsidRPr="00A20EAB">
        <w:rPr>
          <w:i/>
          <w:szCs w:val="21"/>
        </w:rPr>
        <w:lastRenderedPageBreak/>
        <w:t>sanitarie e della qualità dei livelli essenziali di assistenza erogati</w:t>
      </w:r>
      <w:r w:rsidRPr="00A20EAB">
        <w:rPr>
          <w:szCs w:val="21"/>
        </w:rPr>
        <w:t xml:space="preserve"> (integrato con i responsabili dei programmi operativi), le cui attività di verifica, effettuate con cadenza almeno trimestrale, comport</w:t>
      </w:r>
      <w:r>
        <w:rPr>
          <w:szCs w:val="21"/>
        </w:rPr>
        <w:t>a</w:t>
      </w:r>
      <w:r w:rsidRPr="00A20EAB">
        <w:rPr>
          <w:szCs w:val="21"/>
        </w:rPr>
        <w:t xml:space="preserve">no l’adozione di eventuali interventi correttivi volti a riportare in equilibrio la spesa del SSR. </w:t>
      </w:r>
    </w:p>
    <w:p w:rsidR="00DB3BAA" w:rsidRDefault="00DB3BAA" w:rsidP="00B81F5B">
      <w:pPr>
        <w:pStyle w:val="CdcTesto"/>
        <w:spacing w:after="0"/>
        <w:jc w:val="center"/>
        <w:rPr>
          <w:b/>
          <w:sz w:val="22"/>
          <w:szCs w:val="22"/>
        </w:rPr>
      </w:pPr>
      <w:bookmarkStart w:id="2" w:name="_Toc505244826"/>
      <w:r w:rsidRPr="00B81F5B">
        <w:rPr>
          <w:b/>
          <w:sz w:val="22"/>
          <w:szCs w:val="22"/>
        </w:rPr>
        <w:t>Tabella 3 - Piano di rientro – Risultati monitoraggio all’11/07/2017</w:t>
      </w:r>
      <w:bookmarkEnd w:id="2"/>
    </w:p>
    <w:tbl>
      <w:tblPr>
        <w:tblW w:w="52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794"/>
        <w:gridCol w:w="1225"/>
        <w:gridCol w:w="1246"/>
        <w:gridCol w:w="1460"/>
        <w:gridCol w:w="1753"/>
        <w:gridCol w:w="8"/>
      </w:tblGrid>
      <w:tr w:rsidR="003F0FC0" w:rsidRPr="004671E6" w:rsidTr="00E12A0A">
        <w:trPr>
          <w:trHeight w:val="20"/>
          <w:jc w:val="center"/>
        </w:trPr>
        <w:tc>
          <w:tcPr>
            <w:tcW w:w="2217" w:type="pct"/>
            <w:gridSpan w:val="2"/>
            <w:vMerge w:val="restart"/>
            <w:tcBorders>
              <w:top w:val="single" w:sz="4" w:space="0" w:color="auto"/>
            </w:tcBorders>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Target 2016 </w:t>
            </w:r>
          </w:p>
        </w:tc>
        <w:tc>
          <w:tcPr>
            <w:tcW w:w="2783" w:type="pct"/>
            <w:gridSpan w:val="5"/>
            <w:tcBorders>
              <w:top w:val="single" w:sz="4" w:space="0" w:color="auto"/>
            </w:tcBorders>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Risultati 2016</w:t>
            </w:r>
          </w:p>
        </w:tc>
      </w:tr>
      <w:tr w:rsidR="003F0FC0" w:rsidRPr="004671E6" w:rsidTr="00E12A0A">
        <w:trPr>
          <w:gridAfter w:val="1"/>
          <w:wAfter w:w="5" w:type="pct"/>
          <w:trHeight w:val="369"/>
          <w:jc w:val="center"/>
        </w:trPr>
        <w:tc>
          <w:tcPr>
            <w:tcW w:w="2217" w:type="pct"/>
            <w:gridSpan w:val="2"/>
            <w:vMerge/>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p>
        </w:tc>
        <w:tc>
          <w:tcPr>
            <w:tcW w:w="599" w:type="pct"/>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Differenza</w:t>
            </w:r>
            <w:r w:rsidRPr="004671E6">
              <w:rPr>
                <w:rFonts w:ascii="Bodoni MT" w:eastAsia="Times New Roman" w:hAnsi="Bodoni MT" w:cs="Arial"/>
                <w:b/>
                <w:bCs/>
                <w:sz w:val="16"/>
                <w:szCs w:val="16"/>
                <w:lang w:eastAsia="it-IT"/>
              </w:rPr>
              <w:br/>
              <w:t>CE 2016-2015</w:t>
            </w:r>
          </w:p>
        </w:tc>
        <w:tc>
          <w:tcPr>
            <w:tcW w:w="609" w:type="pct"/>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Flussi Farmaceutica</w:t>
            </w:r>
          </w:p>
        </w:tc>
        <w:tc>
          <w:tcPr>
            <w:tcW w:w="714" w:type="pct"/>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 xml:space="preserve">Differenza </w:t>
            </w:r>
            <w:r w:rsidRPr="004671E6">
              <w:rPr>
                <w:rFonts w:ascii="Bodoni MT" w:eastAsia="Times New Roman" w:hAnsi="Bodoni MT" w:cs="Arial"/>
                <w:b/>
                <w:bCs/>
                <w:sz w:val="16"/>
                <w:szCs w:val="16"/>
                <w:lang w:eastAsia="it-IT"/>
              </w:rPr>
              <w:br/>
              <w:t>CE - Target</w:t>
            </w:r>
          </w:p>
        </w:tc>
        <w:tc>
          <w:tcPr>
            <w:tcW w:w="857" w:type="pct"/>
            <w:shd w:val="clear" w:color="000000" w:fill="1F3864"/>
            <w:vAlign w:val="center"/>
          </w:tcPr>
          <w:p w:rsidR="003F0FC0" w:rsidRPr="004671E6" w:rsidRDefault="003F0FC0" w:rsidP="00E12A0A">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Differenza Flussi - Target</w:t>
            </w:r>
          </w:p>
        </w:tc>
      </w:tr>
      <w:tr w:rsidR="003F0FC0" w:rsidRPr="004671E6" w:rsidTr="00E12A0A">
        <w:trPr>
          <w:gridAfter w:val="1"/>
          <w:wAfter w:w="5" w:type="pct"/>
          <w:trHeight w:val="20"/>
          <w:jc w:val="center"/>
        </w:trPr>
        <w:tc>
          <w:tcPr>
            <w:tcW w:w="1829" w:type="pct"/>
            <w:shd w:val="clear" w:color="auto" w:fill="95B3D7" w:themeFill="accent1" w:themeFillTint="99"/>
            <w:vAlign w:val="center"/>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p>
        </w:tc>
        <w:tc>
          <w:tcPr>
            <w:tcW w:w="387" w:type="pct"/>
            <w:shd w:val="clear" w:color="auto" w:fill="95B3D7" w:themeFill="accent1" w:themeFillTint="99"/>
            <w:noWrap/>
            <w:vAlign w:val="center"/>
          </w:tcPr>
          <w:p w:rsidR="003F0FC0" w:rsidRPr="00BA2416" w:rsidRDefault="003F0FC0" w:rsidP="00E12A0A">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A</w:t>
            </w:r>
          </w:p>
        </w:tc>
        <w:tc>
          <w:tcPr>
            <w:tcW w:w="599" w:type="pct"/>
            <w:shd w:val="clear" w:color="auto" w:fill="95B3D7" w:themeFill="accent1" w:themeFillTint="99"/>
            <w:noWrap/>
            <w:vAlign w:val="center"/>
          </w:tcPr>
          <w:p w:rsidR="003F0FC0" w:rsidRPr="00BA2416" w:rsidRDefault="003F0FC0" w:rsidP="00E12A0A">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B</w:t>
            </w:r>
          </w:p>
        </w:tc>
        <w:tc>
          <w:tcPr>
            <w:tcW w:w="609" w:type="pct"/>
            <w:shd w:val="clear" w:color="auto" w:fill="95B3D7" w:themeFill="accent1" w:themeFillTint="99"/>
            <w:noWrap/>
            <w:vAlign w:val="center"/>
          </w:tcPr>
          <w:p w:rsidR="003F0FC0" w:rsidRPr="00BA2416" w:rsidRDefault="003F0FC0" w:rsidP="00E12A0A">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C</w:t>
            </w:r>
          </w:p>
        </w:tc>
        <w:tc>
          <w:tcPr>
            <w:tcW w:w="714" w:type="pct"/>
            <w:shd w:val="clear" w:color="auto" w:fill="95B3D7" w:themeFill="accent1" w:themeFillTint="99"/>
            <w:noWrap/>
            <w:vAlign w:val="center"/>
          </w:tcPr>
          <w:p w:rsidR="003F0FC0" w:rsidRPr="00BA2416" w:rsidRDefault="003F0FC0" w:rsidP="00E12A0A">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B-A</w:t>
            </w:r>
          </w:p>
        </w:tc>
        <w:tc>
          <w:tcPr>
            <w:tcW w:w="857" w:type="pct"/>
            <w:shd w:val="clear" w:color="auto" w:fill="95B3D7" w:themeFill="accent1" w:themeFillTint="99"/>
            <w:noWrap/>
            <w:vAlign w:val="center"/>
          </w:tcPr>
          <w:p w:rsidR="003F0FC0" w:rsidRPr="00BA2416" w:rsidRDefault="003F0FC0" w:rsidP="00E12A0A">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C-A</w:t>
            </w: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su farmaci territoriali</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-24.000</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-21.997</w:t>
            </w:r>
          </w:p>
        </w:tc>
        <w:tc>
          <w:tcPr>
            <w:tcW w:w="60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-22.331</w:t>
            </w: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2.003</w:t>
            </w:r>
          </w:p>
        </w:tc>
        <w:tc>
          <w:tcPr>
            <w:tcW w:w="85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1.669</w:t>
            </w: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su farmaci ospedalieri (al netto dei farmaci HCV)</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-12.053</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-18.017</w:t>
            </w:r>
          </w:p>
        </w:tc>
        <w:tc>
          <w:tcPr>
            <w:tcW w:w="60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6.583</w:t>
            </w: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-5.964</w:t>
            </w:r>
          </w:p>
        </w:tc>
        <w:tc>
          <w:tcPr>
            <w:tcW w:w="85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18.636</w:t>
            </w: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w:t>
            </w:r>
            <w:r>
              <w:rPr>
                <w:rFonts w:ascii="Bodoni MT" w:eastAsia="Times New Roman" w:hAnsi="Bodoni MT" w:cs="Arial"/>
                <w:color w:val="FFFFFF" w:themeColor="background1"/>
                <w:sz w:val="16"/>
                <w:szCs w:val="16"/>
                <w:lang w:eastAsia="it-IT"/>
              </w:rPr>
              <w:t>riazione dei costi su ass.</w:t>
            </w:r>
            <w:r w:rsidRPr="005566B6">
              <w:rPr>
                <w:rFonts w:ascii="Bodoni MT" w:eastAsia="Times New Roman" w:hAnsi="Bodoni MT" w:cs="Arial"/>
                <w:color w:val="FFFFFF" w:themeColor="background1"/>
                <w:sz w:val="16"/>
                <w:szCs w:val="16"/>
                <w:lang w:eastAsia="it-IT"/>
              </w:rPr>
              <w:t xml:space="preserve"> integrativa e protesica</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-3.000</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-3.768</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-768</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da azioni di efficientamento ospedale e del territorio, di cui:</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-20.300</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74.266</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94.566</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Personale</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-8.227</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-8.227</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Servizi non sanitari</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14.085</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14.085</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Dispositivi medici</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12.850</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12.850</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Acquisto di altri beni e prodotti sanitari e canoni di noleggio sanitari</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-728</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-728</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Acquisti di servizi sanitari territoriali e oneri diversi di gestione</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514</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514</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Altro</w:t>
            </w:r>
          </w:p>
        </w:tc>
        <w:tc>
          <w:tcPr>
            <w:tcW w:w="38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55.772</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55.772</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4A0258">
        <w:trPr>
          <w:gridAfter w:val="1"/>
          <w:wAfter w:w="5" w:type="pct"/>
          <w:trHeight w:val="20"/>
          <w:jc w:val="center"/>
        </w:trPr>
        <w:tc>
          <w:tcPr>
            <w:tcW w:w="1829" w:type="pct"/>
            <w:shd w:val="clear" w:color="000000" w:fill="1F3864"/>
            <w:vAlign w:val="center"/>
            <w:hideMark/>
          </w:tcPr>
          <w:p w:rsidR="003F0FC0" w:rsidRPr="004671E6" w:rsidRDefault="003F0FC0" w:rsidP="004A0258">
            <w:pPr>
              <w:spacing w:after="0" w:line="240" w:lineRule="auto"/>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Totale variazioni di costi della produzione</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-59.353</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30.484</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89.837</w:t>
            </w: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Altre variazioni richieste in seguito a peggioramento consuntivo 2015</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-18.299</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 costi da incorporazioni, scorpori e nuove strutture</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2.551</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Accantonamenti dell'esercizio per rischi</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47.108</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Costi coperti da contributi vincolati</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29.447</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E12A0A">
        <w:trPr>
          <w:gridAfter w:val="1"/>
          <w:wAfter w:w="5" w:type="pct"/>
          <w:trHeight w:val="20"/>
          <w:jc w:val="center"/>
        </w:trPr>
        <w:tc>
          <w:tcPr>
            <w:tcW w:w="1829" w:type="pct"/>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Pr>
                <w:rFonts w:ascii="Bodoni MT" w:eastAsia="Times New Roman" w:hAnsi="Bodoni MT" w:cs="Arial"/>
                <w:color w:val="FFFFFF" w:themeColor="background1"/>
                <w:sz w:val="16"/>
                <w:szCs w:val="16"/>
                <w:lang w:eastAsia="it-IT"/>
              </w:rPr>
              <w:t>Magg.</w:t>
            </w:r>
            <w:r w:rsidRPr="005566B6">
              <w:rPr>
                <w:rFonts w:ascii="Bodoni MT" w:eastAsia="Times New Roman" w:hAnsi="Bodoni MT" w:cs="Arial"/>
                <w:color w:val="FFFFFF" w:themeColor="background1"/>
                <w:sz w:val="16"/>
                <w:szCs w:val="16"/>
                <w:lang w:eastAsia="it-IT"/>
              </w:rPr>
              <w:t xml:space="preserve"> costi fond</w:t>
            </w:r>
            <w:r>
              <w:rPr>
                <w:rFonts w:ascii="Bodoni MT" w:eastAsia="Times New Roman" w:hAnsi="Bodoni MT" w:cs="Arial"/>
                <w:color w:val="FFFFFF" w:themeColor="background1"/>
                <w:sz w:val="16"/>
                <w:szCs w:val="16"/>
                <w:lang w:eastAsia="it-IT"/>
              </w:rPr>
              <w:t>.</w:t>
            </w:r>
            <w:r w:rsidRPr="005566B6">
              <w:rPr>
                <w:rFonts w:ascii="Bodoni MT" w:eastAsia="Times New Roman" w:hAnsi="Bodoni MT" w:cs="Arial"/>
                <w:color w:val="FFFFFF" w:themeColor="background1"/>
                <w:sz w:val="16"/>
                <w:szCs w:val="16"/>
                <w:lang w:eastAsia="it-IT"/>
              </w:rPr>
              <w:t>ne SGB Ploaghe coperti da contributi</w:t>
            </w:r>
          </w:p>
        </w:tc>
        <w:tc>
          <w:tcPr>
            <w:tcW w:w="387"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99" w:type="pct"/>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3.470</w:t>
            </w:r>
          </w:p>
        </w:tc>
        <w:tc>
          <w:tcPr>
            <w:tcW w:w="609"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857" w:type="pct"/>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4A0258">
        <w:trPr>
          <w:gridAfter w:val="1"/>
          <w:wAfter w:w="5" w:type="pct"/>
          <w:trHeight w:val="20"/>
          <w:jc w:val="center"/>
        </w:trPr>
        <w:tc>
          <w:tcPr>
            <w:tcW w:w="1829" w:type="pct"/>
            <w:tcBorders>
              <w:bottom w:val="single" w:sz="4" w:space="0" w:color="auto"/>
            </w:tcBorders>
            <w:shd w:val="clear" w:color="auto" w:fill="95B3D7" w:themeFill="accent1" w:themeFillTint="99"/>
            <w:vAlign w:val="center"/>
            <w:hideMark/>
          </w:tcPr>
          <w:p w:rsidR="003F0FC0" w:rsidRPr="005566B6" w:rsidRDefault="003F0FC0" w:rsidP="00E12A0A">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Costi per beni fatturati alla AOU di Sassari</w:t>
            </w:r>
          </w:p>
        </w:tc>
        <w:tc>
          <w:tcPr>
            <w:tcW w:w="387"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99"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22.700</w:t>
            </w:r>
          </w:p>
        </w:tc>
        <w:tc>
          <w:tcPr>
            <w:tcW w:w="609" w:type="pct"/>
            <w:tcBorders>
              <w:bottom w:val="single" w:sz="4" w:space="0" w:color="auto"/>
            </w:tcBorders>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857" w:type="pct"/>
            <w:tcBorders>
              <w:bottom w:val="single" w:sz="4" w:space="0" w:color="auto"/>
            </w:tcBorders>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r w:rsidR="003F0FC0" w:rsidRPr="004671E6" w:rsidTr="004A0258">
        <w:trPr>
          <w:gridAfter w:val="1"/>
          <w:wAfter w:w="5" w:type="pct"/>
          <w:trHeight w:val="20"/>
          <w:jc w:val="center"/>
        </w:trPr>
        <w:tc>
          <w:tcPr>
            <w:tcW w:w="1829" w:type="pct"/>
            <w:tcBorders>
              <w:bottom w:val="single" w:sz="4" w:space="0" w:color="auto"/>
            </w:tcBorders>
            <w:shd w:val="clear" w:color="000000" w:fill="1F3864"/>
            <w:vAlign w:val="center"/>
            <w:hideMark/>
          </w:tcPr>
          <w:p w:rsidR="003F0FC0" w:rsidRPr="004671E6" w:rsidRDefault="003F0FC0" w:rsidP="004A0258">
            <w:pPr>
              <w:spacing w:after="0" w:line="240" w:lineRule="auto"/>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Totale variazioni di costi richieste</w:t>
            </w:r>
          </w:p>
        </w:tc>
        <w:tc>
          <w:tcPr>
            <w:tcW w:w="387"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-75.101</w:t>
            </w:r>
          </w:p>
        </w:tc>
        <w:tc>
          <w:tcPr>
            <w:tcW w:w="599"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-72.241</w:t>
            </w:r>
          </w:p>
        </w:tc>
        <w:tc>
          <w:tcPr>
            <w:tcW w:w="609" w:type="pct"/>
            <w:tcBorders>
              <w:bottom w:val="single" w:sz="4" w:space="0" w:color="auto"/>
            </w:tcBorders>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c>
          <w:tcPr>
            <w:tcW w:w="714" w:type="pct"/>
            <w:tcBorders>
              <w:bottom w:val="single" w:sz="4" w:space="0" w:color="auto"/>
            </w:tcBorders>
            <w:shd w:val="clear" w:color="auto" w:fill="auto"/>
            <w:noWrap/>
            <w:vAlign w:val="center"/>
            <w:hideMark/>
          </w:tcPr>
          <w:p w:rsidR="003F0FC0" w:rsidRPr="005566B6" w:rsidRDefault="003F0FC0" w:rsidP="00E12A0A">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-2.860</w:t>
            </w:r>
          </w:p>
        </w:tc>
        <w:tc>
          <w:tcPr>
            <w:tcW w:w="857" w:type="pct"/>
            <w:tcBorders>
              <w:bottom w:val="single" w:sz="4" w:space="0" w:color="auto"/>
            </w:tcBorders>
            <w:shd w:val="clear" w:color="auto" w:fill="auto"/>
            <w:noWrap/>
            <w:vAlign w:val="center"/>
          </w:tcPr>
          <w:p w:rsidR="003F0FC0" w:rsidRPr="005566B6" w:rsidRDefault="003F0FC0" w:rsidP="00E12A0A">
            <w:pPr>
              <w:spacing w:after="0" w:line="240" w:lineRule="auto"/>
              <w:jc w:val="right"/>
              <w:rPr>
                <w:rFonts w:ascii="Calibri" w:eastAsia="Times New Roman" w:hAnsi="Calibri" w:cs="Calibri"/>
                <w:sz w:val="18"/>
                <w:szCs w:val="18"/>
                <w:lang w:eastAsia="it-IT"/>
              </w:rPr>
            </w:pPr>
          </w:p>
        </w:tc>
      </w:tr>
    </w:tbl>
    <w:p w:rsidR="003F0FC0" w:rsidRPr="00165B7A" w:rsidRDefault="003F0FC0" w:rsidP="004A0258">
      <w:pPr>
        <w:spacing w:after="0" w:line="240" w:lineRule="auto"/>
        <w:ind w:hanging="142"/>
        <w:jc w:val="both"/>
        <w:rPr>
          <w:rFonts w:ascii="Bodoni MT" w:hAnsi="Bodoni MT"/>
          <w:sz w:val="16"/>
          <w:szCs w:val="16"/>
        </w:rPr>
      </w:pPr>
      <w:r w:rsidRPr="00165B7A">
        <w:rPr>
          <w:rFonts w:ascii="Bodoni MT" w:hAnsi="Bodoni MT"/>
          <w:sz w:val="16"/>
          <w:szCs w:val="16"/>
        </w:rPr>
        <w:t>Fonte: Dati forniti dalla RAS - Direzione Generale della Sanità.</w:t>
      </w:r>
      <w:r>
        <w:rPr>
          <w:rFonts w:ascii="Bodoni MT" w:hAnsi="Bodoni MT"/>
          <w:sz w:val="16"/>
          <w:szCs w:val="16"/>
        </w:rPr>
        <w:t xml:space="preserve"> Importi in migliaia di euro.</w:t>
      </w:r>
    </w:p>
    <w:p w:rsidR="003F0FC0" w:rsidRPr="00165B7A" w:rsidRDefault="003F0FC0" w:rsidP="004A0258">
      <w:pPr>
        <w:spacing w:after="0" w:line="240" w:lineRule="auto"/>
        <w:ind w:hanging="142"/>
        <w:jc w:val="both"/>
        <w:rPr>
          <w:rFonts w:ascii="Bodoni MT" w:hAnsi="Bodoni MT"/>
          <w:sz w:val="16"/>
          <w:szCs w:val="16"/>
        </w:rPr>
      </w:pPr>
      <w:r w:rsidRPr="00165B7A">
        <w:rPr>
          <w:rFonts w:ascii="Bodoni MT" w:hAnsi="Bodoni MT"/>
          <w:sz w:val="16"/>
          <w:szCs w:val="16"/>
        </w:rPr>
        <w:t>*Fonte dati farmaci territoriali: ASL, distinte contabili e riepilogative, al netto degli sconti obbligatori a carico della filiera;</w:t>
      </w:r>
    </w:p>
    <w:p w:rsidR="003F0FC0" w:rsidRPr="00B81F5B" w:rsidRDefault="003F0FC0" w:rsidP="004A0258">
      <w:pPr>
        <w:pStyle w:val="CdcTesto"/>
        <w:spacing w:after="0"/>
        <w:ind w:hanging="142"/>
        <w:jc w:val="left"/>
        <w:rPr>
          <w:b/>
          <w:sz w:val="22"/>
          <w:szCs w:val="22"/>
        </w:rPr>
      </w:pPr>
      <w:r w:rsidRPr="00165B7A">
        <w:rPr>
          <w:sz w:val="16"/>
          <w:szCs w:val="16"/>
        </w:rPr>
        <w:t>*Fonte dati farmaci ospedalieri: Consumo medicinali ospedalieri (CMO) + Distribuzione diretta – Farmaci Epatite C</w:t>
      </w:r>
    </w:p>
    <w:p w:rsidR="00DB3BAA" w:rsidRDefault="00DB3BAA" w:rsidP="00DB3BAA">
      <w:pPr>
        <w:pStyle w:val="CdcTesto"/>
        <w:spacing w:before="360"/>
      </w:pPr>
      <w:r w:rsidRPr="006E279A">
        <w:t xml:space="preserve">I dati </w:t>
      </w:r>
      <w:r w:rsidR="008B5981">
        <w:t>provvisori</w:t>
      </w:r>
      <w:r w:rsidRPr="006E279A">
        <w:t xml:space="preserve"> mostrano che la </w:t>
      </w:r>
      <w:r w:rsidRPr="004A0B01">
        <w:rPr>
          <w:b/>
        </w:rPr>
        <w:t xml:space="preserve">manovra di contenimento dei costi della produzione delle Aziende per il 2016 </w:t>
      </w:r>
      <w:r w:rsidR="008B5981">
        <w:rPr>
          <w:b/>
        </w:rPr>
        <w:t>pur non avendo</w:t>
      </w:r>
      <w:r w:rsidRPr="004A0B01">
        <w:rPr>
          <w:b/>
        </w:rPr>
        <w:t xml:space="preserve"> conseguito i risultati attesi</w:t>
      </w:r>
      <w:r w:rsidR="008B5981">
        <w:rPr>
          <w:b/>
        </w:rPr>
        <w:t>, tuttavia evidenzia un risparmio pari a 72 milioni</w:t>
      </w:r>
      <w:r w:rsidRPr="006E279A">
        <w:t xml:space="preserve">. </w:t>
      </w:r>
    </w:p>
    <w:p w:rsidR="00DB3BAA" w:rsidRDefault="00DB3BAA" w:rsidP="003F0FC0">
      <w:pPr>
        <w:pStyle w:val="CdcTesto"/>
        <w:spacing w:after="240"/>
      </w:pPr>
      <w:r>
        <w:t xml:space="preserve">Il Direttore Generale dell’Assessorato alla </w:t>
      </w:r>
      <w:r w:rsidRPr="001C32B6">
        <w:t xml:space="preserve">Sanità ha fornito </w:t>
      </w:r>
      <w:r>
        <w:t>specifiche</w:t>
      </w:r>
      <w:r w:rsidRPr="001C32B6">
        <w:t xml:space="preserve"> informazioni</w:t>
      </w:r>
      <w:r w:rsidRPr="001C32B6">
        <w:rPr>
          <w:vertAlign w:val="superscript"/>
        </w:rPr>
        <w:footnoteReference w:id="39"/>
      </w:r>
      <w:r w:rsidRPr="001C32B6">
        <w:t xml:space="preserve"> sulla </w:t>
      </w:r>
      <w:r w:rsidRPr="004A0B01">
        <w:rPr>
          <w:b/>
        </w:rPr>
        <w:t>situazione debitoria degli Enti del SSR</w:t>
      </w:r>
      <w:r w:rsidRPr="001C32B6">
        <w:t xml:space="preserve">, distinguendo i debiti certi, liquidi ed esigibili </w:t>
      </w:r>
      <w:r w:rsidRPr="001C32B6">
        <w:rPr>
          <w:i/>
        </w:rPr>
        <w:t xml:space="preserve">scaduti </w:t>
      </w:r>
      <w:r w:rsidRPr="001C32B6">
        <w:t xml:space="preserve">al 31/12/2016 da quelli </w:t>
      </w:r>
      <w:r w:rsidRPr="001C32B6">
        <w:rPr>
          <w:i/>
        </w:rPr>
        <w:t>maturati</w:t>
      </w:r>
      <w:r w:rsidRPr="001C32B6">
        <w:t xml:space="preserve"> alla stessa data.</w:t>
      </w:r>
    </w:p>
    <w:p w:rsidR="00DB3BAA" w:rsidRPr="0000199F" w:rsidRDefault="00DB3BAA" w:rsidP="007D10C5">
      <w:pPr>
        <w:pStyle w:val="CdcTesto"/>
        <w:numPr>
          <w:ilvl w:val="0"/>
          <w:numId w:val="26"/>
        </w:numPr>
        <w:tabs>
          <w:tab w:val="left" w:pos="426"/>
        </w:tabs>
        <w:rPr>
          <w:rFonts w:eastAsia="Times New Roman"/>
        </w:rPr>
      </w:pPr>
      <w:r w:rsidRPr="0000199F">
        <w:rPr>
          <w:b/>
          <w:sz w:val="28"/>
          <w:szCs w:val="28"/>
        </w:rPr>
        <w:t>Il conto economico e lo Stato patrimoniale</w:t>
      </w:r>
      <w:r w:rsidRPr="0000199F">
        <w:rPr>
          <w:b/>
        </w:rPr>
        <w:t xml:space="preserve">. </w:t>
      </w:r>
      <w:r w:rsidRPr="0000199F">
        <w:rPr>
          <w:rFonts w:eastAsia="Times New Roman"/>
        </w:rPr>
        <w:t xml:space="preserve">Il conto economico evidenzia un </w:t>
      </w:r>
      <w:r w:rsidRPr="0000199F">
        <w:rPr>
          <w:rFonts w:eastAsia="Times New Roman"/>
          <w:b/>
        </w:rPr>
        <w:t>risultato positivo di € 901.719.362</w:t>
      </w:r>
      <w:r w:rsidRPr="0000199F">
        <w:rPr>
          <w:rFonts w:eastAsia="Times New Roman"/>
        </w:rPr>
        <w:t xml:space="preserve">, determinato dal risultato della gestione (€ </w:t>
      </w:r>
      <w:r w:rsidRPr="0000199F">
        <w:rPr>
          <w:rFonts w:eastAsia="Times New Roman"/>
          <w:bCs/>
        </w:rPr>
        <w:t>839.689.384</w:t>
      </w:r>
      <w:r w:rsidRPr="0000199F">
        <w:rPr>
          <w:rFonts w:eastAsia="Times New Roman"/>
        </w:rPr>
        <w:t xml:space="preserve">) solo in parte </w:t>
      </w:r>
      <w:r w:rsidRPr="0000199F">
        <w:rPr>
          <w:rFonts w:eastAsia="Times New Roman"/>
        </w:rPr>
        <w:lastRenderedPageBreak/>
        <w:t>assorbito dai saldi negativi dei proventi e oneri finanziari (€ </w:t>
      </w:r>
      <w:r w:rsidRPr="0000199F">
        <w:rPr>
          <w:rFonts w:eastAsia="Times New Roman"/>
          <w:bCs/>
        </w:rPr>
        <w:noBreakHyphen/>
        <w:t>34.356.594</w:t>
      </w:r>
      <w:r w:rsidRPr="0000199F">
        <w:rPr>
          <w:rFonts w:eastAsia="Times New Roman"/>
        </w:rPr>
        <w:t xml:space="preserve">), dalle rettifiche di valore di attività finanziarie (€ </w:t>
      </w:r>
      <w:r w:rsidRPr="0000199F">
        <w:rPr>
          <w:rFonts w:eastAsia="Times New Roman"/>
          <w:bCs/>
        </w:rPr>
        <w:t>-8.797.309</w:t>
      </w:r>
      <w:r w:rsidRPr="0000199F">
        <w:rPr>
          <w:rFonts w:eastAsia="Times New Roman"/>
        </w:rPr>
        <w:t>), riequilibrato dai pr</w:t>
      </w:r>
      <w:r w:rsidR="0047082C">
        <w:rPr>
          <w:rFonts w:eastAsia="Times New Roman"/>
        </w:rPr>
        <w:t>oventi ed oneri straordinari (€ </w:t>
      </w:r>
      <w:r w:rsidRPr="0000199F">
        <w:rPr>
          <w:rFonts w:eastAsia="Times New Roman"/>
          <w:bCs/>
        </w:rPr>
        <w:t>120.673.842</w:t>
      </w:r>
      <w:r w:rsidRPr="0000199F">
        <w:rPr>
          <w:rFonts w:eastAsia="Times New Roman"/>
        </w:rPr>
        <w:t>), da cui si sottraggono le imposte (€ 15.489.961)</w:t>
      </w:r>
      <w:r w:rsidR="005E221B">
        <w:rPr>
          <w:rFonts w:eastAsia="Times New Roman"/>
        </w:rPr>
        <w:t xml:space="preserve"> (v. tabella 92)</w:t>
      </w:r>
      <w:r w:rsidRPr="0000199F">
        <w:rPr>
          <w:rFonts w:eastAsia="Times New Roman"/>
        </w:rPr>
        <w:t>.</w:t>
      </w:r>
    </w:p>
    <w:p w:rsidR="00DB3BAA" w:rsidRDefault="00DB3BAA" w:rsidP="00DB3BAA">
      <w:pPr>
        <w:pStyle w:val="CdcTesto"/>
        <w:rPr>
          <w:rFonts w:eastAsia="Times New Roman"/>
          <w:iCs/>
        </w:rPr>
      </w:pPr>
      <w:r w:rsidRPr="00CD34A0">
        <w:rPr>
          <w:rFonts w:eastAsia="Times New Roman"/>
          <w:b/>
          <w:iCs/>
        </w:rPr>
        <w:t>La Regione ha avviato la contabilità economico patrimoniale a partire dall’esercizio 2016</w:t>
      </w:r>
      <w:r w:rsidRPr="00CD34A0">
        <w:rPr>
          <w:rFonts w:eastAsia="Times New Roman"/>
          <w:iCs/>
        </w:rPr>
        <w:t>.</w:t>
      </w:r>
    </w:p>
    <w:p w:rsidR="00DB3BAA" w:rsidRDefault="00DB3BAA" w:rsidP="00DB3BAA">
      <w:pPr>
        <w:pStyle w:val="CdcTesto"/>
        <w:rPr>
          <w:rFonts w:eastAsia="Times New Roman"/>
          <w:i/>
          <w:iCs/>
        </w:rPr>
      </w:pPr>
      <w:r w:rsidRPr="00CD34A0">
        <w:rPr>
          <w:rFonts w:eastAsia="Times New Roman"/>
          <w:iCs/>
        </w:rPr>
        <w:t xml:space="preserve">La Nota integrativa evidenzia che, analogamente a quanto previsto per l’entrata in vigore della contabilità finanziaria, </w:t>
      </w:r>
      <w:r w:rsidRPr="00CD34A0">
        <w:rPr>
          <w:rFonts w:eastAsia="Times New Roman"/>
          <w:i/>
          <w:iCs/>
        </w:rPr>
        <w:t>“i nuovi valori sono stati oggetto di lunghe e complesse analisi riconducibili a processi d’inventariazione “straordinaria” che hanno interessato tutte le macroclassi dell’attivo e del passivo dello stato patrimoniale”.</w:t>
      </w:r>
      <w:r>
        <w:rPr>
          <w:rStyle w:val="Rimandonotaapidipagina"/>
          <w:rFonts w:eastAsia="Times New Roman"/>
          <w:i/>
          <w:iCs/>
        </w:rPr>
        <w:footnoteReference w:id="40"/>
      </w:r>
    </w:p>
    <w:p w:rsidR="00DB3BAA" w:rsidRPr="00CD34A0" w:rsidRDefault="00DB3BAA" w:rsidP="00DB3BAA">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Le descritte operazioni hanno comportato una riclassificazione</w:t>
      </w:r>
      <w:r>
        <w:rPr>
          <w:rFonts w:ascii="Bodoni MT" w:eastAsia="Times New Roman" w:hAnsi="Bodoni MT" w:cs="Bodoni MT"/>
          <w:iCs/>
          <w:color w:val="000000"/>
          <w:sz w:val="24"/>
          <w:szCs w:val="24"/>
        </w:rPr>
        <w:t xml:space="preserve"> dello Stato Patrimoniale al 31/12/</w:t>
      </w:r>
      <w:r w:rsidRPr="00CD34A0">
        <w:rPr>
          <w:rFonts w:ascii="Bodoni MT" w:eastAsia="Times New Roman" w:hAnsi="Bodoni MT" w:cs="Bodoni MT"/>
          <w:iCs/>
          <w:color w:val="000000"/>
          <w:sz w:val="24"/>
          <w:szCs w:val="24"/>
        </w:rPr>
        <w:t>2015 secondo le nuove “categorie” e una rivalutazione del patrimonio stesso all’</w:t>
      </w:r>
      <w:r>
        <w:rPr>
          <w:rFonts w:ascii="Bodoni MT" w:eastAsia="Times New Roman" w:hAnsi="Bodoni MT" w:cs="Bodoni MT"/>
          <w:iCs/>
          <w:color w:val="000000"/>
          <w:sz w:val="24"/>
          <w:szCs w:val="24"/>
        </w:rPr>
        <w:t>01/01/</w:t>
      </w:r>
      <w:r w:rsidRPr="00CD34A0">
        <w:rPr>
          <w:rFonts w:ascii="Bodoni MT" w:eastAsia="Times New Roman" w:hAnsi="Bodoni MT" w:cs="Bodoni MT"/>
          <w:iCs/>
          <w:color w:val="000000"/>
          <w:sz w:val="24"/>
          <w:szCs w:val="24"/>
        </w:rPr>
        <w:t>2016.</w:t>
      </w:r>
    </w:p>
    <w:p w:rsidR="00DB3BAA" w:rsidRPr="00CD34A0" w:rsidRDefault="00DB3BAA" w:rsidP="00DB3BAA">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In particolare l’attività di ricognizione del patrimonio immobiliare e mobiliare ha riguardato complessivamente </w:t>
      </w:r>
      <w:r w:rsidRPr="00CD34A0">
        <w:rPr>
          <w:rFonts w:ascii="Bodoni MT" w:eastAsia="Times New Roman" w:hAnsi="Bodoni MT" w:cs="Bodoni MT"/>
          <w:b/>
          <w:iCs/>
          <w:color w:val="000000"/>
          <w:sz w:val="24"/>
          <w:szCs w:val="24"/>
        </w:rPr>
        <w:t>86.785 beni</w:t>
      </w:r>
      <w:r w:rsidRPr="00CD34A0">
        <w:rPr>
          <w:rFonts w:ascii="Bodoni MT" w:eastAsia="Times New Roman" w:hAnsi="Bodoni MT" w:cs="Bodoni MT"/>
          <w:iCs/>
          <w:color w:val="000000"/>
          <w:sz w:val="24"/>
          <w:szCs w:val="24"/>
        </w:rPr>
        <w:t xml:space="preserve"> di cui </w:t>
      </w:r>
      <w:r w:rsidRPr="00CD34A0">
        <w:rPr>
          <w:rFonts w:ascii="Bodoni MT" w:eastAsia="Times New Roman" w:hAnsi="Bodoni MT" w:cs="Bodoni MT"/>
          <w:b/>
          <w:iCs/>
          <w:color w:val="000000"/>
          <w:sz w:val="24"/>
          <w:szCs w:val="24"/>
        </w:rPr>
        <w:t>8.926 immobili</w:t>
      </w:r>
      <w:r w:rsidRPr="00CD34A0">
        <w:rPr>
          <w:rFonts w:ascii="Bodoni MT" w:eastAsia="Times New Roman" w:hAnsi="Bodoni MT" w:cs="Bodoni MT"/>
          <w:iCs/>
          <w:color w:val="000000"/>
          <w:sz w:val="24"/>
          <w:szCs w:val="24"/>
        </w:rPr>
        <w:t xml:space="preserve"> e </w:t>
      </w:r>
      <w:r w:rsidRPr="00CD34A0">
        <w:rPr>
          <w:rFonts w:ascii="Bodoni MT" w:eastAsia="Times New Roman" w:hAnsi="Bodoni MT" w:cs="Bodoni MT"/>
          <w:b/>
          <w:iCs/>
          <w:color w:val="000000"/>
          <w:sz w:val="24"/>
          <w:szCs w:val="24"/>
        </w:rPr>
        <w:t>77.859 mobili</w:t>
      </w:r>
      <w:r w:rsidRPr="00CD34A0">
        <w:rPr>
          <w:rFonts w:ascii="Bodoni MT" w:eastAsia="Times New Roman" w:hAnsi="Bodoni MT" w:cs="Bodoni MT"/>
          <w:iCs/>
          <w:color w:val="000000"/>
          <w:sz w:val="24"/>
          <w:szCs w:val="24"/>
          <w:vertAlign w:val="superscript"/>
        </w:rPr>
        <w:footnoteReference w:id="41"/>
      </w:r>
      <w:r w:rsidRPr="00CD34A0">
        <w:rPr>
          <w:rFonts w:ascii="Bodoni MT" w:eastAsia="Times New Roman" w:hAnsi="Bodoni MT" w:cs="Bodoni MT"/>
          <w:b/>
          <w:iCs/>
          <w:color w:val="000000"/>
          <w:sz w:val="24"/>
          <w:szCs w:val="24"/>
        </w:rPr>
        <w:t xml:space="preserve"> </w:t>
      </w:r>
      <w:r w:rsidRPr="00CD34A0">
        <w:rPr>
          <w:rFonts w:ascii="Bodoni MT" w:eastAsia="Times New Roman" w:hAnsi="Bodoni MT" w:cs="Bodoni MT"/>
          <w:iCs/>
          <w:color w:val="000000"/>
          <w:sz w:val="24"/>
          <w:szCs w:val="24"/>
        </w:rPr>
        <w:t>per una valorizzazione</w:t>
      </w:r>
      <w:r w:rsidRPr="00CD34A0">
        <w:rPr>
          <w:rFonts w:ascii="Bodoni MT" w:eastAsia="Times New Roman" w:hAnsi="Bodoni MT" w:cs="Bodoni MT"/>
          <w:b/>
          <w:iCs/>
          <w:color w:val="000000"/>
          <w:sz w:val="24"/>
          <w:szCs w:val="24"/>
        </w:rPr>
        <w:t xml:space="preserve"> </w:t>
      </w:r>
      <w:r w:rsidRPr="00CD34A0">
        <w:rPr>
          <w:rFonts w:ascii="Bodoni MT" w:eastAsia="Times New Roman" w:hAnsi="Bodoni MT" w:cs="Bodoni MT"/>
          <w:iCs/>
          <w:color w:val="000000"/>
          <w:sz w:val="24"/>
          <w:szCs w:val="24"/>
        </w:rPr>
        <w:t>economica pari</w:t>
      </w:r>
      <w:r w:rsidRPr="00CD34A0">
        <w:rPr>
          <w:rFonts w:ascii="Bodoni MT" w:eastAsia="Times New Roman" w:hAnsi="Bodoni MT" w:cs="Bodoni MT"/>
          <w:b/>
          <w:iCs/>
          <w:color w:val="000000"/>
          <w:sz w:val="24"/>
          <w:szCs w:val="24"/>
        </w:rPr>
        <w:t xml:space="preserve"> </w:t>
      </w:r>
      <w:r w:rsidRPr="008B0C9C">
        <w:rPr>
          <w:rFonts w:ascii="Bodoni MT" w:eastAsia="Times New Roman" w:hAnsi="Bodoni MT" w:cs="Bodoni MT"/>
          <w:iCs/>
          <w:color w:val="000000"/>
          <w:sz w:val="24"/>
          <w:szCs w:val="24"/>
        </w:rPr>
        <w:t xml:space="preserve">a </w:t>
      </w:r>
      <w:r>
        <w:rPr>
          <w:rFonts w:ascii="Bodoni MT" w:eastAsia="Times New Roman" w:hAnsi="Bodoni MT" w:cs="Bodoni MT"/>
          <w:iCs/>
          <w:color w:val="000000"/>
          <w:sz w:val="24"/>
          <w:szCs w:val="24"/>
        </w:rPr>
        <w:t>1,687 miliardi di euro</w:t>
      </w:r>
      <w:r w:rsidRPr="00CD34A0">
        <w:rPr>
          <w:rFonts w:ascii="Bodoni MT" w:eastAsia="Times New Roman" w:hAnsi="Bodoni MT" w:cs="Bodoni MT"/>
          <w:iCs/>
          <w:color w:val="000000"/>
          <w:sz w:val="24"/>
          <w:szCs w:val="24"/>
        </w:rPr>
        <w:t>.</w:t>
      </w:r>
    </w:p>
    <w:p w:rsidR="00DB3BAA" w:rsidRDefault="00DB3BAA" w:rsidP="00DB3BAA">
      <w:pPr>
        <w:pStyle w:val="CdcTesto"/>
        <w:rPr>
          <w:rFonts w:eastAsia="Times New Roman"/>
          <w:iCs/>
        </w:rPr>
      </w:pPr>
      <w:r w:rsidRPr="00CD34A0">
        <w:rPr>
          <w:rFonts w:eastAsia="Times New Roman"/>
          <w:iCs/>
        </w:rPr>
        <w:t xml:space="preserve">Per effetto del complesso delle operazioni sin qui </w:t>
      </w:r>
      <w:r w:rsidRPr="00D42F1C">
        <w:rPr>
          <w:rFonts w:eastAsia="Times New Roman"/>
          <w:iCs/>
        </w:rPr>
        <w:t>riferite i dati di apertura all’01/01/2016 non coincidono con i dati esposti nel Conto del Patrimonio al 31/12/2015</w:t>
      </w:r>
      <w:r w:rsidRPr="00CD34A0">
        <w:rPr>
          <w:rFonts w:eastAsia="Times New Roman"/>
          <w:iCs/>
        </w:rPr>
        <w:t xml:space="preserve"> allegato al Rendiconto Generale della Regione per l’esercizio 2015.</w:t>
      </w:r>
      <w:r>
        <w:rPr>
          <w:rFonts w:eastAsia="Times New Roman"/>
          <w:iCs/>
        </w:rPr>
        <w:t xml:space="preserve"> Pertanto l’attivo al 31 dicembre 2015 uguale a 2.670.378.943 euro viene ricalcolato al 1° gennaio 2016 in 5.179.909.082 euro; mentre il passivo al 31 dicembre 2015 uguale a 4.395.235.152 euro viene ricalcolato al 1° gennaio 2016 in 5.179.909.082 euro. </w:t>
      </w:r>
      <w:r w:rsidRPr="00CD34A0">
        <w:rPr>
          <w:rFonts w:eastAsia="Times New Roman"/>
          <w:iCs/>
        </w:rPr>
        <w:t xml:space="preserve">Le </w:t>
      </w:r>
      <w:r>
        <w:rPr>
          <w:rFonts w:eastAsia="Times New Roman"/>
          <w:iCs/>
        </w:rPr>
        <w:t xml:space="preserve">richiamate </w:t>
      </w:r>
      <w:r w:rsidRPr="00CD34A0">
        <w:rPr>
          <w:rFonts w:eastAsia="Times New Roman"/>
          <w:iCs/>
        </w:rPr>
        <w:t>operazioni di riclassificazione/rivalutazione delle poste patrimoniali hanno determinato una differenza positiva dell’attivo sul pa</w:t>
      </w:r>
      <w:r>
        <w:rPr>
          <w:rFonts w:eastAsia="Times New Roman"/>
          <w:iCs/>
        </w:rPr>
        <w:t>ssivo tra i due esercizi pari a</w:t>
      </w:r>
      <w:r w:rsidRPr="00CD34A0">
        <w:rPr>
          <w:rFonts w:eastAsia="Times New Roman"/>
          <w:iCs/>
        </w:rPr>
        <w:t xml:space="preserve"> € 1.724.856.210 dovuta, prevalentemente, all’incremento del valore delle immobilizzazioni sia materiali che finanziarie, come risco</w:t>
      </w:r>
      <w:r>
        <w:rPr>
          <w:rFonts w:eastAsia="Times New Roman"/>
          <w:iCs/>
        </w:rPr>
        <w:t>ntriamo nel prospetto di raccordo.</w:t>
      </w:r>
    </w:p>
    <w:p w:rsidR="00DB3BAA" w:rsidRDefault="00DB3BAA" w:rsidP="00DB3BAA">
      <w:pPr>
        <w:pStyle w:val="CdcTesto"/>
        <w:rPr>
          <w:rFonts w:eastAsia="Times New Roman"/>
          <w:iCs/>
        </w:rPr>
      </w:pPr>
      <w:r w:rsidRPr="00CD34A0">
        <w:rPr>
          <w:rFonts w:eastAsia="Times New Roman"/>
          <w:b/>
          <w:iCs/>
        </w:rPr>
        <w:t>La gestione 2016, chiusa in positivo per € 901.719.362</w:t>
      </w:r>
      <w:r w:rsidRPr="00CD34A0">
        <w:rPr>
          <w:rFonts w:eastAsia="Times New Roman"/>
          <w:iCs/>
        </w:rPr>
        <w:t xml:space="preserve"> unitamente ad una rivalutazione del fondo di dotazione (€ 204.377.720) ed alla voce “altre riserve” per € 8.958.185 (trattasi degli </w:t>
      </w:r>
      <w:r w:rsidRPr="00CD34A0">
        <w:rPr>
          <w:rFonts w:eastAsia="Times New Roman"/>
          <w:iCs/>
        </w:rPr>
        <w:lastRenderedPageBreak/>
        <w:t xml:space="preserve">incrementi di valore delle società partecipate per utili conseguiti nel corso del 2016) </w:t>
      </w:r>
      <w:r w:rsidR="00EF1956">
        <w:rPr>
          <w:rFonts w:eastAsia="Times New Roman"/>
          <w:b/>
          <w:iCs/>
        </w:rPr>
        <w:t>determinano un aumento</w:t>
      </w:r>
      <w:r w:rsidRPr="00CD34A0">
        <w:rPr>
          <w:rFonts w:eastAsia="Times New Roman"/>
          <w:b/>
          <w:iCs/>
        </w:rPr>
        <w:t xml:space="preserve"> </w:t>
      </w:r>
      <w:r w:rsidR="00053015">
        <w:rPr>
          <w:rFonts w:eastAsia="Times New Roman"/>
          <w:b/>
          <w:iCs/>
        </w:rPr>
        <w:t xml:space="preserve">notevole </w:t>
      </w:r>
      <w:r w:rsidR="00EF1956">
        <w:rPr>
          <w:rFonts w:eastAsia="Times New Roman"/>
          <w:b/>
          <w:iCs/>
        </w:rPr>
        <w:t>del</w:t>
      </w:r>
      <w:r w:rsidRPr="00CD34A0">
        <w:rPr>
          <w:rFonts w:eastAsia="Times New Roman"/>
          <w:b/>
          <w:iCs/>
        </w:rPr>
        <w:t>la consistenza del Patrimonio netto</w:t>
      </w:r>
      <w:r>
        <w:rPr>
          <w:rFonts w:eastAsia="Times New Roman"/>
          <w:iCs/>
        </w:rPr>
        <w:t xml:space="preserve"> che dal valore di</w:t>
      </w:r>
      <w:r w:rsidRPr="00CD34A0">
        <w:rPr>
          <w:rFonts w:eastAsia="Times New Roman"/>
          <w:iCs/>
        </w:rPr>
        <w:t xml:space="preserve"> € -15.94</w:t>
      </w:r>
      <w:r>
        <w:rPr>
          <w:rFonts w:eastAsia="Times New Roman"/>
          <w:iCs/>
        </w:rPr>
        <w:t>5.678 (all’01/01/2016), passa a € 1.115.055.267 al 31/12/</w:t>
      </w:r>
      <w:r w:rsidRPr="00CD34A0">
        <w:rPr>
          <w:rFonts w:eastAsia="Times New Roman"/>
          <w:iCs/>
        </w:rPr>
        <w:t>2016</w:t>
      </w:r>
      <w:r w:rsidR="00096E85">
        <w:rPr>
          <w:rFonts w:eastAsia="Times New Roman"/>
          <w:iCs/>
        </w:rPr>
        <w:t xml:space="preserve"> (v. tabella 100)</w:t>
      </w:r>
      <w:r w:rsidRPr="00CD34A0">
        <w:rPr>
          <w:rFonts w:eastAsia="Times New Roman"/>
          <w:iCs/>
        </w:rPr>
        <w:t>.</w:t>
      </w:r>
    </w:p>
    <w:p w:rsidR="00DB3BAA" w:rsidRPr="00BB576C" w:rsidRDefault="00DB3BAA" w:rsidP="00DB3BAA">
      <w:pPr>
        <w:pStyle w:val="CdcTesto"/>
        <w:spacing w:after="360"/>
      </w:pPr>
      <w:r>
        <w:rPr>
          <w:rFonts w:eastAsia="Times New Roman"/>
        </w:rPr>
        <w:t xml:space="preserve">Con riguardo alla </w:t>
      </w:r>
      <w:r w:rsidRPr="00AF6918">
        <w:rPr>
          <w:rStyle w:val="CdcTestoCarattere"/>
        </w:rPr>
        <w:t xml:space="preserve">inclusione degli Enti strumentali e </w:t>
      </w:r>
      <w:r>
        <w:rPr>
          <w:rStyle w:val="CdcTestoCarattere"/>
        </w:rPr>
        <w:t xml:space="preserve">delle </w:t>
      </w:r>
      <w:r w:rsidRPr="00AF6918">
        <w:rPr>
          <w:rStyle w:val="CdcTestoCarattere"/>
        </w:rPr>
        <w:t>Agenzie regionali nelle immobilizzazioni finanziarie dell’attivo nello Stato patrimoniale</w:t>
      </w:r>
      <w:r>
        <w:rPr>
          <w:rStyle w:val="CdcTestoCarattere"/>
        </w:rPr>
        <w:t>,</w:t>
      </w:r>
      <w:r w:rsidRPr="00AF6918">
        <w:rPr>
          <w:rFonts w:eastAsia="Times New Roman"/>
        </w:rPr>
        <w:t xml:space="preserve"> </w:t>
      </w:r>
      <w:r>
        <w:rPr>
          <w:rFonts w:eastAsia="Times New Roman"/>
        </w:rPr>
        <w:t>la Sezione esprime perplessità</w:t>
      </w:r>
      <w:r w:rsidRPr="00AF6918">
        <w:rPr>
          <w:rStyle w:val="CdcTestoCarattere"/>
        </w:rPr>
        <w:t xml:space="preserve">, sussistendo dubbi in ordine alla equiparazione di tali </w:t>
      </w:r>
      <w:r>
        <w:rPr>
          <w:rStyle w:val="CdcTestoCarattere"/>
        </w:rPr>
        <w:t>soggetti rispetto a quelli</w:t>
      </w:r>
      <w:r w:rsidRPr="00AF6918">
        <w:rPr>
          <w:rStyle w:val="CdcTestoCarattere"/>
        </w:rPr>
        <w:t xml:space="preserve"> di effettiva pertinenza patrimoniale della Regione.</w:t>
      </w:r>
      <w:r w:rsidR="00D42F1C">
        <w:rPr>
          <w:rStyle w:val="CdcTestoCarattere"/>
        </w:rPr>
        <w:t xml:space="preserve"> Le relative problematiche sono trattate nel paragrafo 19.3.4.1, unitamente alle risposte e ai chiarimenti forniti dalla Regione.</w:t>
      </w:r>
    </w:p>
    <w:p w:rsidR="00DB3BAA" w:rsidRPr="00067233" w:rsidRDefault="00DB3BAA" w:rsidP="007D10C5">
      <w:pPr>
        <w:pStyle w:val="Paragrafoelenco"/>
        <w:numPr>
          <w:ilvl w:val="0"/>
          <w:numId w:val="26"/>
        </w:numPr>
        <w:tabs>
          <w:tab w:val="left" w:pos="284"/>
          <w:tab w:val="left" w:pos="426"/>
        </w:tabs>
        <w:spacing w:after="120"/>
        <w:jc w:val="both"/>
        <w:rPr>
          <w:rFonts w:ascii="Bodoni MT" w:hAnsi="Bodoni MT"/>
          <w:sz w:val="24"/>
          <w:szCs w:val="24"/>
        </w:rPr>
      </w:pPr>
      <w:r w:rsidRPr="00067233">
        <w:rPr>
          <w:rFonts w:ascii="Bodoni MT" w:hAnsi="Bodoni MT"/>
          <w:b/>
          <w:sz w:val="28"/>
          <w:szCs w:val="28"/>
        </w:rPr>
        <w:t>Conclusioni finali</w:t>
      </w:r>
      <w:r w:rsidRPr="00067233">
        <w:rPr>
          <w:rFonts w:ascii="Bodoni MT" w:hAnsi="Bodoni MT"/>
          <w:b/>
          <w:sz w:val="24"/>
          <w:szCs w:val="24"/>
        </w:rPr>
        <w:t xml:space="preserve">. </w:t>
      </w:r>
      <w:r w:rsidRPr="00067233">
        <w:rPr>
          <w:rFonts w:ascii="Bodoni MT" w:hAnsi="Bodoni MT"/>
          <w:sz w:val="24"/>
          <w:szCs w:val="24"/>
        </w:rPr>
        <w:t xml:space="preserve">Le presenti verifiche hanno riscontrato l’adeguamento delle scritture del rendiconto regionale della Sardegna </w:t>
      </w:r>
      <w:r>
        <w:rPr>
          <w:rFonts w:ascii="Bodoni MT" w:hAnsi="Bodoni MT"/>
          <w:sz w:val="24"/>
          <w:szCs w:val="24"/>
        </w:rPr>
        <w:t>al sistema dei conti armonizzato</w:t>
      </w:r>
      <w:r w:rsidRPr="00067233">
        <w:rPr>
          <w:rFonts w:ascii="Bodoni MT" w:hAnsi="Bodoni MT"/>
          <w:sz w:val="24"/>
          <w:szCs w:val="24"/>
        </w:rPr>
        <w:t xml:space="preserve">, ovvero ai modelli standardizzati definiti </w:t>
      </w:r>
      <w:r w:rsidRPr="00BE48E7">
        <w:rPr>
          <w:rFonts w:ascii="Bodoni MT" w:hAnsi="Bodoni MT"/>
          <w:sz w:val="24"/>
          <w:szCs w:val="24"/>
        </w:rPr>
        <w:t>in tale</w:t>
      </w:r>
      <w:r>
        <w:rPr>
          <w:rFonts w:ascii="Bodoni MT" w:hAnsi="Bodoni MT"/>
          <w:sz w:val="24"/>
          <w:szCs w:val="24"/>
        </w:rPr>
        <w:t xml:space="preserve"> </w:t>
      </w:r>
      <w:r w:rsidRPr="00067233">
        <w:rPr>
          <w:rFonts w:ascii="Bodoni MT" w:hAnsi="Bodoni MT"/>
          <w:sz w:val="24"/>
          <w:szCs w:val="24"/>
        </w:rPr>
        <w:t xml:space="preserve">sede, funzionali alle esigenze di uniformità e comparabilità cui devono soggiacere i </w:t>
      </w:r>
      <w:r>
        <w:rPr>
          <w:rFonts w:ascii="Bodoni MT" w:hAnsi="Bodoni MT"/>
          <w:sz w:val="24"/>
          <w:szCs w:val="24"/>
        </w:rPr>
        <w:t xml:space="preserve">conti </w:t>
      </w:r>
      <w:r w:rsidRPr="00067233">
        <w:rPr>
          <w:rFonts w:ascii="Bodoni MT" w:hAnsi="Bodoni MT"/>
          <w:sz w:val="24"/>
          <w:szCs w:val="24"/>
        </w:rPr>
        <w:t xml:space="preserve">della finanza pubblica al fine di consentire l’unitaria ricomposizione dei conti nazionali. E’ risultato che la Regione ha introdotto i nuovi istituti contabili e dato corso alle regole dettate a presidio dell’equilibrio e del pareggio finanziario. </w:t>
      </w:r>
      <w:r w:rsidR="00D42F1C" w:rsidRPr="00067233">
        <w:rPr>
          <w:rFonts w:ascii="Bodoni MT" w:hAnsi="Bodoni MT"/>
          <w:sz w:val="24"/>
          <w:szCs w:val="24"/>
        </w:rPr>
        <w:t xml:space="preserve">La </w:t>
      </w:r>
      <w:r w:rsidRPr="00067233">
        <w:rPr>
          <w:rFonts w:ascii="Bodoni MT" w:hAnsi="Bodoni MT"/>
          <w:sz w:val="24"/>
          <w:szCs w:val="24"/>
        </w:rPr>
        <w:t>riforma dell’armonizzazione non può limitarsi alla corretta predisposizione di nuovi schemi contabili e, al contrario, richiede impegnativi cambiamenti organizzativi di natura strutturale e le diverse difficoltà incontrate dall’apparato regionale nell’introduzione della riforma sono state riconosciute, comportando ritardi e ripetute correzioni.</w:t>
      </w:r>
    </w:p>
    <w:p w:rsidR="00DB3BAA" w:rsidRPr="0080404B" w:rsidRDefault="00DB3BAA" w:rsidP="00DB3BAA">
      <w:pPr>
        <w:pStyle w:val="CdcTesto"/>
        <w:rPr>
          <w:color w:val="auto"/>
        </w:rPr>
      </w:pPr>
      <w:r>
        <w:t>In sostanza, secondo quanto già affermato dalla Corte dei conti</w:t>
      </w:r>
      <w:r>
        <w:rPr>
          <w:rStyle w:val="Rimandonotaapidipagina"/>
        </w:rPr>
        <w:footnoteReference w:id="42"/>
      </w:r>
      <w:r>
        <w:t xml:space="preserve"> “</w:t>
      </w:r>
      <w:r w:rsidRPr="00276174">
        <w:rPr>
          <w:i/>
        </w:rPr>
        <w:t>il conseguimento del pareggio finanziario non esclude infatti possibili pregiudizi alla stabilità economica dell’Ente, spesso legati all’eccessiva</w:t>
      </w:r>
      <w:r>
        <w:rPr>
          <w:i/>
        </w:rPr>
        <w:t xml:space="preserve"> crescita dell’indebitamento, né</w:t>
      </w:r>
      <w:r w:rsidRPr="00276174">
        <w:rPr>
          <w:i/>
        </w:rPr>
        <w:t xml:space="preserve"> costituisce garanzia di salvaguardia della funzionalità delle risorse necessarie al miglior funzionamento dei servizi e, quindi, del pieno raggiungimento delle finalità istituzionali dell’Ente”.</w:t>
      </w:r>
      <w:r w:rsidRPr="00945036">
        <w:t xml:space="preserve"> </w:t>
      </w:r>
      <w:r>
        <w:t>Tali considerazioni richiamano alla logica della verifica dei risultati e alla irrinunciabile necessità della misurazione degli obiettivi conseguiti dall’Amministrazione pubblica deputata alla realizzazione di quelli programmati dall’ Assemblea legislativa e già oggetto delle autorizzazioni di bilancio. In tale percorso di verifica si riconosce anche l’autentica finalità della verifica del rendiconto regionale intestata alla Corte dei conti, dovendosene garantire la effettività di referto neutrale al Consiglio regionale e alla collettività di cui lo stesso è espressione. “</w:t>
      </w:r>
      <w:r w:rsidRPr="0080404B">
        <w:rPr>
          <w:i/>
          <w:color w:val="auto"/>
        </w:rPr>
        <w:t xml:space="preserve">In presenza di spazi finanziari sempre più limitati si è rafforzata l’esigenza che l’attività di controllo della Corte, oltre alle verifiche sulla correttezza formale, </w:t>
      </w:r>
      <w:r w:rsidRPr="0080404B">
        <w:rPr>
          <w:i/>
          <w:color w:val="auto"/>
        </w:rPr>
        <w:lastRenderedPageBreak/>
        <w:t>sia quanto più orientata alla valutazione dei risultati ottenuti. Il che implica il potenziamento delle metodologie di analisi, degli strumenti conoscitivi e delle strutture impegnate nell’assolvimento della funzione, ponendo a confronto i risultati conseguiti con gli obiettivi programmatici originariamente fissati</w:t>
      </w:r>
      <w:r>
        <w:rPr>
          <w:color w:val="auto"/>
        </w:rPr>
        <w:t>”</w:t>
      </w:r>
      <w:r w:rsidRPr="0080404B">
        <w:rPr>
          <w:rStyle w:val="Rimandonotaapidipagina"/>
          <w:color w:val="auto"/>
        </w:rPr>
        <w:t xml:space="preserve"> </w:t>
      </w:r>
      <w:r w:rsidRPr="0080404B">
        <w:rPr>
          <w:rStyle w:val="Rimandonotaapidipagina"/>
          <w:color w:val="auto"/>
        </w:rPr>
        <w:footnoteReference w:id="43"/>
      </w:r>
      <w:r w:rsidRPr="0080404B">
        <w:rPr>
          <w:color w:val="auto"/>
        </w:rPr>
        <w:t xml:space="preserve">. </w:t>
      </w:r>
      <w:r>
        <w:rPr>
          <w:color w:val="auto"/>
        </w:rPr>
        <w:t xml:space="preserve">Risulta rilevante la </w:t>
      </w:r>
      <w:r w:rsidRPr="0080404B">
        <w:rPr>
          <w:color w:val="auto"/>
        </w:rPr>
        <w:t>sistematica misurazione dell’efficacia delle politiche di bila</w:t>
      </w:r>
      <w:r>
        <w:rPr>
          <w:color w:val="auto"/>
        </w:rPr>
        <w:t>ncio adottate ai diversi livelli</w:t>
      </w:r>
      <w:r w:rsidRPr="0080404B">
        <w:rPr>
          <w:color w:val="auto"/>
        </w:rPr>
        <w:t xml:space="preserve"> di governo</w:t>
      </w:r>
      <w:r>
        <w:rPr>
          <w:color w:val="auto"/>
        </w:rPr>
        <w:t xml:space="preserve"> che</w:t>
      </w:r>
      <w:r w:rsidRPr="0080404B">
        <w:rPr>
          <w:color w:val="auto"/>
        </w:rPr>
        <w:t xml:space="preserve"> risponde anche all’esigenza di rafforzare </w:t>
      </w:r>
      <w:r>
        <w:rPr>
          <w:color w:val="auto"/>
        </w:rPr>
        <w:t>l’effettività</w:t>
      </w:r>
      <w:r w:rsidRPr="0080404B">
        <w:rPr>
          <w:color w:val="auto"/>
        </w:rPr>
        <w:t xml:space="preserve"> delle attività di controllo non solo degli obiettivi finanziari ma anche delle condizioni di resa dei servizi.</w:t>
      </w:r>
    </w:p>
    <w:p w:rsidR="00DB3BAA" w:rsidRDefault="00DB3BAA" w:rsidP="00DB3BAA">
      <w:pPr>
        <w:pStyle w:val="CdcTesto"/>
      </w:pPr>
      <w:r>
        <w:t xml:space="preserve">A tale proposito va </w:t>
      </w:r>
      <w:r w:rsidRPr="0080404B">
        <w:t>rilevato che</w:t>
      </w:r>
      <w:r>
        <w:t xml:space="preserve"> i documenti a corredo del rendiconto presentano un carattere strettamente se non esclusivamente contabile-finanziario e non espongono notizie </w:t>
      </w:r>
      <w:r w:rsidRPr="0080404B">
        <w:t>idonee a dimostrare il grado di realizzazione delle politiche di bilancio annuale. Il DEFR 2016,</w:t>
      </w:r>
      <w:r>
        <w:t xml:space="preserve"> come già segnalato da questa Corte</w:t>
      </w:r>
      <w:r>
        <w:rPr>
          <w:rStyle w:val="Rimandonotaapidipagina"/>
        </w:rPr>
        <w:footnoteReference w:id="44"/>
      </w:r>
      <w:r>
        <w:t>, non era stato allineato ai nuovi schemi di bilancio per MISSIONI e particolarmente sintetica - sotto questo profilo- si evidenzia anche la relazione del Presidente della Regione con cui è stato trasmesso il rendiconto.</w:t>
      </w:r>
    </w:p>
    <w:p w:rsidR="00DB3BAA" w:rsidRDefault="00DB3BAA" w:rsidP="00DB3BAA">
      <w:pPr>
        <w:pStyle w:val="CdcTesto"/>
      </w:pPr>
      <w:r>
        <w:t xml:space="preserve">Premesso che le analisi condotte nella presente relazione risentono di tali carenze informative, tuttavia si è osservato quanto segue. La gestione dell’esercizio 2016 ha trovato supporto in un quadro finanziario complessivo che, nelle sue diversificate componenti, non si è dimostrato adeguato a sostenere una evoluzione dinamica dell’azione, </w:t>
      </w:r>
      <w:r w:rsidR="00D42F1C">
        <w:t xml:space="preserve">ma </w:t>
      </w:r>
      <w:r>
        <w:t>sufficiente a salvaguardare il livello di spesa e di serv</w:t>
      </w:r>
      <w:r w:rsidR="00D42F1C">
        <w:t>izi già precedentemente in atto</w:t>
      </w:r>
      <w:r>
        <w:t xml:space="preserve">. Hanno pesato su tale situazione i risultati delle operazioni per il passaggio al nuovo ordinamento contabile, le partite passive provenienti da esercizi pregressi e l’esigenza di dare copertura ad una mole notevole di residui </w:t>
      </w:r>
      <w:r w:rsidR="004A0B01">
        <w:t>passivi perenti, in larga misura</w:t>
      </w:r>
      <w:r>
        <w:t xml:space="preserve"> ancora in corso di definizione. Sul fronte entrate rileva particolarmente la lenta realizzazione delle partite attive connesse alle devoluzioni tributarie e il peso imposto per il concorso agli obiettivi di finanza pubblica. Nel complesso, </w:t>
      </w:r>
      <w:r w:rsidR="00D42F1C">
        <w:t xml:space="preserve">dai dati di rendiconto si rileva </w:t>
      </w:r>
      <w:r>
        <w:t xml:space="preserve">che nei settori d’intervento rispetto ai quali permane alta la domanda sociale di selettivo miglioramento, </w:t>
      </w:r>
      <w:r w:rsidR="00D42F1C">
        <w:t xml:space="preserve">anche secondo quanto richiamato </w:t>
      </w:r>
      <w:r>
        <w:t>dalle Autorità regionali nei propri documenti politico-programmatici, le erogazioni avvenute nell’esercizio sono risultate ridotte.</w:t>
      </w:r>
    </w:p>
    <w:p w:rsidR="00DB3BAA" w:rsidRPr="004413FF" w:rsidRDefault="00DB3BAA" w:rsidP="00DB3BAA">
      <w:pPr>
        <w:pStyle w:val="CdcTesto"/>
        <w:rPr>
          <w:color w:val="auto"/>
        </w:rPr>
      </w:pPr>
      <w:r w:rsidRPr="004413FF">
        <w:rPr>
          <w:color w:val="auto"/>
        </w:rPr>
        <w:t xml:space="preserve">A tale ultimo riguardo non può non </w:t>
      </w:r>
      <w:r>
        <w:rPr>
          <w:color w:val="auto"/>
        </w:rPr>
        <w:t>farsi specifico riferimento alla</w:t>
      </w:r>
      <w:r w:rsidRPr="004413FF">
        <w:rPr>
          <w:color w:val="auto"/>
        </w:rPr>
        <w:t xml:space="preserve"> necessità </w:t>
      </w:r>
      <w:r w:rsidR="00D42F1C">
        <w:rPr>
          <w:color w:val="auto"/>
        </w:rPr>
        <w:t xml:space="preserve">di proseguire </w:t>
      </w:r>
      <w:r w:rsidRPr="004413FF">
        <w:rPr>
          <w:color w:val="auto"/>
        </w:rPr>
        <w:t xml:space="preserve">il </w:t>
      </w:r>
      <w:r w:rsidR="00D42F1C">
        <w:rPr>
          <w:color w:val="auto"/>
        </w:rPr>
        <w:t>contrasto</w:t>
      </w:r>
      <w:r w:rsidRPr="004413FF">
        <w:rPr>
          <w:color w:val="auto"/>
        </w:rPr>
        <w:t xml:space="preserve"> </w:t>
      </w:r>
      <w:r w:rsidR="00D42F1C">
        <w:rPr>
          <w:color w:val="auto"/>
        </w:rPr>
        <w:t>a</w:t>
      </w:r>
      <w:r w:rsidRPr="004413FF">
        <w:rPr>
          <w:color w:val="auto"/>
        </w:rPr>
        <w:t>ll’abbandono scolastico in Sardegna (</w:t>
      </w:r>
      <w:r w:rsidR="00D42F1C">
        <w:rPr>
          <w:color w:val="auto"/>
        </w:rPr>
        <w:t xml:space="preserve">il DEFR 2016, pag. 13, riporta </w:t>
      </w:r>
      <w:r w:rsidRPr="004413FF">
        <w:rPr>
          <w:color w:val="auto"/>
        </w:rPr>
        <w:t xml:space="preserve">tassi </w:t>
      </w:r>
      <w:r w:rsidR="00D42F1C">
        <w:rPr>
          <w:color w:val="auto"/>
        </w:rPr>
        <w:t>di dispersione del 25,5</w:t>
      </w:r>
      <w:r w:rsidRPr="004413FF">
        <w:rPr>
          <w:color w:val="auto"/>
        </w:rPr>
        <w:t>%), unitamente al rafforzamento delle politiche di formazione-lavoro</w:t>
      </w:r>
      <w:r w:rsidR="00D42F1C">
        <w:rPr>
          <w:color w:val="auto"/>
        </w:rPr>
        <w:t xml:space="preserve"> (il </w:t>
      </w:r>
      <w:r w:rsidR="00D42F1C">
        <w:rPr>
          <w:color w:val="auto"/>
        </w:rPr>
        <w:lastRenderedPageBreak/>
        <w:t>DEFR 2016 riferisce che i giovani che rinunciano agli studi e non entrano nel mondo del lavoro o della formazione professionale sono il 28% nella fascia di età tra i15 e i 19 anni)</w:t>
      </w:r>
      <w:r w:rsidRPr="004413FF">
        <w:rPr>
          <w:color w:val="auto"/>
        </w:rPr>
        <w:t>. L’insufficiente livello di scolarizzazione delle giovani generazioni sta determinando, a catena,</w:t>
      </w:r>
      <w:r>
        <w:rPr>
          <w:color w:val="auto"/>
        </w:rPr>
        <w:t xml:space="preserve"> oltre al rischio di emarginazione sociale,</w:t>
      </w:r>
      <w:r w:rsidRPr="004413FF">
        <w:rPr>
          <w:color w:val="auto"/>
        </w:rPr>
        <w:t xml:space="preserve"> “emigrazione economica” alla ricerca di lavoro e, conseguentem</w:t>
      </w:r>
      <w:r>
        <w:rPr>
          <w:color w:val="auto"/>
        </w:rPr>
        <w:t xml:space="preserve">ente, insieme </w:t>
      </w:r>
      <w:r w:rsidRPr="004413FF">
        <w:rPr>
          <w:color w:val="auto"/>
        </w:rPr>
        <w:t>all’invecchiament</w:t>
      </w:r>
      <w:r>
        <w:rPr>
          <w:color w:val="auto"/>
        </w:rPr>
        <w:t>o complessivo della popolazione</w:t>
      </w:r>
      <w:r w:rsidR="004A0B01">
        <w:rPr>
          <w:color w:val="auto"/>
        </w:rPr>
        <w:t>,</w:t>
      </w:r>
      <w:r w:rsidRPr="004413FF">
        <w:rPr>
          <w:color w:val="auto"/>
        </w:rPr>
        <w:t xml:space="preserve"> è alla base dello spopolamento dei territori. </w:t>
      </w:r>
      <w:r w:rsidR="00346270" w:rsidRPr="004413FF">
        <w:rPr>
          <w:color w:val="auto"/>
        </w:rPr>
        <w:t xml:space="preserve">Si </w:t>
      </w:r>
      <w:r w:rsidRPr="004413FF">
        <w:rPr>
          <w:color w:val="auto"/>
        </w:rPr>
        <w:t>è segnalato in relazione</w:t>
      </w:r>
      <w:r w:rsidR="00346270" w:rsidRPr="004413FF">
        <w:rPr>
          <w:rStyle w:val="Rimandonotaapidipagina"/>
          <w:color w:val="auto"/>
        </w:rPr>
        <w:footnoteReference w:id="45"/>
      </w:r>
      <w:r w:rsidRPr="004413FF">
        <w:rPr>
          <w:color w:val="auto"/>
        </w:rPr>
        <w:t xml:space="preserve"> </w:t>
      </w:r>
      <w:r w:rsidR="00346270">
        <w:rPr>
          <w:color w:val="auto"/>
        </w:rPr>
        <w:t>il livello della dotazione</w:t>
      </w:r>
      <w:r w:rsidRPr="004413FF">
        <w:rPr>
          <w:color w:val="auto"/>
        </w:rPr>
        <w:t xml:space="preserve"> di risorse </w:t>
      </w:r>
      <w:r w:rsidR="00346270">
        <w:rPr>
          <w:color w:val="auto"/>
        </w:rPr>
        <w:t>assegnate</w:t>
      </w:r>
      <w:r w:rsidRPr="004413FF">
        <w:rPr>
          <w:color w:val="auto"/>
        </w:rPr>
        <w:t xml:space="preserve"> nel 2016 </w:t>
      </w:r>
      <w:r w:rsidR="00346270">
        <w:rPr>
          <w:color w:val="auto"/>
        </w:rPr>
        <w:t xml:space="preserve">a </w:t>
      </w:r>
      <w:r w:rsidRPr="004413FF">
        <w:rPr>
          <w:color w:val="auto"/>
        </w:rPr>
        <w:t xml:space="preserve">tali strategici settori d’intervento sociale. Tale </w:t>
      </w:r>
      <w:r w:rsidR="00346270">
        <w:rPr>
          <w:color w:val="auto"/>
        </w:rPr>
        <w:t>problematica</w:t>
      </w:r>
      <w:r w:rsidRPr="004413FF">
        <w:rPr>
          <w:color w:val="auto"/>
        </w:rPr>
        <w:t xml:space="preserve"> è all’atte</w:t>
      </w:r>
      <w:r>
        <w:rPr>
          <w:color w:val="auto"/>
        </w:rPr>
        <w:t>nzione delle Autorità regionali</w:t>
      </w:r>
      <w:r w:rsidRPr="004413FF">
        <w:rPr>
          <w:color w:val="auto"/>
        </w:rPr>
        <w:t>, le quali hanno intrapreso appositi programmi di spesa</w:t>
      </w:r>
      <w:r w:rsidRPr="004413FF">
        <w:rPr>
          <w:rStyle w:val="Rimandonotaapidipagina"/>
          <w:color w:val="auto"/>
        </w:rPr>
        <w:footnoteReference w:id="46"/>
      </w:r>
      <w:r w:rsidRPr="004413FF">
        <w:rPr>
          <w:color w:val="auto"/>
        </w:rPr>
        <w:t xml:space="preserve"> che st</w:t>
      </w:r>
      <w:r>
        <w:rPr>
          <w:color w:val="auto"/>
        </w:rPr>
        <w:t xml:space="preserve">anno entrando a regime nel 2017. </w:t>
      </w:r>
      <w:r w:rsidRPr="004413FF">
        <w:rPr>
          <w:color w:val="auto"/>
        </w:rPr>
        <w:t xml:space="preserve">Gli ultimi dati </w:t>
      </w:r>
      <w:r w:rsidRPr="004413FF">
        <w:rPr>
          <w:rStyle w:val="Rimandonotaapidipagina"/>
          <w:color w:val="auto"/>
        </w:rPr>
        <w:footnoteReference w:id="47"/>
      </w:r>
      <w:r>
        <w:rPr>
          <w:color w:val="auto"/>
        </w:rPr>
        <w:t xml:space="preserve"> diffusi</w:t>
      </w:r>
      <w:r w:rsidRPr="004413FF">
        <w:rPr>
          <w:color w:val="auto"/>
        </w:rPr>
        <w:t xml:space="preserve"> nel corso del 2017 rilevano che il t</w:t>
      </w:r>
      <w:r>
        <w:rPr>
          <w:color w:val="auto"/>
        </w:rPr>
        <w:t xml:space="preserve">asso di abbandono sarebbe sceso. </w:t>
      </w:r>
      <w:r w:rsidRPr="004413FF">
        <w:rPr>
          <w:color w:val="auto"/>
        </w:rPr>
        <w:t xml:space="preserve">Resta tuttavia il primato negativo per i Comuni sardi di essere tra quelli che vedono </w:t>
      </w:r>
      <w:r>
        <w:rPr>
          <w:color w:val="auto"/>
        </w:rPr>
        <w:t>la più alta percentuale</w:t>
      </w:r>
      <w:r w:rsidRPr="004413FF">
        <w:rPr>
          <w:color w:val="auto"/>
        </w:rPr>
        <w:t xml:space="preserve"> di giovani in età tra i 18 e i 30 anni che si allontanano </w:t>
      </w:r>
      <w:r>
        <w:rPr>
          <w:color w:val="auto"/>
        </w:rPr>
        <w:t>dalla Regione</w:t>
      </w:r>
      <w:r w:rsidRPr="004413FF">
        <w:rPr>
          <w:color w:val="auto"/>
        </w:rPr>
        <w:t xml:space="preserve"> per mancanza di opportunità lavorative</w:t>
      </w:r>
      <w:r w:rsidRPr="004413FF">
        <w:rPr>
          <w:rStyle w:val="Rimandonotaapidipagina"/>
          <w:color w:val="auto"/>
        </w:rPr>
        <w:footnoteReference w:id="48"/>
      </w:r>
      <w:r>
        <w:rPr>
          <w:color w:val="auto"/>
        </w:rPr>
        <w:t>.</w:t>
      </w:r>
    </w:p>
    <w:p w:rsidR="00DB3BAA" w:rsidRDefault="00346270" w:rsidP="00DB3BAA">
      <w:pPr>
        <w:pStyle w:val="CdcTesto"/>
      </w:pPr>
      <w:r>
        <w:t>La rigidità</w:t>
      </w:r>
      <w:r w:rsidR="00DB3BAA">
        <w:t xml:space="preserve"> dell’intera manovra può certamente imputarsi in gran parte alla difficoltà nella capacità di acquisizione delle entrate, sia di provenienza erariale e ancor più comunitaria, come è provato </w:t>
      </w:r>
      <w:r w:rsidR="00EF1956">
        <w:t xml:space="preserve">dal grado di </w:t>
      </w:r>
      <w:r w:rsidR="00DB3BAA">
        <w:t>avanzamento dei piani/progetti in tale forma finanziati o cofinanziati e che danno conto dell’efficientamento da promuovere presso le strutture operativo/burocratiche, anche nella direzione di supporto da assicurare in favore degli altri Soggetti pubblici e privati, coinvolti dalla program</w:t>
      </w:r>
      <w:r w:rsidR="00031B8B">
        <w:t>mazione economica comunitaria (</w:t>
      </w:r>
      <w:r w:rsidR="00DB3BAA">
        <w:t>per esempio gli Enti locali spesso delegati alle realizzazioni). Solo il miglioramento e il continuo monitoraggio di tutte le attività amministrative preposte alla cura delle entrate da parte dei CdR (si consideri la consistenza registrata in sede di ricognizione dei crediti non contabilizzati, l’elevata formazione dei residui attivi e gli stralci/eliminazione di partite attive, le poste contabili solo in ultimo ricon</w:t>
      </w:r>
      <w:r w:rsidR="0068385B">
        <w:t>siderate sul Piano di Rinascita</w:t>
      </w:r>
      <w:r w:rsidR="00DB3BAA">
        <w:t xml:space="preserve">) potrebbe sostenere la futura espansione della spesa, </w:t>
      </w:r>
      <w:r w:rsidR="00DB3BAA" w:rsidRPr="004413FF">
        <w:rPr>
          <w:color w:val="auto"/>
        </w:rPr>
        <w:t xml:space="preserve">riducendone la rigidità di destinazione, essendo </w:t>
      </w:r>
      <w:r w:rsidR="00DB3BAA">
        <w:t>ormai vigenti i nuovi canoni di competenza finanziaria potenziata (che precludono spese in assenza di sicura copertura).</w:t>
      </w:r>
    </w:p>
    <w:p w:rsidR="00DB3BAA" w:rsidRDefault="00DB3BAA" w:rsidP="00DB3BAA">
      <w:pPr>
        <w:pStyle w:val="CdcTesto"/>
      </w:pPr>
      <w:r>
        <w:t xml:space="preserve">Riassumendo, meritano adeguata valutazione i dati relativi all’indebitamento, alla ridotta capacità di entrata e di spesa, alla preoccupante formazione di residui attivi e passivi, al differimento ad esercizi successivi di accertamenti ed impegni che non hanno trovato nel 2016 la </w:t>
      </w:r>
      <w:r>
        <w:lastRenderedPageBreak/>
        <w:t xml:space="preserve">fisiologica definizione, pur costituendo obbligazioni giuridicamente perfezionate. </w:t>
      </w:r>
      <w:r w:rsidR="00346270">
        <w:t>Resta, inoltre, rilevante</w:t>
      </w:r>
      <w:r>
        <w:t xml:space="preserve"> </w:t>
      </w:r>
      <w:r w:rsidR="00346270">
        <w:t xml:space="preserve">la </w:t>
      </w:r>
      <w:r>
        <w:t>mole di debiti da onorare seppure andati in perenzione amministrativa, che non determina solo effetti negativi sul bilancio regionale - rischiando di pregiudicarne gli equilibri - quanto deve far riflettere sul mancato afflusso di risorse che ha determinato nel corso di numerosi esercizi in danno dei Soggetti creditori della Regione, e per i quali ancora non si dispone delle risorse sufficienti a farvi fronte (essendo stato necessario allo scopo contrarre apposito prestito).</w:t>
      </w:r>
      <w:r w:rsidRPr="00F77ED2">
        <w:t xml:space="preserve"> </w:t>
      </w:r>
    </w:p>
    <w:p w:rsidR="00DB3BAA" w:rsidRDefault="00DB3BAA" w:rsidP="00DB3BAA">
      <w:pPr>
        <w:pStyle w:val="CdcTesto"/>
      </w:pPr>
    </w:p>
    <w:p w:rsidR="00DB3BAA" w:rsidRDefault="00DB3BAA" w:rsidP="00DB3BAA"/>
    <w:p w:rsidR="00DB3BAA" w:rsidRDefault="00DB3BAA"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0C7BBE" w:rsidRDefault="000C7BBE" w:rsidP="00DB3BAA"/>
    <w:p w:rsidR="00DB3BAA" w:rsidRDefault="00DB3BAA" w:rsidP="00DB3BAA"/>
    <w:p w:rsidR="00DB3BAA" w:rsidRPr="00DB3BAA" w:rsidRDefault="00DB3BAA" w:rsidP="00DB3BAA">
      <w:pPr>
        <w:sectPr w:rsidR="00DB3BAA" w:rsidRPr="00DB3BAA" w:rsidSect="0047082C">
          <w:headerReference w:type="default" r:id="rId18"/>
          <w:footerReference w:type="default" r:id="rId19"/>
          <w:type w:val="oddPage"/>
          <w:pgSz w:w="11906" w:h="16838"/>
          <w:pgMar w:top="1418" w:right="1134" w:bottom="1134" w:left="1134" w:header="709" w:footer="709" w:gutter="0"/>
          <w:pgNumType w:fmt="upperRoman" w:start="1"/>
          <w:cols w:space="708"/>
          <w:docGrid w:linePitch="360"/>
        </w:sectPr>
      </w:pPr>
    </w:p>
    <w:p w:rsidR="009118B0" w:rsidRDefault="00B05358" w:rsidP="00B05358">
      <w:pPr>
        <w:pStyle w:val="Titolo1"/>
        <w:numPr>
          <w:ilvl w:val="0"/>
          <w:numId w:val="0"/>
        </w:numPr>
        <w:jc w:val="center"/>
      </w:pPr>
      <w:bookmarkStart w:id="3" w:name="_Toc507422605"/>
      <w:r>
        <w:lastRenderedPageBreak/>
        <w:t>PARTE I</w:t>
      </w:r>
      <w:bookmarkEnd w:id="3"/>
    </w:p>
    <w:p w:rsidR="009B3417" w:rsidRDefault="00C273FE" w:rsidP="00C273FE">
      <w:pPr>
        <w:pStyle w:val="Titolo2"/>
        <w:numPr>
          <w:ilvl w:val="0"/>
          <w:numId w:val="0"/>
        </w:numPr>
        <w:jc w:val="center"/>
      </w:pPr>
      <w:bookmarkStart w:id="4" w:name="_Toc507422606"/>
      <w:r>
        <w:t>L’EVOLUZIONE DELLE PREVISIONI DI BILANCIO</w:t>
      </w:r>
      <w:bookmarkEnd w:id="4"/>
      <w:r>
        <w:t xml:space="preserve"> </w:t>
      </w:r>
    </w:p>
    <w:p w:rsidR="009118B0" w:rsidRDefault="00C273FE" w:rsidP="00C273FE">
      <w:pPr>
        <w:pStyle w:val="Titolo2"/>
        <w:numPr>
          <w:ilvl w:val="0"/>
          <w:numId w:val="0"/>
        </w:numPr>
        <w:jc w:val="center"/>
      </w:pPr>
      <w:bookmarkStart w:id="5" w:name="_Toc507422607"/>
      <w:r>
        <w:t>DELL’ESERCIZIO 2016</w:t>
      </w:r>
      <w:bookmarkEnd w:id="5"/>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0332EA" w:rsidRDefault="000332EA" w:rsidP="0062750A">
      <w:pPr>
        <w:jc w:val="center"/>
      </w:pPr>
    </w:p>
    <w:p w:rsidR="00B05358" w:rsidRDefault="00B05358" w:rsidP="0062750A">
      <w:pPr>
        <w:jc w:val="center"/>
        <w:sectPr w:rsidR="00B05358" w:rsidSect="009118B0">
          <w:headerReference w:type="default" r:id="rId20"/>
          <w:footerReference w:type="default" r:id="rId21"/>
          <w:type w:val="oddPage"/>
          <w:pgSz w:w="11906" w:h="16838"/>
          <w:pgMar w:top="1418" w:right="1134" w:bottom="1134" w:left="851" w:header="709" w:footer="709" w:gutter="0"/>
          <w:pgNumType w:start="1"/>
          <w:cols w:space="708"/>
          <w:docGrid w:linePitch="360"/>
        </w:sectPr>
      </w:pPr>
    </w:p>
    <w:p w:rsidR="00B2037B" w:rsidRDefault="003E72A8" w:rsidP="00B2037B">
      <w:pPr>
        <w:pStyle w:val="Titolo1"/>
      </w:pPr>
      <w:bookmarkStart w:id="6" w:name="_Toc499040906"/>
      <w:bookmarkStart w:id="7" w:name="_Toc507422608"/>
      <w:r w:rsidRPr="00AC74D2">
        <w:rPr>
          <w:color w:val="auto"/>
        </w:rPr>
        <w:lastRenderedPageBreak/>
        <w:t xml:space="preserve">OSSERVAZIONI PRELIMINARI: </w:t>
      </w:r>
      <w:r>
        <w:rPr>
          <w:color w:val="auto"/>
        </w:rPr>
        <w:t>IL CICLO DI BILANCIO</w:t>
      </w:r>
      <w:bookmarkEnd w:id="6"/>
      <w:bookmarkEnd w:id="7"/>
    </w:p>
    <w:p w:rsidR="003E72A8" w:rsidRPr="00CF238F" w:rsidRDefault="003E72A8" w:rsidP="00CF238F">
      <w:pPr>
        <w:pStyle w:val="CdcTesto"/>
        <w:rPr>
          <w:highlight w:val="yellow"/>
        </w:rPr>
      </w:pPr>
      <w:r w:rsidRPr="006214D4">
        <w:rPr>
          <w:rFonts w:eastAsia="Times New Roman"/>
        </w:rPr>
        <w:t>L’art. 1 co</w:t>
      </w:r>
      <w:r>
        <w:rPr>
          <w:rFonts w:eastAsia="Times New Roman"/>
        </w:rPr>
        <w:t>mma 3 del decreto legge n. 174/</w:t>
      </w:r>
      <w:r w:rsidRPr="006214D4">
        <w:rPr>
          <w:rFonts w:eastAsia="Times New Roman"/>
        </w:rPr>
        <w:t>2012 ha introdotto le verifiche delle Sezioni regionali di controllo della Corte dei conti sui bilanci preventivi e sui rendiconti consuntivi delle Regioni, modellandoli sugli analoghi controlli</w:t>
      </w:r>
      <w:r w:rsidR="00C66656">
        <w:rPr>
          <w:rFonts w:eastAsia="Times New Roman"/>
        </w:rPr>
        <w:t xml:space="preserve"> previsti per gli enti locali. </w:t>
      </w:r>
      <w:r w:rsidRPr="006214D4">
        <w:rPr>
          <w:rFonts w:eastAsia="Times New Roman"/>
        </w:rPr>
        <w:t xml:space="preserve">Con la deliberazione n. 50/2017/FRG la Sezione di controllo ha, pertanto, proceduto all’analisi </w:t>
      </w:r>
      <w:r w:rsidR="009B3417">
        <w:rPr>
          <w:rFonts w:eastAsia="Times New Roman"/>
        </w:rPr>
        <w:t>del bilancio di previsione 2016/</w:t>
      </w:r>
      <w:r w:rsidRPr="006214D4">
        <w:rPr>
          <w:rFonts w:eastAsia="Times New Roman"/>
        </w:rPr>
        <w:t>2018 della Regione Sardeg</w:t>
      </w:r>
      <w:r>
        <w:rPr>
          <w:rFonts w:eastAsia="Times New Roman"/>
        </w:rPr>
        <w:t>na, avvalendosi della relazione</w:t>
      </w:r>
      <w:r w:rsidRPr="006214D4">
        <w:rPr>
          <w:rFonts w:eastAsia="Times New Roman"/>
        </w:rPr>
        <w:t xml:space="preserve">/questionario redatto dal Responsabile dei servizi finanziari, in assenza dell’Organo di revisione. In ordine alle problematiche discendenti dalla mancata istituzione dell’Organo di revisione è stato formulato ulteriore sollecito all’attenzione della </w:t>
      </w:r>
      <w:r w:rsidRPr="00CF238F">
        <w:t>Regione</w:t>
      </w:r>
      <w:r w:rsidRPr="00CF238F">
        <w:rPr>
          <w:vertAlign w:val="superscript"/>
        </w:rPr>
        <w:footnoteReference w:id="49"/>
      </w:r>
      <w:r w:rsidRPr="00CF238F">
        <w:t>.</w:t>
      </w:r>
    </w:p>
    <w:p w:rsidR="003E72A8" w:rsidRPr="00651FFF" w:rsidRDefault="003E72A8" w:rsidP="00CF238F">
      <w:pPr>
        <w:pStyle w:val="CdcTesto"/>
      </w:pPr>
      <w:r w:rsidRPr="00651FFF">
        <w:t>Il rendiconto generale per l’esercizio 2016 è stato approvato dalla Giunta regionale con la deliberazione n. 37/20 del 1</w:t>
      </w:r>
      <w:r w:rsidR="00CF238F" w:rsidRPr="00651FFF">
        <w:t>°</w:t>
      </w:r>
      <w:r w:rsidRPr="00651FFF">
        <w:t xml:space="preserve"> agosto 2017; con successiva deliberazione n. 39/9 del 9 agosto 2017 sono stat</w:t>
      </w:r>
      <w:r w:rsidR="00961C05">
        <w:t xml:space="preserve">i </w:t>
      </w:r>
      <w:r w:rsidR="00961C05" w:rsidRPr="009B0925">
        <w:t>sostituiti</w:t>
      </w:r>
      <w:r w:rsidRPr="00651FFF">
        <w:t xml:space="preserve"> alcuni allegati del rendiconto già approvato.  </w:t>
      </w:r>
    </w:p>
    <w:p w:rsidR="003E72A8" w:rsidRPr="009B0925" w:rsidRDefault="00961C05" w:rsidP="00CF238F">
      <w:pPr>
        <w:pStyle w:val="CdcTesto"/>
      </w:pPr>
      <w:r>
        <w:t>O</w:t>
      </w:r>
      <w:r w:rsidR="003E72A8" w:rsidRPr="00CF238F">
        <w:t>sservando le vicende intercorse nell’esercizio all’esame, si è riscontrato che la Regione ha incontrato difficoltà non adeguatamente stimate in ordine alla complessità del quadro di iniziative organizzative e procedurali cui sarebbe stato necessario</w:t>
      </w:r>
      <w:r w:rsidR="003E72A8" w:rsidRPr="006214D4">
        <w:rPr>
          <w:rFonts w:eastAsia="Times New Roman"/>
        </w:rPr>
        <w:t xml:space="preserve"> dar corso a seguito dell’introduzione dell</w:t>
      </w:r>
      <w:r>
        <w:rPr>
          <w:rFonts w:eastAsia="Times New Roman"/>
        </w:rPr>
        <w:t xml:space="preserve">a </w:t>
      </w:r>
      <w:r w:rsidRPr="009B0925">
        <w:rPr>
          <w:rFonts w:eastAsia="Times New Roman"/>
        </w:rPr>
        <w:t xml:space="preserve">contabilità </w:t>
      </w:r>
      <w:r w:rsidR="003E72A8" w:rsidRPr="009B0925">
        <w:rPr>
          <w:rFonts w:eastAsia="Times New Roman"/>
        </w:rPr>
        <w:t>armonizza</w:t>
      </w:r>
      <w:r w:rsidRPr="009B0925">
        <w:rPr>
          <w:rFonts w:eastAsia="Times New Roman"/>
        </w:rPr>
        <w:t>ta</w:t>
      </w:r>
      <w:r w:rsidR="003E72A8" w:rsidRPr="009B0925">
        <w:rPr>
          <w:rFonts w:eastAsia="Times New Roman"/>
        </w:rPr>
        <w:t xml:space="preserve">. Ciò ha comportato </w:t>
      </w:r>
      <w:r w:rsidRPr="009B0925">
        <w:rPr>
          <w:rFonts w:eastAsia="Times New Roman"/>
        </w:rPr>
        <w:t xml:space="preserve">la </w:t>
      </w:r>
      <w:r w:rsidR="003E72A8" w:rsidRPr="009B0925">
        <w:rPr>
          <w:rFonts w:eastAsia="Times New Roman"/>
        </w:rPr>
        <w:t>dilazion</w:t>
      </w:r>
      <w:r w:rsidRPr="009B0925">
        <w:rPr>
          <w:rFonts w:eastAsia="Times New Roman"/>
        </w:rPr>
        <w:t>e de</w:t>
      </w:r>
      <w:r w:rsidR="003E72A8" w:rsidRPr="009B0925">
        <w:rPr>
          <w:rFonts w:eastAsia="Times New Roman"/>
        </w:rPr>
        <w:t xml:space="preserve">l fisiologico </w:t>
      </w:r>
      <w:r w:rsidR="003E72A8" w:rsidRPr="009B0925">
        <w:t xml:space="preserve">periodo transitorio iniziale e </w:t>
      </w:r>
      <w:r w:rsidRPr="009B0925">
        <w:t xml:space="preserve">ha </w:t>
      </w:r>
      <w:r w:rsidR="003E72A8" w:rsidRPr="009B0925">
        <w:t>determin</w:t>
      </w:r>
      <w:r w:rsidRPr="009B0925">
        <w:t>ato una</w:t>
      </w:r>
      <w:r w:rsidR="003E72A8" w:rsidRPr="009B0925">
        <w:t xml:space="preserve"> instabilità complessiva per la gestione.</w:t>
      </w:r>
    </w:p>
    <w:p w:rsidR="003E72A8" w:rsidRPr="006214D4" w:rsidRDefault="003E72A8" w:rsidP="00CF238F">
      <w:pPr>
        <w:pStyle w:val="CdcTesto"/>
        <w:rPr>
          <w:rFonts w:eastAsia="Times New Roman"/>
        </w:rPr>
      </w:pPr>
      <w:r w:rsidRPr="009B0925">
        <w:t>L</w:t>
      </w:r>
      <w:r w:rsidR="00961C05" w:rsidRPr="009B0925">
        <w:t xml:space="preserve">a contabilità </w:t>
      </w:r>
      <w:r w:rsidRPr="009B0925">
        <w:t>armonizza</w:t>
      </w:r>
      <w:r w:rsidR="00961C05" w:rsidRPr="009B0925">
        <w:t xml:space="preserve">ta </w:t>
      </w:r>
      <w:r w:rsidRPr="009B0925">
        <w:t>(tesa a garantire adeguata</w:t>
      </w:r>
      <w:r w:rsidRPr="00CF238F">
        <w:t xml:space="preserve"> trasparenza sui processi di prelievo e di trasferimento delle risorse, avvicinando i tempi della gestione amministrativa ai tempi reali dei rapporti giuridici),</w:t>
      </w:r>
      <w:r w:rsidRPr="006214D4">
        <w:rPr>
          <w:rFonts w:eastAsia="Times New Roman"/>
        </w:rPr>
        <w:t xml:space="preserve"> infatti, si articola in un complesso di schemi contabili (cosiddetti allegati integrativi) a mezzo dei quali trovano esposizione ambiti di gestione regionale, cui finora non era assicurata evidenza nelle scritture. In conseguenza dal nuovo scenario della contabilità armonizzata, ovvero dalle scritture regionali di bilancio, è più agevole risalire dall’informazione strettamente contabile a quella organizzativo-gestionale per intercettarne le possibili disfunzioni e proporre le azioni correttive.</w:t>
      </w:r>
    </w:p>
    <w:p w:rsidR="003E72A8" w:rsidRPr="006214D4" w:rsidRDefault="003E72A8" w:rsidP="003E72A8">
      <w:pPr>
        <w:pStyle w:val="CdcTesto"/>
        <w:rPr>
          <w:rFonts w:eastAsia="Times New Roman"/>
        </w:rPr>
      </w:pPr>
      <w:r w:rsidRPr="006214D4">
        <w:rPr>
          <w:rFonts w:eastAsia="Times New Roman"/>
        </w:rPr>
        <w:t xml:space="preserve">A conferma delle difficoltà affrontate da parte dell’Amministrazione regionale, si richiamano le ripetute operazioni di rettifica e correzione dei quadri contabili a corredo del bilancio (intervenute con leggi o provvedimenti), cui la Regione ha fatto ricorso negli esercizi 2015, 2016 </w:t>
      </w:r>
      <w:r w:rsidRPr="00651FFF">
        <w:rPr>
          <w:rFonts w:eastAsia="Times New Roman"/>
        </w:rPr>
        <w:t xml:space="preserve">e 2017 come </w:t>
      </w:r>
      <w:r w:rsidRPr="00651FFF">
        <w:rPr>
          <w:rFonts w:eastAsia="Times New Roman"/>
        </w:rPr>
        <w:lastRenderedPageBreak/>
        <w:t>evidenziato dalla tabella che segue, oltre alle numerosissime operazioni di variazione delle poste di bilancio a titolo di rimodulazione interna di cui si riferirà nel corso della presente relazione.</w:t>
      </w:r>
    </w:p>
    <w:p w:rsidR="003E72A8" w:rsidRPr="006214D4" w:rsidRDefault="003E72A8" w:rsidP="003E72A8">
      <w:pPr>
        <w:pStyle w:val="CdcTesto"/>
        <w:rPr>
          <w:rFonts w:eastAsia="Times New Roman"/>
        </w:rPr>
      </w:pPr>
      <w:r w:rsidRPr="00651FFF">
        <w:rPr>
          <w:rFonts w:eastAsia="Times New Roman"/>
        </w:rPr>
        <w:t>Tra l’altro,</w:t>
      </w:r>
      <w:r w:rsidRPr="006214D4">
        <w:rPr>
          <w:rFonts w:eastAsia="Times New Roman"/>
        </w:rPr>
        <w:t xml:space="preserve"> a seguito della sentenza della Corte costituzionale n. 6/2017, </w:t>
      </w:r>
      <w:r w:rsidR="00BB004A" w:rsidRPr="009B0925">
        <w:rPr>
          <w:rFonts w:eastAsia="Times New Roman"/>
        </w:rPr>
        <w:t>che ha di</w:t>
      </w:r>
      <w:r w:rsidR="00E61468" w:rsidRPr="009B0925">
        <w:rPr>
          <w:rFonts w:eastAsia="Times New Roman"/>
        </w:rPr>
        <w:t>chiar</w:t>
      </w:r>
      <w:r w:rsidR="00BB004A" w:rsidRPr="009B0925">
        <w:rPr>
          <w:rFonts w:eastAsia="Times New Roman"/>
        </w:rPr>
        <w:t xml:space="preserve">ato l’illegittimità dell’art. 3 della legge regionale n. 6/2016 </w:t>
      </w:r>
      <w:r w:rsidRPr="009B0925">
        <w:rPr>
          <w:rFonts w:eastAsia="Times New Roman"/>
        </w:rPr>
        <w:t>si è reso necessario, ad esercizio ormai</w:t>
      </w:r>
      <w:r w:rsidRPr="006214D4">
        <w:rPr>
          <w:rFonts w:eastAsia="Times New Roman"/>
        </w:rPr>
        <w:t xml:space="preserve"> concluso, intervenire sulla legge di bilancio al fine di ristabilire l’equilibrio previsionale, riducendo alcune poste di spesa per un valore di 31 milioni circa. </w:t>
      </w:r>
    </w:p>
    <w:p w:rsidR="003E72A8" w:rsidRPr="00651FFF" w:rsidRDefault="003E72A8" w:rsidP="003E72A8">
      <w:pPr>
        <w:pStyle w:val="CdcTesto"/>
        <w:rPr>
          <w:rFonts w:eastAsia="Times New Roman"/>
        </w:rPr>
      </w:pPr>
      <w:r w:rsidRPr="006214D4">
        <w:rPr>
          <w:rFonts w:eastAsia="Times New Roman"/>
        </w:rPr>
        <w:t>Con la legge regionale n. 3/2017 sono state, quindi, apportate nel corpo della precedente legge regionale n. 6/2016 rettifiche che non si sono limitate ad operare gli interventi sugli equilibri prescritti dalla Corte costituzionale. L’esame comparato della legge regionale 6/2016 con la legge n. 3</w:t>
      </w:r>
      <w:r w:rsidRPr="00651FFF">
        <w:rPr>
          <w:rFonts w:eastAsia="Times New Roman"/>
          <w:color w:val="auto"/>
        </w:rPr>
        <w:t xml:space="preserve">/2017 </w:t>
      </w:r>
      <w:r w:rsidRPr="00651FFF">
        <w:rPr>
          <w:rFonts w:eastAsia="Times New Roman"/>
        </w:rPr>
        <w:t>ha</w:t>
      </w:r>
      <w:r w:rsidRPr="006214D4">
        <w:rPr>
          <w:rFonts w:eastAsia="Times New Roman"/>
        </w:rPr>
        <w:t xml:space="preserve">, infatti, posto in evidenza modifiche apportate in numerosi punti nel corpo degli allegati. Il processo correttivo </w:t>
      </w:r>
      <w:r w:rsidRPr="00651FFF">
        <w:rPr>
          <w:rFonts w:eastAsia="Times New Roman"/>
        </w:rPr>
        <w:t>è proseguito con la manovra di assestamento finale dell’esercizio 2016 intervenuta ad una notevole distanza temporale dalla chiusura dell’esercizio stesso, in contraddizione con la sua precipua funzione che risiede, invece, nell’aggiustamento delle p</w:t>
      </w:r>
      <w:r w:rsidR="00DA21C5" w:rsidRPr="00651FFF">
        <w:rPr>
          <w:rFonts w:eastAsia="Times New Roman"/>
        </w:rPr>
        <w:t xml:space="preserve">revisioni entro il 31 luglio, </w:t>
      </w:r>
      <w:r w:rsidRPr="00651FFF">
        <w:rPr>
          <w:rFonts w:eastAsia="Times New Roman"/>
        </w:rPr>
        <w:t>ovvero nel corso della gestione</w:t>
      </w:r>
      <w:r w:rsidR="00DA21C5" w:rsidRPr="00651FFF">
        <w:rPr>
          <w:rFonts w:eastAsia="Times New Roman"/>
        </w:rPr>
        <w:t xml:space="preserve"> (</w:t>
      </w:r>
      <w:r w:rsidRPr="00651FFF">
        <w:rPr>
          <w:rFonts w:eastAsia="Times New Roman"/>
        </w:rPr>
        <w:t>art. 50 D.Lgs. 118/2011).</w:t>
      </w:r>
    </w:p>
    <w:p w:rsidR="003E72A8" w:rsidRPr="00651FFF" w:rsidRDefault="003E72A8" w:rsidP="003E72A8">
      <w:pPr>
        <w:pStyle w:val="CdcTesto"/>
        <w:rPr>
          <w:rFonts w:eastAsia="Times New Roman"/>
        </w:rPr>
      </w:pPr>
      <w:r w:rsidRPr="00651FFF">
        <w:rPr>
          <w:rFonts w:eastAsia="Times New Roman"/>
        </w:rPr>
        <w:t>Il disallineamento temporale registrato dalle diverse fasi del bilancio di prev</w:t>
      </w:r>
      <w:r w:rsidR="00DA21C5" w:rsidRPr="00651FFF">
        <w:rPr>
          <w:rFonts w:eastAsia="Times New Roman"/>
        </w:rPr>
        <w:t>isione 2016</w:t>
      </w:r>
      <w:r w:rsidRPr="00651FFF">
        <w:rPr>
          <w:rFonts w:eastAsia="Times New Roman"/>
        </w:rPr>
        <w:t>, riducendone l’efficacia autorizzatoria, ha privato la gestione di indispensabili presupposti di certezza, introducendo profili di frammentarietà che hanno reso difficile pervenire ad una organica ricostruzione del quadro di riferimento gestionale e di verifica del rispetto dei canoni e dei vincoli di finanza pubblica.</w:t>
      </w:r>
    </w:p>
    <w:p w:rsidR="003E72A8" w:rsidRPr="009B0925" w:rsidRDefault="003E72A8" w:rsidP="003E72A8">
      <w:pPr>
        <w:pStyle w:val="CdcTesto"/>
        <w:rPr>
          <w:rFonts w:eastAsia="Times New Roman"/>
        </w:rPr>
      </w:pPr>
      <w:r w:rsidRPr="00651FFF">
        <w:rPr>
          <w:rFonts w:eastAsia="Times New Roman"/>
        </w:rPr>
        <w:t>Le vicende descritte</w:t>
      </w:r>
      <w:r w:rsidR="00550C97">
        <w:rPr>
          <w:rFonts w:eastAsia="Times New Roman"/>
        </w:rPr>
        <w:t>,</w:t>
      </w:r>
      <w:r w:rsidRPr="00651FFF">
        <w:rPr>
          <w:rFonts w:eastAsia="Times New Roman"/>
        </w:rPr>
        <w:t xml:space="preserve"> oltre a segnalare un difficoltoso processo </w:t>
      </w:r>
      <w:r w:rsidRPr="009B0925">
        <w:rPr>
          <w:rFonts w:eastAsia="Times New Roman"/>
        </w:rPr>
        <w:t xml:space="preserve">di </w:t>
      </w:r>
      <w:r w:rsidR="00BB004A" w:rsidRPr="009B0925">
        <w:rPr>
          <w:rFonts w:eastAsia="Times New Roman"/>
        </w:rPr>
        <w:t>attua</w:t>
      </w:r>
      <w:r w:rsidRPr="009B0925">
        <w:rPr>
          <w:rFonts w:eastAsia="Times New Roman"/>
        </w:rPr>
        <w:t>zione</w:t>
      </w:r>
      <w:r w:rsidR="00BB004A" w:rsidRPr="009B0925">
        <w:rPr>
          <w:rFonts w:eastAsia="Times New Roman"/>
        </w:rPr>
        <w:t xml:space="preserve"> della contabilità armonizzata</w:t>
      </w:r>
      <w:r w:rsidRPr="009B0925">
        <w:rPr>
          <w:rFonts w:eastAsia="Times New Roman"/>
        </w:rPr>
        <w:t>, hanno appesantito gli approfondimenti istruttori di competenza di questa Sezione, che non dispone ancora dell’ausilio del Collegio dei revisori al quale sono intestati fondamentali compiti di controllo e di attestazione in ordine alla correttezza ed affidabilità delle operazioni contabili confluite nelle scritture di rendiconto.</w:t>
      </w:r>
    </w:p>
    <w:p w:rsidR="003E72A8" w:rsidRPr="006214D4" w:rsidRDefault="00C91781" w:rsidP="003E72A8">
      <w:pPr>
        <w:pStyle w:val="CdcTesto"/>
        <w:rPr>
          <w:rFonts w:eastAsia="Times New Roman"/>
        </w:rPr>
      </w:pPr>
      <w:r w:rsidRPr="009B0925">
        <w:rPr>
          <w:rFonts w:eastAsia="Times New Roman"/>
        </w:rPr>
        <w:t xml:space="preserve">Per attuare correttamente </w:t>
      </w:r>
      <w:r w:rsidR="003E72A8" w:rsidRPr="009B0925">
        <w:rPr>
          <w:rFonts w:eastAsia="Times New Roman"/>
        </w:rPr>
        <w:t>l</w:t>
      </w:r>
      <w:r w:rsidRPr="009B0925">
        <w:rPr>
          <w:rFonts w:eastAsia="Times New Roman"/>
        </w:rPr>
        <w:t xml:space="preserve">a contabilità </w:t>
      </w:r>
      <w:r w:rsidR="003E72A8" w:rsidRPr="009B0925">
        <w:rPr>
          <w:rFonts w:eastAsia="Times New Roman"/>
        </w:rPr>
        <w:t>armonizza</w:t>
      </w:r>
      <w:r w:rsidRPr="009B0925">
        <w:rPr>
          <w:rFonts w:eastAsia="Times New Roman"/>
        </w:rPr>
        <w:t xml:space="preserve">ta è necessario </w:t>
      </w:r>
      <w:r w:rsidR="003E72A8" w:rsidRPr="009B0925">
        <w:rPr>
          <w:rFonts w:eastAsia="Times New Roman"/>
        </w:rPr>
        <w:t xml:space="preserve">un ordinato quadro ordinamentale </w:t>
      </w:r>
      <w:r w:rsidRPr="009B0925">
        <w:rPr>
          <w:rFonts w:eastAsia="Times New Roman"/>
        </w:rPr>
        <w:t xml:space="preserve">e di adempimenti </w:t>
      </w:r>
      <w:r w:rsidR="003E72A8" w:rsidRPr="009B0925">
        <w:rPr>
          <w:rFonts w:eastAsia="Times New Roman"/>
        </w:rPr>
        <w:t>che parta da moduli di programmazione dotati di adeguata</w:t>
      </w:r>
      <w:r w:rsidR="003E72A8" w:rsidRPr="006214D4">
        <w:rPr>
          <w:rFonts w:eastAsia="Times New Roman"/>
        </w:rPr>
        <w:t xml:space="preserve"> capacità previsionale, conformati secondo i nuovi modelli armonizzati, da riversarsi puntualmente nelle scritture di bilancio, assicurando un agevole percorso di lettura per tutti i fruitori del bilancio pubblico.</w:t>
      </w:r>
    </w:p>
    <w:p w:rsidR="003E72A8" w:rsidRPr="006214D4" w:rsidRDefault="003E72A8" w:rsidP="003E72A8">
      <w:pPr>
        <w:pStyle w:val="CdcTesto"/>
        <w:rPr>
          <w:rFonts w:eastAsia="Times New Roman"/>
        </w:rPr>
      </w:pPr>
      <w:r w:rsidRPr="006214D4">
        <w:rPr>
          <w:rFonts w:eastAsia="Times New Roman"/>
        </w:rPr>
        <w:lastRenderedPageBreak/>
        <w:t>In sequenza, l’armonizzazione comporta anche un maggiore impegno nella tenuta dei conti e dei rapporti giuridici sottostanti da parte delle unità operative/CdR e a tal fine appare essenziale per questi ultimi disporre di una adeguata strumentazione informativa ed informatica.</w:t>
      </w:r>
    </w:p>
    <w:p w:rsidR="003E72A8" w:rsidRPr="00651FFF" w:rsidRDefault="003E72A8" w:rsidP="003E72A8">
      <w:pPr>
        <w:pStyle w:val="CdcTesto"/>
        <w:rPr>
          <w:rFonts w:eastAsia="Times New Roman"/>
        </w:rPr>
      </w:pPr>
      <w:r w:rsidRPr="00651FFF">
        <w:rPr>
          <w:rFonts w:eastAsia="Times New Roman"/>
        </w:rPr>
        <w:t xml:space="preserve">La tempistica che ha caratterizzato lo svolgimento del bilancio 2016 non solo ha determinato consistenti ritardi, ma ha comportato il rischio di sovrapposizioni gestionali con la tenuta dei conti di pertinenza del bilancio 2017. A tal proposito si tenga conto del fatto che l’ultima manovra di </w:t>
      </w:r>
      <w:r w:rsidR="00CF238F" w:rsidRPr="00651FFF">
        <w:rPr>
          <w:rFonts w:eastAsia="Times New Roman"/>
        </w:rPr>
        <w:t>assestamento delle</w:t>
      </w:r>
      <w:r w:rsidRPr="00651FFF">
        <w:rPr>
          <w:rFonts w:eastAsia="Times New Roman"/>
        </w:rPr>
        <w:t xml:space="preserve"> previsioni del 2016 è intervenuta solo nel giugno del 2017 (attraverso la modifica delle leggi regionali n. 32 e 36 del 2016 e n. 3 e 6 del 2017, tutte interessanti l’esercizio 2016). Di qui, in conseguenza, il ritardo nell’approvazione del rendiconto 2016 da parte della Giunta regionale.</w:t>
      </w:r>
    </w:p>
    <w:p w:rsidR="003E72A8" w:rsidRPr="009B0925" w:rsidRDefault="003E72A8" w:rsidP="003E72A8">
      <w:pPr>
        <w:pStyle w:val="CdcTesto"/>
        <w:rPr>
          <w:rFonts w:eastAsia="Times New Roman"/>
        </w:rPr>
      </w:pPr>
      <w:r w:rsidRPr="00651FFF">
        <w:rPr>
          <w:rFonts w:eastAsia="Times New Roman"/>
        </w:rPr>
        <w:t>La Sezione ribadisce</w:t>
      </w:r>
      <w:r w:rsidR="00C91781">
        <w:rPr>
          <w:rFonts w:eastAsia="Times New Roman"/>
        </w:rPr>
        <w:t xml:space="preserve"> </w:t>
      </w:r>
      <w:r w:rsidR="00C91781" w:rsidRPr="009B0925">
        <w:rPr>
          <w:rFonts w:eastAsia="Times New Roman"/>
        </w:rPr>
        <w:t xml:space="preserve">che il </w:t>
      </w:r>
      <w:r w:rsidRPr="009B0925">
        <w:rPr>
          <w:rFonts w:eastAsia="Times New Roman"/>
        </w:rPr>
        <w:t xml:space="preserve">puntuale rispetto dei termini per l’approvazione dei documenti contabili </w:t>
      </w:r>
      <w:r w:rsidR="00C91781" w:rsidRPr="009B0925">
        <w:rPr>
          <w:rFonts w:eastAsia="Times New Roman"/>
        </w:rPr>
        <w:t xml:space="preserve">costituisce un </w:t>
      </w:r>
      <w:r w:rsidRPr="009B0925">
        <w:rPr>
          <w:rFonts w:eastAsia="Times New Roman"/>
        </w:rPr>
        <w:t xml:space="preserve">presupposto imprescindibile per la corretta attuazione della programmazione politico-amministrativa, nonché per l’effettività della riforma </w:t>
      </w:r>
      <w:r w:rsidR="00C91781" w:rsidRPr="009B0925">
        <w:rPr>
          <w:rFonts w:eastAsia="Times New Roman"/>
        </w:rPr>
        <w:t>contabile</w:t>
      </w:r>
      <w:r w:rsidRPr="009B0925">
        <w:rPr>
          <w:rFonts w:eastAsia="Times New Roman"/>
        </w:rPr>
        <w:t>.</w:t>
      </w:r>
    </w:p>
    <w:p w:rsidR="003E72A8" w:rsidRPr="00651FFF" w:rsidRDefault="008B3D4F" w:rsidP="003E72A8">
      <w:pPr>
        <w:pStyle w:val="CdcTesto"/>
        <w:rPr>
          <w:rFonts w:eastAsia="Times New Roman"/>
        </w:rPr>
      </w:pPr>
      <w:r w:rsidRPr="009B0925">
        <w:rPr>
          <w:rFonts w:eastAsia="Times New Roman"/>
        </w:rPr>
        <w:t>I</w:t>
      </w:r>
      <w:r w:rsidR="003E72A8" w:rsidRPr="009B0925">
        <w:rPr>
          <w:rFonts w:eastAsia="Times New Roman"/>
        </w:rPr>
        <w:t xml:space="preserve">l ritardo intervenuto nell’approvazione del rendiconto da parte della Giunta regionale rispetto al termine del 30 aprile, nonché </w:t>
      </w:r>
      <w:r w:rsidRPr="009B0925">
        <w:rPr>
          <w:rFonts w:eastAsia="Times New Roman"/>
        </w:rPr>
        <w:t xml:space="preserve">il </w:t>
      </w:r>
      <w:r w:rsidR="003E72A8" w:rsidRPr="009B0925">
        <w:rPr>
          <w:rFonts w:eastAsia="Times New Roman"/>
        </w:rPr>
        <w:t>conseguente ritardo nell’approvazione da parte del Consiglio ris</w:t>
      </w:r>
      <w:r w:rsidR="00651FFF" w:rsidRPr="009B0925">
        <w:rPr>
          <w:rFonts w:eastAsia="Times New Roman"/>
        </w:rPr>
        <w:t xml:space="preserve">petto al termine del </w:t>
      </w:r>
      <w:r w:rsidR="003E72A8" w:rsidRPr="009B0925">
        <w:rPr>
          <w:rFonts w:eastAsia="Times New Roman"/>
        </w:rPr>
        <w:t>31 luglio</w:t>
      </w:r>
      <w:r w:rsidR="009B3417">
        <w:rPr>
          <w:rFonts w:eastAsia="Times New Roman"/>
        </w:rPr>
        <w:t xml:space="preserve"> (art. 18 e art. 66 D.</w:t>
      </w:r>
      <w:r w:rsidR="00234A57" w:rsidRPr="009B0925">
        <w:rPr>
          <w:rFonts w:eastAsia="Times New Roman"/>
        </w:rPr>
        <w:t>Lgs.</w:t>
      </w:r>
      <w:r w:rsidR="003E72A8" w:rsidRPr="009B0925">
        <w:rPr>
          <w:rFonts w:eastAsia="Times New Roman"/>
        </w:rPr>
        <w:t xml:space="preserve"> n. 118 del 23 maggio 2011 recante la nuova disciplina dell’armonizzazione contabile), </w:t>
      </w:r>
      <w:r w:rsidRPr="009B0925">
        <w:rPr>
          <w:rFonts w:eastAsia="Times New Roman"/>
        </w:rPr>
        <w:t xml:space="preserve">potrebbero comportare l’effetto di produrre limitazioni a carico della gestione. </w:t>
      </w:r>
      <w:r w:rsidR="007C0396">
        <w:rPr>
          <w:rFonts w:eastAsia="Times New Roman"/>
        </w:rPr>
        <w:t xml:space="preserve">In caso di mancato rispetto dei termini previsti per l’approvazione dei bilanci di previsione, dei rendiconti e del bilancio consolidato </w:t>
      </w:r>
      <w:r w:rsidRPr="009B0925">
        <w:rPr>
          <w:rFonts w:eastAsia="Times New Roman"/>
        </w:rPr>
        <w:t xml:space="preserve">si </w:t>
      </w:r>
      <w:r w:rsidR="003E72A8" w:rsidRPr="009B0925">
        <w:rPr>
          <w:rFonts w:eastAsia="Times New Roman"/>
        </w:rPr>
        <w:t>richiama</w:t>
      </w:r>
      <w:r w:rsidR="003E72A8" w:rsidRPr="00651FFF">
        <w:rPr>
          <w:rFonts w:eastAsia="Times New Roman"/>
        </w:rPr>
        <w:t xml:space="preserve"> il divieto di procedere ad assunzioni di personale a qualsiasi titolo, con qualsivoglia tipologia contrattuale, ivi compresi i rapporti di collaborazione continuata e continuativa e di somministrazione, anche con riferimento ai processi di stabilizzazione in atto, fino a quando non abbiano adempiuto (v. art. 9 d</w:t>
      </w:r>
      <w:r w:rsidR="00651FFF">
        <w:rPr>
          <w:rFonts w:eastAsia="Times New Roman"/>
        </w:rPr>
        <w:t xml:space="preserve">el D.L. 24 giugno 2016 n. 113, </w:t>
      </w:r>
      <w:r w:rsidR="003E72A8" w:rsidRPr="00651FFF">
        <w:rPr>
          <w:rFonts w:eastAsia="Times New Roman"/>
        </w:rPr>
        <w:t>converti</w:t>
      </w:r>
      <w:r w:rsidR="00086974">
        <w:rPr>
          <w:rFonts w:eastAsia="Times New Roman"/>
        </w:rPr>
        <w:t xml:space="preserve">to dalla legge 7 </w:t>
      </w:r>
      <w:r w:rsidR="009F2C6B">
        <w:rPr>
          <w:rFonts w:eastAsia="Times New Roman"/>
        </w:rPr>
        <w:t xml:space="preserve">agosto 2016 n. </w:t>
      </w:r>
      <w:r w:rsidR="003E72A8" w:rsidRPr="00651FFF">
        <w:rPr>
          <w:rFonts w:eastAsia="Times New Roman"/>
        </w:rPr>
        <w:t>160).</w:t>
      </w:r>
    </w:p>
    <w:p w:rsidR="001D352C" w:rsidRDefault="00B81F5B" w:rsidP="00086974">
      <w:pPr>
        <w:pStyle w:val="Didascalia"/>
        <w:spacing w:before="120"/>
      </w:pPr>
      <w:bookmarkStart w:id="8" w:name="_Toc507422469"/>
      <w:r>
        <w:t xml:space="preserve">Tabella </w:t>
      </w:r>
      <w:r w:rsidR="00B90472">
        <w:fldChar w:fldCharType="begin"/>
      </w:r>
      <w:r w:rsidR="00B90472">
        <w:instrText xml:space="preserve"> SEQ Tabella \* ARABIC </w:instrText>
      </w:r>
      <w:r w:rsidR="00B90472">
        <w:fldChar w:fldCharType="separate"/>
      </w:r>
      <w:r w:rsidR="008616B3">
        <w:rPr>
          <w:noProof/>
        </w:rPr>
        <w:t>1</w:t>
      </w:r>
      <w:r w:rsidR="00B90472">
        <w:rPr>
          <w:noProof/>
        </w:rPr>
        <w:fldChar w:fldCharType="end"/>
      </w:r>
      <w:r>
        <w:t xml:space="preserve"> – Ciclo di bilancio</w:t>
      </w:r>
      <w:bookmarkEnd w:id="8"/>
    </w:p>
    <w:tbl>
      <w:tblPr>
        <w:tblStyle w:val="Grigliatabella"/>
        <w:tblW w:w="5075" w:type="pct"/>
        <w:tblLook w:val="04A0" w:firstRow="1" w:lastRow="0" w:firstColumn="1" w:lastColumn="0" w:noHBand="0" w:noVBand="1"/>
      </w:tblPr>
      <w:tblGrid>
        <w:gridCol w:w="4054"/>
        <w:gridCol w:w="6235"/>
      </w:tblGrid>
      <w:tr w:rsidR="00651FFF" w:rsidRPr="003E3713" w:rsidTr="00086974">
        <w:trPr>
          <w:trHeight w:val="269"/>
        </w:trPr>
        <w:tc>
          <w:tcPr>
            <w:tcW w:w="1970" w:type="pct"/>
            <w:shd w:val="clear" w:color="auto" w:fill="95B3D7" w:themeFill="accent1" w:themeFillTint="99"/>
            <w:vAlign w:val="center"/>
          </w:tcPr>
          <w:p w:rsidR="00651FFF" w:rsidRPr="00195726" w:rsidRDefault="00651FFF" w:rsidP="007E105E">
            <w:pPr>
              <w:pStyle w:val="CdcTesto"/>
              <w:spacing w:after="0" w:line="240" w:lineRule="auto"/>
              <w:jc w:val="left"/>
              <w:rPr>
                <w:color w:val="FFFFFF" w:themeColor="background1"/>
                <w:sz w:val="20"/>
                <w:szCs w:val="20"/>
              </w:rPr>
            </w:pPr>
            <w:r w:rsidRPr="00195726">
              <w:rPr>
                <w:color w:val="FFFFFF" w:themeColor="background1"/>
                <w:sz w:val="20"/>
                <w:szCs w:val="20"/>
              </w:rPr>
              <w:t>Documento di economia e finanza regionale (DEFR)</w:t>
            </w:r>
          </w:p>
        </w:tc>
        <w:tc>
          <w:tcPr>
            <w:tcW w:w="3030" w:type="pct"/>
            <w:shd w:val="clear" w:color="auto" w:fill="95B3D7" w:themeFill="accent1" w:themeFillTint="99"/>
            <w:vAlign w:val="center"/>
          </w:tcPr>
          <w:p w:rsidR="00651FFF" w:rsidRPr="00195726" w:rsidRDefault="00651FFF" w:rsidP="007E105E">
            <w:pPr>
              <w:pStyle w:val="CdcTesto"/>
              <w:spacing w:after="0" w:line="240" w:lineRule="auto"/>
              <w:rPr>
                <w:color w:val="FFFFFF" w:themeColor="background1"/>
                <w:sz w:val="20"/>
                <w:szCs w:val="20"/>
              </w:rPr>
            </w:pPr>
            <w:r w:rsidRPr="00195726">
              <w:rPr>
                <w:color w:val="FFFFFF" w:themeColor="background1"/>
                <w:sz w:val="20"/>
                <w:szCs w:val="20"/>
              </w:rPr>
              <w:t>Risoluzione 8/7 del 17 marzo 2016 del Consiglio Regionale</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13 gennaio 2016 n. 1</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Autorizzazione all’esercizio provvisorio del bilancio per l’anno 2016</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1° marzo 2016 n. 3</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Proroga dell’autorizzazione all’esercizio provvisorio del bilancio per l’anno 2016</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11 aprile 2016 n. 6</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Bilancio di previsione 2016 e bilancio pluriennale 2016-2018</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2 dicembre 2016 n. 32</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Variazioni del bilancio 2016 e del bilancio pluriennale 2016-2018 ai sensi dell’art. 51 del D.Lgs. 118/2011</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22 dicembre 2016 n. 35</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Approvazione Rendiconto generale della Regione per l’esercizio finanziario 2015 e del rendiconto consolidato per l’esercizio finanziario 2015 (costituito dalla gestione del bilancio della Giunta regionale e del Consiglio regionale)</w:t>
            </w:r>
          </w:p>
        </w:tc>
      </w:tr>
      <w:tr w:rsidR="007E105E" w:rsidRPr="003E3713" w:rsidTr="00086974">
        <w:tc>
          <w:tcPr>
            <w:tcW w:w="1970" w:type="pct"/>
            <w:shd w:val="clear" w:color="auto" w:fill="95B3D7" w:themeFill="accent1" w:themeFillTint="99"/>
            <w:vAlign w:val="center"/>
          </w:tcPr>
          <w:p w:rsidR="007E105E" w:rsidRPr="00195726" w:rsidRDefault="00651FFF" w:rsidP="007E105E">
            <w:pPr>
              <w:pStyle w:val="CdcTesto"/>
              <w:spacing w:after="0" w:line="240" w:lineRule="auto"/>
              <w:jc w:val="left"/>
              <w:rPr>
                <w:color w:val="FFFFFF" w:themeColor="background1"/>
                <w:sz w:val="20"/>
                <w:szCs w:val="20"/>
              </w:rPr>
            </w:pPr>
            <w:r w:rsidRPr="00195726">
              <w:rPr>
                <w:color w:val="FFFFFF" w:themeColor="background1"/>
                <w:sz w:val="20"/>
                <w:szCs w:val="20"/>
              </w:rPr>
              <w:t>L.R. 22 dicembre 2016</w:t>
            </w:r>
            <w:r w:rsidR="007E105E" w:rsidRPr="00195726">
              <w:rPr>
                <w:color w:val="FFFFFF" w:themeColor="background1"/>
                <w:sz w:val="20"/>
                <w:szCs w:val="20"/>
              </w:rPr>
              <w:t xml:space="preserve"> n. 36</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Assestamento del bilancio per l’esercizio finanziario 2016 e del bilancio pluriennale 2016-2018 ai sensi dell’art. 50 del D-Lgs. 118/2011</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lastRenderedPageBreak/>
              <w:t>L.R. 16 marzo 2017 n. 3</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Modifiche alla L.R. n. 6 del 2016 (bilancio di previsione 2016 e pluriennale 2016-2018) conseguenti alla sentenza della Corte costituzionale n. 6 del 2017</w:t>
            </w:r>
          </w:p>
        </w:tc>
      </w:tr>
      <w:tr w:rsidR="00651FFF" w:rsidRPr="003E3713" w:rsidTr="00086974">
        <w:trPr>
          <w:trHeight w:val="140"/>
        </w:trPr>
        <w:tc>
          <w:tcPr>
            <w:tcW w:w="1970" w:type="pct"/>
            <w:shd w:val="clear" w:color="auto" w:fill="95B3D7" w:themeFill="accent1" w:themeFillTint="99"/>
            <w:vAlign w:val="center"/>
          </w:tcPr>
          <w:p w:rsidR="00651FFF" w:rsidRPr="00195726" w:rsidRDefault="00651FFF" w:rsidP="00651FFF">
            <w:pPr>
              <w:pStyle w:val="CdcTesto"/>
              <w:spacing w:after="0" w:line="240" w:lineRule="auto"/>
              <w:jc w:val="left"/>
              <w:rPr>
                <w:color w:val="FFFFFF" w:themeColor="background1"/>
                <w:sz w:val="20"/>
                <w:szCs w:val="20"/>
              </w:rPr>
            </w:pPr>
            <w:r w:rsidRPr="00195726">
              <w:rPr>
                <w:color w:val="FFFFFF" w:themeColor="background1"/>
                <w:sz w:val="20"/>
                <w:szCs w:val="20"/>
              </w:rPr>
              <w:t>L.R. 13 aprile 2017 n. 6</w:t>
            </w:r>
          </w:p>
        </w:tc>
        <w:tc>
          <w:tcPr>
            <w:tcW w:w="3030" w:type="pct"/>
            <w:shd w:val="clear" w:color="auto" w:fill="95B3D7" w:themeFill="accent1" w:themeFillTint="99"/>
            <w:vAlign w:val="center"/>
          </w:tcPr>
          <w:p w:rsidR="00651FFF" w:rsidRPr="00195726" w:rsidRDefault="00651FFF" w:rsidP="00651FFF">
            <w:pPr>
              <w:pStyle w:val="CdcTesto"/>
              <w:spacing w:after="0" w:line="240" w:lineRule="auto"/>
              <w:rPr>
                <w:color w:val="FFFFFF" w:themeColor="background1"/>
                <w:sz w:val="20"/>
                <w:szCs w:val="20"/>
              </w:rPr>
            </w:pPr>
            <w:r w:rsidRPr="00195726">
              <w:rPr>
                <w:color w:val="FFFFFF" w:themeColor="background1"/>
                <w:sz w:val="20"/>
                <w:szCs w:val="20"/>
              </w:rPr>
              <w:t>Bilancio di previsione triennale 2017-2019</w:t>
            </w:r>
          </w:p>
        </w:tc>
      </w:tr>
      <w:tr w:rsidR="007E105E" w:rsidRPr="003E3713" w:rsidTr="00086974">
        <w:tc>
          <w:tcPr>
            <w:tcW w:w="1970" w:type="pct"/>
            <w:shd w:val="clear" w:color="auto" w:fill="95B3D7" w:themeFill="accent1" w:themeFillTint="99"/>
            <w:vAlign w:val="center"/>
          </w:tcPr>
          <w:p w:rsidR="007E105E" w:rsidRPr="00195726" w:rsidRDefault="007E105E" w:rsidP="007E105E">
            <w:pPr>
              <w:pStyle w:val="CdcTesto"/>
              <w:spacing w:after="0" w:line="240" w:lineRule="auto"/>
              <w:jc w:val="left"/>
              <w:rPr>
                <w:color w:val="FFFFFF" w:themeColor="background1"/>
                <w:sz w:val="20"/>
                <w:szCs w:val="20"/>
              </w:rPr>
            </w:pPr>
            <w:r w:rsidRPr="00195726">
              <w:rPr>
                <w:color w:val="FFFFFF" w:themeColor="background1"/>
                <w:sz w:val="20"/>
                <w:szCs w:val="20"/>
              </w:rPr>
              <w:t>L.R. 1° giugno 2017 n. 10</w:t>
            </w:r>
          </w:p>
        </w:tc>
        <w:tc>
          <w:tcPr>
            <w:tcW w:w="3030" w:type="pct"/>
            <w:shd w:val="clear" w:color="auto" w:fill="95B3D7" w:themeFill="accent1" w:themeFillTint="99"/>
            <w:vAlign w:val="center"/>
          </w:tcPr>
          <w:p w:rsidR="007E105E" w:rsidRPr="00195726" w:rsidRDefault="007E105E" w:rsidP="007E105E">
            <w:pPr>
              <w:pStyle w:val="CdcTesto"/>
              <w:spacing w:after="0" w:line="240" w:lineRule="auto"/>
              <w:rPr>
                <w:color w:val="FFFFFF" w:themeColor="background1"/>
                <w:sz w:val="20"/>
                <w:szCs w:val="20"/>
              </w:rPr>
            </w:pPr>
            <w:r w:rsidRPr="00195726">
              <w:rPr>
                <w:color w:val="FFFFFF" w:themeColor="background1"/>
                <w:sz w:val="20"/>
                <w:szCs w:val="20"/>
              </w:rPr>
              <w:t>Modifiche alla L.R. n. 3 del 2017, modifiche ed integrazioni alla L.R. 32/2016 e alla L.R. 36/2016</w:t>
            </w:r>
          </w:p>
        </w:tc>
      </w:tr>
    </w:tbl>
    <w:p w:rsidR="00783837" w:rsidRDefault="00783837" w:rsidP="007E105E">
      <w:pPr>
        <w:pStyle w:val="CdcTesto"/>
        <w:jc w:val="center"/>
        <w:sectPr w:rsidR="00783837" w:rsidSect="00C3327F">
          <w:headerReference w:type="default" r:id="rId22"/>
          <w:footerReference w:type="default" r:id="rId23"/>
          <w:type w:val="oddPage"/>
          <w:pgSz w:w="11906" w:h="16838"/>
          <w:pgMar w:top="1418" w:right="1134" w:bottom="1134" w:left="851" w:header="709" w:footer="709" w:gutter="0"/>
          <w:pgNumType w:start="1"/>
          <w:cols w:space="708"/>
          <w:docGrid w:linePitch="360"/>
        </w:sectPr>
      </w:pPr>
    </w:p>
    <w:p w:rsidR="001D352C" w:rsidRDefault="001D352C" w:rsidP="007E105E">
      <w:pPr>
        <w:pStyle w:val="CdcTesto"/>
        <w:jc w:val="center"/>
      </w:pPr>
    </w:p>
    <w:p w:rsidR="007C0180" w:rsidRDefault="007C0180" w:rsidP="007E105E">
      <w:pPr>
        <w:pStyle w:val="CdcTesto"/>
        <w:jc w:val="center"/>
      </w:pPr>
    </w:p>
    <w:p w:rsidR="00474C78" w:rsidRPr="00CD4C84" w:rsidRDefault="00474C78" w:rsidP="00DA6693">
      <w:pPr>
        <w:pStyle w:val="CdcTesto"/>
        <w:sectPr w:rsidR="00474C78" w:rsidRPr="00CD4C84" w:rsidSect="00783837">
          <w:headerReference w:type="default" r:id="rId24"/>
          <w:footerReference w:type="default" r:id="rId25"/>
          <w:type w:val="evenPage"/>
          <w:pgSz w:w="11906" w:h="16838"/>
          <w:pgMar w:top="1418" w:right="1134" w:bottom="1134" w:left="851" w:header="709" w:footer="709" w:gutter="0"/>
          <w:pgNumType w:start="1"/>
          <w:cols w:space="708"/>
          <w:docGrid w:linePitch="360"/>
        </w:sectPr>
      </w:pPr>
    </w:p>
    <w:p w:rsidR="00B2037B" w:rsidRDefault="003E72A8" w:rsidP="00B2037B">
      <w:pPr>
        <w:pStyle w:val="Titolo1"/>
      </w:pPr>
      <w:bookmarkStart w:id="9" w:name="_Toc499040907"/>
      <w:bookmarkStart w:id="10" w:name="_Toc507422609"/>
      <w:r>
        <w:rPr>
          <w:color w:val="auto"/>
        </w:rPr>
        <w:lastRenderedPageBreak/>
        <w:t>LA LEGGE DI BILANCIO DELL’ESERCIZIO 2016</w:t>
      </w:r>
      <w:bookmarkEnd w:id="9"/>
      <w:bookmarkEnd w:id="10"/>
    </w:p>
    <w:p w:rsidR="003E72A8" w:rsidRDefault="003E72A8" w:rsidP="007B50FA">
      <w:pPr>
        <w:pStyle w:val="CdcTesto"/>
      </w:pPr>
      <w:r w:rsidRPr="00F46AEE">
        <w:t xml:space="preserve">La Regione Sardegna si è uniformata ai principi </w:t>
      </w:r>
      <w:r w:rsidR="00F041F2">
        <w:t>contabili contenuti nel D.Lgs.</w:t>
      </w:r>
      <w:r w:rsidRPr="00F46AEE">
        <w:t xml:space="preserve"> 118/2011 a decorrere dal 2015 (accordo sottoscritto col MEF il 21/07/2014)</w:t>
      </w:r>
      <w:r>
        <w:t>, ma a partire dal 2016 è stato completato il processo di adeguamento al sistema di armonizzazione dei sistemi contabili e degli schemi d</w:t>
      </w:r>
      <w:r w:rsidR="00651FFF">
        <w:t>i bilancio introdotti</w:t>
      </w:r>
      <w:r w:rsidR="00C273FE">
        <w:t xml:space="preserve"> dal D.Lgs.</w:t>
      </w:r>
      <w:r>
        <w:t xml:space="preserve"> 118 del 2011, attribuendo valenza autorizzatoria ai nuovi schemi di bilancio</w:t>
      </w:r>
      <w:r w:rsidRPr="00F46AEE">
        <w:t>.</w:t>
      </w:r>
    </w:p>
    <w:p w:rsidR="003E72A8" w:rsidRDefault="003E72A8" w:rsidP="007B50FA">
      <w:pPr>
        <w:pStyle w:val="CdcTesto"/>
      </w:pPr>
      <w:r>
        <w:t>Le più importanti innovazioni hanno riguardato: la contabilità economico patrimoniale (Allegato 3 al rendiconto); il rendiconto consolidato che riguarderà il bilancio consuntivo dell’Amministrazione regionale e del Consiglio regionale</w:t>
      </w:r>
      <w:r>
        <w:rPr>
          <w:rStyle w:val="Rimandonotaapidipagina"/>
        </w:rPr>
        <w:footnoteReference w:id="50"/>
      </w:r>
      <w:r>
        <w:t>; il piano degli indicatori e dei risultati attesi di bilancio.</w:t>
      </w:r>
    </w:p>
    <w:p w:rsidR="003E72A8" w:rsidRDefault="003E72A8" w:rsidP="007B50FA">
      <w:pPr>
        <w:pStyle w:val="CdcTesto"/>
      </w:pPr>
      <w:r>
        <w:t>L’art. 1 della L.R. n. 6/2016 (legge di bilancio 2016), in at</w:t>
      </w:r>
      <w:r w:rsidR="00C273FE">
        <w:t>tuazione dell’art. 79 del D.Lgs.</w:t>
      </w:r>
      <w:r>
        <w:t xml:space="preserve"> 118/2011, ha previsto l’adozione degli schemi di bilancio e del piano dei conti integrato, nonché dei principi contabili applicati concernenti la programmazione di bilancio e la contabilità economico patrimoniale. Ai sensi del predetto articolo, al bilancio finanziario del primo esercizio del bilancio pluriennale è affiancato il bilancio di cassa. </w:t>
      </w:r>
    </w:p>
    <w:p w:rsidR="003E72A8" w:rsidRDefault="003E72A8" w:rsidP="003E72A8">
      <w:pPr>
        <w:spacing w:line="360" w:lineRule="auto"/>
        <w:jc w:val="both"/>
        <w:rPr>
          <w:rFonts w:ascii="Bodoni MT" w:hAnsi="Bodoni MT"/>
          <w:sz w:val="24"/>
          <w:szCs w:val="24"/>
        </w:rPr>
      </w:pPr>
      <w:r>
        <w:rPr>
          <w:rFonts w:ascii="Bodoni MT" w:hAnsi="Bodoni MT"/>
          <w:sz w:val="24"/>
          <w:szCs w:val="24"/>
        </w:rPr>
        <w:t>Va premesso che la manovra di bilancio 2016</w:t>
      </w:r>
      <w:r w:rsidRPr="00F27394">
        <w:rPr>
          <w:rFonts w:ascii="Bodoni MT" w:hAnsi="Bodoni MT"/>
          <w:sz w:val="24"/>
          <w:szCs w:val="24"/>
        </w:rPr>
        <w:t xml:space="preserve"> </w:t>
      </w:r>
      <w:r w:rsidR="008B3D4F" w:rsidRPr="009B0925">
        <w:rPr>
          <w:rFonts w:ascii="Bodoni MT" w:hAnsi="Bodoni MT"/>
          <w:sz w:val="24"/>
          <w:szCs w:val="24"/>
        </w:rPr>
        <w:t>ha comportato</w:t>
      </w:r>
      <w:r w:rsidR="008B3D4F">
        <w:rPr>
          <w:rFonts w:ascii="Bodoni MT" w:hAnsi="Bodoni MT"/>
          <w:sz w:val="24"/>
          <w:szCs w:val="24"/>
        </w:rPr>
        <w:t xml:space="preserve"> </w:t>
      </w:r>
      <w:r>
        <w:rPr>
          <w:rFonts w:ascii="Bodoni MT" w:hAnsi="Bodoni MT"/>
          <w:sz w:val="24"/>
          <w:szCs w:val="24"/>
        </w:rPr>
        <w:t>notevoli difficoltà di ricostruzione analitica per effetto delle numerose modifiche legislative intervenute nel 2016 e nel 2017 (cinque modifiche). Il bilancio preventivo 2016, approvato con la L.R. n. 6/2016, è stato inizialmente modificato dalla L.R. n.</w:t>
      </w:r>
      <w:r w:rsidR="009F2C6B">
        <w:rPr>
          <w:rFonts w:ascii="Bodoni MT" w:hAnsi="Bodoni MT"/>
          <w:sz w:val="24"/>
          <w:szCs w:val="24"/>
        </w:rPr>
        <w:t xml:space="preserve"> </w:t>
      </w:r>
      <w:r>
        <w:rPr>
          <w:rFonts w:ascii="Bodoni MT" w:hAnsi="Bodoni MT"/>
          <w:sz w:val="24"/>
          <w:szCs w:val="24"/>
        </w:rPr>
        <w:t>3/2017, a seguito della sentenza della Corte Costituzionale n. 6/2017</w:t>
      </w:r>
      <w:r>
        <w:rPr>
          <w:rStyle w:val="Rimandonotaapidipagina"/>
          <w:rFonts w:ascii="Bodoni MT" w:hAnsi="Bodoni MT"/>
          <w:sz w:val="24"/>
          <w:szCs w:val="24"/>
        </w:rPr>
        <w:footnoteReference w:id="51"/>
      </w:r>
      <w:r>
        <w:rPr>
          <w:rFonts w:ascii="Bodoni MT" w:hAnsi="Bodoni MT"/>
          <w:sz w:val="24"/>
          <w:szCs w:val="24"/>
        </w:rPr>
        <w:t>.</w:t>
      </w:r>
    </w:p>
    <w:p w:rsidR="003E72A8" w:rsidRDefault="003E72A8" w:rsidP="003E72A8">
      <w:pPr>
        <w:spacing w:line="360" w:lineRule="auto"/>
        <w:jc w:val="both"/>
        <w:rPr>
          <w:rFonts w:ascii="Bodoni MT" w:hAnsi="Bodoni MT"/>
          <w:sz w:val="24"/>
          <w:szCs w:val="24"/>
        </w:rPr>
      </w:pPr>
      <w:r>
        <w:rPr>
          <w:rFonts w:ascii="Bodoni MT" w:hAnsi="Bodoni MT"/>
          <w:sz w:val="24"/>
          <w:szCs w:val="24"/>
        </w:rPr>
        <w:t>La citata legge n. 3/2017 ha riapprovato, in termini di competenza, il totale delle entrate e delle spese in € 8.852.786.077,09, e in termini di cassa, in € 8.515.821.187,22, le quali comprendono le reimputazioni derivanti dal riaccertamento straordinario dei residui come approvate dalla L.R. n. 31/2015</w:t>
      </w:r>
      <w:r>
        <w:rPr>
          <w:rStyle w:val="Rimandonotaapidipagina"/>
          <w:rFonts w:ascii="Bodoni MT" w:hAnsi="Bodoni MT"/>
          <w:sz w:val="24"/>
          <w:szCs w:val="24"/>
        </w:rPr>
        <w:footnoteReference w:id="52"/>
      </w:r>
      <w:r>
        <w:rPr>
          <w:rFonts w:ascii="Bodoni MT" w:hAnsi="Bodoni MT"/>
          <w:sz w:val="24"/>
          <w:szCs w:val="24"/>
        </w:rPr>
        <w:t xml:space="preserve"> (art. 1- </w:t>
      </w:r>
      <w:r w:rsidRPr="00234386">
        <w:rPr>
          <w:rFonts w:ascii="Bodoni MT" w:hAnsi="Bodoni MT"/>
          <w:i/>
          <w:sz w:val="24"/>
          <w:szCs w:val="24"/>
        </w:rPr>
        <w:t>Esiti del riaccertamento straordinario dei residui al 1</w:t>
      </w:r>
      <w:r>
        <w:rPr>
          <w:rFonts w:ascii="Bodoni MT" w:hAnsi="Bodoni MT"/>
          <w:i/>
          <w:sz w:val="24"/>
          <w:szCs w:val="24"/>
        </w:rPr>
        <w:t>°</w:t>
      </w:r>
      <w:r w:rsidRPr="00234386">
        <w:rPr>
          <w:rFonts w:ascii="Bodoni MT" w:hAnsi="Bodoni MT"/>
          <w:i/>
          <w:sz w:val="24"/>
          <w:szCs w:val="24"/>
        </w:rPr>
        <w:t xml:space="preserve"> gennaio 2015</w:t>
      </w:r>
      <w:r>
        <w:rPr>
          <w:rFonts w:ascii="Bodoni MT" w:hAnsi="Bodoni MT"/>
          <w:sz w:val="24"/>
          <w:szCs w:val="24"/>
        </w:rPr>
        <w:t>). All’esercizio 2016 vengono, pertanto, reimputati crediti per €</w:t>
      </w:r>
      <w:r w:rsidR="00E438E1">
        <w:rPr>
          <w:rFonts w:ascii="Bodoni MT" w:hAnsi="Bodoni MT"/>
          <w:sz w:val="24"/>
          <w:szCs w:val="24"/>
        </w:rPr>
        <w:t xml:space="preserve"> </w:t>
      </w:r>
      <w:r>
        <w:rPr>
          <w:rFonts w:ascii="Bodoni MT" w:hAnsi="Bodoni MT"/>
          <w:sz w:val="24"/>
          <w:szCs w:val="24"/>
        </w:rPr>
        <w:t>357.052.189,22 e debiti per € 555.576.556,94</w:t>
      </w:r>
      <w:r>
        <w:rPr>
          <w:rStyle w:val="Rimandonotaapidipagina"/>
          <w:rFonts w:ascii="Bodoni MT" w:hAnsi="Bodoni MT"/>
          <w:sz w:val="24"/>
          <w:szCs w:val="24"/>
        </w:rPr>
        <w:footnoteReference w:id="53"/>
      </w:r>
      <w:r>
        <w:rPr>
          <w:rFonts w:ascii="Bodoni MT" w:hAnsi="Bodoni MT"/>
          <w:sz w:val="24"/>
          <w:szCs w:val="24"/>
        </w:rPr>
        <w:t>.</w:t>
      </w:r>
    </w:p>
    <w:p w:rsidR="003E72A8" w:rsidRDefault="003E72A8" w:rsidP="003E72A8">
      <w:pPr>
        <w:pStyle w:val="CdcTesto"/>
      </w:pPr>
      <w:r>
        <w:t xml:space="preserve">Successivamente con la L.R. n. 10 del 1° giugno 2017, la legge di bilancio ha subito ulteriori modifiche che hanno riguardato il Prospetto dimostrativo del rispetto dei vincoli di indebitamento </w:t>
      </w:r>
      <w:r>
        <w:lastRenderedPageBreak/>
        <w:t>e la Nota Integrativa, con riferimento all’articolazione delle entrate e delle spese ricorrenti e non ricorrenti e la rideterminazione del disavanzo coperto da debito autorizzato e non contratto, inizialmente previsto in € 504.971.572,63, e rideterminato in € 308.643.000,00.</w:t>
      </w:r>
    </w:p>
    <w:p w:rsidR="003E72A8" w:rsidRDefault="003E72A8" w:rsidP="003E72A8">
      <w:pPr>
        <w:pStyle w:val="CdcTesto"/>
      </w:pPr>
      <w:r>
        <w:t>Come prima voce dell’entrata è stato iscritto il Fondo Pluriennale Vincolato presunto al 31/12/2015, pari a € 235.209.887,87.</w:t>
      </w:r>
    </w:p>
    <w:p w:rsidR="003E72A8" w:rsidRDefault="003E72A8" w:rsidP="003E72A8">
      <w:pPr>
        <w:pStyle w:val="CdcTesto"/>
      </w:pPr>
      <w:r>
        <w:t xml:space="preserve">Il Risultato di Amministrazione presunto al 31/12/2015, è stato determinato in complessivi </w:t>
      </w:r>
      <w:r w:rsidR="00651FFF">
        <w:noBreakHyphen/>
      </w:r>
      <w:r>
        <w:t>1.247.464.373,63 euro. Al bilancio di previsione (entrate) è stata applicata una quota dell’Avanzo vincolato pari a € 147.244.000,00.</w:t>
      </w:r>
    </w:p>
    <w:p w:rsidR="003E72A8" w:rsidRDefault="003E72A8" w:rsidP="003E72A8">
      <w:pPr>
        <w:pStyle w:val="CdcTesto"/>
      </w:pPr>
      <w:r>
        <w:t>Fra le quote accantonate del Risultato di Amministrazione presunto al 31/12/2015, sono stati iscritti il Fondo Crediti di Dubbia Esigibilità e il Fondo destinato alla copertura dei Residui perenti, quantificati rispettivamente in € 47.570.868,51 e in € 400.405.598,44.</w:t>
      </w:r>
    </w:p>
    <w:p w:rsidR="003E72A8" w:rsidRDefault="003E72A8" w:rsidP="003E72A8">
      <w:pPr>
        <w:pStyle w:val="CdcTesto"/>
      </w:pPr>
      <w:r>
        <w:t xml:space="preserve">Al bilancio di previsione è stato allegato il Prospetto sugli equilibri di bilancio, </w:t>
      </w:r>
      <w:r w:rsidR="00CF238F">
        <w:t>ai sensi dell’art. 40 del D</w:t>
      </w:r>
      <w:r w:rsidR="00C273FE">
        <w:t>.</w:t>
      </w:r>
      <w:r w:rsidR="00CF238F">
        <w:t>Lgs.</w:t>
      </w:r>
      <w:r>
        <w:t xml:space="preserve"> 118/2011, il quale prescrive che il pareggio di bilancio, comprensivo dell’avanzo di amministrazione applicato e del recupero del disavanzo, deve essere garantito, in sede preventiva, per tutti e tre gli esercizi del bilancio pluriennale. Per il 2016 il pareggio di parte corrente, previsto in € 274.113.254,96, è stato utilizzato a copertura del disavanzo di pari importo (in valore assoluto) di parte capitale. </w:t>
      </w:r>
    </w:p>
    <w:p w:rsidR="003E72A8" w:rsidRDefault="003E72A8" w:rsidP="003E72A8">
      <w:pPr>
        <w:spacing w:line="360" w:lineRule="auto"/>
        <w:jc w:val="both"/>
        <w:rPr>
          <w:rFonts w:ascii="Bodoni MT" w:hAnsi="Bodoni MT"/>
          <w:sz w:val="24"/>
          <w:szCs w:val="24"/>
        </w:rPr>
      </w:pPr>
      <w:r>
        <w:rPr>
          <w:rFonts w:ascii="Bodoni MT" w:hAnsi="Bodoni MT"/>
          <w:sz w:val="24"/>
          <w:szCs w:val="24"/>
        </w:rPr>
        <w:t xml:space="preserve">Il Bilancio di previsione 2016 è stato già oggetto di analisi e controllo ai sensi dell’art. 1 comma 3 del D.L. 174/2012. Le risultanze della verifica sono contenute nella Relazione allegata alla Delibera n. 50/2017/INPR del 26/04/2017. </w:t>
      </w:r>
    </w:p>
    <w:p w:rsidR="00C571B8" w:rsidRDefault="00C571B8" w:rsidP="003E72A8">
      <w:pPr>
        <w:spacing w:line="360" w:lineRule="auto"/>
        <w:jc w:val="both"/>
        <w:rPr>
          <w:rFonts w:ascii="Bodoni MT" w:hAnsi="Bodoni MT"/>
          <w:sz w:val="24"/>
          <w:szCs w:val="24"/>
        </w:rPr>
      </w:pPr>
    </w:p>
    <w:p w:rsidR="00BD32AD" w:rsidRDefault="00BD32AD" w:rsidP="00DA6693">
      <w:pPr>
        <w:pStyle w:val="CdcTesto"/>
        <w:sectPr w:rsidR="00BD32AD" w:rsidSect="00130B51">
          <w:headerReference w:type="default" r:id="rId26"/>
          <w:footerReference w:type="default" r:id="rId27"/>
          <w:type w:val="oddPage"/>
          <w:pgSz w:w="11906" w:h="16838"/>
          <w:pgMar w:top="1418" w:right="1134" w:bottom="1134" w:left="851" w:header="709" w:footer="709" w:gutter="0"/>
          <w:pgNumType w:start="5"/>
          <w:cols w:space="708"/>
          <w:docGrid w:linePitch="360"/>
        </w:sectPr>
      </w:pPr>
    </w:p>
    <w:p w:rsidR="00093721" w:rsidRPr="00BB4449" w:rsidRDefault="003E72A8" w:rsidP="003E72A8">
      <w:pPr>
        <w:pStyle w:val="Titolo1"/>
        <w:rPr>
          <w:strike/>
        </w:rPr>
      </w:pPr>
      <w:bookmarkStart w:id="11" w:name="_Toc507422610"/>
      <w:bookmarkStart w:id="12" w:name="_Toc499040908"/>
      <w:r w:rsidRPr="003E72A8">
        <w:lastRenderedPageBreak/>
        <w:t xml:space="preserve">GLI EFFETTI </w:t>
      </w:r>
      <w:r w:rsidR="00BB4449">
        <w:t xml:space="preserve">DEL RIACCERTAMENTO ORDINARIO </w:t>
      </w:r>
      <w:r w:rsidRPr="003E72A8">
        <w:t>SUL BILANCIO DI PREVISIONE</w:t>
      </w:r>
      <w:bookmarkEnd w:id="11"/>
      <w:r w:rsidRPr="003E72A8">
        <w:t xml:space="preserve"> </w:t>
      </w:r>
      <w:bookmarkEnd w:id="12"/>
    </w:p>
    <w:p w:rsidR="00234A57" w:rsidRPr="00234A57" w:rsidRDefault="00234A57" w:rsidP="006412E3">
      <w:pPr>
        <w:pStyle w:val="CdcTesto"/>
        <w:spacing w:after="240"/>
        <w:rPr>
          <w:i/>
          <w:sz w:val="20"/>
          <w:szCs w:val="20"/>
        </w:rPr>
      </w:pPr>
      <w:r w:rsidRPr="00234A57">
        <w:rPr>
          <w:i/>
          <w:sz w:val="20"/>
          <w:szCs w:val="20"/>
        </w:rPr>
        <w:t>Sommario:</w:t>
      </w:r>
      <w:r>
        <w:rPr>
          <w:i/>
          <w:sz w:val="20"/>
          <w:szCs w:val="20"/>
        </w:rPr>
        <w:t xml:space="preserve"> 3.1 Gli effetti del Riaccertamento Ordinario dei residui al 31/12/2015 – 3.1.1 I residui al 31/12/2015 – 3.1.2. Le reimputazioni dei debiti e dei crediti derivanti dalla competenza 2015 che non hanno </w:t>
      </w:r>
      <w:r w:rsidR="006412E3">
        <w:rPr>
          <w:i/>
          <w:sz w:val="20"/>
          <w:szCs w:val="20"/>
        </w:rPr>
        <w:t>generato FPV – 3.1.3 Il Fondo Pluriennale Vincolato al 31/12/2015 – 3.1.4 Il Risultato di Amministrazione al 31/12/2015</w:t>
      </w:r>
    </w:p>
    <w:p w:rsidR="00093721" w:rsidRPr="003E72A8" w:rsidRDefault="003E72A8" w:rsidP="00093721">
      <w:pPr>
        <w:pStyle w:val="CdcTesto"/>
      </w:pPr>
      <w:r>
        <w:t>A</w:t>
      </w:r>
      <w:r w:rsidRPr="00871B8D">
        <w:t xml:space="preserve"> seguito del riaccertamento ordinario al 31/12/2015,</w:t>
      </w:r>
      <w:r w:rsidRPr="00675A88">
        <w:t xml:space="preserve"> </w:t>
      </w:r>
      <w:r>
        <w:t>condotto</w:t>
      </w:r>
      <w:r w:rsidR="0019534E">
        <w:t xml:space="preserve"> secondo</w:t>
      </w:r>
      <w:r>
        <w:t xml:space="preserve"> quanto previsto dalle</w:t>
      </w:r>
      <w:r w:rsidRPr="00871B8D">
        <w:t xml:space="preserve"> nuove disposizioni sulla contabilità armonizzata</w:t>
      </w:r>
      <w:r>
        <w:t>,</w:t>
      </w:r>
      <w:r w:rsidRPr="00675A88">
        <w:t xml:space="preserve"> </w:t>
      </w:r>
      <w:r>
        <w:t>i</w:t>
      </w:r>
      <w:r w:rsidRPr="00871B8D">
        <w:t>l bilancio preventivo 2016 ha subito significative modifiche</w:t>
      </w:r>
      <w:r>
        <w:t>.</w:t>
      </w:r>
      <w:r w:rsidRPr="00871B8D">
        <w:t xml:space="preserve"> </w:t>
      </w:r>
      <w:r>
        <w:t>Si espongono di seguito</w:t>
      </w:r>
      <w:r w:rsidRPr="00871B8D">
        <w:t xml:space="preserve"> i</w:t>
      </w:r>
      <w:r>
        <w:t xml:space="preserve"> principali</w:t>
      </w:r>
      <w:r w:rsidRPr="00871B8D">
        <w:t xml:space="preserve"> risultati della gestione dell’esercizio 2015, desunti dalla Relazione di parifica</w:t>
      </w:r>
      <w:r>
        <w:t xml:space="preserve"> del rendiconto regionale 2015</w:t>
      </w:r>
      <w:r>
        <w:rPr>
          <w:rStyle w:val="Rimandonotaapidipagina"/>
        </w:rPr>
        <w:footnoteReference w:id="54"/>
      </w:r>
      <w:r>
        <w:t>.</w:t>
      </w:r>
    </w:p>
    <w:p w:rsidR="00093721" w:rsidRDefault="003E72A8" w:rsidP="00093721">
      <w:pPr>
        <w:pStyle w:val="Titolo2"/>
      </w:pPr>
      <w:bookmarkStart w:id="13" w:name="_Toc499040909"/>
      <w:bookmarkStart w:id="14" w:name="_Toc507422611"/>
      <w:r w:rsidRPr="009E13D5">
        <w:t xml:space="preserve">Gli </w:t>
      </w:r>
      <w:r>
        <w:t>e</w:t>
      </w:r>
      <w:r w:rsidRPr="009E13D5">
        <w:t>ffetti del Riaccertamento Ordinario dei residui al 31/12/2015</w:t>
      </w:r>
      <w:bookmarkEnd w:id="13"/>
      <w:bookmarkEnd w:id="14"/>
    </w:p>
    <w:p w:rsidR="003E72A8" w:rsidRPr="00FA5C35" w:rsidRDefault="003E72A8" w:rsidP="003E72A8">
      <w:pPr>
        <w:pStyle w:val="Titolo3"/>
      </w:pPr>
      <w:bookmarkStart w:id="15" w:name="_Toc499040910"/>
      <w:bookmarkStart w:id="16" w:name="_Toc507422612"/>
      <w:r w:rsidRPr="00FA5C35">
        <w:t>I residui al 31/12/2015</w:t>
      </w:r>
      <w:r w:rsidRPr="00FA5C35">
        <w:rPr>
          <w:rStyle w:val="Rimandonotaapidipagina"/>
        </w:rPr>
        <w:footnoteReference w:id="55"/>
      </w:r>
      <w:bookmarkEnd w:id="15"/>
      <w:bookmarkEnd w:id="16"/>
    </w:p>
    <w:p w:rsidR="003E72A8" w:rsidRDefault="003E72A8" w:rsidP="003E72A8">
      <w:pPr>
        <w:pStyle w:val="CdcTesto"/>
        <w:rPr>
          <w:rStyle w:val="CdcTestoCarattere"/>
          <w:color w:val="auto"/>
        </w:rPr>
      </w:pPr>
      <w:r w:rsidRPr="00E11052">
        <w:rPr>
          <w:rStyle w:val="CdcTestoCarattere"/>
          <w:color w:val="auto"/>
        </w:rPr>
        <w:t xml:space="preserve">A fine esercizio 2015, i </w:t>
      </w:r>
      <w:r w:rsidRPr="00125E15">
        <w:rPr>
          <w:rStyle w:val="CdcTestoCarattere"/>
          <w:b/>
          <w:color w:val="auto"/>
        </w:rPr>
        <w:t>residui attivi</w:t>
      </w:r>
      <w:r w:rsidRPr="00E11052">
        <w:rPr>
          <w:rStyle w:val="CdcTestoCarattere"/>
          <w:color w:val="auto"/>
        </w:rPr>
        <w:t xml:space="preserve"> </w:t>
      </w:r>
      <w:r>
        <w:rPr>
          <w:rStyle w:val="CdcTestoCarattere"/>
          <w:color w:val="auto"/>
        </w:rPr>
        <w:t xml:space="preserve">complessivi ammontavano a € 877.695.708,38, di cui </w:t>
      </w:r>
      <w:r w:rsidRPr="00E11052">
        <w:rPr>
          <w:rStyle w:val="CdcTestoCarattere"/>
          <w:color w:val="auto"/>
        </w:rPr>
        <w:t>€</w:t>
      </w:r>
      <w:r>
        <w:rPr>
          <w:rStyle w:val="CdcTestoCarattere"/>
          <w:color w:val="auto"/>
        </w:rPr>
        <w:t> </w:t>
      </w:r>
      <w:r w:rsidRPr="00E11052">
        <w:rPr>
          <w:rStyle w:val="CdcTestoCarattere"/>
          <w:color w:val="auto"/>
        </w:rPr>
        <w:t>117.762.823,00</w:t>
      </w:r>
      <w:r>
        <w:rPr>
          <w:rStyle w:val="CdcTestoCarattere"/>
          <w:color w:val="auto"/>
        </w:rPr>
        <w:t xml:space="preserve"> </w:t>
      </w:r>
      <w:r w:rsidRPr="00E11052">
        <w:rPr>
          <w:rStyle w:val="CdcTestoCarattere"/>
          <w:color w:val="auto"/>
        </w:rPr>
        <w:t xml:space="preserve">provenienti dalla gestione dei residui </w:t>
      </w:r>
      <w:r>
        <w:rPr>
          <w:rStyle w:val="CdcTestoCarattere"/>
          <w:color w:val="auto"/>
        </w:rPr>
        <w:t>e € 759.932.885,38 provenienti dalla gestione di competenza.</w:t>
      </w:r>
    </w:p>
    <w:p w:rsidR="003E72A8" w:rsidRDefault="003E72A8" w:rsidP="003E72A8">
      <w:pPr>
        <w:pStyle w:val="CdcTesto"/>
        <w:rPr>
          <w:rStyle w:val="CdcTestoCarattere"/>
          <w:color w:val="auto"/>
        </w:rPr>
      </w:pPr>
      <w:r>
        <w:rPr>
          <w:rStyle w:val="CdcTestoCarattere"/>
          <w:color w:val="auto"/>
        </w:rPr>
        <w:t xml:space="preserve">I </w:t>
      </w:r>
      <w:r w:rsidRPr="00125E15">
        <w:rPr>
          <w:rStyle w:val="CdcTestoCarattere"/>
          <w:b/>
          <w:color w:val="auto"/>
        </w:rPr>
        <w:t>residui passivi</w:t>
      </w:r>
      <w:r>
        <w:rPr>
          <w:rStyle w:val="CdcTestoCarattere"/>
          <w:color w:val="auto"/>
        </w:rPr>
        <w:t xml:space="preserve"> complessivi da riportare al 2016 erano invece pari a € 1.502.234.081,67, di cui €</w:t>
      </w:r>
      <w:r w:rsidR="00C273FE">
        <w:rPr>
          <w:rStyle w:val="CdcTestoCarattere"/>
          <w:color w:val="auto"/>
        </w:rPr>
        <w:t> </w:t>
      </w:r>
      <w:r>
        <w:rPr>
          <w:rStyle w:val="CdcTestoCarattere"/>
          <w:color w:val="auto"/>
        </w:rPr>
        <w:t>322.305.803,25 provenienti dagli esercizi precedenti e € 1.179.928.278,42, provenienti dalla competenza 2015.</w:t>
      </w:r>
    </w:p>
    <w:p w:rsidR="003E72A8" w:rsidRDefault="003E72A8" w:rsidP="003E72A8">
      <w:pPr>
        <w:pStyle w:val="CdcTesto"/>
        <w:rPr>
          <w:rStyle w:val="CdcTestoCarattere"/>
          <w:color w:val="auto"/>
        </w:rPr>
      </w:pPr>
      <w:r>
        <w:rPr>
          <w:rStyle w:val="CdcTestoCarattere"/>
          <w:color w:val="auto"/>
        </w:rPr>
        <w:t>La consistenza dei residui perenti al 31/12/2015, ammontava complessivamente a € 1.766.201.800,21.</w:t>
      </w:r>
    </w:p>
    <w:p w:rsidR="003E72A8" w:rsidRPr="00B90D4C" w:rsidRDefault="003E72A8" w:rsidP="003E72A8">
      <w:pPr>
        <w:pStyle w:val="Titolo3"/>
      </w:pPr>
      <w:bookmarkStart w:id="17" w:name="_Toc499040911"/>
      <w:bookmarkStart w:id="18" w:name="_Toc507422613"/>
      <w:r w:rsidRPr="00B90D4C">
        <w:t>Le reimputazioni dei debiti e dei crediti derivanti dalla competenza 2015 che non hanno generato FPV</w:t>
      </w:r>
      <w:bookmarkEnd w:id="17"/>
      <w:bookmarkEnd w:id="18"/>
    </w:p>
    <w:p w:rsidR="00651FFF" w:rsidRDefault="003E72A8" w:rsidP="007B50FA">
      <w:pPr>
        <w:pStyle w:val="CdcTesto"/>
      </w:pPr>
      <w:r w:rsidRPr="001B0CFD">
        <w:t>Per effetto del riaccertamento ordinario</w:t>
      </w:r>
      <w:r>
        <w:t>, al 31/12/2015 i crediti complessivamente reimputati agli esercizi 2016 e successivi sono stati pari a € 752.600.644,85, di cui € 287.427.919,50 provenienti dalla competenza “pura” 2015 e € 465.172.725,26 provenienti dal riaccertamento straordi</w:t>
      </w:r>
      <w:r w:rsidR="00CF238F">
        <w:t>nario dei residui alla data dell’</w:t>
      </w:r>
      <w:r>
        <w:t xml:space="preserve">01/01/2015. </w:t>
      </w:r>
    </w:p>
    <w:p w:rsidR="003E72A8" w:rsidRDefault="003E72A8" w:rsidP="007B50FA">
      <w:pPr>
        <w:pStyle w:val="CdcTesto"/>
      </w:pPr>
      <w:r>
        <w:lastRenderedPageBreak/>
        <w:t>Alla competenza 2016 sono stati reimputati complessivamente crediti pari a € 510.834.804,26 (di cui € 174.328.649,32 provenienti dalla competenza pura e € 336.506.154,94, pari al 65,9% del totale reimputato, provenienti dal riaccertamento straordinario)</w:t>
      </w:r>
      <w:r>
        <w:rPr>
          <w:rStyle w:val="Rimandonotaapidipagina"/>
        </w:rPr>
        <w:footnoteReference w:id="56"/>
      </w:r>
      <w:r>
        <w:t xml:space="preserve">. </w:t>
      </w:r>
    </w:p>
    <w:p w:rsidR="00651FFF" w:rsidRDefault="003E72A8" w:rsidP="007B50FA">
      <w:pPr>
        <w:pStyle w:val="CdcTesto"/>
      </w:pPr>
      <w:r>
        <w:t xml:space="preserve">I debiti complessivamente reimputati ammontavano a € 706.732.883,78, di cui € 203.542.939,77 provenienti dalla competenza “pura” e € 503.189.944,01 provenienti dal riaccertamento straordinario dei residui. </w:t>
      </w:r>
    </w:p>
    <w:p w:rsidR="003E72A8" w:rsidRDefault="003E72A8" w:rsidP="007B50FA">
      <w:pPr>
        <w:pStyle w:val="CdcTesto"/>
      </w:pPr>
      <w:r>
        <w:t>Alla competenza 2016 sono stati reimputati debiti complessivi</w:t>
      </w:r>
      <w:r w:rsidR="009F2C6B">
        <w:t xml:space="preserve"> per € 414.431.259,00 (di cui € </w:t>
      </w:r>
      <w:r>
        <w:t xml:space="preserve">87.825.893,69 dalla competenza pura e € 326.605.365,31, pari al 78,8% </w:t>
      </w:r>
      <w:r w:rsidR="00550C97">
        <w:t>del totale delle reimputazioni</w:t>
      </w:r>
      <w:r>
        <w:t>, dal riaccertamento straordinario)</w:t>
      </w:r>
      <w:r>
        <w:rPr>
          <w:rStyle w:val="Rimandonotaapidipagina"/>
        </w:rPr>
        <w:footnoteReference w:id="57"/>
      </w:r>
      <w:r>
        <w:t>.</w:t>
      </w:r>
    </w:p>
    <w:p w:rsidR="003E72A8" w:rsidRDefault="003E72A8" w:rsidP="007B50FA">
      <w:pPr>
        <w:pStyle w:val="CdcTesto"/>
      </w:pPr>
      <w:r>
        <w:t>Al proposito si rammenta che alla competenza dell’esercizio 2016 erano già stati reimputati, per effetto del riaccertamento straordinario dei residui, crediti per € 357.052.189,22 e debiti per € 555.576.556,94.</w:t>
      </w:r>
    </w:p>
    <w:p w:rsidR="003E72A8" w:rsidRPr="00D66ABB" w:rsidRDefault="003E72A8" w:rsidP="00D66ABB">
      <w:pPr>
        <w:pStyle w:val="Titolo3"/>
        <w:numPr>
          <w:ilvl w:val="2"/>
          <w:numId w:val="3"/>
        </w:numPr>
        <w:ind w:left="720"/>
      </w:pPr>
      <w:bookmarkStart w:id="19" w:name="_Toc499040912"/>
      <w:bookmarkStart w:id="20" w:name="_Toc507422614"/>
      <w:r w:rsidRPr="00D66ABB">
        <w:t>Il Fondo Pluriennale Vincolato al 31/12/2015</w:t>
      </w:r>
      <w:bookmarkEnd w:id="19"/>
      <w:bookmarkEnd w:id="20"/>
    </w:p>
    <w:p w:rsidR="00651FFF" w:rsidRPr="007B50FA" w:rsidRDefault="003E72A8" w:rsidP="007B50FA">
      <w:pPr>
        <w:pStyle w:val="CdcTesto"/>
        <w:rPr>
          <w:rStyle w:val="CdcTestoCarattere"/>
        </w:rPr>
      </w:pPr>
      <w:r w:rsidRPr="007B50FA">
        <w:rPr>
          <w:rStyle w:val="CdcTestoCarattere"/>
        </w:rPr>
        <w:t xml:space="preserve">Il Fondo Pluriennale Vincolato, costituito per la prima volta nel 2015 a seguito del riaccertamento straordinario dei residui, è stato rideterminato (in spesa), al 31/12/2015, nella misura di € 344.982.335,65, di cui € 56.502.535,51 di parte corrente e € 288.479.700,14 in conto capitale. </w:t>
      </w:r>
    </w:p>
    <w:p w:rsidR="003E72A8" w:rsidRPr="007B50FA" w:rsidRDefault="00651FFF" w:rsidP="007B50FA">
      <w:pPr>
        <w:pStyle w:val="CdcTesto"/>
        <w:rPr>
          <w:rStyle w:val="CdcTestoCarattere"/>
        </w:rPr>
      </w:pPr>
      <w:r w:rsidRPr="007B50FA">
        <w:rPr>
          <w:rStyle w:val="CdcTestoCarattere"/>
        </w:rPr>
        <w:t>In sede di assestamento tali importi</w:t>
      </w:r>
      <w:r w:rsidR="003E72A8" w:rsidRPr="007B50FA">
        <w:rPr>
          <w:rStyle w:val="CdcTestoCarattere"/>
        </w:rPr>
        <w:t xml:space="preserve"> </w:t>
      </w:r>
      <w:r w:rsidRPr="007B50FA">
        <w:rPr>
          <w:rStyle w:val="CdcTestoCarattere"/>
        </w:rPr>
        <w:t>sono stati iscritti</w:t>
      </w:r>
      <w:r w:rsidR="003E72A8" w:rsidRPr="007B50FA">
        <w:rPr>
          <w:rStyle w:val="CdcTestoCarattere"/>
        </w:rPr>
        <w:t xml:space="preserve"> nel bilancio 2016 come prima posta in entrata, a copertura delle spese di parte corrente e in conto capitale esigibili nell’e</w:t>
      </w:r>
      <w:r w:rsidRPr="007B50FA">
        <w:rPr>
          <w:rStyle w:val="CdcTestoCarattere"/>
        </w:rPr>
        <w:t>sercizio e in quelli successivi</w:t>
      </w:r>
      <w:r w:rsidR="003E72A8" w:rsidRPr="007B50FA">
        <w:rPr>
          <w:rStyle w:val="CdcTestoCarattere"/>
        </w:rPr>
        <w:t>.</w:t>
      </w:r>
    </w:p>
    <w:p w:rsidR="003E72A8" w:rsidRPr="007B50FA" w:rsidRDefault="003E72A8" w:rsidP="007B50FA">
      <w:pPr>
        <w:pStyle w:val="CdcTesto"/>
        <w:rPr>
          <w:rStyle w:val="CdcTestoCarattere"/>
        </w:rPr>
      </w:pPr>
      <w:r w:rsidRPr="007B50FA">
        <w:rPr>
          <w:rStyle w:val="CdcTestoCarattere"/>
        </w:rPr>
        <w:t xml:space="preserve">L’importo di € 56.502.535,51, destinato alle spese correnti, deriva per € 44.020.380,91 dalla competenza 2015 e per € 12.482.254,60 dal riaccertamento straordinario. L’importo di € 288.479.700,14, destinato alle spese in conto capitale, deriva invece dalla competenza </w:t>
      </w:r>
      <w:r w:rsidR="00651FFF" w:rsidRPr="007B50FA">
        <w:rPr>
          <w:rStyle w:val="CdcTestoCarattere"/>
        </w:rPr>
        <w:t xml:space="preserve">2015 </w:t>
      </w:r>
      <w:r w:rsidRPr="007B50FA">
        <w:rPr>
          <w:rStyle w:val="CdcTestoCarattere"/>
        </w:rPr>
        <w:t>per € 80.379.920,84 e dal riaccertamento straordinario per € 208.099.779,30</w:t>
      </w:r>
      <w:r w:rsidRPr="007B50FA">
        <w:rPr>
          <w:rStyle w:val="Rimandonotaapidipagina"/>
        </w:rPr>
        <w:footnoteReference w:id="58"/>
      </w:r>
      <w:r w:rsidRPr="007B50FA">
        <w:rPr>
          <w:rStyle w:val="CdcTestoCarattere"/>
        </w:rPr>
        <w:t>.</w:t>
      </w:r>
    </w:p>
    <w:p w:rsidR="003E72A8" w:rsidRPr="00A64039" w:rsidRDefault="003E72A8" w:rsidP="00D66ABB">
      <w:pPr>
        <w:pStyle w:val="Titolo3"/>
        <w:numPr>
          <w:ilvl w:val="2"/>
          <w:numId w:val="3"/>
        </w:numPr>
        <w:ind w:left="720"/>
      </w:pPr>
      <w:bookmarkStart w:id="21" w:name="_Toc499040913"/>
      <w:bookmarkStart w:id="22" w:name="_Toc507422615"/>
      <w:r w:rsidRPr="00A64039">
        <w:t>Il Risultato di Amministrazione al 31/12/2015</w:t>
      </w:r>
      <w:bookmarkEnd w:id="21"/>
      <w:bookmarkEnd w:id="22"/>
    </w:p>
    <w:p w:rsidR="00651FFF" w:rsidRDefault="003E72A8" w:rsidP="003E72A8">
      <w:pPr>
        <w:pStyle w:val="CdcTesto"/>
      </w:pPr>
      <w:r>
        <w:t xml:space="preserve">La gestione 2015 ha chiuso con un risultato di amministrazione negativo di € 1.393.699.802,24, al lordo delle quote accantonate (€ 476.481.857,42) e vincolate (€ 288.529.972,97). Il disavanzo come </w:t>
      </w:r>
      <w:r>
        <w:lastRenderedPageBreak/>
        <w:t xml:space="preserve">sopra determinato, al netto del debito autorizzato e non contratto pari a € 504.971.572,63, si riduce a € </w:t>
      </w:r>
      <w:r w:rsidR="00234A57">
        <w:t>-</w:t>
      </w:r>
      <w:r>
        <w:t xml:space="preserve">888.728.229,71. </w:t>
      </w:r>
    </w:p>
    <w:p w:rsidR="003E72A8" w:rsidRPr="00706729" w:rsidRDefault="003E72A8" w:rsidP="003E72A8">
      <w:pPr>
        <w:pStyle w:val="CdcTesto"/>
      </w:pPr>
      <w:r>
        <w:t>Tale risultato è migliorativo nella misura di € 79.946.186,07, rispetto al disavanzo di amministrazione definito in sede di riaccertamento straordinario, rideterminato in €</w:t>
      </w:r>
      <w:r w:rsidR="009F2C6B">
        <w:t xml:space="preserve"> </w:t>
      </w:r>
      <w:r>
        <w:t xml:space="preserve">968.674.415,68, dalla L.R. 31/2015, che la Regione ha scelto di ripianare in trenta </w:t>
      </w:r>
      <w:r w:rsidR="002C09AF">
        <w:t>quote annuali dell’importo di € </w:t>
      </w:r>
      <w:r>
        <w:t xml:space="preserve">32.289.147,19, raggiungendo l’obiettivo fissato per l’esercizio 2015 (disavanzo da riaccertamento meno quota annuale ripiano disavanzo = 936.385.268,49 euro). </w:t>
      </w:r>
    </w:p>
    <w:p w:rsidR="003E72A8" w:rsidRDefault="003E72A8" w:rsidP="003E72A8">
      <w:pPr>
        <w:pStyle w:val="CdcTesto"/>
        <w:rPr>
          <w:rStyle w:val="CdcTestoCarattere"/>
        </w:rPr>
      </w:pPr>
      <w:r>
        <w:rPr>
          <w:rStyle w:val="CdcTestoCarattere"/>
        </w:rPr>
        <w:t>Le Quote accantonate del Risultato di Amministrazione sono costituite da:</w:t>
      </w:r>
    </w:p>
    <w:p w:rsidR="003E72A8" w:rsidRDefault="003E72A8" w:rsidP="003E72A8">
      <w:pPr>
        <w:pStyle w:val="CdcElencopuntato"/>
        <w:jc w:val="both"/>
        <w:rPr>
          <w:rStyle w:val="CdcTestoCarattere"/>
        </w:rPr>
      </w:pPr>
      <w:r>
        <w:rPr>
          <w:rStyle w:val="CdcTestoCarattere"/>
        </w:rPr>
        <w:t>Fondo Crediti di Dubbia Esigibilità, rideterminato al 31/12/2015 nella misura di € 41.739.560,80, con un incremento, in sede di rendiconto, pari a € 7.874.562,04 rispetto al precedente ammontare determinato in sede di prima applicazione dell’istituto.</w:t>
      </w:r>
    </w:p>
    <w:p w:rsidR="003E72A8" w:rsidRDefault="003E72A8" w:rsidP="003E72A8">
      <w:pPr>
        <w:pStyle w:val="CdcElencopuntato"/>
        <w:jc w:val="both"/>
        <w:rPr>
          <w:rStyle w:val="CdcTestoCarattere"/>
        </w:rPr>
      </w:pPr>
      <w:r>
        <w:rPr>
          <w:rStyle w:val="CdcTestoCarattere"/>
        </w:rPr>
        <w:t>Fondo reiscrizione residui perenti, pari a € 400.788.035,52.</w:t>
      </w:r>
    </w:p>
    <w:p w:rsidR="003E72A8" w:rsidRDefault="003E72A8" w:rsidP="003E72A8">
      <w:pPr>
        <w:pStyle w:val="CdcElencopuntato"/>
        <w:jc w:val="both"/>
        <w:rPr>
          <w:rStyle w:val="CdcTestoCarattere"/>
        </w:rPr>
      </w:pPr>
      <w:r>
        <w:rPr>
          <w:rStyle w:val="CdcTestoCarattere"/>
        </w:rPr>
        <w:t>Fondo per la soppressione dei Fondi di garanzia, determinato a fine esercizio nell’importo di € 31.543.224,10.</w:t>
      </w:r>
    </w:p>
    <w:p w:rsidR="003E72A8" w:rsidRDefault="003E72A8" w:rsidP="003E72A8">
      <w:pPr>
        <w:pStyle w:val="CdcElencopuntato"/>
        <w:jc w:val="both"/>
        <w:rPr>
          <w:rStyle w:val="CdcTestoCarattere"/>
        </w:rPr>
      </w:pPr>
      <w:r>
        <w:rPr>
          <w:rStyle w:val="CdcTestoCarattere"/>
        </w:rPr>
        <w:t>Fondo per le perdite delle società partecipate, determinato nella misura di € 2.411.037,00.</w:t>
      </w:r>
    </w:p>
    <w:p w:rsidR="003E72A8" w:rsidRDefault="003E72A8" w:rsidP="003E72A8">
      <w:pPr>
        <w:pStyle w:val="CdcElencopuntato"/>
        <w:numPr>
          <w:ilvl w:val="0"/>
          <w:numId w:val="0"/>
        </w:numPr>
        <w:jc w:val="both"/>
        <w:rPr>
          <w:rStyle w:val="CdcTestoCarattere"/>
        </w:rPr>
      </w:pPr>
      <w:r>
        <w:rPr>
          <w:rStyle w:val="CdcTestoCarattere"/>
        </w:rPr>
        <w:t>Le Quote vincolate riguardano vincoli derivant</w:t>
      </w:r>
      <w:r w:rsidR="000D01BB">
        <w:rPr>
          <w:rStyle w:val="CdcTestoCarattere"/>
        </w:rPr>
        <w:t>i da leggi e principi contabili</w:t>
      </w:r>
      <w:r>
        <w:rPr>
          <w:rStyle w:val="CdcTestoCarattere"/>
        </w:rPr>
        <w:t xml:space="preserve"> quantificati in € 14.092.824,33, vin</w:t>
      </w:r>
      <w:r w:rsidR="000D01BB">
        <w:rPr>
          <w:rStyle w:val="CdcTestoCarattere"/>
        </w:rPr>
        <w:t>coli derivanti da trasferimenti</w:t>
      </w:r>
      <w:r>
        <w:rPr>
          <w:rStyle w:val="CdcTestoCarattere"/>
        </w:rPr>
        <w:t xml:space="preserve"> pari a € 233.141.103,87, vincoli formalmente attribuiti dall’Ente per € 40.700.214,87, altri vincoli per € 595.829,90.</w:t>
      </w:r>
    </w:p>
    <w:p w:rsidR="003E72A8" w:rsidRPr="003E72A8" w:rsidRDefault="00346601" w:rsidP="00346601">
      <w:pPr>
        <w:pStyle w:val="Didascalia"/>
        <w:rPr>
          <w:color w:val="auto"/>
        </w:rPr>
      </w:pPr>
      <w:bookmarkStart w:id="23" w:name="_Toc499040951"/>
      <w:bookmarkStart w:id="24" w:name="_Toc507422470"/>
      <w:r w:rsidRPr="00346601">
        <w:rPr>
          <w:color w:val="auto"/>
        </w:rPr>
        <w:t xml:space="preserve">Tabella </w:t>
      </w:r>
      <w:r w:rsidRPr="00346601">
        <w:rPr>
          <w:color w:val="auto"/>
        </w:rPr>
        <w:fldChar w:fldCharType="begin"/>
      </w:r>
      <w:r w:rsidRPr="00346601">
        <w:rPr>
          <w:color w:val="auto"/>
        </w:rPr>
        <w:instrText xml:space="preserve"> SEQ Tabella \* ARABIC </w:instrText>
      </w:r>
      <w:r w:rsidRPr="00346601">
        <w:rPr>
          <w:color w:val="auto"/>
        </w:rPr>
        <w:fldChar w:fldCharType="separate"/>
      </w:r>
      <w:r w:rsidR="008616B3">
        <w:rPr>
          <w:noProof/>
          <w:color w:val="auto"/>
        </w:rPr>
        <w:t>2</w:t>
      </w:r>
      <w:r w:rsidRPr="00346601">
        <w:rPr>
          <w:color w:val="auto"/>
        </w:rPr>
        <w:fldChar w:fldCharType="end"/>
      </w:r>
      <w:r w:rsidR="003E72A8" w:rsidRPr="00346601">
        <w:rPr>
          <w:color w:val="auto"/>
        </w:rPr>
        <w:t xml:space="preserve"> - Riepilogo</w:t>
      </w:r>
      <w:r w:rsidR="003E72A8" w:rsidRPr="00346601">
        <w:rPr>
          <w:rFonts w:eastAsia="Times New Roman" w:cs="Calibri"/>
          <w:color w:val="auto"/>
          <w:sz w:val="20"/>
          <w:szCs w:val="20"/>
          <w:lang w:eastAsia="it-IT"/>
        </w:rPr>
        <w:t xml:space="preserve"> </w:t>
      </w:r>
      <w:r w:rsidR="003E72A8" w:rsidRPr="003E72A8">
        <w:rPr>
          <w:rFonts w:eastAsia="Times New Roman" w:cs="Calibri"/>
          <w:color w:val="auto"/>
          <w:sz w:val="20"/>
          <w:szCs w:val="20"/>
          <w:lang w:eastAsia="it-IT"/>
        </w:rPr>
        <w:t>risultati della gestione 2015</w:t>
      </w:r>
      <w:bookmarkEnd w:id="23"/>
      <w:bookmarkEnd w:id="24"/>
    </w:p>
    <w:tbl>
      <w:tblPr>
        <w:tblW w:w="50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9"/>
        <w:gridCol w:w="2129"/>
        <w:gridCol w:w="2149"/>
        <w:gridCol w:w="2469"/>
      </w:tblGrid>
      <w:tr w:rsidR="003E72A8" w:rsidRPr="004D0283" w:rsidTr="004E6597">
        <w:trPr>
          <w:trHeight w:val="227"/>
          <w:jc w:val="center"/>
        </w:trPr>
        <w:tc>
          <w:tcPr>
            <w:tcW w:w="1691" w:type="pct"/>
            <w:shd w:val="clear" w:color="auto" w:fill="17365D" w:themeFill="text2" w:themeFillShade="BF"/>
            <w:noWrap/>
            <w:vAlign w:val="center"/>
            <w:hideMark/>
          </w:tcPr>
          <w:p w:rsidR="003E72A8" w:rsidRPr="004D0283" w:rsidRDefault="003E72A8" w:rsidP="005B64E7">
            <w:pPr>
              <w:spacing w:after="0" w:line="240" w:lineRule="auto"/>
              <w:jc w:val="center"/>
              <w:rPr>
                <w:rFonts w:ascii="Bodoni MT" w:eastAsia="Times New Roman" w:hAnsi="Bodoni MT" w:cs="Calibri"/>
                <w:color w:val="000000"/>
                <w:sz w:val="20"/>
                <w:szCs w:val="20"/>
                <w:lang w:eastAsia="it-IT"/>
              </w:rPr>
            </w:pPr>
          </w:p>
        </w:tc>
        <w:tc>
          <w:tcPr>
            <w:tcW w:w="1044" w:type="pct"/>
            <w:shd w:val="clear" w:color="auto" w:fill="17365D" w:themeFill="text2" w:themeFillShade="BF"/>
            <w:noWrap/>
            <w:vAlign w:val="center"/>
            <w:hideMark/>
          </w:tcPr>
          <w:p w:rsidR="003E72A8" w:rsidRPr="004D0283" w:rsidRDefault="003E72A8" w:rsidP="005B64E7">
            <w:pPr>
              <w:spacing w:after="0" w:line="240" w:lineRule="auto"/>
              <w:jc w:val="center"/>
              <w:rPr>
                <w:rFonts w:ascii="Bodoni MT" w:eastAsia="Times New Roman" w:hAnsi="Bodoni MT" w:cs="Calibri"/>
                <w:b/>
                <w:color w:val="000000"/>
                <w:sz w:val="20"/>
                <w:szCs w:val="20"/>
                <w:lang w:eastAsia="it-IT"/>
              </w:rPr>
            </w:pPr>
            <w:r w:rsidRPr="009E13D5">
              <w:rPr>
                <w:rFonts w:ascii="Bodoni MT" w:eastAsia="Times New Roman" w:hAnsi="Bodoni MT" w:cs="Calibri"/>
                <w:b/>
                <w:color w:val="FFFFFF" w:themeColor="background1"/>
                <w:sz w:val="20"/>
                <w:szCs w:val="20"/>
                <w:lang w:eastAsia="it-IT"/>
              </w:rPr>
              <w:t>Totale</w:t>
            </w:r>
          </w:p>
        </w:tc>
        <w:tc>
          <w:tcPr>
            <w:tcW w:w="1054" w:type="pct"/>
            <w:shd w:val="clear" w:color="auto" w:fill="17365D" w:themeFill="text2" w:themeFillShade="BF"/>
            <w:vAlign w:val="center"/>
            <w:hideMark/>
          </w:tcPr>
          <w:p w:rsidR="003E72A8" w:rsidRPr="009E13D5" w:rsidRDefault="003E72A8" w:rsidP="005B64E7">
            <w:pPr>
              <w:spacing w:after="0" w:line="240" w:lineRule="auto"/>
              <w:jc w:val="center"/>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di cui da gestione residui</w:t>
            </w:r>
          </w:p>
        </w:tc>
        <w:tc>
          <w:tcPr>
            <w:tcW w:w="1211" w:type="pct"/>
            <w:shd w:val="clear" w:color="auto" w:fill="17365D" w:themeFill="text2" w:themeFillShade="BF"/>
            <w:vAlign w:val="center"/>
            <w:hideMark/>
          </w:tcPr>
          <w:p w:rsidR="003E72A8" w:rsidRPr="009E13D5" w:rsidRDefault="003E72A8" w:rsidP="005B64E7">
            <w:pPr>
              <w:spacing w:after="0" w:line="240" w:lineRule="auto"/>
              <w:jc w:val="center"/>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di cui da compet.</w:t>
            </w:r>
            <w:r w:rsidR="003D0E01">
              <w:rPr>
                <w:rFonts w:ascii="Bodoni MT" w:eastAsia="Times New Roman" w:hAnsi="Bodoni MT" w:cs="Calibri"/>
                <w:b/>
                <w:color w:val="FFFFFF" w:themeColor="background1"/>
                <w:sz w:val="20"/>
                <w:szCs w:val="20"/>
                <w:lang w:eastAsia="it-IT"/>
              </w:rPr>
              <w:t xml:space="preserve"> </w:t>
            </w:r>
            <w:r w:rsidRPr="009E13D5">
              <w:rPr>
                <w:rFonts w:ascii="Bodoni MT" w:eastAsia="Times New Roman" w:hAnsi="Bodoni MT" w:cs="Calibri"/>
                <w:b/>
                <w:color w:val="FFFFFF" w:themeColor="background1"/>
                <w:sz w:val="20"/>
                <w:szCs w:val="20"/>
                <w:lang w:eastAsia="it-IT"/>
              </w:rPr>
              <w:t>2015</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Residui attivi da riportare</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877.695.708,38</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117.762.823,00</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759.932.885,38</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Residui passivi da riportare</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1.502.234.081,67</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322.305.803,25</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1.179.928.278,42</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Reimputazioni che non generano FPV</w:t>
            </w:r>
          </w:p>
        </w:tc>
        <w:tc>
          <w:tcPr>
            <w:tcW w:w="1044" w:type="pct"/>
            <w:shd w:val="clear" w:color="auto" w:fill="17365D" w:themeFill="text2" w:themeFillShade="BF"/>
            <w:noWrap/>
            <w:vAlign w:val="center"/>
            <w:hideMark/>
          </w:tcPr>
          <w:p w:rsidR="003E72A8" w:rsidRPr="009E13D5" w:rsidRDefault="003E72A8" w:rsidP="005B64E7">
            <w:pPr>
              <w:spacing w:after="0" w:line="240" w:lineRule="auto"/>
              <w:jc w:val="center"/>
              <w:rPr>
                <w:rFonts w:ascii="Bodoni MT" w:eastAsia="Times New Roman" w:hAnsi="Bodoni MT" w:cstheme="minorHAnsi"/>
                <w:b/>
                <w:color w:val="FFFFFF" w:themeColor="background1"/>
                <w:sz w:val="20"/>
                <w:szCs w:val="20"/>
                <w:lang w:eastAsia="it-IT"/>
              </w:rPr>
            </w:pPr>
            <w:r w:rsidRPr="009E13D5">
              <w:rPr>
                <w:rFonts w:ascii="Bodoni MT" w:eastAsia="Times New Roman" w:hAnsi="Bodoni MT" w:cstheme="minorHAnsi"/>
                <w:b/>
                <w:color w:val="FFFFFF" w:themeColor="background1"/>
                <w:sz w:val="20"/>
                <w:szCs w:val="20"/>
                <w:lang w:eastAsia="it-IT"/>
              </w:rPr>
              <w:t>Totale</w:t>
            </w:r>
          </w:p>
        </w:tc>
        <w:tc>
          <w:tcPr>
            <w:tcW w:w="1054" w:type="pct"/>
            <w:shd w:val="clear" w:color="auto" w:fill="17365D" w:themeFill="text2" w:themeFillShade="BF"/>
            <w:vAlign w:val="center"/>
            <w:hideMark/>
          </w:tcPr>
          <w:p w:rsidR="003E72A8" w:rsidRPr="009E13D5" w:rsidRDefault="003E72A8" w:rsidP="005B64E7">
            <w:pPr>
              <w:spacing w:after="0" w:line="240" w:lineRule="auto"/>
              <w:jc w:val="center"/>
              <w:rPr>
                <w:rFonts w:ascii="Bodoni MT" w:eastAsia="Times New Roman" w:hAnsi="Bodoni MT" w:cstheme="minorHAnsi"/>
                <w:b/>
                <w:color w:val="FFFFFF" w:themeColor="background1"/>
                <w:sz w:val="20"/>
                <w:szCs w:val="20"/>
                <w:lang w:eastAsia="it-IT"/>
              </w:rPr>
            </w:pPr>
            <w:r w:rsidRPr="009E13D5">
              <w:rPr>
                <w:rFonts w:ascii="Bodoni MT" w:eastAsia="Times New Roman" w:hAnsi="Bodoni MT" w:cstheme="minorHAnsi"/>
                <w:b/>
                <w:color w:val="FFFFFF" w:themeColor="background1"/>
                <w:sz w:val="20"/>
                <w:szCs w:val="20"/>
                <w:lang w:eastAsia="it-IT"/>
              </w:rPr>
              <w:t>di cui da riacc.straord.</w:t>
            </w:r>
          </w:p>
        </w:tc>
        <w:tc>
          <w:tcPr>
            <w:tcW w:w="1211" w:type="pct"/>
            <w:shd w:val="clear" w:color="auto" w:fill="17365D" w:themeFill="text2" w:themeFillShade="BF"/>
            <w:vAlign w:val="center"/>
            <w:hideMark/>
          </w:tcPr>
          <w:p w:rsidR="003E72A8" w:rsidRPr="009E13D5" w:rsidRDefault="003E72A8" w:rsidP="00925BC8">
            <w:pPr>
              <w:spacing w:after="0" w:line="240" w:lineRule="auto"/>
              <w:jc w:val="center"/>
              <w:rPr>
                <w:rFonts w:ascii="Bodoni MT" w:eastAsia="Times New Roman" w:hAnsi="Bodoni MT" w:cstheme="minorHAnsi"/>
                <w:b/>
                <w:color w:val="FFFFFF" w:themeColor="background1"/>
                <w:sz w:val="20"/>
                <w:szCs w:val="20"/>
                <w:lang w:eastAsia="it-IT"/>
              </w:rPr>
            </w:pPr>
            <w:r w:rsidRPr="009E13D5">
              <w:rPr>
                <w:rFonts w:ascii="Bodoni MT" w:eastAsia="Times New Roman" w:hAnsi="Bodoni MT" w:cstheme="minorHAnsi"/>
                <w:b/>
                <w:color w:val="FFFFFF" w:themeColor="background1"/>
                <w:sz w:val="20"/>
                <w:szCs w:val="20"/>
                <w:lang w:eastAsia="it-IT"/>
              </w:rPr>
              <w:t>di cui da</w:t>
            </w:r>
            <w:r w:rsidR="00925BC8">
              <w:rPr>
                <w:rFonts w:ascii="Bodoni MT" w:eastAsia="Times New Roman" w:hAnsi="Bodoni MT" w:cstheme="minorHAnsi"/>
                <w:b/>
                <w:color w:val="FFFFFF" w:themeColor="background1"/>
                <w:sz w:val="20"/>
                <w:szCs w:val="20"/>
                <w:lang w:eastAsia="it-IT"/>
              </w:rPr>
              <w:t xml:space="preserve"> </w:t>
            </w:r>
            <w:r w:rsidRPr="009E13D5">
              <w:rPr>
                <w:rFonts w:ascii="Bodoni MT" w:eastAsia="Times New Roman" w:hAnsi="Bodoni MT" w:cstheme="minorHAnsi"/>
                <w:b/>
                <w:color w:val="FFFFFF" w:themeColor="background1"/>
                <w:sz w:val="20"/>
                <w:szCs w:val="20"/>
                <w:lang w:eastAsia="it-IT"/>
              </w:rPr>
              <w:t>compet. 2015</w:t>
            </w:r>
          </w:p>
        </w:tc>
      </w:tr>
      <w:tr w:rsidR="003E72A8" w:rsidRPr="004D0283" w:rsidTr="004E6597">
        <w:trPr>
          <w:trHeight w:val="227"/>
          <w:jc w:val="center"/>
        </w:trPr>
        <w:tc>
          <w:tcPr>
            <w:tcW w:w="1691" w:type="pct"/>
            <w:shd w:val="clear" w:color="auto" w:fill="95B3D7" w:themeFill="accent1" w:themeFillTint="99"/>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 xml:space="preserve">Reimputazione attive al 2016 e </w:t>
            </w:r>
            <w:r w:rsidR="004E6597">
              <w:rPr>
                <w:rFonts w:ascii="Bodoni MT" w:eastAsia="Times New Roman" w:hAnsi="Bodoni MT" w:cs="Calibri"/>
                <w:color w:val="FFFFFF" w:themeColor="background1"/>
                <w:sz w:val="20"/>
                <w:szCs w:val="20"/>
                <w:lang w:eastAsia="it-IT"/>
              </w:rPr>
              <w:t>succ.</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752.600.644,85</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465.172.725,26</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287.427.919,50</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b/>
                <w:i/>
                <w:color w:val="FFFFFF" w:themeColor="background1"/>
                <w:sz w:val="20"/>
                <w:szCs w:val="20"/>
                <w:lang w:eastAsia="it-IT"/>
              </w:rPr>
            </w:pPr>
            <w:r w:rsidRPr="009E13D5">
              <w:rPr>
                <w:rFonts w:ascii="Bodoni MT" w:eastAsia="Times New Roman" w:hAnsi="Bodoni MT" w:cs="Calibri"/>
                <w:b/>
                <w:i/>
                <w:color w:val="FFFFFF" w:themeColor="background1"/>
                <w:sz w:val="20"/>
                <w:szCs w:val="20"/>
                <w:lang w:eastAsia="it-IT"/>
              </w:rPr>
              <w:t>di cui al 2016</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510.834.804,26</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336.506.154,94</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174.328.649,32</w:t>
            </w:r>
          </w:p>
        </w:tc>
      </w:tr>
      <w:tr w:rsidR="003E72A8" w:rsidRPr="004D0283" w:rsidTr="004E6597">
        <w:trPr>
          <w:trHeight w:val="243"/>
          <w:jc w:val="center"/>
        </w:trPr>
        <w:tc>
          <w:tcPr>
            <w:tcW w:w="1691" w:type="pct"/>
            <w:shd w:val="clear" w:color="auto" w:fill="95B3D7" w:themeFill="accent1" w:themeFillTint="99"/>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 xml:space="preserve">Reimputazioni passive al 2016 e </w:t>
            </w:r>
            <w:r w:rsidR="004E6597">
              <w:rPr>
                <w:rFonts w:ascii="Bodoni MT" w:eastAsia="Times New Roman" w:hAnsi="Bodoni MT" w:cs="Calibri"/>
                <w:color w:val="FFFFFF" w:themeColor="background1"/>
                <w:sz w:val="20"/>
                <w:szCs w:val="20"/>
                <w:lang w:eastAsia="it-IT"/>
              </w:rPr>
              <w:t>succ.</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706.732.883,78</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503.189.944,01</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203.542.939,77</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b/>
                <w:i/>
                <w:color w:val="FFFFFF" w:themeColor="background1"/>
                <w:sz w:val="20"/>
                <w:szCs w:val="20"/>
                <w:lang w:eastAsia="it-IT"/>
              </w:rPr>
            </w:pPr>
            <w:r w:rsidRPr="009E13D5">
              <w:rPr>
                <w:rFonts w:ascii="Bodoni MT" w:eastAsia="Times New Roman" w:hAnsi="Bodoni MT" w:cs="Calibri"/>
                <w:b/>
                <w:i/>
                <w:color w:val="FFFFFF" w:themeColor="background1"/>
                <w:sz w:val="20"/>
                <w:szCs w:val="20"/>
                <w:lang w:eastAsia="it-IT"/>
              </w:rPr>
              <w:t>di cui al 2016</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414.431.259,00</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326.605.365,31</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87.825.893,69</w:t>
            </w:r>
          </w:p>
        </w:tc>
      </w:tr>
      <w:tr w:rsidR="003E72A8" w:rsidRPr="004D0283" w:rsidTr="004E6597">
        <w:trPr>
          <w:trHeight w:val="227"/>
          <w:jc w:val="center"/>
        </w:trPr>
        <w:tc>
          <w:tcPr>
            <w:tcW w:w="1691" w:type="pct"/>
            <w:shd w:val="clear" w:color="auto" w:fill="95B3D7" w:themeFill="accent1" w:themeFillTint="99"/>
            <w:noWrap/>
            <w:vAlign w:val="center"/>
          </w:tcPr>
          <w:p w:rsidR="003E72A8" w:rsidRPr="009E13D5" w:rsidRDefault="003E72A8" w:rsidP="008505F5">
            <w:pPr>
              <w:spacing w:after="0" w:line="240" w:lineRule="auto"/>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FPV di spesa Totale</w:t>
            </w:r>
          </w:p>
        </w:tc>
        <w:tc>
          <w:tcPr>
            <w:tcW w:w="1044" w:type="pct"/>
            <w:shd w:val="clear" w:color="auto" w:fill="auto"/>
            <w:noWrap/>
            <w:vAlign w:val="center"/>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344.982.335,65</w:t>
            </w:r>
          </w:p>
        </w:tc>
        <w:tc>
          <w:tcPr>
            <w:tcW w:w="1054" w:type="pct"/>
            <w:shd w:val="clear" w:color="auto" w:fill="auto"/>
            <w:noWrap/>
            <w:vAlign w:val="center"/>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220.582.033,90</w:t>
            </w:r>
          </w:p>
        </w:tc>
        <w:tc>
          <w:tcPr>
            <w:tcW w:w="1211" w:type="pct"/>
            <w:shd w:val="clear" w:color="auto" w:fill="auto"/>
            <w:noWrap/>
            <w:vAlign w:val="center"/>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124.400.301,75</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i/>
                <w:color w:val="FFFFFF" w:themeColor="background1"/>
                <w:sz w:val="20"/>
                <w:szCs w:val="20"/>
                <w:lang w:eastAsia="it-IT"/>
              </w:rPr>
            </w:pPr>
            <w:r w:rsidRPr="009E13D5">
              <w:rPr>
                <w:rFonts w:ascii="Bodoni MT" w:eastAsia="Times New Roman" w:hAnsi="Bodoni MT" w:cs="Calibri"/>
                <w:i/>
                <w:color w:val="FFFFFF" w:themeColor="background1"/>
                <w:sz w:val="20"/>
                <w:szCs w:val="20"/>
                <w:lang w:eastAsia="it-IT"/>
              </w:rPr>
              <w:t>di cui FPV corrente</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56.502.635,51</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12.482.254,60</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44.020.380,91</w:t>
            </w:r>
          </w:p>
        </w:tc>
      </w:tr>
      <w:tr w:rsidR="003E72A8" w:rsidRPr="004D0283" w:rsidTr="004E6597">
        <w:trPr>
          <w:trHeight w:val="227"/>
          <w:jc w:val="center"/>
        </w:trPr>
        <w:tc>
          <w:tcPr>
            <w:tcW w:w="1691" w:type="pct"/>
            <w:shd w:val="clear" w:color="auto" w:fill="95B3D7" w:themeFill="accent1" w:themeFillTint="99"/>
            <w:noWrap/>
            <w:vAlign w:val="center"/>
            <w:hideMark/>
          </w:tcPr>
          <w:p w:rsidR="003E72A8" w:rsidRPr="009E13D5" w:rsidRDefault="003E72A8" w:rsidP="008505F5">
            <w:pPr>
              <w:spacing w:after="0" w:line="240" w:lineRule="auto"/>
              <w:rPr>
                <w:rFonts w:ascii="Bodoni MT" w:eastAsia="Times New Roman" w:hAnsi="Bodoni MT" w:cs="Calibri"/>
                <w:i/>
                <w:color w:val="FFFFFF" w:themeColor="background1"/>
                <w:sz w:val="20"/>
                <w:szCs w:val="20"/>
                <w:lang w:eastAsia="it-IT"/>
              </w:rPr>
            </w:pPr>
            <w:r w:rsidRPr="009E13D5">
              <w:rPr>
                <w:rFonts w:ascii="Bodoni MT" w:eastAsia="Times New Roman" w:hAnsi="Bodoni MT" w:cs="Calibri"/>
                <w:i/>
                <w:color w:val="FFFFFF" w:themeColor="background1"/>
                <w:sz w:val="20"/>
                <w:szCs w:val="20"/>
                <w:lang w:eastAsia="it-IT"/>
              </w:rPr>
              <w:t>di cui FPV c/capitale</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288.479.700,14</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208.099.779,30</w:t>
            </w: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80.379.920,84</w:t>
            </w:r>
          </w:p>
        </w:tc>
      </w:tr>
      <w:tr w:rsidR="003E72A8" w:rsidRPr="004D0283" w:rsidTr="004E6597">
        <w:trPr>
          <w:trHeight w:val="227"/>
          <w:jc w:val="center"/>
        </w:trPr>
        <w:tc>
          <w:tcPr>
            <w:tcW w:w="1691" w:type="pct"/>
            <w:shd w:val="clear" w:color="auto" w:fill="95B3D7" w:themeFill="accent1" w:themeFillTint="99"/>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Risultato di Amm.ne</w:t>
            </w:r>
          </w:p>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al netto del FPV</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-283.705.636,20</w:t>
            </w:r>
          </w:p>
        </w:tc>
        <w:tc>
          <w:tcPr>
            <w:tcW w:w="105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c>
          <w:tcPr>
            <w:tcW w:w="1211"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r>
      <w:tr w:rsidR="003E72A8" w:rsidRPr="004D0283" w:rsidTr="004E6597">
        <w:trPr>
          <w:trHeight w:val="227"/>
          <w:jc w:val="center"/>
        </w:trPr>
        <w:tc>
          <w:tcPr>
            <w:tcW w:w="1691" w:type="pct"/>
            <w:shd w:val="clear" w:color="auto" w:fill="95B3D7" w:themeFill="accent1" w:themeFillTint="99"/>
            <w:vAlign w:val="center"/>
            <w:hideMark/>
          </w:tcPr>
          <w:p w:rsidR="003E72A8" w:rsidRPr="009E13D5" w:rsidRDefault="003E72A8" w:rsidP="008505F5">
            <w:pPr>
              <w:spacing w:after="0" w:line="240" w:lineRule="auto"/>
              <w:rPr>
                <w:rFonts w:ascii="Bodoni MT" w:eastAsia="Times New Roman" w:hAnsi="Bodoni MT" w:cs="Calibri"/>
                <w:color w:val="FFFFFF" w:themeColor="background1"/>
                <w:sz w:val="20"/>
                <w:szCs w:val="20"/>
                <w:lang w:eastAsia="it-IT"/>
              </w:rPr>
            </w:pPr>
            <w:r w:rsidRPr="009E13D5">
              <w:rPr>
                <w:rFonts w:ascii="Bodoni MT" w:eastAsia="Times New Roman" w:hAnsi="Bodoni MT" w:cs="Calibri"/>
                <w:color w:val="FFFFFF" w:themeColor="background1"/>
                <w:sz w:val="20"/>
                <w:szCs w:val="20"/>
                <w:lang w:eastAsia="it-IT"/>
              </w:rPr>
              <w:t>Risultato di Amm.ne con FPV</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r w:rsidRPr="009B0925">
              <w:rPr>
                <w:rFonts w:eastAsia="Times New Roman" w:cstheme="minorHAnsi"/>
                <w:color w:val="000000"/>
                <w:sz w:val="18"/>
                <w:szCs w:val="18"/>
                <w:lang w:eastAsia="it-IT"/>
              </w:rPr>
              <w:t>-628.687.971,85</w:t>
            </w:r>
          </w:p>
        </w:tc>
        <w:tc>
          <w:tcPr>
            <w:tcW w:w="1054" w:type="pct"/>
            <w:shd w:val="clear" w:color="auto" w:fill="auto"/>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c>
          <w:tcPr>
            <w:tcW w:w="1211" w:type="pct"/>
            <w:shd w:val="clear" w:color="auto" w:fill="auto"/>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r>
      <w:tr w:rsidR="003E72A8" w:rsidRPr="004D0283" w:rsidTr="004E6597">
        <w:trPr>
          <w:trHeight w:val="227"/>
          <w:jc w:val="center"/>
        </w:trPr>
        <w:tc>
          <w:tcPr>
            <w:tcW w:w="1691" w:type="pct"/>
            <w:shd w:val="clear" w:color="auto" w:fill="95B3D7" w:themeFill="accent1" w:themeFillTint="99"/>
            <w:vAlign w:val="center"/>
            <w:hideMark/>
          </w:tcPr>
          <w:p w:rsidR="003E72A8" w:rsidRPr="009E13D5" w:rsidRDefault="003E72A8" w:rsidP="008505F5">
            <w:pPr>
              <w:spacing w:after="0" w:line="240" w:lineRule="auto"/>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Disavanzo di amministrazione</w:t>
            </w:r>
          </w:p>
        </w:tc>
        <w:tc>
          <w:tcPr>
            <w:tcW w:w="1044" w:type="pct"/>
            <w:shd w:val="clear" w:color="auto" w:fill="auto"/>
            <w:noWrap/>
            <w:vAlign w:val="center"/>
            <w:hideMark/>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-1.393.699.802,24</w:t>
            </w:r>
          </w:p>
        </w:tc>
        <w:tc>
          <w:tcPr>
            <w:tcW w:w="1054" w:type="pct"/>
            <w:shd w:val="clear" w:color="auto" w:fill="auto"/>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c>
          <w:tcPr>
            <w:tcW w:w="1211" w:type="pct"/>
            <w:shd w:val="clear" w:color="auto" w:fill="auto"/>
            <w:vAlign w:val="center"/>
            <w:hideMark/>
          </w:tcPr>
          <w:p w:rsidR="003E72A8" w:rsidRPr="009B0925" w:rsidRDefault="003E72A8" w:rsidP="005B64E7">
            <w:pPr>
              <w:spacing w:after="0" w:line="240" w:lineRule="auto"/>
              <w:jc w:val="center"/>
              <w:rPr>
                <w:rFonts w:eastAsia="Times New Roman" w:cstheme="minorHAnsi"/>
                <w:color w:val="000000"/>
                <w:sz w:val="18"/>
                <w:szCs w:val="18"/>
                <w:lang w:eastAsia="it-IT"/>
              </w:rPr>
            </w:pPr>
          </w:p>
        </w:tc>
      </w:tr>
      <w:tr w:rsidR="003E72A8" w:rsidRPr="004D0283" w:rsidTr="004E6597">
        <w:trPr>
          <w:trHeight w:val="227"/>
          <w:jc w:val="center"/>
        </w:trPr>
        <w:tc>
          <w:tcPr>
            <w:tcW w:w="1691" w:type="pct"/>
            <w:shd w:val="clear" w:color="auto" w:fill="95B3D7" w:themeFill="accent1" w:themeFillTint="99"/>
            <w:vAlign w:val="center"/>
          </w:tcPr>
          <w:p w:rsidR="003E72A8" w:rsidRPr="009E13D5" w:rsidRDefault="003E72A8" w:rsidP="004E6597">
            <w:pPr>
              <w:spacing w:after="0" w:line="240" w:lineRule="auto"/>
              <w:rPr>
                <w:rFonts w:ascii="Bodoni MT" w:eastAsia="Times New Roman" w:hAnsi="Bodoni MT" w:cs="Calibri"/>
                <w:b/>
                <w:color w:val="FFFFFF" w:themeColor="background1"/>
                <w:sz w:val="20"/>
                <w:szCs w:val="20"/>
                <w:lang w:eastAsia="it-IT"/>
              </w:rPr>
            </w:pPr>
            <w:r w:rsidRPr="009E13D5">
              <w:rPr>
                <w:rFonts w:ascii="Bodoni MT" w:eastAsia="Times New Roman" w:hAnsi="Bodoni MT" w:cs="Calibri"/>
                <w:b/>
                <w:color w:val="FFFFFF" w:themeColor="background1"/>
                <w:sz w:val="20"/>
                <w:szCs w:val="20"/>
                <w:lang w:eastAsia="it-IT"/>
              </w:rPr>
              <w:t>Residui Perenti</w:t>
            </w:r>
            <w:r w:rsidR="004E6597">
              <w:rPr>
                <w:rFonts w:ascii="Bodoni MT" w:eastAsia="Times New Roman" w:hAnsi="Bodoni MT" w:cs="Calibri"/>
                <w:b/>
                <w:color w:val="FFFFFF" w:themeColor="background1"/>
                <w:sz w:val="20"/>
                <w:szCs w:val="20"/>
                <w:lang w:eastAsia="it-IT"/>
              </w:rPr>
              <w:t xml:space="preserve"> </w:t>
            </w:r>
            <w:r w:rsidR="00CF238F" w:rsidRPr="009E13D5">
              <w:rPr>
                <w:rFonts w:ascii="Bodoni MT" w:eastAsia="Times New Roman" w:hAnsi="Bodoni MT" w:cs="Calibri"/>
                <w:b/>
                <w:color w:val="FFFFFF" w:themeColor="background1"/>
                <w:sz w:val="20"/>
                <w:szCs w:val="20"/>
                <w:lang w:eastAsia="it-IT"/>
              </w:rPr>
              <w:t xml:space="preserve">al </w:t>
            </w:r>
            <w:r w:rsidRPr="009E13D5">
              <w:rPr>
                <w:rFonts w:ascii="Bodoni MT" w:eastAsia="Times New Roman" w:hAnsi="Bodoni MT" w:cs="Calibri"/>
                <w:b/>
                <w:color w:val="FFFFFF" w:themeColor="background1"/>
                <w:sz w:val="20"/>
                <w:szCs w:val="20"/>
                <w:lang w:eastAsia="it-IT"/>
              </w:rPr>
              <w:t>31/12/2015</w:t>
            </w:r>
          </w:p>
        </w:tc>
        <w:tc>
          <w:tcPr>
            <w:tcW w:w="1044" w:type="pct"/>
            <w:shd w:val="clear" w:color="auto" w:fill="auto"/>
            <w:noWrap/>
            <w:vAlign w:val="center"/>
          </w:tcPr>
          <w:p w:rsidR="003E72A8" w:rsidRPr="009B0925" w:rsidRDefault="003E72A8" w:rsidP="005B64E7">
            <w:pPr>
              <w:spacing w:after="0" w:line="240" w:lineRule="auto"/>
              <w:jc w:val="center"/>
              <w:rPr>
                <w:rFonts w:eastAsia="Times New Roman" w:cstheme="minorHAnsi"/>
                <w:b/>
                <w:color w:val="000000"/>
                <w:sz w:val="18"/>
                <w:szCs w:val="18"/>
                <w:lang w:eastAsia="it-IT"/>
              </w:rPr>
            </w:pPr>
            <w:r w:rsidRPr="009B0925">
              <w:rPr>
                <w:rFonts w:eastAsia="Times New Roman" w:cstheme="minorHAnsi"/>
                <w:b/>
                <w:color w:val="000000"/>
                <w:sz w:val="18"/>
                <w:szCs w:val="18"/>
                <w:lang w:eastAsia="it-IT"/>
              </w:rPr>
              <w:t>1.766.201.800,21</w:t>
            </w:r>
          </w:p>
        </w:tc>
        <w:tc>
          <w:tcPr>
            <w:tcW w:w="1054" w:type="pct"/>
            <w:shd w:val="clear" w:color="auto" w:fill="auto"/>
            <w:vAlign w:val="center"/>
          </w:tcPr>
          <w:p w:rsidR="003E72A8" w:rsidRPr="009B0925" w:rsidRDefault="003E72A8" w:rsidP="005B64E7">
            <w:pPr>
              <w:spacing w:after="0" w:line="240" w:lineRule="auto"/>
              <w:jc w:val="center"/>
              <w:rPr>
                <w:rFonts w:eastAsia="Times New Roman" w:cstheme="minorHAnsi"/>
                <w:color w:val="000000"/>
                <w:sz w:val="18"/>
                <w:szCs w:val="18"/>
                <w:lang w:eastAsia="it-IT"/>
              </w:rPr>
            </w:pPr>
          </w:p>
        </w:tc>
        <w:tc>
          <w:tcPr>
            <w:tcW w:w="1211" w:type="pct"/>
            <w:shd w:val="clear" w:color="auto" w:fill="auto"/>
            <w:vAlign w:val="center"/>
          </w:tcPr>
          <w:p w:rsidR="003E72A8" w:rsidRPr="009B0925" w:rsidRDefault="003E72A8" w:rsidP="005B64E7">
            <w:pPr>
              <w:spacing w:after="0" w:line="240" w:lineRule="auto"/>
              <w:jc w:val="center"/>
              <w:rPr>
                <w:rFonts w:eastAsia="Times New Roman" w:cstheme="minorHAnsi"/>
                <w:color w:val="000000"/>
                <w:sz w:val="18"/>
                <w:szCs w:val="18"/>
                <w:lang w:eastAsia="it-IT"/>
              </w:rPr>
            </w:pPr>
          </w:p>
        </w:tc>
      </w:tr>
    </w:tbl>
    <w:p w:rsidR="00D44A2C" w:rsidRDefault="00D44A2C" w:rsidP="003E72A8">
      <w:pPr>
        <w:pStyle w:val="CdcTesto"/>
        <w:jc w:val="center"/>
        <w:sectPr w:rsidR="00D44A2C" w:rsidSect="00130B51">
          <w:headerReference w:type="default" r:id="rId28"/>
          <w:type w:val="oddPage"/>
          <w:pgSz w:w="11906" w:h="16838"/>
          <w:pgMar w:top="1418" w:right="1134" w:bottom="1134" w:left="851" w:header="709" w:footer="709" w:gutter="0"/>
          <w:pgNumType w:start="7"/>
          <w:cols w:space="708"/>
          <w:docGrid w:linePitch="360"/>
        </w:sectPr>
      </w:pPr>
    </w:p>
    <w:p w:rsidR="007C0180" w:rsidRDefault="007C0180" w:rsidP="003E72A8">
      <w:pPr>
        <w:pStyle w:val="CdcTesto"/>
        <w:jc w:val="center"/>
      </w:pPr>
    </w:p>
    <w:p w:rsidR="00343B30" w:rsidRDefault="00343B30" w:rsidP="003E72A8">
      <w:pPr>
        <w:pStyle w:val="CdcTesto"/>
        <w:jc w:val="center"/>
      </w:pPr>
    </w:p>
    <w:p w:rsidR="00474C78" w:rsidRDefault="00474C78" w:rsidP="003E72A8">
      <w:pPr>
        <w:pStyle w:val="CdcTesto"/>
        <w:jc w:val="center"/>
        <w:sectPr w:rsidR="00474C78" w:rsidSect="00D44A2C">
          <w:headerReference w:type="default" r:id="rId29"/>
          <w:footerReference w:type="default" r:id="rId30"/>
          <w:type w:val="evenPage"/>
          <w:pgSz w:w="11906" w:h="16838"/>
          <w:pgMar w:top="1418" w:right="1134" w:bottom="1134" w:left="851" w:header="709" w:footer="709" w:gutter="0"/>
          <w:pgNumType w:start="7"/>
          <w:cols w:space="708"/>
          <w:docGrid w:linePitch="360"/>
        </w:sectPr>
      </w:pPr>
    </w:p>
    <w:p w:rsidR="00AF655E" w:rsidRDefault="00346601" w:rsidP="00346601">
      <w:pPr>
        <w:pStyle w:val="Titolo1"/>
        <w:rPr>
          <w:color w:val="auto"/>
        </w:rPr>
      </w:pPr>
      <w:bookmarkStart w:id="25" w:name="_Toc499040914"/>
      <w:bookmarkStart w:id="26" w:name="_Toc507422616"/>
      <w:r w:rsidRPr="000A29D2">
        <w:rPr>
          <w:color w:val="auto"/>
        </w:rPr>
        <w:lastRenderedPageBreak/>
        <w:t xml:space="preserve">L’ASSESTAMENTO DEL BILANCIO </w:t>
      </w:r>
      <w:bookmarkEnd w:id="25"/>
      <w:r w:rsidR="006641AA">
        <w:rPr>
          <w:color w:val="auto"/>
        </w:rPr>
        <w:t>E LE PREVISIONI DEFINITIVE DELL’ESERCIZIO 2016</w:t>
      </w:r>
      <w:bookmarkEnd w:id="26"/>
    </w:p>
    <w:p w:rsidR="000D01BB" w:rsidRPr="000D01BB" w:rsidRDefault="000D01BB" w:rsidP="000D01BB">
      <w:pPr>
        <w:pStyle w:val="CdcTesto"/>
        <w:rPr>
          <w:i/>
          <w:sz w:val="20"/>
          <w:szCs w:val="20"/>
        </w:rPr>
      </w:pPr>
      <w:r>
        <w:rPr>
          <w:i/>
          <w:sz w:val="20"/>
          <w:szCs w:val="20"/>
        </w:rPr>
        <w:t>Sommario: 4.1 Le leggi di variazione e assestamento – 4.2 Le variazioni successive all’assestamento – 4.</w:t>
      </w:r>
      <w:r w:rsidR="00CF6AE2">
        <w:rPr>
          <w:i/>
          <w:sz w:val="20"/>
          <w:szCs w:val="20"/>
        </w:rPr>
        <w:t>3 C</w:t>
      </w:r>
      <w:r>
        <w:rPr>
          <w:i/>
          <w:sz w:val="20"/>
          <w:szCs w:val="20"/>
        </w:rPr>
        <w:t>onfronto delle previsioni assestate e definitive di entrata e di spesa -esercizio 2016 – 4.4 L’analisi delle principali variazioni di bilancio – 4.5 L’analisi delle previsioni definitive per Missioni – 4.6 Il confronto delle previsioni finali esercizi 2015 e 2016 – 4.6.1 Il confronto fra titoli di entrata e spesa – 4.6.2 Il confronto della spesa per Missioni</w:t>
      </w:r>
    </w:p>
    <w:p w:rsidR="00346601" w:rsidRPr="00263D74" w:rsidRDefault="00346601" w:rsidP="00346601">
      <w:pPr>
        <w:pStyle w:val="Titolo2"/>
        <w:rPr>
          <w:rFonts w:eastAsiaTheme="minorEastAsia"/>
        </w:rPr>
      </w:pPr>
      <w:bookmarkStart w:id="27" w:name="_Toc499040915"/>
      <w:bookmarkStart w:id="28" w:name="_Toc507422617"/>
      <w:r w:rsidRPr="00263D74">
        <w:rPr>
          <w:rFonts w:eastAsiaTheme="minorEastAsia"/>
        </w:rPr>
        <w:t>Le leggi di variazione e assestamento</w:t>
      </w:r>
      <w:bookmarkEnd w:id="27"/>
      <w:bookmarkEnd w:id="28"/>
    </w:p>
    <w:p w:rsidR="00346601" w:rsidRDefault="00346601" w:rsidP="00346601">
      <w:pPr>
        <w:pStyle w:val="CdcTesto"/>
      </w:pPr>
      <w:r>
        <w:t>Il bilancio di assestamento si configura come strumento destinato ad aggiornare il bilancio di previsione annuale attraverso l’aggiustamento delle previsioni alle vicende finanziarie sopravvenute o alle nuove situazion</w:t>
      </w:r>
      <w:r w:rsidR="00550C97">
        <w:t>i</w:t>
      </w:r>
      <w:r>
        <w:t xml:space="preserve"> verificatesi dopo la sua approvazione.</w:t>
      </w:r>
      <w:r w:rsidR="00CF238F">
        <w:t xml:space="preserve"> A tal fine l’art. 50 del D.Lgs.</w:t>
      </w:r>
      <w:r>
        <w:t xml:space="preserve"> 118/2011 prescrive che la Regione, entro il 31 luglio, approvi con legge l’assestamento del bilancio, anche sulla scorta della consistenza dei residui attivi e passivi, del fondo pluriennale vincolato e del fondo crediti di dubbia esigibilità, accertati in sede di rendiconto dell’esercizio scaduto il 31 dicembre precedente. La legge di assestamento dà atto del permanere degli equilibri generali di bilancio assumendo i necessari provvedimenti di riequilibrio in caso di necessità. </w:t>
      </w:r>
    </w:p>
    <w:p w:rsidR="00346601" w:rsidRDefault="00346601" w:rsidP="00346601">
      <w:pPr>
        <w:pStyle w:val="CdcTesto"/>
      </w:pPr>
      <w:r>
        <w:t>Il ritardo nell’approvazione del rendiconto regionale del 2015 –</w:t>
      </w:r>
      <w:r w:rsidR="00CF238F">
        <w:t xml:space="preserve"> avvenuta con L.R. n. 35 del 22 </w:t>
      </w:r>
      <w:r>
        <w:t xml:space="preserve">dicembre 2016 – ha comportato lo slittamento nella predisposizione dell’assestamento del bilancio 2016, approvato con la </w:t>
      </w:r>
      <w:r w:rsidRPr="00FA4169">
        <w:t>L.R. n.</w:t>
      </w:r>
      <w:r>
        <w:t xml:space="preserve"> </w:t>
      </w:r>
      <w:r w:rsidRPr="00FA4169">
        <w:t>36</w:t>
      </w:r>
      <w:r>
        <w:t xml:space="preserve"> del 22 dicembre 2016. </w:t>
      </w:r>
    </w:p>
    <w:p w:rsidR="000D01BB" w:rsidRDefault="00346601" w:rsidP="00346601">
      <w:pPr>
        <w:pStyle w:val="CdcTesto"/>
      </w:pPr>
      <w:r>
        <w:t xml:space="preserve">Il quadro della manovra di bilancio </w:t>
      </w:r>
      <w:r w:rsidRPr="003E35D1">
        <w:rPr>
          <w:i/>
        </w:rPr>
        <w:t>assestato</w:t>
      </w:r>
      <w:r>
        <w:t xml:space="preserve"> è stato, in realtà, ulteriormente modificato nel corso del 2017. </w:t>
      </w:r>
      <w:r w:rsidRPr="00261468">
        <w:t>A seguito</w:t>
      </w:r>
      <w:r>
        <w:t>, infatti,</w:t>
      </w:r>
      <w:r w:rsidRPr="00261468">
        <w:t xml:space="preserve"> della sentenza della Corte Costituzionale n.</w:t>
      </w:r>
      <w:r>
        <w:t xml:space="preserve"> </w:t>
      </w:r>
      <w:r w:rsidRPr="00261468">
        <w:t>6/2017</w:t>
      </w:r>
      <w:r w:rsidRPr="00261468">
        <w:rPr>
          <w:rStyle w:val="Rimandonotaapidipagina"/>
        </w:rPr>
        <w:footnoteReference w:id="59"/>
      </w:r>
      <w:r w:rsidRPr="00261468">
        <w:t>, che ha dichiarato l’illegittimità costituzionale dell’art.</w:t>
      </w:r>
      <w:r w:rsidR="006412E3">
        <w:t xml:space="preserve"> </w:t>
      </w:r>
      <w:r w:rsidRPr="00261468">
        <w:t>3 della L.R. n.</w:t>
      </w:r>
      <w:r>
        <w:t xml:space="preserve"> </w:t>
      </w:r>
      <w:r w:rsidRPr="00261468">
        <w:t xml:space="preserve">6/2016 </w:t>
      </w:r>
      <w:r>
        <w:t>“</w:t>
      </w:r>
      <w:r w:rsidRPr="00132A54">
        <w:rPr>
          <w:rFonts w:cs="Arial-BoldMT"/>
          <w:bCs/>
          <w:i/>
          <w:szCs w:val="18"/>
        </w:rPr>
        <w:t>Bilancio di previsione per l'anno 2016 e bilancio pluriennale per gli anni 2016-2018</w:t>
      </w:r>
      <w:r>
        <w:rPr>
          <w:rFonts w:cs="Arial-BoldMT"/>
          <w:b/>
          <w:bCs/>
          <w:szCs w:val="18"/>
        </w:rPr>
        <w:t xml:space="preserve">”, </w:t>
      </w:r>
      <w:r>
        <w:t>si sono dovute apportare rettifiche inizialmente s</w:t>
      </w:r>
      <w:r w:rsidRPr="00261468">
        <w:t>ull</w:t>
      </w:r>
      <w:r>
        <w:t>a</w:t>
      </w:r>
      <w:r w:rsidRPr="00261468">
        <w:t xml:space="preserve"> legg</w:t>
      </w:r>
      <w:r>
        <w:t>e di bilancio</w:t>
      </w:r>
      <w:r w:rsidRPr="00261468">
        <w:t xml:space="preserve"> </w:t>
      </w:r>
      <w:r>
        <w:t xml:space="preserve">(L.R. </w:t>
      </w:r>
      <w:r w:rsidRPr="00261468">
        <w:t>n.</w:t>
      </w:r>
      <w:r>
        <w:t xml:space="preserve"> </w:t>
      </w:r>
      <w:r w:rsidRPr="00261468">
        <w:t>6/2016</w:t>
      </w:r>
      <w:r>
        <w:t xml:space="preserve"> modificata dalla L.R. 16 marzo 2017 n. 3)</w:t>
      </w:r>
      <w:r w:rsidRPr="00261468">
        <w:t xml:space="preserve">, </w:t>
      </w:r>
      <w:r>
        <w:t>successivamente sulle leggi collegate,</w:t>
      </w:r>
      <w:r w:rsidRPr="006A7AA3">
        <w:t xml:space="preserve"> </w:t>
      </w:r>
      <w:r>
        <w:t xml:space="preserve">già vigenti, di variazione e di assestamento (L.R. </w:t>
      </w:r>
      <w:r w:rsidRPr="00261468">
        <w:t>n.</w:t>
      </w:r>
      <w:r>
        <w:t xml:space="preserve"> </w:t>
      </w:r>
      <w:r w:rsidRPr="00261468">
        <w:t>32/20</w:t>
      </w:r>
      <w:r>
        <w:t xml:space="preserve">16 e L.R. </w:t>
      </w:r>
      <w:r w:rsidRPr="00261468">
        <w:t>n.</w:t>
      </w:r>
      <w:r>
        <w:t xml:space="preserve"> </w:t>
      </w:r>
      <w:r w:rsidRPr="00261468">
        <w:t>36/2016</w:t>
      </w:r>
      <w:r>
        <w:t>).</w:t>
      </w:r>
      <w:r w:rsidRPr="00261468">
        <w:t xml:space="preserve"> </w:t>
      </w:r>
    </w:p>
    <w:p w:rsidR="00346601" w:rsidRPr="00404AFF" w:rsidRDefault="00BB4449" w:rsidP="00346601">
      <w:pPr>
        <w:pStyle w:val="CdcTesto"/>
        <w:rPr>
          <w:strike/>
        </w:rPr>
      </w:pPr>
      <w:r w:rsidRPr="009B0925">
        <w:t xml:space="preserve">È stata successivamente impugnata dinanzi alla Corte </w:t>
      </w:r>
      <w:r w:rsidR="00404AFF" w:rsidRPr="009B0925">
        <w:t>c</w:t>
      </w:r>
      <w:r w:rsidRPr="009B0925">
        <w:t>ostituzion</w:t>
      </w:r>
      <w:r w:rsidR="007B50FA" w:rsidRPr="009B0925">
        <w:t>ale anche la legge regionale n. </w:t>
      </w:r>
      <w:r w:rsidRPr="009B0925">
        <w:t>32/2016, tuttavia</w:t>
      </w:r>
      <w:r w:rsidR="00E61468" w:rsidRPr="009B0925">
        <w:t>,</w:t>
      </w:r>
      <w:r w:rsidRPr="009B0925">
        <w:t xml:space="preserve"> </w:t>
      </w:r>
      <w:r w:rsidR="00404AFF" w:rsidRPr="009B0925">
        <w:t xml:space="preserve">preso atto </w:t>
      </w:r>
      <w:r w:rsidR="00F96D42" w:rsidRPr="009B0925">
        <w:t>delle modifiche normative in</w:t>
      </w:r>
      <w:r w:rsidR="00404AFF" w:rsidRPr="009B0925">
        <w:t>trodotte in</w:t>
      </w:r>
      <w:r w:rsidR="00F96D42" w:rsidRPr="009B0925">
        <w:t xml:space="preserve"> ottemperanza</w:t>
      </w:r>
      <w:r w:rsidR="00F96D42">
        <w:t xml:space="preserve"> alle </w:t>
      </w:r>
      <w:r w:rsidR="00F96D42">
        <w:lastRenderedPageBreak/>
        <w:t>prescrizioni della Corte costituzionale, il Consiglio dei Ministri in data 22 novembre 2017 ha deliberato la rinuncia al ricorso</w:t>
      </w:r>
      <w:r w:rsidR="00404AFF">
        <w:t>.</w:t>
      </w:r>
      <w:r w:rsidR="00F96D42">
        <w:t xml:space="preserve"> </w:t>
      </w:r>
    </w:p>
    <w:p w:rsidR="00346601" w:rsidRDefault="00346601" w:rsidP="00346601">
      <w:pPr>
        <w:autoSpaceDE w:val="0"/>
        <w:autoSpaceDN w:val="0"/>
        <w:adjustRightInd w:val="0"/>
        <w:spacing w:after="0" w:line="360" w:lineRule="auto"/>
        <w:jc w:val="both"/>
        <w:rPr>
          <w:rFonts w:ascii="Bodoni MT" w:eastAsiaTheme="minorEastAsia" w:hAnsi="Bodoni MT" w:cs="Bodoni MT"/>
          <w:color w:val="000000"/>
          <w:sz w:val="24"/>
          <w:szCs w:val="24"/>
        </w:rPr>
      </w:pPr>
      <w:r>
        <w:rPr>
          <w:rFonts w:ascii="Bodoni MT" w:eastAsiaTheme="minorEastAsia" w:hAnsi="Bodoni MT" w:cs="Bodoni MT"/>
          <w:color w:val="000000"/>
          <w:sz w:val="24"/>
          <w:szCs w:val="24"/>
        </w:rPr>
        <w:t>Tali finali modifiche sono state apportate dalla</w:t>
      </w:r>
      <w:r w:rsidRPr="00261468">
        <w:rPr>
          <w:rFonts w:ascii="Bodoni MT" w:eastAsiaTheme="minorEastAsia" w:hAnsi="Bodoni MT" w:cs="Bodoni MT"/>
          <w:color w:val="000000"/>
          <w:sz w:val="24"/>
          <w:szCs w:val="24"/>
        </w:rPr>
        <w:t xml:space="preserve"> L.R. </w:t>
      </w:r>
      <w:r>
        <w:rPr>
          <w:rFonts w:ascii="Bodoni MT" w:eastAsiaTheme="minorEastAsia" w:hAnsi="Bodoni MT" w:cs="Bodoni MT"/>
          <w:color w:val="000000"/>
          <w:sz w:val="24"/>
          <w:szCs w:val="24"/>
        </w:rPr>
        <w:t>1</w:t>
      </w:r>
      <w:r w:rsidR="00CF238F">
        <w:rPr>
          <w:rFonts w:ascii="Bodoni MT" w:eastAsiaTheme="minorEastAsia" w:hAnsi="Bodoni MT" w:cs="Bodoni MT"/>
          <w:color w:val="000000"/>
          <w:sz w:val="24"/>
          <w:szCs w:val="24"/>
        </w:rPr>
        <w:t>°</w:t>
      </w:r>
      <w:r>
        <w:rPr>
          <w:rFonts w:ascii="Bodoni MT" w:eastAsiaTheme="minorEastAsia" w:hAnsi="Bodoni MT" w:cs="Bodoni MT"/>
          <w:color w:val="000000"/>
          <w:sz w:val="24"/>
          <w:szCs w:val="24"/>
        </w:rPr>
        <w:t xml:space="preserve"> giugno 2017 </w:t>
      </w:r>
      <w:r w:rsidRPr="00261468">
        <w:rPr>
          <w:rFonts w:ascii="Bodoni MT" w:eastAsiaTheme="minorEastAsia" w:hAnsi="Bodoni MT" w:cs="Bodoni MT"/>
          <w:color w:val="000000"/>
          <w:sz w:val="24"/>
          <w:szCs w:val="24"/>
        </w:rPr>
        <w:t>n.</w:t>
      </w:r>
      <w:r w:rsidR="00CF238F">
        <w:rPr>
          <w:rFonts w:ascii="Bodoni MT" w:eastAsiaTheme="minorEastAsia" w:hAnsi="Bodoni MT" w:cs="Bodoni MT"/>
          <w:color w:val="000000"/>
          <w:sz w:val="24"/>
          <w:szCs w:val="24"/>
        </w:rPr>
        <w:t xml:space="preserve"> </w:t>
      </w:r>
      <w:r w:rsidRPr="00261468">
        <w:rPr>
          <w:rFonts w:ascii="Bodoni MT" w:eastAsiaTheme="minorEastAsia" w:hAnsi="Bodoni MT" w:cs="Bodoni MT"/>
          <w:color w:val="000000"/>
          <w:sz w:val="24"/>
          <w:szCs w:val="24"/>
        </w:rPr>
        <w:t>10</w:t>
      </w:r>
      <w:r>
        <w:rPr>
          <w:rFonts w:ascii="Bodoni MT" w:eastAsiaTheme="minorEastAsia" w:hAnsi="Bodoni MT" w:cs="Bodoni MT"/>
          <w:color w:val="000000"/>
          <w:sz w:val="24"/>
          <w:szCs w:val="24"/>
        </w:rPr>
        <w:t>, ovvero con un anno circa di distanza rispetto alla fisiologica scadenza prevista dall’ordinamento per l’assunzione dell’</w:t>
      </w:r>
      <w:r w:rsidRPr="00261468">
        <w:rPr>
          <w:rFonts w:ascii="Bodoni MT" w:eastAsiaTheme="minorEastAsia" w:hAnsi="Bodoni MT" w:cs="Bodoni MT"/>
          <w:color w:val="000000"/>
          <w:sz w:val="24"/>
          <w:szCs w:val="24"/>
        </w:rPr>
        <w:t>assestamento</w:t>
      </w:r>
      <w:r>
        <w:rPr>
          <w:rFonts w:ascii="Bodoni MT" w:eastAsiaTheme="minorEastAsia" w:hAnsi="Bodoni MT" w:cs="Bodoni MT"/>
          <w:color w:val="000000"/>
          <w:sz w:val="24"/>
          <w:szCs w:val="24"/>
        </w:rPr>
        <w:t xml:space="preserve">. </w:t>
      </w:r>
    </w:p>
    <w:p w:rsidR="00346601" w:rsidRPr="00261468" w:rsidRDefault="00346601" w:rsidP="000D01BB">
      <w:pPr>
        <w:pStyle w:val="CdcTesto"/>
      </w:pPr>
      <w:r>
        <w:t>S</w:t>
      </w:r>
      <w:r w:rsidRPr="00261468">
        <w:t>ono state</w:t>
      </w:r>
      <w:r>
        <w:t>, conclusivamente,</w:t>
      </w:r>
      <w:r w:rsidRPr="00261468">
        <w:t xml:space="preserve"> apportate le seguenti modifiche</w:t>
      </w:r>
      <w:r w:rsidR="000D01BB">
        <w:t xml:space="preserve"> nella legge di assestamento n. 36/2016</w:t>
      </w:r>
      <w:r w:rsidRPr="00261468">
        <w:t>:</w:t>
      </w:r>
    </w:p>
    <w:p w:rsidR="00346601" w:rsidRDefault="00346601" w:rsidP="00234A57">
      <w:pPr>
        <w:pStyle w:val="Paragrafoelenco"/>
        <w:numPr>
          <w:ilvl w:val="0"/>
          <w:numId w:val="4"/>
        </w:numPr>
        <w:tabs>
          <w:tab w:val="left" w:pos="284"/>
        </w:tabs>
        <w:jc w:val="both"/>
        <w:rPr>
          <w:rFonts w:ascii="Bodoni MT" w:eastAsiaTheme="minorEastAsia" w:hAnsi="Bodoni MT" w:cs="Bodoni MT"/>
          <w:color w:val="000000"/>
          <w:sz w:val="24"/>
          <w:szCs w:val="24"/>
        </w:rPr>
      </w:pPr>
      <w:r>
        <w:rPr>
          <w:rFonts w:ascii="Bodoni MT" w:eastAsiaTheme="minorEastAsia" w:hAnsi="Bodoni MT" w:cs="Bodoni MT"/>
          <w:color w:val="000000"/>
          <w:sz w:val="24"/>
          <w:szCs w:val="24"/>
        </w:rPr>
        <w:t>Rideterminazione del fondo di riserva di cassa (</w:t>
      </w:r>
      <w:r w:rsidR="00C273FE">
        <w:rPr>
          <w:rFonts w:ascii="Bodoni MT" w:hAnsi="Bodoni MT"/>
          <w:sz w:val="24"/>
          <w:szCs w:val="24"/>
        </w:rPr>
        <w:t>€</w:t>
      </w:r>
      <w:r w:rsidRPr="003C4C5D">
        <w:rPr>
          <w:rFonts w:ascii="Bodoni MT" w:hAnsi="Bodoni MT"/>
          <w:sz w:val="24"/>
          <w:szCs w:val="24"/>
        </w:rPr>
        <w:t xml:space="preserve"> 394.798.635,92</w:t>
      </w:r>
      <w:r w:rsidRPr="003C4C5D">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art. 4 L.R. 10/2017).</w:t>
      </w:r>
    </w:p>
    <w:p w:rsidR="00346601" w:rsidRPr="00132A54" w:rsidRDefault="00346601" w:rsidP="004E6597">
      <w:pPr>
        <w:pStyle w:val="Paragrafoelenco"/>
        <w:numPr>
          <w:ilvl w:val="0"/>
          <w:numId w:val="4"/>
        </w:numPr>
        <w:tabs>
          <w:tab w:val="left" w:pos="284"/>
        </w:tabs>
        <w:ind w:left="284" w:hanging="284"/>
        <w:jc w:val="both"/>
        <w:rPr>
          <w:rFonts w:ascii="Bodoni MT" w:eastAsiaTheme="minorEastAsia" w:hAnsi="Bodoni MT" w:cs="Bodoni MT"/>
          <w:i/>
          <w:color w:val="000000"/>
          <w:sz w:val="24"/>
          <w:szCs w:val="24"/>
        </w:rPr>
      </w:pPr>
      <w:r>
        <w:rPr>
          <w:rFonts w:ascii="Bodoni MT" w:eastAsiaTheme="minorEastAsia" w:hAnsi="Bodoni MT" w:cs="Bodoni MT"/>
          <w:color w:val="000000"/>
          <w:sz w:val="24"/>
          <w:szCs w:val="24"/>
        </w:rPr>
        <w:t>Modifica del contenuto degli allegati dal n.</w:t>
      </w:r>
      <w:r w:rsidR="00CF238F">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1 al n.</w:t>
      </w:r>
      <w:r w:rsidR="00CF238F">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4 e dal n.</w:t>
      </w:r>
      <w:r w:rsidR="00CF238F">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6 al n.</w:t>
      </w:r>
      <w:r w:rsidR="00CF238F">
        <w:rPr>
          <w:rFonts w:ascii="Bodoni MT" w:eastAsiaTheme="minorEastAsia" w:hAnsi="Bodoni MT" w:cs="Bodoni MT"/>
          <w:color w:val="000000"/>
          <w:sz w:val="24"/>
          <w:szCs w:val="24"/>
        </w:rPr>
        <w:t xml:space="preserve"> </w:t>
      </w:r>
      <w:r>
        <w:rPr>
          <w:rFonts w:ascii="Bodoni MT" w:eastAsiaTheme="minorEastAsia" w:hAnsi="Bodoni MT" w:cs="Bodoni MT"/>
          <w:color w:val="000000"/>
          <w:sz w:val="24"/>
          <w:szCs w:val="24"/>
        </w:rPr>
        <w:t>15, in particolare il contenuto dell’allegato n. 6 “</w:t>
      </w:r>
      <w:r w:rsidRPr="00132A54">
        <w:rPr>
          <w:rFonts w:ascii="Bodoni MT" w:eastAsiaTheme="minorEastAsia" w:hAnsi="Bodoni MT" w:cs="Bodoni MT"/>
          <w:i/>
          <w:color w:val="000000"/>
          <w:sz w:val="24"/>
          <w:szCs w:val="24"/>
        </w:rPr>
        <w:t xml:space="preserve">Nota integrativa ed elenco dei residui perenti a valere su risorse vincolate e non vincolate”. </w:t>
      </w:r>
    </w:p>
    <w:p w:rsidR="00346601" w:rsidRDefault="00346601" w:rsidP="004E6597">
      <w:pPr>
        <w:pStyle w:val="Paragrafoelenco"/>
        <w:numPr>
          <w:ilvl w:val="0"/>
          <w:numId w:val="4"/>
        </w:numPr>
        <w:tabs>
          <w:tab w:val="left" w:pos="284"/>
        </w:tabs>
        <w:ind w:left="284" w:hanging="284"/>
        <w:jc w:val="both"/>
        <w:rPr>
          <w:rFonts w:ascii="Bodoni MT" w:eastAsiaTheme="minorEastAsia" w:hAnsi="Bodoni MT" w:cs="Bodoni MT"/>
          <w:color w:val="000000"/>
          <w:sz w:val="24"/>
          <w:szCs w:val="24"/>
        </w:rPr>
      </w:pPr>
      <w:r>
        <w:rPr>
          <w:rFonts w:ascii="Bodoni MT" w:eastAsiaTheme="minorEastAsia" w:hAnsi="Bodoni MT" w:cs="Bodoni MT"/>
          <w:color w:val="000000"/>
          <w:sz w:val="24"/>
          <w:szCs w:val="24"/>
        </w:rPr>
        <w:t>Aggiunta degli allegati 5-bis “</w:t>
      </w:r>
      <w:r w:rsidRPr="00073B97">
        <w:rPr>
          <w:rFonts w:ascii="Bodoni MT" w:eastAsiaTheme="minorEastAsia" w:hAnsi="Bodoni MT" w:cs="Bodoni MT"/>
          <w:i/>
          <w:color w:val="000000"/>
          <w:sz w:val="24"/>
          <w:szCs w:val="24"/>
        </w:rPr>
        <w:t>Prospetto esplicativo delle variazioni in diminuzione del Fondo Pluriennale Vincolato iscritto nelle previsioni iniziali del bilancio 2016-2018 e dei correlati stanziamenti di spesa</w:t>
      </w:r>
      <w:r>
        <w:rPr>
          <w:rFonts w:ascii="Bodoni MT" w:eastAsiaTheme="minorEastAsia" w:hAnsi="Bodoni MT" w:cs="Bodoni MT"/>
          <w:color w:val="000000"/>
          <w:sz w:val="24"/>
          <w:szCs w:val="24"/>
        </w:rPr>
        <w:t>” e 5/ter “</w:t>
      </w:r>
      <w:r w:rsidRPr="00073B97">
        <w:rPr>
          <w:rFonts w:ascii="Bodoni MT" w:eastAsiaTheme="minorEastAsia" w:hAnsi="Bodoni MT" w:cs="Bodoni MT"/>
          <w:i/>
          <w:color w:val="000000"/>
          <w:sz w:val="24"/>
          <w:szCs w:val="24"/>
        </w:rPr>
        <w:t>Prospetti da trasmettere al Tesoriere ai sensi dell’art.</w:t>
      </w:r>
      <w:r>
        <w:rPr>
          <w:rFonts w:ascii="Bodoni MT" w:eastAsiaTheme="minorEastAsia" w:hAnsi="Bodoni MT" w:cs="Bodoni MT"/>
          <w:i/>
          <w:color w:val="000000"/>
          <w:sz w:val="24"/>
          <w:szCs w:val="24"/>
        </w:rPr>
        <w:t xml:space="preserve"> </w:t>
      </w:r>
      <w:r w:rsidRPr="00073B97">
        <w:rPr>
          <w:rFonts w:ascii="Bodoni MT" w:eastAsiaTheme="minorEastAsia" w:hAnsi="Bodoni MT" w:cs="Bodoni MT"/>
          <w:i/>
          <w:color w:val="000000"/>
          <w:sz w:val="24"/>
          <w:szCs w:val="24"/>
        </w:rPr>
        <w:t>10, comma 4 del D</w:t>
      </w:r>
      <w:r w:rsidR="007B50FA">
        <w:rPr>
          <w:rFonts w:ascii="Bodoni MT" w:eastAsiaTheme="minorEastAsia" w:hAnsi="Bodoni MT" w:cs="Bodoni MT"/>
          <w:i/>
          <w:color w:val="000000"/>
          <w:sz w:val="24"/>
          <w:szCs w:val="24"/>
        </w:rPr>
        <w:t>.</w:t>
      </w:r>
      <w:r w:rsidR="007B50FA" w:rsidRPr="00073B97">
        <w:rPr>
          <w:rFonts w:ascii="Bodoni MT" w:eastAsiaTheme="minorEastAsia" w:hAnsi="Bodoni MT" w:cs="Bodoni MT"/>
          <w:i/>
          <w:color w:val="000000"/>
          <w:sz w:val="24"/>
          <w:szCs w:val="24"/>
        </w:rPr>
        <w:t>Lgs</w:t>
      </w:r>
      <w:r w:rsidR="007B50FA">
        <w:rPr>
          <w:rFonts w:ascii="Bodoni MT" w:eastAsiaTheme="minorEastAsia" w:hAnsi="Bodoni MT" w:cs="Bodoni MT"/>
          <w:i/>
          <w:color w:val="000000"/>
          <w:sz w:val="24"/>
          <w:szCs w:val="24"/>
        </w:rPr>
        <w:t>.</w:t>
      </w:r>
      <w:r w:rsidR="007B50FA" w:rsidRPr="00073B97">
        <w:rPr>
          <w:rFonts w:ascii="Bodoni MT" w:eastAsiaTheme="minorEastAsia" w:hAnsi="Bodoni MT" w:cs="Bodoni MT"/>
          <w:i/>
          <w:color w:val="000000"/>
          <w:sz w:val="24"/>
          <w:szCs w:val="24"/>
        </w:rPr>
        <w:t xml:space="preserve"> </w:t>
      </w:r>
      <w:r w:rsidRPr="00073B97">
        <w:rPr>
          <w:rFonts w:ascii="Bodoni MT" w:eastAsiaTheme="minorEastAsia" w:hAnsi="Bodoni MT" w:cs="Bodoni MT"/>
          <w:i/>
          <w:color w:val="000000"/>
          <w:sz w:val="24"/>
          <w:szCs w:val="24"/>
        </w:rPr>
        <w:t>118/2011: Allegato di variazione del bilancio riportante i dati di interesse del Tesoriere e Allegato di variazione del Fondo Pluriennale Vincolato</w:t>
      </w:r>
      <w:r>
        <w:rPr>
          <w:rFonts w:ascii="Bodoni MT" w:eastAsiaTheme="minorEastAsia" w:hAnsi="Bodoni MT" w:cs="Bodoni MT"/>
          <w:color w:val="000000"/>
          <w:sz w:val="24"/>
          <w:szCs w:val="24"/>
        </w:rPr>
        <w:t>”.</w:t>
      </w:r>
    </w:p>
    <w:p w:rsidR="00346601" w:rsidRDefault="00346601" w:rsidP="004E6597">
      <w:pPr>
        <w:pStyle w:val="CdcTesto"/>
        <w:numPr>
          <w:ilvl w:val="0"/>
          <w:numId w:val="30"/>
        </w:numPr>
        <w:autoSpaceDE/>
        <w:autoSpaceDN/>
        <w:adjustRightInd/>
        <w:spacing w:after="200"/>
        <w:ind w:left="284" w:hanging="284"/>
        <w:contextualSpacing/>
        <w:textAlignment w:val="auto"/>
      </w:pPr>
      <w:r w:rsidRPr="00C62602">
        <w:t>E’ stato</w:t>
      </w:r>
      <w:r w:rsidR="000D01BB">
        <w:t>,</w:t>
      </w:r>
      <w:r w:rsidRPr="00C62602">
        <w:t xml:space="preserve"> così</w:t>
      </w:r>
      <w:r w:rsidR="000D01BB">
        <w:t>,</w:t>
      </w:r>
      <w:r w:rsidRPr="00C62602">
        <w:t xml:space="preserve"> rideterminato il Fondo di cassa al 1° gennaio 2016 in </w:t>
      </w:r>
      <w:r w:rsidR="00C273FE">
        <w:t>€</w:t>
      </w:r>
      <w:r w:rsidRPr="00C62602">
        <w:t xml:space="preserve"> 340.832.737,09, in conformità con il rendiconto generale per l'esercizio finanziario 2015 (L. R. n.</w:t>
      </w:r>
      <w:r>
        <w:t xml:space="preserve"> </w:t>
      </w:r>
      <w:r w:rsidRPr="00C62602">
        <w:t>36/2016, nel testo modificato dalla L.R. n.</w:t>
      </w:r>
      <w:r>
        <w:t xml:space="preserve"> </w:t>
      </w:r>
      <w:r w:rsidRPr="00C62602">
        <w:t>10/2017, art.</w:t>
      </w:r>
      <w:r>
        <w:t xml:space="preserve"> </w:t>
      </w:r>
      <w:r w:rsidRPr="00C62602">
        <w:t>2).</w:t>
      </w:r>
    </w:p>
    <w:p w:rsidR="00346601" w:rsidRDefault="00346601" w:rsidP="004E6597">
      <w:pPr>
        <w:pStyle w:val="Paragrafoelenco"/>
        <w:numPr>
          <w:ilvl w:val="0"/>
          <w:numId w:val="14"/>
        </w:numPr>
        <w:tabs>
          <w:tab w:val="left" w:pos="284"/>
        </w:tabs>
        <w:ind w:left="284" w:hanging="284"/>
        <w:jc w:val="both"/>
      </w:pPr>
      <w:r w:rsidRPr="00C62602">
        <w:rPr>
          <w:rFonts w:ascii="Bodoni MT" w:eastAsiaTheme="minorEastAsia" w:hAnsi="Bodoni MT" w:cs="Bodoni MT"/>
          <w:sz w:val="24"/>
          <w:szCs w:val="24"/>
        </w:rPr>
        <w:t xml:space="preserve">E’ stato </w:t>
      </w:r>
      <w:r w:rsidRPr="00C62602">
        <w:rPr>
          <w:rFonts w:ascii="Bodoni MT" w:hAnsi="Bodoni MT"/>
          <w:sz w:val="24"/>
          <w:szCs w:val="24"/>
        </w:rPr>
        <w:t xml:space="preserve">quantificato in </w:t>
      </w:r>
      <w:r w:rsidR="00C273FE">
        <w:rPr>
          <w:rFonts w:ascii="Bodoni MT" w:hAnsi="Bodoni MT"/>
          <w:sz w:val="24"/>
          <w:szCs w:val="24"/>
        </w:rPr>
        <w:t xml:space="preserve">€ </w:t>
      </w:r>
      <w:r w:rsidRPr="00C62602">
        <w:rPr>
          <w:rFonts w:ascii="Bodoni MT" w:hAnsi="Bodoni MT"/>
          <w:sz w:val="24"/>
          <w:szCs w:val="24"/>
        </w:rPr>
        <w:t>-628.687.971,85</w:t>
      </w:r>
      <w:r w:rsidRPr="00C62602">
        <w:rPr>
          <w:rFonts w:ascii="Bodoni MT" w:eastAsiaTheme="minorEastAsia" w:hAnsi="Bodoni MT" w:cs="Bodoni MT"/>
          <w:sz w:val="24"/>
          <w:szCs w:val="24"/>
        </w:rPr>
        <w:t xml:space="preserve">, il risultato di amministrazione dell’esercizio precedente, e </w:t>
      </w:r>
      <w:r w:rsidRPr="00C62602">
        <w:rPr>
          <w:rFonts w:ascii="Bodoni MT" w:hAnsi="Bodoni MT"/>
          <w:sz w:val="24"/>
          <w:szCs w:val="24"/>
        </w:rPr>
        <w:t>in €</w:t>
      </w:r>
      <w:r w:rsidR="00C273FE">
        <w:rPr>
          <w:rFonts w:ascii="Bodoni MT" w:hAnsi="Bodoni MT"/>
          <w:sz w:val="24"/>
          <w:szCs w:val="24"/>
        </w:rPr>
        <w:t xml:space="preserve"> </w:t>
      </w:r>
      <w:r w:rsidRPr="00C62602">
        <w:rPr>
          <w:rFonts w:ascii="Bodoni MT" w:hAnsi="Bodoni MT"/>
          <w:sz w:val="24"/>
          <w:szCs w:val="24"/>
        </w:rPr>
        <w:t>476.481.857,42 e in €</w:t>
      </w:r>
      <w:r w:rsidR="00C273FE">
        <w:rPr>
          <w:rFonts w:ascii="Bodoni MT" w:hAnsi="Bodoni MT"/>
          <w:sz w:val="24"/>
          <w:szCs w:val="24"/>
        </w:rPr>
        <w:t xml:space="preserve"> </w:t>
      </w:r>
      <w:r w:rsidRPr="00C62602">
        <w:rPr>
          <w:rFonts w:ascii="Bodoni MT" w:hAnsi="Bodoni MT"/>
          <w:sz w:val="24"/>
          <w:szCs w:val="24"/>
        </w:rPr>
        <w:t>288.529.972,97,</w:t>
      </w:r>
      <w:r w:rsidRPr="00C62602">
        <w:rPr>
          <w:rFonts w:ascii="Bodoni MT" w:eastAsiaTheme="minorEastAsia" w:hAnsi="Bodoni MT" w:cs="Bodoni MT"/>
          <w:sz w:val="24"/>
          <w:szCs w:val="24"/>
        </w:rPr>
        <w:t xml:space="preserve"> </w:t>
      </w:r>
      <w:r w:rsidRPr="00C62602">
        <w:rPr>
          <w:rFonts w:ascii="Bodoni MT" w:hAnsi="Bodoni MT"/>
          <w:sz w:val="24"/>
          <w:szCs w:val="24"/>
        </w:rPr>
        <w:t>rispettivamente,</w:t>
      </w:r>
      <w:r w:rsidRPr="00C62602">
        <w:rPr>
          <w:rFonts w:ascii="Bodoni MT" w:eastAsiaTheme="minorEastAsia" w:hAnsi="Bodoni MT" w:cs="Bodoni MT"/>
          <w:sz w:val="24"/>
          <w:szCs w:val="24"/>
        </w:rPr>
        <w:t xml:space="preserve"> l</w:t>
      </w:r>
      <w:r w:rsidRPr="00C62602">
        <w:rPr>
          <w:rFonts w:ascii="Bodoni MT" w:hAnsi="Bodoni MT"/>
          <w:sz w:val="24"/>
          <w:szCs w:val="24"/>
        </w:rPr>
        <w:t>'ammontare delle quote vincolate e accantonate applicate alla competenza 2016, per un totale di €</w:t>
      </w:r>
      <w:r w:rsidR="008505F5">
        <w:rPr>
          <w:rFonts w:ascii="Bodoni MT" w:hAnsi="Bodoni MT"/>
          <w:sz w:val="24"/>
          <w:szCs w:val="24"/>
        </w:rPr>
        <w:t xml:space="preserve"> </w:t>
      </w:r>
      <w:r w:rsidRPr="00C62602">
        <w:rPr>
          <w:rFonts w:ascii="Bodoni MT" w:hAnsi="Bodoni MT"/>
          <w:sz w:val="24"/>
          <w:szCs w:val="24"/>
        </w:rPr>
        <w:t xml:space="preserve">765.011.830,39 (L.R. </w:t>
      </w:r>
      <w:r w:rsidRPr="00C62602">
        <w:rPr>
          <w:rFonts w:ascii="Bodoni MT" w:eastAsiaTheme="minorEastAsia" w:hAnsi="Bodoni MT" w:cs="Bodoni MT"/>
          <w:sz w:val="24"/>
          <w:szCs w:val="24"/>
        </w:rPr>
        <w:t>n.</w:t>
      </w:r>
      <w:r w:rsidR="008505F5">
        <w:rPr>
          <w:rFonts w:ascii="Bodoni MT" w:eastAsiaTheme="minorEastAsia" w:hAnsi="Bodoni MT" w:cs="Bodoni MT"/>
          <w:sz w:val="24"/>
          <w:szCs w:val="24"/>
        </w:rPr>
        <w:t> </w:t>
      </w:r>
      <w:r w:rsidRPr="00C62602">
        <w:rPr>
          <w:rFonts w:ascii="Bodoni MT" w:eastAsiaTheme="minorEastAsia" w:hAnsi="Bodoni MT" w:cs="Bodoni MT"/>
          <w:sz w:val="24"/>
          <w:szCs w:val="24"/>
        </w:rPr>
        <w:t>36/2016, nel testo modificato dalla L.R. n.</w:t>
      </w:r>
      <w:r>
        <w:rPr>
          <w:rFonts w:ascii="Bodoni MT" w:eastAsiaTheme="minorEastAsia" w:hAnsi="Bodoni MT" w:cs="Bodoni MT"/>
          <w:sz w:val="24"/>
          <w:szCs w:val="24"/>
        </w:rPr>
        <w:t xml:space="preserve"> </w:t>
      </w:r>
      <w:r w:rsidRPr="00C62602">
        <w:rPr>
          <w:rFonts w:ascii="Bodoni MT" w:eastAsiaTheme="minorEastAsia" w:hAnsi="Bodoni MT" w:cs="Bodoni MT"/>
          <w:sz w:val="24"/>
          <w:szCs w:val="24"/>
        </w:rPr>
        <w:t xml:space="preserve">10/2017, </w:t>
      </w:r>
      <w:r w:rsidRPr="00C62602">
        <w:rPr>
          <w:rFonts w:ascii="Bodoni MT" w:hAnsi="Bodoni MT"/>
          <w:sz w:val="24"/>
          <w:szCs w:val="24"/>
        </w:rPr>
        <w:t>art.</w:t>
      </w:r>
      <w:r>
        <w:rPr>
          <w:rFonts w:ascii="Bodoni MT" w:hAnsi="Bodoni MT"/>
          <w:sz w:val="24"/>
          <w:szCs w:val="24"/>
        </w:rPr>
        <w:t xml:space="preserve"> </w:t>
      </w:r>
      <w:r w:rsidRPr="00C62602">
        <w:rPr>
          <w:rFonts w:ascii="Bodoni MT" w:hAnsi="Bodoni MT"/>
          <w:sz w:val="24"/>
          <w:szCs w:val="24"/>
        </w:rPr>
        <w:t>3).</w:t>
      </w:r>
      <w:r w:rsidR="00925BC8">
        <w:rPr>
          <w:rFonts w:ascii="Bodoni MT" w:hAnsi="Bodoni MT"/>
          <w:sz w:val="24"/>
          <w:szCs w:val="24"/>
        </w:rPr>
        <w:t xml:space="preserve"> </w:t>
      </w:r>
      <w:r w:rsidRPr="003D1620">
        <w:rPr>
          <w:rFonts w:ascii="Bodoni MT" w:hAnsi="Bodoni MT"/>
          <w:sz w:val="24"/>
          <w:szCs w:val="24"/>
        </w:rPr>
        <w:t>Per effetto della gestione 2015, il disavanzo di amministrazione derivante da riaccertamento straordinario, al netto del debito autorizzato e non contratto, è</w:t>
      </w:r>
      <w:r w:rsidR="00CF238F">
        <w:rPr>
          <w:rFonts w:ascii="Bodoni MT" w:hAnsi="Bodoni MT"/>
          <w:sz w:val="24"/>
          <w:szCs w:val="24"/>
        </w:rPr>
        <w:t xml:space="preserve"> stato ridotto in misura pari a</w:t>
      </w:r>
      <w:r w:rsidRPr="003D1620">
        <w:rPr>
          <w:rFonts w:ascii="Bodoni MT" w:hAnsi="Bodoni MT"/>
          <w:sz w:val="24"/>
          <w:szCs w:val="24"/>
        </w:rPr>
        <w:t xml:space="preserve"> </w:t>
      </w:r>
      <w:r>
        <w:rPr>
          <w:rFonts w:ascii="Bodoni MT" w:hAnsi="Bodoni MT"/>
          <w:sz w:val="24"/>
          <w:szCs w:val="24"/>
        </w:rPr>
        <w:t>€</w:t>
      </w:r>
      <w:r w:rsidRPr="003D1620">
        <w:rPr>
          <w:rFonts w:ascii="Bodoni MT" w:hAnsi="Bodoni MT"/>
          <w:sz w:val="24"/>
          <w:szCs w:val="24"/>
        </w:rPr>
        <w:t xml:space="preserve"> 79.946.186,07, rispetto alla quota annuale di ripiano prevista, determinata in </w:t>
      </w:r>
      <w:r w:rsidR="009335D1">
        <w:rPr>
          <w:rFonts w:ascii="Bodoni MT" w:hAnsi="Bodoni MT"/>
          <w:sz w:val="24"/>
          <w:szCs w:val="24"/>
        </w:rPr>
        <w:t xml:space="preserve">€ </w:t>
      </w:r>
      <w:r w:rsidRPr="003D1620">
        <w:rPr>
          <w:rFonts w:ascii="Bodoni MT" w:hAnsi="Bodoni MT"/>
          <w:sz w:val="24"/>
          <w:szCs w:val="24"/>
        </w:rPr>
        <w:t>32.289.147,19</w:t>
      </w:r>
      <w:r>
        <w:rPr>
          <w:rStyle w:val="Rimandonotaapidipagina"/>
          <w:rFonts w:ascii="Bodoni MT" w:hAnsi="Bodoni MT"/>
          <w:sz w:val="24"/>
          <w:szCs w:val="24"/>
        </w:rPr>
        <w:footnoteReference w:id="60"/>
      </w:r>
      <w:r w:rsidRPr="003D1620">
        <w:rPr>
          <w:rFonts w:ascii="Bodoni MT" w:hAnsi="Bodoni MT"/>
          <w:sz w:val="24"/>
          <w:szCs w:val="24"/>
        </w:rPr>
        <w:t>. Conseguentemente, per effetto di tale miglioramento del risultato di amministrazione, restando invariato l'importo della quota annuale, il periodo di ripiano del disavanzo residuo da riacc</w:t>
      </w:r>
      <w:r w:rsidR="00CF238F">
        <w:rPr>
          <w:rFonts w:ascii="Bodoni MT" w:hAnsi="Bodoni MT"/>
          <w:sz w:val="24"/>
          <w:szCs w:val="24"/>
        </w:rPr>
        <w:t>ertamento straordinario (pari a</w:t>
      </w:r>
      <w:r w:rsidRPr="003D1620">
        <w:rPr>
          <w:rFonts w:ascii="Bodoni MT" w:hAnsi="Bodoni MT"/>
          <w:sz w:val="24"/>
          <w:szCs w:val="24"/>
        </w:rPr>
        <w:t xml:space="preserve"> </w:t>
      </w:r>
      <w:r>
        <w:rPr>
          <w:rFonts w:ascii="Bodoni MT" w:hAnsi="Bodoni MT"/>
          <w:sz w:val="24"/>
          <w:szCs w:val="24"/>
        </w:rPr>
        <w:t>€</w:t>
      </w:r>
      <w:r w:rsidR="004E6597">
        <w:rPr>
          <w:rFonts w:ascii="Bodoni MT" w:hAnsi="Bodoni MT"/>
          <w:sz w:val="24"/>
          <w:szCs w:val="24"/>
        </w:rPr>
        <w:t> </w:t>
      </w:r>
      <w:r w:rsidRPr="003D1620">
        <w:rPr>
          <w:rFonts w:ascii="Bodoni MT" w:hAnsi="Bodoni MT"/>
          <w:sz w:val="24"/>
          <w:szCs w:val="24"/>
        </w:rPr>
        <w:t xml:space="preserve">888.728.229,61 al netto del debito autorizzato e non contratto) è ridotto a 28 anni, dal 2016 al 2043. Nell'ultimo esercizio, il 2043, la quota residua da ripianare da applicarsi al bilancio è </w:t>
      </w:r>
      <w:r w:rsidRPr="003D1620">
        <w:rPr>
          <w:rFonts w:ascii="Bodoni MT" w:hAnsi="Bodoni MT"/>
          <w:sz w:val="24"/>
          <w:szCs w:val="24"/>
        </w:rPr>
        <w:lastRenderedPageBreak/>
        <w:t xml:space="preserve">determinata in </w:t>
      </w:r>
      <w:r w:rsidR="00CF238F">
        <w:rPr>
          <w:rFonts w:ascii="Bodoni MT" w:hAnsi="Bodoni MT"/>
          <w:sz w:val="24"/>
          <w:szCs w:val="24"/>
        </w:rPr>
        <w:t>€</w:t>
      </w:r>
      <w:r w:rsidR="008505F5">
        <w:rPr>
          <w:rFonts w:ascii="Bodoni MT" w:hAnsi="Bodoni MT"/>
          <w:sz w:val="24"/>
          <w:szCs w:val="24"/>
        </w:rPr>
        <w:t> </w:t>
      </w:r>
      <w:r w:rsidRPr="003D1620">
        <w:rPr>
          <w:rFonts w:ascii="Bodoni MT" w:hAnsi="Bodoni MT"/>
          <w:sz w:val="24"/>
          <w:szCs w:val="24"/>
        </w:rPr>
        <w:t>16.921.255,48 (L</w:t>
      </w:r>
      <w:r w:rsidRPr="003D1620">
        <w:rPr>
          <w:rFonts w:ascii="Bodoni MT" w:eastAsiaTheme="minorEastAsia" w:hAnsi="Bodoni MT" w:cs="Bodoni MT"/>
          <w:sz w:val="24"/>
          <w:szCs w:val="24"/>
        </w:rPr>
        <w:t>.R. n.</w:t>
      </w:r>
      <w:r>
        <w:rPr>
          <w:rFonts w:ascii="Bodoni MT" w:eastAsiaTheme="minorEastAsia" w:hAnsi="Bodoni MT" w:cs="Bodoni MT"/>
          <w:sz w:val="24"/>
          <w:szCs w:val="24"/>
        </w:rPr>
        <w:t xml:space="preserve"> </w:t>
      </w:r>
      <w:r w:rsidRPr="003D1620">
        <w:rPr>
          <w:rFonts w:ascii="Bodoni MT" w:eastAsiaTheme="minorEastAsia" w:hAnsi="Bodoni MT" w:cs="Bodoni MT"/>
          <w:sz w:val="24"/>
          <w:szCs w:val="24"/>
        </w:rPr>
        <w:t>36/2016, nel testo modificato dalla L.R. n.</w:t>
      </w:r>
      <w:r>
        <w:rPr>
          <w:rFonts w:ascii="Bodoni MT" w:eastAsiaTheme="minorEastAsia" w:hAnsi="Bodoni MT" w:cs="Bodoni MT"/>
          <w:sz w:val="24"/>
          <w:szCs w:val="24"/>
        </w:rPr>
        <w:t xml:space="preserve"> </w:t>
      </w:r>
      <w:r w:rsidRPr="003D1620">
        <w:rPr>
          <w:rFonts w:ascii="Bodoni MT" w:eastAsiaTheme="minorEastAsia" w:hAnsi="Bodoni MT" w:cs="Bodoni MT"/>
          <w:sz w:val="24"/>
          <w:szCs w:val="24"/>
        </w:rPr>
        <w:t xml:space="preserve">10/2017, </w:t>
      </w:r>
      <w:r w:rsidRPr="003D1620">
        <w:rPr>
          <w:rFonts w:ascii="Bodoni MT" w:hAnsi="Bodoni MT"/>
          <w:sz w:val="24"/>
          <w:szCs w:val="24"/>
        </w:rPr>
        <w:t>art.</w:t>
      </w:r>
      <w:r w:rsidR="004E6597">
        <w:rPr>
          <w:rFonts w:ascii="Bodoni MT" w:hAnsi="Bodoni MT"/>
          <w:sz w:val="24"/>
          <w:szCs w:val="24"/>
        </w:rPr>
        <w:t> </w:t>
      </w:r>
      <w:r w:rsidRPr="003D1620">
        <w:rPr>
          <w:rFonts w:ascii="Bodoni MT" w:hAnsi="Bodoni MT"/>
          <w:sz w:val="24"/>
          <w:szCs w:val="24"/>
        </w:rPr>
        <w:t>3 comma 3).</w:t>
      </w:r>
    </w:p>
    <w:p w:rsidR="00346601" w:rsidRPr="003D1620" w:rsidRDefault="00346601" w:rsidP="004E6597">
      <w:pPr>
        <w:pStyle w:val="Paragrafoelenco"/>
        <w:numPr>
          <w:ilvl w:val="0"/>
          <w:numId w:val="4"/>
        </w:numPr>
        <w:tabs>
          <w:tab w:val="left" w:pos="284"/>
        </w:tabs>
        <w:spacing w:after="120"/>
        <w:ind w:left="284" w:hanging="284"/>
        <w:jc w:val="both"/>
        <w:rPr>
          <w:rFonts w:ascii="Bodoni MT" w:hAnsi="Bodoni MT"/>
          <w:sz w:val="24"/>
          <w:szCs w:val="24"/>
        </w:rPr>
      </w:pPr>
      <w:r w:rsidRPr="003D1620">
        <w:rPr>
          <w:rFonts w:ascii="Bodoni MT" w:hAnsi="Bodoni MT"/>
          <w:sz w:val="24"/>
          <w:szCs w:val="24"/>
        </w:rPr>
        <w:t>Si approvano, infine, le variazioni al bilancio 2016 e al bilancio pluriennale 2016-2018 come illustrate nella medesima legge (L</w:t>
      </w:r>
      <w:r w:rsidRPr="003D1620">
        <w:rPr>
          <w:rFonts w:ascii="Bodoni MT" w:eastAsiaTheme="minorEastAsia" w:hAnsi="Bodoni MT" w:cs="Bodoni MT"/>
          <w:sz w:val="24"/>
          <w:szCs w:val="24"/>
        </w:rPr>
        <w:t>.R. n.</w:t>
      </w:r>
      <w:r w:rsidR="00CF238F">
        <w:rPr>
          <w:rFonts w:ascii="Bodoni MT" w:eastAsiaTheme="minorEastAsia" w:hAnsi="Bodoni MT" w:cs="Bodoni MT"/>
          <w:sz w:val="24"/>
          <w:szCs w:val="24"/>
        </w:rPr>
        <w:t xml:space="preserve"> </w:t>
      </w:r>
      <w:r w:rsidRPr="003D1620">
        <w:rPr>
          <w:rFonts w:ascii="Bodoni MT" w:eastAsiaTheme="minorEastAsia" w:hAnsi="Bodoni MT" w:cs="Bodoni MT"/>
          <w:sz w:val="24"/>
          <w:szCs w:val="24"/>
        </w:rPr>
        <w:t>36/2016, nel testo modificato dalla L.R. n.</w:t>
      </w:r>
      <w:r>
        <w:rPr>
          <w:rFonts w:ascii="Bodoni MT" w:eastAsiaTheme="minorEastAsia" w:hAnsi="Bodoni MT" w:cs="Bodoni MT"/>
          <w:sz w:val="24"/>
          <w:szCs w:val="24"/>
        </w:rPr>
        <w:t xml:space="preserve"> </w:t>
      </w:r>
      <w:r w:rsidRPr="003D1620">
        <w:rPr>
          <w:rFonts w:ascii="Bodoni MT" w:eastAsiaTheme="minorEastAsia" w:hAnsi="Bodoni MT" w:cs="Bodoni MT"/>
          <w:sz w:val="24"/>
          <w:szCs w:val="24"/>
        </w:rPr>
        <w:t>10/2017 art.</w:t>
      </w:r>
      <w:r w:rsidR="004E6597">
        <w:rPr>
          <w:rFonts w:ascii="Bodoni MT" w:eastAsiaTheme="minorEastAsia" w:hAnsi="Bodoni MT" w:cs="Bodoni MT"/>
          <w:sz w:val="24"/>
          <w:szCs w:val="24"/>
        </w:rPr>
        <w:t> </w:t>
      </w:r>
      <w:r w:rsidRPr="003D1620">
        <w:rPr>
          <w:rFonts w:ascii="Bodoni MT" w:eastAsiaTheme="minorEastAsia" w:hAnsi="Bodoni MT" w:cs="Bodoni MT"/>
          <w:sz w:val="24"/>
          <w:szCs w:val="24"/>
        </w:rPr>
        <w:t>7).</w:t>
      </w:r>
    </w:p>
    <w:p w:rsidR="000D01BB" w:rsidRDefault="00346601" w:rsidP="00873895">
      <w:pPr>
        <w:pStyle w:val="CdcTesto"/>
      </w:pPr>
      <w:r w:rsidRPr="003C4C5D">
        <w:t>Per effetto delle variazioni apportate</w:t>
      </w:r>
      <w:r>
        <w:t xml:space="preserve">, </w:t>
      </w:r>
      <w:r w:rsidRPr="003C4C5D">
        <w:t>l’ammontare dello stato di previs</w:t>
      </w:r>
      <w:r>
        <w:t>ione delle entrate e delle spese</w:t>
      </w:r>
      <w:r w:rsidRPr="00012BCB">
        <w:t xml:space="preserve"> </w:t>
      </w:r>
      <w:r w:rsidRPr="003C4C5D">
        <w:t>per l’esercizio finanziario 2016</w:t>
      </w:r>
      <w:r>
        <w:t xml:space="preserve"> (inizialmente quantificate in € 8.852.786.077,09)</w:t>
      </w:r>
      <w:r w:rsidRPr="003C4C5D">
        <w:t xml:space="preserve">, </w:t>
      </w:r>
      <w:r>
        <w:t xml:space="preserve">viene rideterminato in complessivi € 10.681.457.612,95, con un </w:t>
      </w:r>
      <w:r w:rsidRPr="003C4C5D">
        <w:t xml:space="preserve">aumento di </w:t>
      </w:r>
      <w:r>
        <w:t>€</w:t>
      </w:r>
      <w:r w:rsidRPr="003C4C5D">
        <w:t xml:space="preserve"> 1.828.671.535,86</w:t>
      </w:r>
      <w:r>
        <w:t xml:space="preserve"> in termini di competenza. Le previsioni di cassa, inizialmente pari a € 8.515.821.189,22, vengono rideterminate in €</w:t>
      </w:r>
      <w:r w:rsidR="00873895">
        <w:t> </w:t>
      </w:r>
      <w:r>
        <w:t>9.984.646.857,70</w:t>
      </w:r>
      <w:r w:rsidRPr="003C4C5D">
        <w:t xml:space="preserve"> </w:t>
      </w:r>
      <w:r>
        <w:t>con un incremento di €</w:t>
      </w:r>
      <w:r w:rsidRPr="003C4C5D">
        <w:t xml:space="preserve"> 1.468.825.670,48</w:t>
      </w:r>
      <w:r w:rsidR="000D01BB">
        <w:t>.</w:t>
      </w:r>
    </w:p>
    <w:p w:rsidR="00346601" w:rsidRDefault="000D01BB" w:rsidP="00873895">
      <w:pPr>
        <w:pStyle w:val="CdcTesto"/>
      </w:pPr>
      <w:r>
        <w:t>P</w:t>
      </w:r>
      <w:r w:rsidR="00346601" w:rsidRPr="008C6EE1">
        <w:t xml:space="preserve">er </w:t>
      </w:r>
      <w:r w:rsidR="00346601">
        <w:t>gli esercizi</w:t>
      </w:r>
      <w:r w:rsidR="00346601" w:rsidRPr="008C6EE1">
        <w:t xml:space="preserve"> </w:t>
      </w:r>
      <w:r w:rsidR="00346601" w:rsidRPr="007E1125">
        <w:t>finanziari 2017 e 2018 gli aumenti</w:t>
      </w:r>
      <w:r w:rsidR="00346601">
        <w:t>,</w:t>
      </w:r>
      <w:r w:rsidR="00346601" w:rsidRPr="007E1125">
        <w:t xml:space="preserve"> in termini di competenza, risultano rispettivamente di </w:t>
      </w:r>
      <w:r w:rsidR="00346601">
        <w:t>€</w:t>
      </w:r>
      <w:r w:rsidR="00CF238F">
        <w:t xml:space="preserve"> </w:t>
      </w:r>
      <w:r w:rsidR="00346601" w:rsidRPr="007E1125">
        <w:t xml:space="preserve">282.780.812,79 e di </w:t>
      </w:r>
      <w:r w:rsidR="00346601">
        <w:t>€</w:t>
      </w:r>
      <w:r w:rsidR="00C571B8">
        <w:t xml:space="preserve"> </w:t>
      </w:r>
      <w:r w:rsidR="00346601" w:rsidRPr="007E1125">
        <w:t>135.486.549,26</w:t>
      </w:r>
      <w:r w:rsidR="00346601">
        <w:rPr>
          <w:rStyle w:val="Rimandonotaapidipagina"/>
          <w:bCs/>
          <w:iCs/>
        </w:rPr>
        <w:footnoteReference w:id="61"/>
      </w:r>
      <w:r w:rsidR="00346601" w:rsidRPr="007E1125">
        <w:t>.</w:t>
      </w:r>
    </w:p>
    <w:p w:rsidR="00346601" w:rsidRDefault="00346601" w:rsidP="00873895">
      <w:pPr>
        <w:pStyle w:val="CdcTesto"/>
      </w:pPr>
      <w:r>
        <w:t>In sede di assestamento è stato verificato il permanere degli equilibri di bilancio</w:t>
      </w:r>
      <w:r>
        <w:rPr>
          <w:rStyle w:val="Rimandonotaapidipagina"/>
          <w:bCs/>
          <w:iCs/>
        </w:rPr>
        <w:footnoteReference w:id="62"/>
      </w:r>
      <w:r w:rsidR="00CF238F">
        <w:t xml:space="preserve"> degli esercizi 2016</w:t>
      </w:r>
      <w:r w:rsidR="00CF238F">
        <w:noBreakHyphen/>
      </w:r>
      <w:r>
        <w:t>2018, come risulta dall’allegato 12 alla L.R. 36/2016, modific</w:t>
      </w:r>
      <w:r w:rsidR="00873895">
        <w:t>ato dall’allegato 18 della L.R. </w:t>
      </w:r>
      <w:r>
        <w:t>10/2017, che di seguito si ripropone.</w:t>
      </w:r>
      <w:r w:rsidRPr="003D1620">
        <w:t xml:space="preserve"> </w:t>
      </w:r>
    </w:p>
    <w:p w:rsidR="00346601" w:rsidRDefault="00346601" w:rsidP="00CF238F">
      <w:pPr>
        <w:pStyle w:val="CdcTesto"/>
      </w:pPr>
      <w:r>
        <w:t>Il saldo positivo dell’equilibrio di parte corrente è stato utilizzato a copertura delle spese in conto capitale.</w:t>
      </w:r>
    </w:p>
    <w:p w:rsidR="00346601" w:rsidRDefault="00346601" w:rsidP="00346601">
      <w:pPr>
        <w:pStyle w:val="Didascalia"/>
        <w:keepNext/>
      </w:pPr>
      <w:r>
        <w:br w:type="page"/>
      </w:r>
    </w:p>
    <w:p w:rsidR="00346601" w:rsidRDefault="00346601" w:rsidP="00346601">
      <w:pPr>
        <w:pStyle w:val="Didascalia"/>
        <w:spacing w:after="0"/>
        <w:rPr>
          <w:iCs/>
          <w:sz w:val="24"/>
          <w:szCs w:val="24"/>
        </w:rPr>
      </w:pPr>
      <w:bookmarkStart w:id="29" w:name="_Toc499040952"/>
      <w:bookmarkStart w:id="30" w:name="_Toc507422471"/>
      <w:r>
        <w:lastRenderedPageBreak/>
        <w:t xml:space="preserve">Tabella </w:t>
      </w:r>
      <w:r w:rsidR="00B90472">
        <w:fldChar w:fldCharType="begin"/>
      </w:r>
      <w:r w:rsidR="00B90472">
        <w:instrText xml:space="preserve"> SEQ Tabella \* ARABIC </w:instrText>
      </w:r>
      <w:r w:rsidR="00B90472">
        <w:fldChar w:fldCharType="separate"/>
      </w:r>
      <w:r w:rsidR="008616B3">
        <w:rPr>
          <w:noProof/>
        </w:rPr>
        <w:t>3</w:t>
      </w:r>
      <w:r w:rsidR="00B90472">
        <w:rPr>
          <w:noProof/>
        </w:rPr>
        <w:fldChar w:fldCharType="end"/>
      </w:r>
      <w:r w:rsidRPr="00F91843">
        <w:t xml:space="preserve"> - </w:t>
      </w:r>
      <w:r w:rsidRPr="00F91843">
        <w:rPr>
          <w:bCs w:val="0"/>
          <w:iCs/>
          <w:sz w:val="24"/>
          <w:szCs w:val="24"/>
        </w:rPr>
        <w:t>Equilibri di bilancio 2016-2018</w:t>
      </w:r>
      <w:bookmarkEnd w:id="29"/>
      <w:bookmarkEnd w:id="30"/>
    </w:p>
    <w:tbl>
      <w:tblPr>
        <w:tblW w:w="5001" w:type="pct"/>
        <w:jc w:val="center"/>
        <w:tblCellMar>
          <w:left w:w="70" w:type="dxa"/>
          <w:right w:w="70" w:type="dxa"/>
        </w:tblCellMar>
        <w:tblLook w:val="04A0" w:firstRow="1" w:lastRow="0" w:firstColumn="1" w:lastColumn="0" w:noHBand="0" w:noVBand="1"/>
      </w:tblPr>
      <w:tblGrid>
        <w:gridCol w:w="4780"/>
        <w:gridCol w:w="346"/>
        <w:gridCol w:w="1628"/>
        <w:gridCol w:w="1554"/>
        <w:gridCol w:w="1755"/>
      </w:tblGrid>
      <w:tr w:rsidR="00346601" w:rsidRPr="003044C9" w:rsidTr="00C571B8">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46601" w:rsidRPr="00F91843" w:rsidRDefault="00346601" w:rsidP="005B64E7">
            <w:pPr>
              <w:spacing w:after="0" w:line="240" w:lineRule="auto"/>
              <w:jc w:val="center"/>
              <w:rPr>
                <w:rFonts w:ascii="Bodoni MT" w:eastAsia="Times New Roman" w:hAnsi="Bodoni MT" w:cs="Calibri"/>
                <w:b/>
                <w:bCs/>
                <w:color w:val="FFFFFF" w:themeColor="background1"/>
                <w:sz w:val="16"/>
                <w:szCs w:val="16"/>
                <w:lang w:eastAsia="it-IT"/>
              </w:rPr>
            </w:pPr>
            <w:r w:rsidRPr="00F91843">
              <w:rPr>
                <w:rFonts w:ascii="Bodoni MT" w:eastAsia="Times New Roman" w:hAnsi="Bodoni MT" w:cs="Calibri"/>
                <w:b/>
                <w:bCs/>
                <w:color w:val="FFFFFF" w:themeColor="background1"/>
                <w:sz w:val="16"/>
                <w:szCs w:val="16"/>
                <w:lang w:eastAsia="it-IT"/>
              </w:rPr>
              <w:t>EQUILIBRI DI BILANCIO</w:t>
            </w:r>
          </w:p>
        </w:tc>
        <w:tc>
          <w:tcPr>
            <w:tcW w:w="172"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46601" w:rsidRPr="00F91843" w:rsidRDefault="00346601" w:rsidP="005B64E7">
            <w:pPr>
              <w:spacing w:after="0" w:line="240" w:lineRule="auto"/>
              <w:jc w:val="center"/>
              <w:rPr>
                <w:rFonts w:ascii="Bodoni MT" w:eastAsia="Times New Roman" w:hAnsi="Bodoni MT" w:cs="Arial"/>
                <w:color w:val="FFFFFF" w:themeColor="background1"/>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346601" w:rsidRPr="00F91843" w:rsidRDefault="00346601" w:rsidP="005B64E7">
            <w:pPr>
              <w:spacing w:after="0" w:line="240" w:lineRule="auto"/>
              <w:jc w:val="center"/>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COMPETENZA 2016</w:t>
            </w:r>
          </w:p>
        </w:tc>
        <w:tc>
          <w:tcPr>
            <w:tcW w:w="772"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346601" w:rsidRPr="00F91843" w:rsidRDefault="00346601" w:rsidP="005B64E7">
            <w:pPr>
              <w:spacing w:after="0" w:line="240" w:lineRule="auto"/>
              <w:jc w:val="center"/>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COMPETENZA 2017</w:t>
            </w:r>
          </w:p>
        </w:tc>
        <w:tc>
          <w:tcPr>
            <w:tcW w:w="872"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346601" w:rsidRPr="00F91843" w:rsidRDefault="00346601" w:rsidP="005B64E7">
            <w:pPr>
              <w:spacing w:after="0" w:line="240" w:lineRule="auto"/>
              <w:jc w:val="center"/>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COMPETENZA 2018</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Utilizzo risultato di amministrazione destinata al finanziamento delle spese correnti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86.200.720,11</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 xml:space="preserve">Ripiano disavanzo di amministrazione esercizio precedente </w:t>
            </w:r>
            <w:r w:rsidRPr="00F91843">
              <w:rPr>
                <w:rFonts w:ascii="Bodoni MT" w:eastAsia="Times New Roman" w:hAnsi="Bodoni MT" w:cs="Arial"/>
                <w:color w:val="FFFFFF" w:themeColor="background1"/>
                <w:sz w:val="16"/>
                <w:szCs w:val="16"/>
                <w:vertAlign w:val="superscript"/>
                <w:lang w:eastAsia="it-IT"/>
              </w:rPr>
              <w:t>(1)</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32.290.000,00</w:t>
            </w:r>
          </w:p>
        </w:tc>
        <w:tc>
          <w:tcPr>
            <w:tcW w:w="7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32.290.000,00</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32.290.000,00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Fondo pluriennale vincolato per spese correnti iscritto in entrata</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56.502.635,51</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8.404.716,29</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9.764,49</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titoli 1-2-3</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7.619.107.356,76</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7.204.736.811,59</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7.111.624.594,48</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 xml:space="preserve">Entrate in conto capitale per Contributi agli investimenti direttamente destinati al rimborso dei prestiti da amministrazioni pubbliche </w:t>
            </w:r>
            <w:r w:rsidRPr="00F91843">
              <w:rPr>
                <w:rFonts w:ascii="Bodoni MT" w:eastAsia="Times New Roman" w:hAnsi="Bodoni MT" w:cs="Arial"/>
                <w:color w:val="FFFFFF" w:themeColor="background1"/>
                <w:sz w:val="16"/>
                <w:szCs w:val="16"/>
                <w:vertAlign w:val="superscript"/>
                <w:lang w:eastAsia="it-IT"/>
              </w:rPr>
              <w:t>(2)</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Titolo 4.03 - Altri trasferimenti in conto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4.605.316,95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3.212.000,00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3.362.000,00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in c/capitale destinate all'estinzione anticipata di prestiti</w:t>
            </w:r>
            <w:r w:rsidRPr="00F91843">
              <w:rPr>
                <w:rFonts w:ascii="Bodoni MT" w:eastAsia="Times New Roman" w:hAnsi="Bodoni MT" w:cs="Arial"/>
                <w:color w:val="FFFFFF" w:themeColor="background1"/>
                <w:sz w:val="16"/>
                <w:szCs w:val="16"/>
                <w:vertAlign w:val="superscript"/>
                <w:lang w:eastAsia="it-IT"/>
              </w:rPr>
              <w:t xml:space="preserve"> (3)</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per accensioni di prestiti destinate all'estinzione anticipata di prestiti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di parte capitale destinate a spese correnti in base a specifiche disposizioni di legge o dei principi contabili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correnti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6.920.811.488,10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6.401.337.624,23</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6.240.990.273,76</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Fondo pluriennale vincolato di parte corrente (di spesa)(</w:t>
            </w:r>
            <w:r w:rsidRPr="00F91843">
              <w:rPr>
                <w:rFonts w:ascii="Bodoni MT" w:eastAsia="Times New Roman" w:hAnsi="Bodoni MT" w:cs="Arial"/>
                <w:color w:val="FFFFFF" w:themeColor="background1"/>
                <w:sz w:val="16"/>
                <w:szCs w:val="16"/>
                <w:vertAlign w:val="superscript"/>
                <w:lang w:eastAsia="it-IT"/>
              </w:rPr>
              <w:t>4)</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8.404.716,29</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9.764,49</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Titolo 2.04 -  Altri trasferimenti in conto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364.207.258,75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130.000.000,00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 xml:space="preserve">Variazioni di attività finanziarie (se negativo) </w:t>
            </w:r>
            <w:r w:rsidRPr="00F91843">
              <w:rPr>
                <w:rFonts w:ascii="Bodoni MT" w:eastAsia="Times New Roman" w:hAnsi="Bodoni MT" w:cs="Arial"/>
                <w:color w:val="FFFFFF" w:themeColor="background1"/>
                <w:sz w:val="16"/>
                <w:szCs w:val="16"/>
                <w:vertAlign w:val="superscript"/>
                <w:lang w:eastAsia="it-IT"/>
              </w:rPr>
              <w:t>(5)</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Rimborso prestiti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394.282.350,00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246.789.000,00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234.770.000,00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i/>
                <w:iCs/>
                <w:color w:val="FFFFFF" w:themeColor="background1"/>
                <w:sz w:val="16"/>
                <w:szCs w:val="16"/>
                <w:lang w:eastAsia="it-IT"/>
              </w:rPr>
            </w:pPr>
            <w:r w:rsidRPr="00F91843">
              <w:rPr>
                <w:rFonts w:ascii="Bodoni MT" w:eastAsia="Times New Roman" w:hAnsi="Bodoni MT" w:cs="Arial"/>
                <w:i/>
                <w:iCs/>
                <w:color w:val="FFFFFF" w:themeColor="background1"/>
                <w:sz w:val="16"/>
                <w:szCs w:val="16"/>
                <w:lang w:eastAsia="it-IT"/>
              </w:rPr>
              <w:t>- di cui Utilizzo Fondo Anticipazioni di liquidità (DL 35/2013 e succ.mod. e rifin.)</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i/>
                <w:iCs/>
                <w:color w:val="FFFFFF" w:themeColor="background1"/>
                <w:sz w:val="16"/>
                <w:szCs w:val="16"/>
                <w:lang w:eastAsia="it-IT"/>
              </w:rPr>
            </w:pPr>
            <w:r w:rsidRPr="00F91843">
              <w:rPr>
                <w:rFonts w:ascii="Bodoni MT" w:eastAsia="Times New Roman" w:hAnsi="Bodoni MT" w:cs="Arial"/>
                <w:i/>
                <w:iCs/>
                <w:color w:val="FFFFFF" w:themeColor="background1"/>
                <w:sz w:val="16"/>
                <w:szCs w:val="16"/>
                <w:lang w:eastAsia="it-IT"/>
              </w:rPr>
              <w:t>- di cui per estinzione anticipata di prestiti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i/>
                <w:iCs/>
                <w:sz w:val="16"/>
                <w:szCs w:val="16"/>
                <w:lang w:eastAsia="it-IT"/>
              </w:rPr>
            </w:pPr>
            <w:r w:rsidRPr="00F91843">
              <w:rPr>
                <w:rFonts w:ascii="Calibri" w:eastAsia="Times New Roman" w:hAnsi="Calibri" w:cs="Calibri"/>
                <w:i/>
                <w:iCs/>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A) Equilibrio di parte corrente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54.824.932,48</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405.936.903,65</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386.946.085,21</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Utilizzo risultato di amministrazione per il finanziamento di spese d’investimento</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194.253.059,50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Fondo pluriennale vincolato per spese in conto capitale iscritto in entrata</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288.479.700,14</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114.890.431,73</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10.116.943,32</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in conto capitale (Titolo 4)</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1.062.194.140,93</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814.357.576,90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574.332.234,44</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Titolo 5.01.01 -  Alienazioni di partecipazioni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per accensioni di prestiti (titolo 6)</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808.180.000,00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149.212.634,00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153.437.000,00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in conto capitale per Contributi agli investimenti direttamente destinati al rimborso dei prestiti da amministrazioni pubbliche</w:t>
            </w:r>
            <w:r w:rsidRPr="00F91843">
              <w:rPr>
                <w:rFonts w:ascii="Bodoni MT" w:eastAsia="Times New Roman" w:hAnsi="Bodoni MT" w:cs="Arial"/>
                <w:color w:val="FFFFFF" w:themeColor="background1"/>
                <w:sz w:val="16"/>
                <w:szCs w:val="16"/>
                <w:vertAlign w:val="superscript"/>
                <w:lang w:eastAsia="it-IT"/>
              </w:rPr>
              <w:t xml:space="preserve"> (2)</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 xml:space="preserve">Entrate in c/capitale destinate all'estinzione anticipata di prestiti </w:t>
            </w:r>
            <w:r w:rsidRPr="00F91843">
              <w:rPr>
                <w:rFonts w:ascii="Bodoni MT" w:eastAsia="Times New Roman" w:hAnsi="Bodoni MT" w:cs="Arial"/>
                <w:color w:val="FFFFFF" w:themeColor="background1"/>
                <w:sz w:val="16"/>
                <w:szCs w:val="16"/>
                <w:vertAlign w:val="superscript"/>
                <w:lang w:eastAsia="it-IT"/>
              </w:rPr>
              <w:t>(3)</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di parte capitale destinate a spese correnti in base a specifiche disposizioni di legge o dei principi contabili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jc w:val="both"/>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per accensioni di prestiti destinate all'estinzione anticipata di prestiti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Titolo 4.03   - Altri trasferimenti in conto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4.605.316,95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3.212.000,00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3.362.000,00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in conto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2.247.747.646,35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1.601.405.546,28</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1.341.690.262,97</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di cui Fondo pluriennale vincolato in c/capitale (di spesa)</w:t>
            </w:r>
            <w:r w:rsidR="00925BC8">
              <w:rPr>
                <w:rFonts w:ascii="Bodoni MT" w:eastAsia="Times New Roman" w:hAnsi="Bodoni MT" w:cs="Arial"/>
                <w:color w:val="FFFFFF" w:themeColor="background1"/>
                <w:sz w:val="16"/>
                <w:szCs w:val="16"/>
                <w:lang w:eastAsia="it-IT"/>
              </w:rPr>
              <w:t xml:space="preserve"> </w:t>
            </w:r>
            <w:r w:rsidRPr="00F91843">
              <w:rPr>
                <w:rFonts w:ascii="Bodoni MT" w:eastAsia="Times New Roman" w:hAnsi="Bodoni MT" w:cs="Arial"/>
                <w:color w:val="FFFFFF" w:themeColor="background1"/>
                <w:sz w:val="16"/>
                <w:szCs w:val="16"/>
                <w:lang w:eastAsia="it-IT"/>
              </w:rPr>
              <w:t>(</w:t>
            </w:r>
            <w:r w:rsidRPr="00F91843">
              <w:rPr>
                <w:rFonts w:ascii="Bodoni MT" w:eastAsia="Times New Roman" w:hAnsi="Bodoni MT" w:cs="Arial"/>
                <w:color w:val="FFFFFF" w:themeColor="background1"/>
                <w:sz w:val="16"/>
                <w:szCs w:val="16"/>
                <w:vertAlign w:val="superscript"/>
                <w:lang w:eastAsia="it-IT"/>
              </w:rPr>
              <w:t>4)</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114.890.431,73</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10.116.943,32</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Titolo 2.04 -  Altri trasferimenti in conto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364.207.258,75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130.000.000,00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Titolo 3.01.01 - Acquisizioni di partecipazioni e conferimenti di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15.000.000,00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10.000.000,00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Disavanzo pregresso derivante da debito autorizzato e non contratto</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r w:rsidRPr="00F91843">
              <w:rPr>
                <w:rFonts w:ascii="Calibri" w:eastAsia="Times New Roman" w:hAnsi="Calibri" w:cs="Calibri"/>
                <w:color w:val="000000"/>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504.972.000,00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Variazioni di attività finanziarie (se positivo)</w:t>
            </w:r>
            <w:r w:rsidRPr="00F91843">
              <w:rPr>
                <w:rFonts w:ascii="Bodoni MT" w:eastAsia="Times New Roman" w:hAnsi="Bodoni MT" w:cs="Arial"/>
                <w:color w:val="FFFFFF" w:themeColor="background1"/>
                <w:sz w:val="16"/>
                <w:szCs w:val="16"/>
                <w:vertAlign w:val="superscript"/>
                <w:lang w:eastAsia="it-IT"/>
              </w:rPr>
              <w:t>5</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185.871,50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B) Equilibrio di parte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-54.824.932,48</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-405.936.903,65</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-386.946.085,21</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Utilizzo risultato di amministrazione per l'incremento di attività finanziarie</w:t>
            </w:r>
            <w:r w:rsidRPr="00F91843">
              <w:rPr>
                <w:rFonts w:ascii="Bodoni MT" w:eastAsia="Times New Roman" w:hAnsi="Bodoni MT" w:cs="Arial"/>
                <w:color w:val="FFFFFF" w:themeColor="background1"/>
                <w:sz w:val="16"/>
                <w:szCs w:val="16"/>
                <w:vertAlign w:val="superscript"/>
                <w:lang w:eastAsia="it-IT"/>
              </w:rPr>
              <w:t xml:space="preserve"> (6)</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right"/>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titolo 5.00-  Riduzioni attività finanziarie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411.220.000,00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220.000,00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titolo 3.00 - Incremento attività finanziarie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426.034.128,50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10.000.000,00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Entrate Titolo 5.01.01 -  Alienazioni di partecipazioni</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346601" w:rsidRPr="00F91843" w:rsidRDefault="00346601" w:rsidP="005B64E7">
            <w:pPr>
              <w:spacing w:after="0" w:line="240" w:lineRule="auto"/>
              <w:rPr>
                <w:rFonts w:ascii="Bodoni MT" w:eastAsia="Times New Roman" w:hAnsi="Bodoni MT" w:cs="Arial"/>
                <w:color w:val="FFFFFF" w:themeColor="background1"/>
                <w:sz w:val="16"/>
                <w:szCs w:val="16"/>
                <w:lang w:eastAsia="it-IT"/>
              </w:rPr>
            </w:pPr>
            <w:r w:rsidRPr="00F91843">
              <w:rPr>
                <w:rFonts w:ascii="Bodoni MT" w:eastAsia="Times New Roman" w:hAnsi="Bodoni MT" w:cs="Arial"/>
                <w:color w:val="FFFFFF" w:themeColor="background1"/>
                <w:sz w:val="16"/>
                <w:szCs w:val="16"/>
                <w:lang w:eastAsia="it-IT"/>
              </w:rPr>
              <w:t>Spese Titolo 3.01.01 - Acquisizioni di partecipazioni e conferimenti di capitale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Arial" w:eastAsia="Times New Roman" w:hAnsi="Arial" w:cs="Arial"/>
                <w:sz w:val="16"/>
                <w:szCs w:val="16"/>
                <w:lang w:eastAsia="it-IT"/>
              </w:rPr>
            </w:pPr>
            <w:r w:rsidRPr="00F91843">
              <w:rPr>
                <w:rFonts w:ascii="Arial" w:eastAsia="Times New Roman" w:hAnsi="Arial" w:cs="Arial"/>
                <w:sz w:val="16"/>
                <w:szCs w:val="16"/>
                <w:lang w:eastAsia="it-IT"/>
              </w:rPr>
              <w:t>(+)</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15.000.000,00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10.000.000,00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sz w:val="16"/>
                <w:szCs w:val="16"/>
                <w:lang w:eastAsia="it-IT"/>
              </w:rPr>
            </w:pPr>
            <w:r w:rsidRPr="00F91843">
              <w:rPr>
                <w:rFonts w:ascii="Calibri" w:eastAsia="Times New Roman" w:hAnsi="Calibri" w:cs="Calibri"/>
                <w:sz w:val="16"/>
                <w:szCs w:val="16"/>
                <w:lang w:eastAsia="it-IT"/>
              </w:rPr>
              <w:t>-</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C) Variazioni attività finanziaria</w:t>
            </w:r>
          </w:p>
        </w:tc>
        <w:tc>
          <w:tcPr>
            <w:tcW w:w="172" w:type="pct"/>
            <w:tcBorders>
              <w:top w:val="single" w:sz="4" w:space="0" w:color="auto"/>
              <w:left w:val="nil"/>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185.871,50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220.000,00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220.000,00</w:t>
            </w:r>
          </w:p>
        </w:tc>
      </w:tr>
      <w:tr w:rsidR="00346601" w:rsidRPr="003044C9" w:rsidTr="005B64E7">
        <w:trPr>
          <w:trHeight w:val="170"/>
          <w:jc w:val="center"/>
        </w:trPr>
        <w:tc>
          <w:tcPr>
            <w:tcW w:w="2375"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F91843" w:rsidRDefault="00346601" w:rsidP="005B64E7">
            <w:pPr>
              <w:spacing w:after="0" w:line="240" w:lineRule="auto"/>
              <w:rPr>
                <w:rFonts w:ascii="Bodoni MT" w:eastAsia="Times New Roman" w:hAnsi="Bodoni MT" w:cs="Arial"/>
                <w:b/>
                <w:bCs/>
                <w:color w:val="FFFFFF" w:themeColor="background1"/>
                <w:sz w:val="16"/>
                <w:szCs w:val="16"/>
                <w:lang w:eastAsia="it-IT"/>
              </w:rPr>
            </w:pPr>
            <w:r w:rsidRPr="00F91843">
              <w:rPr>
                <w:rFonts w:ascii="Bodoni MT" w:eastAsia="Times New Roman" w:hAnsi="Bodoni MT" w:cs="Arial"/>
                <w:b/>
                <w:bCs/>
                <w:color w:val="FFFFFF" w:themeColor="background1"/>
                <w:sz w:val="16"/>
                <w:szCs w:val="16"/>
                <w:lang w:eastAsia="it-IT"/>
              </w:rPr>
              <w:t>EQUILIBRIO FINALE</w:t>
            </w:r>
          </w:p>
        </w:tc>
        <w:tc>
          <w:tcPr>
            <w:tcW w:w="1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601" w:rsidRPr="00F91843" w:rsidRDefault="00346601" w:rsidP="005B64E7">
            <w:pPr>
              <w:spacing w:after="0" w:line="240" w:lineRule="auto"/>
              <w:jc w:val="center"/>
              <w:rPr>
                <w:rFonts w:ascii="Calibri" w:eastAsia="Times New Roman" w:hAnsi="Calibri" w:cs="Calibri"/>
                <w:color w:val="000000"/>
                <w:sz w:val="16"/>
                <w:szCs w:val="16"/>
                <w:lang w:eastAsia="it-IT"/>
              </w:rPr>
            </w:pP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-0,00</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0,00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right"/>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- 0,00</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Bodoni MT" w:eastAsia="Times New Roman" w:hAnsi="Bodoni MT" w:cs="Arial"/>
                <w:sz w:val="16"/>
                <w:szCs w:val="16"/>
                <w:lang w:eastAsia="it-IT"/>
              </w:rPr>
            </w:pPr>
            <w:r w:rsidRPr="00F91843">
              <w:rPr>
                <w:rFonts w:ascii="Bodoni MT" w:eastAsia="Times New Roman" w:hAnsi="Bodoni MT" w:cs="Arial"/>
                <w:sz w:val="16"/>
                <w:szCs w:val="16"/>
                <w:lang w:eastAsia="it-IT"/>
              </w:rPr>
              <w:t>(*) Indicare gli anni di riferimento N, N+1 e N+2.</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Bodoni MT" w:eastAsia="Times New Roman" w:hAnsi="Bodoni MT" w:cs="Arial"/>
                <w:sz w:val="16"/>
                <w:szCs w:val="16"/>
                <w:lang w:eastAsia="it-IT"/>
              </w:rPr>
            </w:pPr>
            <w:r w:rsidRPr="00F91843">
              <w:rPr>
                <w:rFonts w:ascii="Bodoni MT" w:eastAsia="Times New Roman" w:hAnsi="Bodoni MT" w:cs="Arial"/>
                <w:sz w:val="16"/>
                <w:szCs w:val="16"/>
                <w:lang w:eastAsia="it-IT"/>
              </w:rPr>
              <w:t>(1) Escluso il disavanzo derivante dal debito autorizzato e non contratto</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Bodoni MT" w:eastAsia="Times New Roman" w:hAnsi="Bodoni MT" w:cs="Arial"/>
                <w:sz w:val="16"/>
                <w:szCs w:val="16"/>
                <w:lang w:eastAsia="it-IT"/>
              </w:rPr>
            </w:pPr>
            <w:r w:rsidRPr="00F91843">
              <w:rPr>
                <w:rFonts w:ascii="Bodoni MT" w:eastAsia="Times New Roman" w:hAnsi="Bodoni MT" w:cs="Arial"/>
                <w:sz w:val="16"/>
                <w:szCs w:val="16"/>
                <w:lang w:eastAsia="it-IT"/>
              </w:rPr>
              <w:t>(2) Corrispondono alle entrate in conto capitale relative ai soli contributi agli investimenti destinati al rimborso prestiti corrispondenti alla voce del piano dei conti finanziario con codifica E.4.02.06.00.000.</w:t>
            </w:r>
          </w:p>
        </w:tc>
      </w:tr>
      <w:tr w:rsidR="00346601" w:rsidRPr="003044C9" w:rsidTr="005B64E7">
        <w:trPr>
          <w:trHeight w:val="235"/>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Bodoni MT" w:eastAsia="Times New Roman" w:hAnsi="Bodoni MT" w:cs="Arial"/>
                <w:sz w:val="16"/>
                <w:szCs w:val="16"/>
                <w:lang w:eastAsia="it-IT"/>
              </w:rPr>
            </w:pPr>
            <w:r w:rsidRPr="00F91843">
              <w:rPr>
                <w:rFonts w:ascii="Bodoni MT" w:eastAsia="Times New Roman" w:hAnsi="Bodoni MT" w:cs="Arial"/>
                <w:sz w:val="16"/>
                <w:szCs w:val="16"/>
                <w:lang w:eastAsia="it-IT"/>
              </w:rPr>
              <w:t>(3) Il corrispettivo della cessione di beni immobili può essere destinato all’estinzione anticipata di prestiti - principio applicato della contabilità finanziaria 3.13.</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Times New Roman" w:eastAsia="Times New Roman" w:hAnsi="Times New Roman" w:cs="Times New Roman"/>
                <w:sz w:val="16"/>
                <w:szCs w:val="16"/>
                <w:lang w:eastAsia="it-IT"/>
              </w:rPr>
            </w:pPr>
            <w:r w:rsidRPr="00F91843">
              <w:rPr>
                <w:rFonts w:ascii="Bodoni MT" w:eastAsia="Times New Roman" w:hAnsi="Bodoni MT" w:cs="Arial"/>
                <w:sz w:val="16"/>
                <w:szCs w:val="16"/>
                <w:lang w:eastAsia="it-IT"/>
              </w:rPr>
              <w:t>(4) Indicare l'importo dello stanziamento definitivo</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Times New Roman" w:eastAsia="Times New Roman" w:hAnsi="Times New Roman" w:cs="Times New Roman"/>
                <w:sz w:val="16"/>
                <w:szCs w:val="16"/>
                <w:lang w:eastAsia="it-IT"/>
              </w:rPr>
            </w:pPr>
            <w:r w:rsidRPr="00F91843">
              <w:rPr>
                <w:rFonts w:ascii="Bodoni MT" w:eastAsia="Times New Roman" w:hAnsi="Bodoni MT" w:cs="Arial"/>
                <w:sz w:val="16"/>
                <w:szCs w:val="16"/>
                <w:lang w:eastAsia="it-IT"/>
              </w:rPr>
              <w:t xml:space="preserve">(5) Indicare l'importo   della lettera C) </w:t>
            </w:r>
          </w:p>
        </w:tc>
      </w:tr>
      <w:tr w:rsidR="00346601" w:rsidRPr="003044C9" w:rsidTr="005B64E7">
        <w:trPr>
          <w:trHeight w:val="1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Times New Roman" w:eastAsia="Times New Roman" w:hAnsi="Times New Roman" w:cs="Times New Roman"/>
                <w:sz w:val="16"/>
                <w:szCs w:val="16"/>
                <w:lang w:eastAsia="it-IT"/>
              </w:rPr>
            </w:pPr>
            <w:r w:rsidRPr="00F91843">
              <w:rPr>
                <w:rFonts w:ascii="Bodoni MT" w:eastAsia="Times New Roman" w:hAnsi="Bodoni MT" w:cs="Arial"/>
                <w:sz w:val="16"/>
                <w:szCs w:val="16"/>
                <w:lang w:eastAsia="it-IT"/>
              </w:rPr>
              <w:t>(6) Nel rispetto delle priorità previste dall'ordinamento</w:t>
            </w:r>
          </w:p>
        </w:tc>
      </w:tr>
      <w:tr w:rsidR="00346601" w:rsidRPr="003044C9" w:rsidTr="00346601">
        <w:trPr>
          <w:trHeight w:val="79"/>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46601" w:rsidRPr="00F91843" w:rsidRDefault="00346601" w:rsidP="005B64E7">
            <w:pPr>
              <w:spacing w:after="0" w:line="240" w:lineRule="auto"/>
              <w:jc w:val="both"/>
              <w:rPr>
                <w:rFonts w:ascii="Bodoni MT" w:eastAsia="Times New Roman" w:hAnsi="Bodoni MT" w:cs="Arial"/>
                <w:sz w:val="16"/>
                <w:szCs w:val="16"/>
                <w:lang w:eastAsia="it-IT"/>
              </w:rPr>
            </w:pPr>
            <w:r w:rsidRPr="00F91843">
              <w:rPr>
                <w:rFonts w:ascii="Bodoni MT" w:eastAsia="Times New Roman" w:hAnsi="Bodoni MT" w:cs="Arial"/>
                <w:sz w:val="16"/>
                <w:szCs w:val="16"/>
                <w:lang w:eastAsia="it-IT"/>
              </w:rPr>
              <w:t xml:space="preserve">(7) Le spese correnti finanziate da entrate con specifico vincolo di destinazione comprendono quelle finanziate da entrate vincolate accertate nell'esercizio e da FPV d'entrata. </w:t>
            </w:r>
          </w:p>
        </w:tc>
      </w:tr>
    </w:tbl>
    <w:p w:rsidR="00346601" w:rsidRPr="00F91843" w:rsidRDefault="00346601" w:rsidP="00346601">
      <w:pPr>
        <w:spacing w:after="0" w:line="360" w:lineRule="auto"/>
        <w:ind w:right="-2"/>
        <w:jc w:val="both"/>
        <w:rPr>
          <w:rFonts w:ascii="Bodoni MT" w:hAnsi="Bodoni MT"/>
          <w:bCs/>
          <w:iCs/>
          <w:sz w:val="18"/>
          <w:szCs w:val="18"/>
        </w:rPr>
      </w:pPr>
      <w:r w:rsidRPr="00F91843">
        <w:rPr>
          <w:rFonts w:ascii="Bodoni MT" w:hAnsi="Bodoni MT"/>
          <w:bCs/>
          <w:iCs/>
          <w:sz w:val="18"/>
          <w:szCs w:val="18"/>
        </w:rPr>
        <w:t>Fonte: L.R. 10/2017</w:t>
      </w:r>
    </w:p>
    <w:p w:rsidR="00346601" w:rsidRPr="003D1620" w:rsidRDefault="006641AA" w:rsidP="00346601">
      <w:pPr>
        <w:pStyle w:val="Titolo2"/>
      </w:pPr>
      <w:bookmarkStart w:id="31" w:name="_Toc498947662"/>
      <w:bookmarkStart w:id="32" w:name="_Toc498947697"/>
      <w:bookmarkStart w:id="33" w:name="_Toc498947751"/>
      <w:bookmarkStart w:id="34" w:name="_Toc498947785"/>
      <w:bookmarkStart w:id="35" w:name="_Toc498948155"/>
      <w:bookmarkStart w:id="36" w:name="_Toc498951136"/>
      <w:bookmarkStart w:id="37" w:name="_Toc498951212"/>
      <w:bookmarkStart w:id="38" w:name="_Toc498951298"/>
      <w:bookmarkStart w:id="39" w:name="_Toc498951332"/>
      <w:bookmarkStart w:id="40" w:name="_Toc498954426"/>
      <w:bookmarkStart w:id="41" w:name="_Toc498955545"/>
      <w:bookmarkStart w:id="42" w:name="_Toc507422618"/>
      <w:bookmarkEnd w:id="31"/>
      <w:bookmarkEnd w:id="32"/>
      <w:bookmarkEnd w:id="33"/>
      <w:bookmarkEnd w:id="34"/>
      <w:bookmarkEnd w:id="35"/>
      <w:bookmarkEnd w:id="36"/>
      <w:bookmarkEnd w:id="37"/>
      <w:bookmarkEnd w:id="38"/>
      <w:bookmarkEnd w:id="39"/>
      <w:bookmarkEnd w:id="40"/>
      <w:bookmarkEnd w:id="41"/>
      <w:r>
        <w:lastRenderedPageBreak/>
        <w:t>Le variazioni successive all’assestamento</w:t>
      </w:r>
      <w:bookmarkEnd w:id="42"/>
    </w:p>
    <w:p w:rsidR="00346601" w:rsidRDefault="00346601" w:rsidP="00346601">
      <w:pPr>
        <w:pStyle w:val="CdcTesto"/>
      </w:pPr>
      <w:r w:rsidRPr="0024594C">
        <w:t xml:space="preserve">Successivamente alla legge di assestamento sono intervenute ulteriori variazioni (pari a </w:t>
      </w:r>
      <w:r w:rsidR="00873895">
        <w:t>€</w:t>
      </w:r>
      <w:r w:rsidR="00550C97">
        <w:rPr>
          <w:rFonts w:eastAsia="Times New Roman" w:cs="Arial"/>
          <w:lang w:eastAsia="it-IT"/>
        </w:rPr>
        <w:t> 7.</w:t>
      </w:r>
      <w:r w:rsidRPr="0024594C">
        <w:rPr>
          <w:rFonts w:eastAsia="Times New Roman" w:cs="Arial"/>
          <w:lang w:eastAsia="it-IT"/>
        </w:rPr>
        <w:t xml:space="preserve">706.446,67) </w:t>
      </w:r>
      <w:r w:rsidRPr="0024594C">
        <w:t>di cui l’Amministrazione ha tenuto conto anche nella predisposizione del preconsuntivo 2016 per l’applicazione delle quote vincolate del risultato presunto di amministrazione 2016 al bilancio preventivo 2017-2019</w:t>
      </w:r>
      <w:r w:rsidRPr="0024594C">
        <w:rPr>
          <w:rStyle w:val="Rimandonotaapidipagina"/>
          <w:bCs/>
          <w:iCs/>
        </w:rPr>
        <w:footnoteReference w:id="63"/>
      </w:r>
      <w:r w:rsidRPr="0024594C">
        <w:t xml:space="preserve">. </w:t>
      </w:r>
    </w:p>
    <w:p w:rsidR="00346601" w:rsidRDefault="00346601" w:rsidP="00346601">
      <w:pPr>
        <w:pStyle w:val="CdcTesto"/>
        <w:rPr>
          <w:rFonts w:cs="Arial"/>
        </w:rPr>
      </w:pPr>
      <w:r w:rsidRPr="0024594C">
        <w:t>Sulle variazioni suddette l’Amministrazione regionale ha fornito chiarimenti con nota pervenuta il 18/10/2017 (Prot. Cdc n.</w:t>
      </w:r>
      <w:r w:rsidR="00E5612E">
        <w:t xml:space="preserve"> </w:t>
      </w:r>
      <w:r w:rsidRPr="0024594C">
        <w:t>6922) significando che la L.R. 36/2016 ha accolto le variazioni di bilancio “</w:t>
      </w:r>
      <w:r w:rsidRPr="0024594C">
        <w:rPr>
          <w:rFonts w:cs="Arial"/>
          <w:i/>
        </w:rPr>
        <w:t>fotografate fino alla data ultima possibile per la realizzazione di una piattaforma informatica utile per generare gli schemi di bilancio obbligatori per legge.</w:t>
      </w:r>
      <w:r>
        <w:rPr>
          <w:rFonts w:cs="Arial"/>
          <w:i/>
        </w:rPr>
        <w:t xml:space="preserve"> </w:t>
      </w:r>
      <w:r w:rsidRPr="0024594C">
        <w:rPr>
          <w:rFonts w:cs="Arial"/>
          <w:i/>
        </w:rPr>
        <w:t>Tale data è stata congelata al 12/12/2016, fermo restando che le variazioni intervenute successivamente al 30 novembre e fino al 12 dicembre 2016 sono state adottate nel rispetto di quanto previst</w:t>
      </w:r>
      <w:r w:rsidR="00CF238F">
        <w:rPr>
          <w:rFonts w:cs="Arial"/>
          <w:i/>
        </w:rPr>
        <w:t>o dall’art. 51, comma 6, del D.</w:t>
      </w:r>
      <w:r w:rsidRPr="0024594C">
        <w:rPr>
          <w:rFonts w:cs="Arial"/>
          <w:i/>
        </w:rPr>
        <w:t>Lgs. 118/2011</w:t>
      </w:r>
      <w:r w:rsidRPr="0024594C">
        <w:rPr>
          <w:rFonts w:cs="Arial"/>
        </w:rPr>
        <w:t>.</w:t>
      </w:r>
    </w:p>
    <w:p w:rsidR="00346601" w:rsidRPr="00AF04B7" w:rsidRDefault="00346601" w:rsidP="00AF04B7">
      <w:pPr>
        <w:pStyle w:val="CdcTesto"/>
        <w:rPr>
          <w:i/>
        </w:rPr>
      </w:pPr>
      <w:r w:rsidRPr="00AF04B7">
        <w:rPr>
          <w:i/>
        </w:rPr>
        <w:t>Successivamente alla data del 12 dicembre 2016, ai sensi dell’art</w:t>
      </w:r>
      <w:r w:rsidR="00E5612E">
        <w:rPr>
          <w:i/>
        </w:rPr>
        <w:t>.</w:t>
      </w:r>
      <w:r w:rsidRPr="00AF04B7">
        <w:rPr>
          <w:i/>
        </w:rPr>
        <w:t xml:space="preserve"> 51 del D.Lgs</w:t>
      </w:r>
      <w:r w:rsidR="00E5612E">
        <w:rPr>
          <w:i/>
        </w:rPr>
        <w:t>.</w:t>
      </w:r>
      <w:r w:rsidRPr="00AF04B7">
        <w:rPr>
          <w:i/>
        </w:rPr>
        <w:t xml:space="preserve"> 118/2011, sono state adottate le seguenti variazioni di bilancio: </w:t>
      </w:r>
    </w:p>
    <w:p w:rsidR="00346601" w:rsidRPr="00AF04B7" w:rsidRDefault="00346601" w:rsidP="00AF04B7">
      <w:pPr>
        <w:pStyle w:val="CdcTesto"/>
        <w:rPr>
          <w:i/>
        </w:rPr>
      </w:pPr>
      <w:r w:rsidRPr="00AF04B7">
        <w:rPr>
          <w:i/>
        </w:rPr>
        <w:t>a) le variazioni necessarie per consentire la reimputazione di obbligazioni già assunte all’esercizio 2016 in qua</w:t>
      </w:r>
      <w:r w:rsidR="00CF238F" w:rsidRPr="00AF04B7">
        <w:rPr>
          <w:i/>
        </w:rPr>
        <w:t xml:space="preserve">nto è necessario e inderogabile </w:t>
      </w:r>
      <w:r w:rsidRPr="00AF04B7">
        <w:rPr>
          <w:i/>
        </w:rPr>
        <w:t>il pagamento nel 2016;</w:t>
      </w:r>
    </w:p>
    <w:p w:rsidR="00346601" w:rsidRPr="00AF04B7" w:rsidRDefault="00346601" w:rsidP="00AF04B7">
      <w:pPr>
        <w:pStyle w:val="CdcTesto"/>
        <w:rPr>
          <w:i/>
        </w:rPr>
      </w:pPr>
      <w:r w:rsidRPr="00AF04B7">
        <w:rPr>
          <w:i/>
        </w:rPr>
        <w:t>b) i prelievi dai fondi di riserva per le spese obbligatorie, per le spese impreviste, per l’utilizzo della quota accantonata del risultato di amministrazione riguardante i residui perenti e le spese potenziali;</w:t>
      </w:r>
    </w:p>
    <w:p w:rsidR="00346601" w:rsidRPr="00AF04B7" w:rsidRDefault="00346601" w:rsidP="00AF04B7">
      <w:pPr>
        <w:pStyle w:val="CdcTesto"/>
        <w:rPr>
          <w:i/>
        </w:rPr>
      </w:pPr>
      <w:r w:rsidRPr="00AF04B7">
        <w:rPr>
          <w:i/>
        </w:rPr>
        <w:t xml:space="preserve">c) le variazioni delle dotazioni di cassa di cui al comma 2, lettera d); </w:t>
      </w:r>
    </w:p>
    <w:p w:rsidR="00346601" w:rsidRPr="00AF04B7" w:rsidRDefault="00346601" w:rsidP="00AF04B7">
      <w:pPr>
        <w:pStyle w:val="CdcTesto"/>
        <w:rPr>
          <w:i/>
        </w:rPr>
      </w:pPr>
      <w:r w:rsidRPr="00AF04B7">
        <w:rPr>
          <w:i/>
        </w:rPr>
        <w:t>d) le variazioni degli stanziamenti riguardanti i versamenti ai conti di tesoreria statale intestati all'ente e i versamenti a depositi bancari intestati all'ente;</w:t>
      </w:r>
    </w:p>
    <w:p w:rsidR="00346601" w:rsidRPr="00AF04B7" w:rsidRDefault="00346601" w:rsidP="00AF04B7">
      <w:pPr>
        <w:pStyle w:val="CdcTesto"/>
        <w:rPr>
          <w:i/>
        </w:rPr>
      </w:pPr>
      <w:r w:rsidRPr="00AF04B7">
        <w:rPr>
          <w:i/>
        </w:rPr>
        <w:t>e) le variazioni al bilancio finanziario gestionale per corretta classificazione del PCF</w:t>
      </w:r>
      <w:r w:rsidR="000D01BB">
        <w:rPr>
          <w:rStyle w:val="Rimandonotaapidipagina"/>
          <w:i/>
        </w:rPr>
        <w:footnoteReference w:id="64"/>
      </w:r>
      <w:r w:rsidRPr="00AF04B7">
        <w:rPr>
          <w:i/>
        </w:rPr>
        <w:t xml:space="preserve"> o corretta attribuzione CDR”.</w:t>
      </w:r>
    </w:p>
    <w:p w:rsidR="00346601" w:rsidRPr="008B73AF" w:rsidRDefault="00346601" w:rsidP="00346601">
      <w:pPr>
        <w:pStyle w:val="CdcTesto"/>
      </w:pPr>
      <w:r>
        <w:t>Inoltre l’Amministrazione ha acquisito a sistema anche due atti adottati in esercizi precedenti al 2016</w:t>
      </w:r>
      <w:r>
        <w:rPr>
          <w:rStyle w:val="Rimandonotaapidipagina"/>
          <w:rFonts w:cs="Arial"/>
        </w:rPr>
        <w:footnoteReference w:id="65"/>
      </w:r>
      <w:r>
        <w:t xml:space="preserve"> </w:t>
      </w:r>
      <w:r w:rsidRPr="008B73AF">
        <w:t>“…</w:t>
      </w:r>
      <w:r w:rsidRPr="00E5612E">
        <w:rPr>
          <w:i/>
        </w:rPr>
        <w:t>che non erano stati acquisiti o erano stati acquisiti parzialmente per mero errore materiale nella fase di transizione da un anno all’altro nella attuazione della manovra di bilancio</w:t>
      </w:r>
      <w:r w:rsidRPr="008B73AF">
        <w:t>”</w:t>
      </w:r>
      <w:r>
        <w:t>. Ha precisato che la mancata acquisizione di tali atti</w:t>
      </w:r>
      <w:r w:rsidRPr="008B73AF">
        <w:t xml:space="preserve"> a sistema</w:t>
      </w:r>
      <w:r>
        <w:t xml:space="preserve">, </w:t>
      </w:r>
      <w:r w:rsidR="000D1769">
        <w:t xml:space="preserve">asseritamente </w:t>
      </w:r>
      <w:r>
        <w:t>assunti</w:t>
      </w:r>
      <w:r w:rsidR="000D1769" w:rsidRPr="000D1769">
        <w:t xml:space="preserve"> </w:t>
      </w:r>
      <w:r w:rsidR="000D1769">
        <w:t>legittimamente</w:t>
      </w:r>
      <w:r>
        <w:t xml:space="preserve">, ha comportato l’assunzione di accertamenti e impegni in assenza dei relativi stanziamenti in bilancio. Ha pertanto ritenuto necessario </w:t>
      </w:r>
      <w:r w:rsidRPr="008B73AF">
        <w:t>“…</w:t>
      </w:r>
      <w:r w:rsidRPr="00E5612E">
        <w:rPr>
          <w:i/>
        </w:rPr>
        <w:t xml:space="preserve">salvaguardare la correttezza di operazioni già formalmente adottate </w:t>
      </w:r>
      <w:r w:rsidRPr="00E5612E">
        <w:rPr>
          <w:i/>
        </w:rPr>
        <w:lastRenderedPageBreak/>
        <w:t>in pienezza di legittimità, seppure non correttamente riprese sul sistema per errore materiale nella fase di ripresa dati come sopra precisato</w:t>
      </w:r>
      <w:r w:rsidRPr="008B73AF">
        <w:t>”</w:t>
      </w:r>
      <w:r>
        <w:t xml:space="preserve"> </w:t>
      </w:r>
      <w:r w:rsidRPr="008B73AF">
        <w:t>reinserendo la variazione a sistema.</w:t>
      </w:r>
    </w:p>
    <w:p w:rsidR="00346601" w:rsidRPr="008B73AF" w:rsidRDefault="00346601" w:rsidP="00346601">
      <w:pPr>
        <w:pStyle w:val="CdcTesto"/>
      </w:pPr>
      <w:r>
        <w:t xml:space="preserve">Le variazioni sopradescritte sono </w:t>
      </w:r>
      <w:r w:rsidR="00AF04B7">
        <w:t>esposte nella tabella che segue.</w:t>
      </w:r>
    </w:p>
    <w:p w:rsidR="00346601" w:rsidRDefault="00346601" w:rsidP="00346601">
      <w:pPr>
        <w:pStyle w:val="Didascalia"/>
        <w:keepNext/>
        <w:rPr>
          <w:sz w:val="24"/>
          <w:szCs w:val="24"/>
        </w:rPr>
      </w:pPr>
      <w:bookmarkStart w:id="43" w:name="_Toc499040953"/>
      <w:bookmarkStart w:id="44" w:name="_Toc507422472"/>
      <w:r w:rsidRPr="00F91843">
        <w:t xml:space="preserve">Tabella </w:t>
      </w:r>
      <w:r w:rsidR="00B90472">
        <w:fldChar w:fldCharType="begin"/>
      </w:r>
      <w:r w:rsidR="00B90472">
        <w:instrText xml:space="preserve"> SEQ Tabella \* ARABIC </w:instrText>
      </w:r>
      <w:r w:rsidR="00B90472">
        <w:fldChar w:fldCharType="separate"/>
      </w:r>
      <w:r w:rsidR="008616B3">
        <w:rPr>
          <w:noProof/>
        </w:rPr>
        <w:t>4</w:t>
      </w:r>
      <w:r w:rsidR="00B90472">
        <w:rPr>
          <w:noProof/>
        </w:rPr>
        <w:fldChar w:fldCharType="end"/>
      </w:r>
      <w:r>
        <w:t xml:space="preserve"> - </w:t>
      </w:r>
      <w:r w:rsidRPr="00F91843">
        <w:rPr>
          <w:sz w:val="24"/>
          <w:szCs w:val="24"/>
        </w:rPr>
        <w:t>Variazioni successive alla legge di assestamento</w:t>
      </w:r>
      <w:bookmarkEnd w:id="43"/>
      <w:bookmarkEnd w:id="44"/>
    </w:p>
    <w:tbl>
      <w:tblPr>
        <w:tblW w:w="5000" w:type="pct"/>
        <w:jc w:val="center"/>
        <w:tblCellMar>
          <w:left w:w="70" w:type="dxa"/>
          <w:right w:w="70" w:type="dxa"/>
        </w:tblCellMar>
        <w:tblLook w:val="04A0" w:firstRow="1" w:lastRow="0" w:firstColumn="1" w:lastColumn="0" w:noHBand="0" w:noVBand="1"/>
      </w:tblPr>
      <w:tblGrid>
        <w:gridCol w:w="2111"/>
        <w:gridCol w:w="2322"/>
        <w:gridCol w:w="1970"/>
        <w:gridCol w:w="3658"/>
      </w:tblGrid>
      <w:tr w:rsidR="00346601" w:rsidRPr="00E1161E" w:rsidTr="00C571B8">
        <w:trPr>
          <w:trHeight w:val="300"/>
          <w:jc w:val="center"/>
        </w:trPr>
        <w:tc>
          <w:tcPr>
            <w:tcW w:w="1049"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46601" w:rsidRPr="00437A90" w:rsidRDefault="00346601" w:rsidP="005B64E7">
            <w:pPr>
              <w:spacing w:after="0" w:line="240" w:lineRule="auto"/>
              <w:jc w:val="center"/>
              <w:rPr>
                <w:rFonts w:ascii="Bodoni MT" w:eastAsia="Times New Roman" w:hAnsi="Bodoni MT" w:cs="Calibri"/>
                <w:b/>
                <w:bCs/>
                <w:color w:val="FFFFFF"/>
                <w:sz w:val="16"/>
                <w:szCs w:val="16"/>
                <w:lang w:eastAsia="it-IT"/>
              </w:rPr>
            </w:pPr>
            <w:r w:rsidRPr="00437A90">
              <w:rPr>
                <w:rFonts w:ascii="Bodoni MT" w:eastAsia="Times New Roman" w:hAnsi="Bodoni MT" w:cs="Calibri"/>
                <w:b/>
                <w:bCs/>
                <w:color w:val="FFFFFF"/>
                <w:sz w:val="16"/>
                <w:szCs w:val="16"/>
                <w:lang w:eastAsia="it-IT"/>
              </w:rPr>
              <w:t>Tipo Atto</w:t>
            </w:r>
          </w:p>
        </w:tc>
        <w:tc>
          <w:tcPr>
            <w:tcW w:w="1154"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46601" w:rsidRPr="00437A90" w:rsidRDefault="00346601" w:rsidP="005B64E7">
            <w:pPr>
              <w:spacing w:after="0" w:line="240" w:lineRule="auto"/>
              <w:jc w:val="center"/>
              <w:rPr>
                <w:rFonts w:ascii="Bodoni MT" w:eastAsia="Times New Roman" w:hAnsi="Bodoni MT" w:cs="Calibri"/>
                <w:b/>
                <w:bCs/>
                <w:color w:val="FFFFFF"/>
                <w:sz w:val="16"/>
                <w:szCs w:val="16"/>
                <w:lang w:eastAsia="it-IT"/>
              </w:rPr>
            </w:pPr>
            <w:r w:rsidRPr="00437A90">
              <w:rPr>
                <w:rFonts w:ascii="Bodoni MT" w:eastAsia="Times New Roman" w:hAnsi="Bodoni MT" w:cs="Calibri"/>
                <w:b/>
                <w:bCs/>
                <w:color w:val="FFFFFF"/>
                <w:sz w:val="16"/>
                <w:szCs w:val="16"/>
                <w:lang w:eastAsia="it-IT"/>
              </w:rPr>
              <w:t>Numero Atto</w:t>
            </w:r>
          </w:p>
        </w:tc>
        <w:tc>
          <w:tcPr>
            <w:tcW w:w="97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46601" w:rsidRPr="00437A90" w:rsidRDefault="00346601" w:rsidP="005B64E7">
            <w:pPr>
              <w:spacing w:after="0" w:line="240" w:lineRule="auto"/>
              <w:jc w:val="center"/>
              <w:rPr>
                <w:rFonts w:ascii="Bodoni MT" w:eastAsia="Times New Roman" w:hAnsi="Bodoni MT" w:cs="Calibri"/>
                <w:b/>
                <w:bCs/>
                <w:color w:val="FFFFFF"/>
                <w:sz w:val="16"/>
                <w:szCs w:val="16"/>
                <w:lang w:eastAsia="it-IT"/>
              </w:rPr>
            </w:pPr>
            <w:r w:rsidRPr="00437A90">
              <w:rPr>
                <w:rFonts w:ascii="Bodoni MT" w:eastAsia="Times New Roman" w:hAnsi="Bodoni MT" w:cs="Calibri"/>
                <w:b/>
                <w:bCs/>
                <w:color w:val="FFFFFF"/>
                <w:sz w:val="16"/>
                <w:szCs w:val="16"/>
                <w:lang w:eastAsia="it-IT"/>
              </w:rPr>
              <w:t>Data Atto</w:t>
            </w:r>
          </w:p>
        </w:tc>
        <w:tc>
          <w:tcPr>
            <w:tcW w:w="181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46601" w:rsidRPr="00437A90" w:rsidRDefault="00346601" w:rsidP="005B64E7">
            <w:pPr>
              <w:spacing w:after="0" w:line="240" w:lineRule="auto"/>
              <w:jc w:val="center"/>
              <w:rPr>
                <w:rFonts w:ascii="Bodoni MT" w:eastAsia="Times New Roman" w:hAnsi="Bodoni MT" w:cs="Calibri"/>
                <w:b/>
                <w:bCs/>
                <w:color w:val="FFFFFF"/>
                <w:sz w:val="16"/>
                <w:szCs w:val="16"/>
                <w:lang w:eastAsia="it-IT"/>
              </w:rPr>
            </w:pPr>
            <w:r w:rsidRPr="00437A90">
              <w:rPr>
                <w:rFonts w:ascii="Bodoni MT" w:eastAsia="Times New Roman" w:hAnsi="Bodoni MT" w:cs="Calibri"/>
                <w:b/>
                <w:bCs/>
                <w:color w:val="FFFFFF"/>
                <w:sz w:val="16"/>
                <w:szCs w:val="16"/>
                <w:lang w:eastAsia="it-IT"/>
              </w:rPr>
              <w:t>Importo Var. Totale</w:t>
            </w:r>
          </w:p>
        </w:tc>
      </w:tr>
      <w:tr w:rsidR="00346601" w:rsidRPr="00E1161E" w:rsidTr="005B64E7">
        <w:trPr>
          <w:trHeight w:val="180"/>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DELIBERA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67/15</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16/12/2016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5.000.000,00</w:t>
            </w:r>
          </w:p>
        </w:tc>
      </w:tr>
      <w:tr w:rsidR="00346601" w:rsidRPr="00E1161E" w:rsidTr="005B64E7">
        <w:trPr>
          <w:trHeight w:val="165"/>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DELIBERA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67/16</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16/12/2016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2.669,28</w:t>
            </w:r>
          </w:p>
        </w:tc>
      </w:tr>
      <w:tr w:rsidR="00346601" w:rsidRPr="00E1161E" w:rsidTr="005B64E7">
        <w:trPr>
          <w:trHeight w:val="195"/>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DETERMINA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757</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16/12/2016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204.895,96</w:t>
            </w:r>
          </w:p>
        </w:tc>
      </w:tr>
      <w:tr w:rsidR="00346601" w:rsidRPr="00E1161E" w:rsidTr="005B64E7">
        <w:trPr>
          <w:trHeight w:val="180"/>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DETERMINA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783</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21/12/2016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1.200,00</w:t>
            </w:r>
          </w:p>
        </w:tc>
      </w:tr>
      <w:tr w:rsidR="00346601" w:rsidRPr="00E1161E" w:rsidTr="005B64E7">
        <w:trPr>
          <w:trHeight w:val="195"/>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DETERMINA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787</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22/12/2016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272.418,81</w:t>
            </w:r>
          </w:p>
        </w:tc>
      </w:tr>
      <w:tr w:rsidR="00346601" w:rsidRPr="00E1161E" w:rsidTr="005B64E7">
        <w:trPr>
          <w:trHeight w:val="180"/>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DELIBERA</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835</w:t>
            </w:r>
          </w:p>
        </w:tc>
        <w:tc>
          <w:tcPr>
            <w:tcW w:w="979"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30/12/2016</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1.819.735,64</w:t>
            </w:r>
          </w:p>
        </w:tc>
      </w:tr>
      <w:tr w:rsidR="00346601" w:rsidRPr="00E1161E" w:rsidTr="005B64E7">
        <w:trPr>
          <w:trHeight w:val="210"/>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DECRETO</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418</w:t>
            </w:r>
          </w:p>
        </w:tc>
        <w:tc>
          <w:tcPr>
            <w:tcW w:w="979" w:type="pct"/>
            <w:tcBorders>
              <w:top w:val="nil"/>
              <w:left w:val="nil"/>
              <w:bottom w:val="single" w:sz="4" w:space="0" w:color="auto"/>
              <w:right w:val="single" w:sz="4" w:space="0" w:color="auto"/>
            </w:tcBorders>
            <w:shd w:val="clear" w:color="000000" w:fill="FFFFFF"/>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15/12/2014</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105.526,98</w:t>
            </w:r>
          </w:p>
        </w:tc>
      </w:tr>
      <w:tr w:rsidR="00346601" w:rsidRPr="00E1161E" w:rsidTr="005B64E7">
        <w:trPr>
          <w:trHeight w:val="180"/>
          <w:jc w:val="center"/>
        </w:trPr>
        <w:tc>
          <w:tcPr>
            <w:tcW w:w="1049" w:type="pct"/>
            <w:tcBorders>
              <w:top w:val="nil"/>
              <w:left w:val="single" w:sz="4" w:space="0" w:color="auto"/>
              <w:bottom w:val="single" w:sz="4" w:space="0" w:color="auto"/>
              <w:right w:val="single" w:sz="4" w:space="0" w:color="auto"/>
            </w:tcBorders>
            <w:shd w:val="clear" w:color="000000" w:fill="95B3D7"/>
            <w:noWrap/>
            <w:vAlign w:val="center"/>
            <w:hideMark/>
          </w:tcPr>
          <w:p w:rsidR="00346601" w:rsidRPr="00F91843" w:rsidRDefault="00346601" w:rsidP="005B64E7">
            <w:pPr>
              <w:spacing w:after="0" w:line="240" w:lineRule="auto"/>
              <w:jc w:val="center"/>
              <w:rPr>
                <w:rFonts w:ascii="Bodoni MT" w:eastAsia="Times New Roman" w:hAnsi="Bodoni MT" w:cs="Calibri"/>
                <w:color w:val="FFFFFF" w:themeColor="background1"/>
                <w:sz w:val="16"/>
                <w:szCs w:val="16"/>
                <w:lang w:eastAsia="it-IT"/>
              </w:rPr>
            </w:pPr>
            <w:r w:rsidRPr="00F91843">
              <w:rPr>
                <w:rFonts w:ascii="Bodoni MT" w:eastAsia="Times New Roman" w:hAnsi="Bodoni MT" w:cs="Calibri"/>
                <w:color w:val="FFFFFF" w:themeColor="background1"/>
                <w:sz w:val="16"/>
                <w:szCs w:val="16"/>
                <w:lang w:eastAsia="it-IT"/>
              </w:rPr>
              <w:t>DECRETO</w:t>
            </w:r>
          </w:p>
        </w:tc>
        <w:tc>
          <w:tcPr>
            <w:tcW w:w="1154"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394</w:t>
            </w:r>
          </w:p>
        </w:tc>
        <w:tc>
          <w:tcPr>
            <w:tcW w:w="979" w:type="pct"/>
            <w:tcBorders>
              <w:top w:val="nil"/>
              <w:left w:val="nil"/>
              <w:bottom w:val="single" w:sz="4" w:space="0" w:color="auto"/>
              <w:right w:val="single" w:sz="4" w:space="0" w:color="auto"/>
            </w:tcBorders>
            <w:shd w:val="clear" w:color="000000" w:fill="FFFFFF"/>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02/10/2015</w:t>
            </w:r>
          </w:p>
        </w:tc>
        <w:tc>
          <w:tcPr>
            <w:tcW w:w="1818" w:type="pct"/>
            <w:tcBorders>
              <w:top w:val="nil"/>
              <w:left w:val="nil"/>
              <w:bottom w:val="single" w:sz="4" w:space="0" w:color="auto"/>
              <w:right w:val="single" w:sz="4" w:space="0" w:color="auto"/>
            </w:tcBorders>
            <w:shd w:val="clear" w:color="auto" w:fill="auto"/>
            <w:noWrap/>
            <w:vAlign w:val="center"/>
            <w:hideMark/>
          </w:tcPr>
          <w:p w:rsidR="00346601" w:rsidRPr="00437A90" w:rsidRDefault="00346601" w:rsidP="005B64E7">
            <w:pPr>
              <w:spacing w:after="0" w:line="240" w:lineRule="auto"/>
              <w:jc w:val="center"/>
              <w:rPr>
                <w:rFonts w:ascii="Calibri" w:eastAsia="Times New Roman" w:hAnsi="Calibri" w:cs="Calibri"/>
                <w:color w:val="000000"/>
                <w:sz w:val="16"/>
                <w:szCs w:val="16"/>
                <w:lang w:eastAsia="it-IT"/>
              </w:rPr>
            </w:pPr>
            <w:r w:rsidRPr="00437A90">
              <w:rPr>
                <w:rFonts w:ascii="Calibri" w:eastAsia="Times New Roman" w:hAnsi="Calibri" w:cs="Calibri"/>
                <w:color w:val="000000"/>
                <w:sz w:val="16"/>
                <w:szCs w:val="16"/>
                <w:lang w:eastAsia="it-IT"/>
              </w:rPr>
              <w:t>300.000,00</w:t>
            </w:r>
          </w:p>
        </w:tc>
      </w:tr>
      <w:tr w:rsidR="00346601" w:rsidRPr="001F77C5" w:rsidTr="005B64E7">
        <w:trPr>
          <w:trHeight w:val="195"/>
          <w:jc w:val="center"/>
        </w:trPr>
        <w:tc>
          <w:tcPr>
            <w:tcW w:w="3182" w:type="pct"/>
            <w:gridSpan w:val="3"/>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346601" w:rsidRPr="00437A90" w:rsidRDefault="00346601" w:rsidP="005B64E7">
            <w:pPr>
              <w:spacing w:after="0" w:line="240" w:lineRule="auto"/>
              <w:jc w:val="center"/>
              <w:rPr>
                <w:rFonts w:ascii="Bodoni MT" w:eastAsia="Times New Roman" w:hAnsi="Bodoni MT" w:cs="Calibri"/>
                <w:b/>
                <w:bCs/>
                <w:color w:val="FFFFFF"/>
                <w:sz w:val="16"/>
                <w:szCs w:val="16"/>
                <w:lang w:eastAsia="it-IT"/>
              </w:rPr>
            </w:pPr>
            <w:r w:rsidRPr="00437A90">
              <w:rPr>
                <w:rFonts w:ascii="Bodoni MT" w:eastAsia="Times New Roman" w:hAnsi="Bodoni MT" w:cs="Calibri"/>
                <w:b/>
                <w:bCs/>
                <w:color w:val="FFFFFF"/>
                <w:sz w:val="16"/>
                <w:szCs w:val="16"/>
                <w:lang w:eastAsia="it-IT"/>
              </w:rPr>
              <w:t>TOTALE VARIAZIONI</w:t>
            </w:r>
          </w:p>
        </w:tc>
        <w:tc>
          <w:tcPr>
            <w:tcW w:w="1818" w:type="pct"/>
            <w:tcBorders>
              <w:top w:val="nil"/>
              <w:left w:val="nil"/>
              <w:bottom w:val="single" w:sz="4" w:space="0" w:color="auto"/>
              <w:right w:val="single" w:sz="4" w:space="0" w:color="auto"/>
            </w:tcBorders>
            <w:shd w:val="clear" w:color="auto" w:fill="FFFFFF" w:themeFill="background1"/>
            <w:noWrap/>
            <w:vAlign w:val="center"/>
            <w:hideMark/>
          </w:tcPr>
          <w:p w:rsidR="00346601" w:rsidRPr="00F91843" w:rsidRDefault="00346601" w:rsidP="005B64E7">
            <w:pPr>
              <w:spacing w:after="0" w:line="240" w:lineRule="auto"/>
              <w:jc w:val="center"/>
              <w:rPr>
                <w:rFonts w:ascii="Calibri" w:eastAsia="Times New Roman" w:hAnsi="Calibri" w:cs="Calibri"/>
                <w:b/>
                <w:bCs/>
                <w:sz w:val="16"/>
                <w:szCs w:val="16"/>
                <w:lang w:eastAsia="it-IT"/>
              </w:rPr>
            </w:pPr>
            <w:r w:rsidRPr="00F91843">
              <w:rPr>
                <w:rFonts w:ascii="Calibri" w:eastAsia="Times New Roman" w:hAnsi="Calibri" w:cs="Calibri"/>
                <w:b/>
                <w:bCs/>
                <w:sz w:val="16"/>
                <w:szCs w:val="16"/>
                <w:lang w:eastAsia="it-IT"/>
              </w:rPr>
              <w:t>7.706.446,67</w:t>
            </w:r>
          </w:p>
        </w:tc>
      </w:tr>
    </w:tbl>
    <w:p w:rsidR="00346601" w:rsidRPr="00437A90" w:rsidRDefault="00346601" w:rsidP="00346601">
      <w:pPr>
        <w:spacing w:after="0" w:line="240" w:lineRule="auto"/>
        <w:rPr>
          <w:rFonts w:ascii="Bodoni MT" w:hAnsi="Bodoni MT"/>
          <w:sz w:val="16"/>
          <w:szCs w:val="16"/>
        </w:rPr>
      </w:pPr>
      <w:r w:rsidRPr="00437A90">
        <w:rPr>
          <w:rFonts w:ascii="Bodoni MT" w:hAnsi="Bodoni MT"/>
          <w:sz w:val="16"/>
          <w:szCs w:val="16"/>
        </w:rPr>
        <w:t>Fonte: Elaborazione Corte dei conti su dati forniti da RAS</w:t>
      </w:r>
    </w:p>
    <w:p w:rsidR="00346601" w:rsidRDefault="00346601" w:rsidP="000D1769">
      <w:pPr>
        <w:pStyle w:val="CdcTesto"/>
        <w:spacing w:before="360"/>
        <w:rPr>
          <w:rFonts w:eastAsia="Times New Roman"/>
          <w:lang w:eastAsia="it-IT"/>
        </w:rPr>
      </w:pPr>
      <w:r w:rsidRPr="00743E28">
        <w:rPr>
          <w:rFonts w:eastAsia="Times New Roman"/>
          <w:lang w:eastAsia="it-IT"/>
        </w:rPr>
        <w:t>Complessivamente</w:t>
      </w:r>
      <w:r>
        <w:rPr>
          <w:rFonts w:eastAsia="Times New Roman"/>
          <w:lang w:eastAsia="it-IT"/>
        </w:rPr>
        <w:t xml:space="preserve">, </w:t>
      </w:r>
      <w:r w:rsidRPr="000D1769">
        <w:rPr>
          <w:rFonts w:eastAsia="Times New Roman"/>
          <w:lang w:eastAsia="it-IT"/>
        </w:rPr>
        <w:t>le previsioni di entrata e di spesa definitive risultano pertanto pari a 10.689.164.059,62 di euro</w:t>
      </w:r>
      <w:r>
        <w:rPr>
          <w:rFonts w:eastAsia="Times New Roman"/>
          <w:lang w:eastAsia="it-IT"/>
        </w:rPr>
        <w:t>, con un</w:t>
      </w:r>
      <w:r w:rsidRPr="00743E28">
        <w:rPr>
          <w:rFonts w:eastAsia="Times New Roman"/>
          <w:lang w:eastAsia="it-IT"/>
        </w:rPr>
        <w:t xml:space="preserve"> </w:t>
      </w:r>
      <w:r>
        <w:rPr>
          <w:rFonts w:eastAsia="Times New Roman"/>
          <w:lang w:eastAsia="it-IT"/>
        </w:rPr>
        <w:t xml:space="preserve">significativo scostamento </w:t>
      </w:r>
      <w:r w:rsidRPr="000D1769">
        <w:rPr>
          <w:rFonts w:eastAsia="Times New Roman"/>
          <w:lang w:eastAsia="it-IT"/>
        </w:rPr>
        <w:t xml:space="preserve">del 20,74% (pari </w:t>
      </w:r>
      <w:r w:rsidR="00AF04B7" w:rsidRPr="000D1769">
        <w:rPr>
          <w:rFonts w:eastAsia="Times New Roman"/>
          <w:lang w:eastAsia="it-IT"/>
        </w:rPr>
        <w:t xml:space="preserve">a </w:t>
      </w:r>
      <w:r w:rsidRPr="000D1769">
        <w:rPr>
          <w:rFonts w:eastAsia="Times New Roman"/>
          <w:lang w:eastAsia="it-IT"/>
        </w:rPr>
        <w:t>1.836.377.982,53 di euro)</w:t>
      </w:r>
      <w:r>
        <w:rPr>
          <w:rFonts w:eastAsia="Times New Roman"/>
          <w:lang w:eastAsia="it-IT"/>
        </w:rPr>
        <w:t xml:space="preserve"> rispetto alle previsioni iniziali, </w:t>
      </w:r>
      <w:r w:rsidR="00234A57">
        <w:rPr>
          <w:rFonts w:eastAsia="Times New Roman"/>
          <w:lang w:eastAsia="it-IT"/>
        </w:rPr>
        <w:t>talché</w:t>
      </w:r>
      <w:r>
        <w:rPr>
          <w:rFonts w:eastAsia="Times New Roman"/>
          <w:lang w:eastAsia="it-IT"/>
        </w:rPr>
        <w:t xml:space="preserve"> sorge qualche perplessità </w:t>
      </w:r>
      <w:r w:rsidR="000D1769">
        <w:rPr>
          <w:rFonts w:eastAsia="Times New Roman"/>
          <w:lang w:eastAsia="it-IT"/>
        </w:rPr>
        <w:t>sulla adeguatezza delle stime effettuate che si riflettono sull’attendibilità complessiva delle stesse</w:t>
      </w:r>
      <w:r>
        <w:rPr>
          <w:rFonts w:eastAsia="Times New Roman"/>
          <w:lang w:eastAsia="it-IT"/>
        </w:rPr>
        <w:t>.</w:t>
      </w:r>
    </w:p>
    <w:p w:rsidR="000D1769" w:rsidRPr="00743E28" w:rsidRDefault="000D1769" w:rsidP="000D1769">
      <w:pPr>
        <w:spacing w:line="360" w:lineRule="auto"/>
        <w:jc w:val="both"/>
        <w:rPr>
          <w:rFonts w:ascii="Bodoni MT" w:eastAsia="Times New Roman" w:hAnsi="Bodoni MT" w:cs="Arial"/>
          <w:bCs/>
          <w:sz w:val="24"/>
          <w:szCs w:val="24"/>
          <w:lang w:eastAsia="it-IT"/>
        </w:rPr>
      </w:pPr>
      <w:r>
        <w:rPr>
          <w:rFonts w:ascii="Bodoni MT" w:eastAsia="Times New Roman" w:hAnsi="Bodoni MT" w:cs="Arial"/>
          <w:bCs/>
          <w:sz w:val="24"/>
          <w:szCs w:val="24"/>
          <w:lang w:eastAsia="it-IT"/>
        </w:rPr>
        <w:t>Trattandosi di variazioni intervenute successivamente alla legge di assestamento, peraltro alcune relative a partite contabili risalenti al 2014 e al 2015, i chiarimenti forniti non risultano convincenti quanto al rispetto delle procedure di contabilità, ma, soprattutto, non esplicitano le problematiche sostanziali sottostanti.</w:t>
      </w:r>
    </w:p>
    <w:p w:rsidR="00346601" w:rsidRPr="00144016" w:rsidRDefault="00346601" w:rsidP="00346601">
      <w:pPr>
        <w:pStyle w:val="Titolo2"/>
        <w:ind w:left="709" w:hanging="709"/>
      </w:pPr>
      <w:bookmarkStart w:id="45" w:name="_Toc499040917"/>
      <w:bookmarkStart w:id="46" w:name="_Toc507422619"/>
      <w:r w:rsidRPr="00144016">
        <w:t>Confronto delle previsioni assestate e definitive di entrata e di spesa – Esercizio 2016</w:t>
      </w:r>
      <w:bookmarkEnd w:id="45"/>
      <w:bookmarkEnd w:id="46"/>
    </w:p>
    <w:p w:rsidR="00346601" w:rsidRDefault="00346601" w:rsidP="00346601">
      <w:pPr>
        <w:spacing w:after="0" w:line="360" w:lineRule="auto"/>
        <w:ind w:right="-2"/>
        <w:jc w:val="both"/>
        <w:rPr>
          <w:rFonts w:ascii="Bodoni MT" w:eastAsiaTheme="minorEastAsia" w:hAnsi="Bodoni MT" w:cs="Bodoni MT"/>
          <w:color w:val="000000"/>
          <w:sz w:val="24"/>
          <w:szCs w:val="24"/>
          <w:highlight w:val="yellow"/>
        </w:rPr>
      </w:pPr>
      <w:r>
        <w:rPr>
          <w:rFonts w:ascii="Bodoni MT" w:eastAsiaTheme="minorEastAsia" w:hAnsi="Bodoni MT" w:cs="Bodoni MT"/>
          <w:color w:val="000000"/>
          <w:sz w:val="24"/>
          <w:szCs w:val="24"/>
        </w:rPr>
        <w:t xml:space="preserve">Nelle seguenti tabelle si espongono i dati delle previsioni assestate e definitive di entrata e di spesa per l’anno 2016, distinte per titoli, e, per quanto riguarda le spese, anche per </w:t>
      </w:r>
      <w:r w:rsidR="00AB0398">
        <w:rPr>
          <w:rFonts w:ascii="Bodoni MT" w:eastAsiaTheme="minorEastAsia" w:hAnsi="Bodoni MT" w:cs="Bodoni MT"/>
          <w:color w:val="000000"/>
          <w:sz w:val="24"/>
          <w:szCs w:val="24"/>
        </w:rPr>
        <w:t>Missioni</w:t>
      </w:r>
      <w:r>
        <w:rPr>
          <w:rFonts w:ascii="Bodoni MT" w:eastAsiaTheme="minorEastAsia" w:hAnsi="Bodoni MT" w:cs="Bodoni MT"/>
          <w:color w:val="000000"/>
          <w:sz w:val="24"/>
          <w:szCs w:val="24"/>
        </w:rPr>
        <w:t>, poste a confronto con le previsioni iniziali.</w:t>
      </w:r>
    </w:p>
    <w:p w:rsidR="00101FF8" w:rsidRPr="00093721" w:rsidRDefault="00101FF8" w:rsidP="00DA6693">
      <w:pPr>
        <w:pStyle w:val="CdcTesto"/>
      </w:pPr>
    </w:p>
    <w:p w:rsidR="00101FF8" w:rsidRPr="00093721" w:rsidRDefault="00101FF8" w:rsidP="00DA6693">
      <w:pPr>
        <w:pStyle w:val="CdcTesto"/>
      </w:pPr>
    </w:p>
    <w:p w:rsidR="00101FF8" w:rsidRPr="00093721" w:rsidRDefault="00101FF8" w:rsidP="00DA6693">
      <w:pPr>
        <w:pStyle w:val="CdcTesto"/>
      </w:pPr>
    </w:p>
    <w:p w:rsidR="00967A1C" w:rsidRPr="00093721" w:rsidRDefault="00967A1C" w:rsidP="00DA6693">
      <w:pPr>
        <w:pStyle w:val="CdcTesto"/>
      </w:pPr>
    </w:p>
    <w:p w:rsidR="00967A1C" w:rsidRPr="00093721" w:rsidRDefault="00967A1C" w:rsidP="00DA6693">
      <w:pPr>
        <w:pStyle w:val="CdcTesto"/>
      </w:pPr>
    </w:p>
    <w:p w:rsidR="00967A1C" w:rsidRPr="00093721" w:rsidRDefault="00967A1C" w:rsidP="00DA6693">
      <w:pPr>
        <w:pStyle w:val="CdcTesto"/>
        <w:sectPr w:rsidR="00967A1C" w:rsidRPr="00093721" w:rsidSect="00130B51">
          <w:headerReference w:type="default" r:id="rId31"/>
          <w:footerReference w:type="default" r:id="rId32"/>
          <w:type w:val="oddPage"/>
          <w:pgSz w:w="11906" w:h="16838"/>
          <w:pgMar w:top="1418" w:right="1134" w:bottom="1134" w:left="851" w:header="709" w:footer="709" w:gutter="0"/>
          <w:pgNumType w:start="11"/>
          <w:cols w:space="708"/>
          <w:docGrid w:linePitch="360"/>
        </w:sectPr>
      </w:pPr>
    </w:p>
    <w:p w:rsidR="00346601" w:rsidRPr="00AF04B7" w:rsidRDefault="00346601" w:rsidP="00346601">
      <w:pPr>
        <w:pStyle w:val="Didascalia"/>
      </w:pPr>
      <w:bookmarkStart w:id="47" w:name="_Toc499040954"/>
      <w:bookmarkStart w:id="48" w:name="_Toc507422473"/>
      <w:r w:rsidRPr="00AF04B7">
        <w:lastRenderedPageBreak/>
        <w:t xml:space="preserve">Tabella </w:t>
      </w:r>
      <w:r w:rsidR="00B90472">
        <w:fldChar w:fldCharType="begin"/>
      </w:r>
      <w:r w:rsidR="00B90472">
        <w:instrText xml:space="preserve"> SEQ Tabella \* ARABIC </w:instrText>
      </w:r>
      <w:r w:rsidR="00B90472">
        <w:fldChar w:fldCharType="separate"/>
      </w:r>
      <w:r w:rsidR="008616B3">
        <w:rPr>
          <w:noProof/>
        </w:rPr>
        <w:t>5</w:t>
      </w:r>
      <w:r w:rsidR="00B90472">
        <w:rPr>
          <w:noProof/>
        </w:rPr>
        <w:fldChar w:fldCharType="end"/>
      </w:r>
      <w:r w:rsidRPr="00AF04B7">
        <w:t xml:space="preserve"> - Entrate – Titoli - Previsioni anno 2016</w:t>
      </w:r>
      <w:bookmarkEnd w:id="47"/>
      <w:bookmarkEnd w:id="48"/>
    </w:p>
    <w:tbl>
      <w:tblPr>
        <w:tblW w:w="16198" w:type="dxa"/>
        <w:jc w:val="center"/>
        <w:tblCellMar>
          <w:left w:w="70" w:type="dxa"/>
          <w:right w:w="70" w:type="dxa"/>
        </w:tblCellMar>
        <w:tblLook w:val="04A0" w:firstRow="1" w:lastRow="0" w:firstColumn="1" w:lastColumn="0" w:noHBand="0" w:noVBand="1"/>
      </w:tblPr>
      <w:tblGrid>
        <w:gridCol w:w="1271"/>
        <w:gridCol w:w="1140"/>
        <w:gridCol w:w="1140"/>
        <w:gridCol w:w="1211"/>
        <w:gridCol w:w="1140"/>
        <w:gridCol w:w="1140"/>
        <w:gridCol w:w="1140"/>
        <w:gridCol w:w="1211"/>
        <w:gridCol w:w="1140"/>
        <w:gridCol w:w="850"/>
        <w:gridCol w:w="851"/>
        <w:gridCol w:w="850"/>
        <w:gridCol w:w="834"/>
        <w:gridCol w:w="1140"/>
        <w:gridCol w:w="1140"/>
      </w:tblGrid>
      <w:tr w:rsidR="00346601" w:rsidRPr="00AF04B7" w:rsidTr="00C571B8">
        <w:trPr>
          <w:trHeight w:val="384"/>
          <w:jc w:val="center"/>
        </w:trPr>
        <w:tc>
          <w:tcPr>
            <w:tcW w:w="1271"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ENTRATA</w:t>
            </w:r>
          </w:p>
        </w:tc>
        <w:tc>
          <w:tcPr>
            <w:tcW w:w="2280"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Previsioni iniziali 2016 L.R. 3/2017</w:t>
            </w:r>
          </w:p>
        </w:tc>
        <w:tc>
          <w:tcPr>
            <w:tcW w:w="2351"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Previsioni assestate 2016 L.R. 36/2016 come modif. da L.R. 10/2017</w:t>
            </w:r>
          </w:p>
        </w:tc>
        <w:tc>
          <w:tcPr>
            <w:tcW w:w="2280"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Variazioni in valore assoluto Prev.assest-Prev.iniziali</w:t>
            </w:r>
          </w:p>
        </w:tc>
        <w:tc>
          <w:tcPr>
            <w:tcW w:w="2351"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Previsioni definitive 2016 </w:t>
            </w:r>
          </w:p>
        </w:tc>
        <w:tc>
          <w:tcPr>
            <w:tcW w:w="1701"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684"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c>
          <w:tcPr>
            <w:tcW w:w="2280"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Variazioni in valore assoluto Prev.finali-Prev.iniziali</w:t>
            </w:r>
          </w:p>
        </w:tc>
      </w:tr>
      <w:tr w:rsidR="00346601" w:rsidRPr="00AF04B7" w:rsidTr="00C571B8">
        <w:trPr>
          <w:trHeight w:val="529"/>
          <w:jc w:val="center"/>
        </w:trPr>
        <w:tc>
          <w:tcPr>
            <w:tcW w:w="1271" w:type="dxa"/>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TITOLO</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c>
          <w:tcPr>
            <w:tcW w:w="1211"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c>
          <w:tcPr>
            <w:tcW w:w="1211"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c>
          <w:tcPr>
            <w:tcW w:w="85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Var.% </w:t>
            </w:r>
            <w:r w:rsidRPr="00AF04B7">
              <w:rPr>
                <w:rFonts w:ascii="Bodoni MT" w:eastAsia="Times New Roman" w:hAnsi="Bodoni MT" w:cs="Arial"/>
                <w:b/>
                <w:bCs/>
                <w:color w:val="FFFFFF"/>
                <w:sz w:val="14"/>
                <w:szCs w:val="14"/>
                <w:lang w:eastAsia="it-IT"/>
              </w:rPr>
              <w:br/>
              <w:t>Prev.finali/</w:t>
            </w:r>
            <w:r w:rsidRPr="00AF04B7">
              <w:rPr>
                <w:rFonts w:ascii="Bodoni MT" w:eastAsia="Times New Roman" w:hAnsi="Bodoni MT" w:cs="Arial"/>
                <w:b/>
                <w:bCs/>
                <w:color w:val="FFFFFF"/>
                <w:sz w:val="14"/>
                <w:szCs w:val="14"/>
                <w:lang w:eastAsia="it-IT"/>
              </w:rPr>
              <w:br/>
              <w:t>Prev.ass.</w:t>
            </w:r>
          </w:p>
        </w:tc>
        <w:tc>
          <w:tcPr>
            <w:tcW w:w="851"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Var.% </w:t>
            </w:r>
            <w:r w:rsidRPr="00AF04B7">
              <w:rPr>
                <w:rFonts w:ascii="Bodoni MT" w:eastAsia="Times New Roman" w:hAnsi="Bodoni MT" w:cs="Arial"/>
                <w:b/>
                <w:bCs/>
                <w:color w:val="FFFFFF"/>
                <w:sz w:val="14"/>
                <w:szCs w:val="14"/>
                <w:lang w:eastAsia="it-IT"/>
              </w:rPr>
              <w:br/>
              <w:t>Prev.finali/</w:t>
            </w:r>
            <w:r w:rsidRPr="00AF04B7">
              <w:rPr>
                <w:rFonts w:ascii="Bodoni MT" w:eastAsia="Times New Roman" w:hAnsi="Bodoni MT" w:cs="Arial"/>
                <w:b/>
                <w:bCs/>
                <w:color w:val="FFFFFF"/>
                <w:sz w:val="14"/>
                <w:szCs w:val="14"/>
                <w:lang w:eastAsia="it-IT"/>
              </w:rPr>
              <w:br/>
              <w:t>Prev.iniziali</w:t>
            </w:r>
          </w:p>
        </w:tc>
        <w:tc>
          <w:tcPr>
            <w:tcW w:w="85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Var.% </w:t>
            </w:r>
            <w:r w:rsidRPr="00AF04B7">
              <w:rPr>
                <w:rFonts w:ascii="Bodoni MT" w:eastAsia="Times New Roman" w:hAnsi="Bodoni MT" w:cs="Arial"/>
                <w:b/>
                <w:bCs/>
                <w:color w:val="FFFFFF"/>
                <w:sz w:val="14"/>
                <w:szCs w:val="14"/>
                <w:lang w:eastAsia="it-IT"/>
              </w:rPr>
              <w:br/>
              <w:t>Prev.finali/</w:t>
            </w:r>
            <w:r w:rsidRPr="00AF04B7">
              <w:rPr>
                <w:rFonts w:ascii="Bodoni MT" w:eastAsia="Times New Roman" w:hAnsi="Bodoni MT" w:cs="Arial"/>
                <w:b/>
                <w:bCs/>
                <w:color w:val="FFFFFF"/>
                <w:sz w:val="14"/>
                <w:szCs w:val="14"/>
                <w:lang w:eastAsia="it-IT"/>
              </w:rPr>
              <w:br/>
              <w:t>Prev.ass.</w:t>
            </w:r>
          </w:p>
        </w:tc>
        <w:tc>
          <w:tcPr>
            <w:tcW w:w="834"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Var.% </w:t>
            </w:r>
            <w:r w:rsidRPr="00AF04B7">
              <w:rPr>
                <w:rFonts w:ascii="Bodoni MT" w:eastAsia="Times New Roman" w:hAnsi="Bodoni MT" w:cs="Arial"/>
                <w:b/>
                <w:bCs/>
                <w:color w:val="FFFFFF"/>
                <w:sz w:val="14"/>
                <w:szCs w:val="14"/>
                <w:lang w:eastAsia="it-IT"/>
              </w:rPr>
              <w:br/>
              <w:t>Prev.finali/</w:t>
            </w:r>
            <w:r w:rsidRPr="00AF04B7">
              <w:rPr>
                <w:rFonts w:ascii="Bodoni MT" w:eastAsia="Times New Roman" w:hAnsi="Bodoni MT" w:cs="Arial"/>
                <w:b/>
                <w:bCs/>
                <w:color w:val="FFFFFF"/>
                <w:sz w:val="14"/>
                <w:szCs w:val="14"/>
                <w:lang w:eastAsia="it-IT"/>
              </w:rPr>
              <w:br/>
              <w:t>Prev.iniziali</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Competenza</w:t>
            </w:r>
          </w:p>
        </w:tc>
        <w:tc>
          <w:tcPr>
            <w:tcW w:w="1140" w:type="dxa"/>
            <w:tcBorders>
              <w:top w:val="nil"/>
              <w:left w:val="nil"/>
              <w:bottom w:val="single" w:sz="4" w:space="0" w:color="auto"/>
              <w:right w:val="single" w:sz="4" w:space="0" w:color="auto"/>
            </w:tcBorders>
            <w:shd w:val="clear" w:color="auto" w:fill="0F243E" w:themeFill="text2" w:themeFillShade="80"/>
            <w:vAlign w:val="center"/>
            <w:hideMark/>
          </w:tcPr>
          <w:p w:rsidR="00346601" w:rsidRPr="00AF04B7" w:rsidRDefault="00346601" w:rsidP="00346601">
            <w:pPr>
              <w:spacing w:after="0" w:line="240" w:lineRule="auto"/>
              <w:jc w:val="center"/>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Cassa</w:t>
            </w:r>
          </w:p>
        </w:tc>
      </w:tr>
      <w:tr w:rsidR="00346601" w:rsidRPr="00AF04B7" w:rsidTr="00AF04B7">
        <w:trPr>
          <w:trHeight w:val="61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Fondo Pluriennale Vincolato per spese correnti</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10.379.076,38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56.502.635,51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46.123.559,13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56.502.635,51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444,39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46.123.559,13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r>
      <w:tr w:rsidR="00346601" w:rsidRPr="00AF04B7" w:rsidTr="00AF04B7">
        <w:trPr>
          <w:trHeight w:val="49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Fondo Pluriennale Vincolato per spese in conto capitale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224.830.811,49</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288.479.700,14</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63.648.888,65</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288.479.700,14</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28,31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63.648.888,65</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r>
      <w:tr w:rsidR="00346601" w:rsidRPr="00AF04B7" w:rsidTr="00AF04B7">
        <w:trPr>
          <w:trHeight w:val="46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Fondo di cassa all'inizio dell'esercizio</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340.833.000,00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340.832.737,09</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-262,91</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340.832.737,09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#DIV/0!</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#DIV/0!</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-262,91</w:t>
            </w:r>
          </w:p>
        </w:tc>
      </w:tr>
      <w:tr w:rsidR="00346601" w:rsidRPr="00AF04B7" w:rsidTr="00AF04B7">
        <w:trPr>
          <w:trHeight w:val="570"/>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AF04B7" w:rsidP="00346601">
            <w:pPr>
              <w:spacing w:after="0" w:line="240" w:lineRule="auto"/>
              <w:rPr>
                <w:rFonts w:ascii="Bodoni MT" w:eastAsia="Times New Roman" w:hAnsi="Bodoni MT" w:cs="Arial"/>
                <w:b/>
                <w:bCs/>
                <w:color w:val="FFFFFF" w:themeColor="background1"/>
                <w:sz w:val="14"/>
                <w:szCs w:val="14"/>
                <w:lang w:eastAsia="it-IT"/>
              </w:rPr>
            </w:pPr>
            <w:r>
              <w:rPr>
                <w:rFonts w:ascii="Bodoni MT" w:eastAsia="Times New Roman" w:hAnsi="Bodoni MT" w:cs="Arial"/>
                <w:b/>
                <w:bCs/>
                <w:color w:val="FFFFFF" w:themeColor="background1"/>
                <w:sz w:val="14"/>
                <w:szCs w:val="14"/>
                <w:lang w:eastAsia="it-IT"/>
              </w:rPr>
              <w:t xml:space="preserve">Titolo 0 </w:t>
            </w:r>
            <w:r w:rsidR="00346601" w:rsidRPr="00AF04B7">
              <w:rPr>
                <w:rFonts w:ascii="Bodoni MT" w:eastAsia="Times New Roman" w:hAnsi="Bodoni MT" w:cs="Arial"/>
                <w:b/>
                <w:bCs/>
                <w:color w:val="FFFFFF" w:themeColor="background1"/>
                <w:sz w:val="14"/>
                <w:szCs w:val="14"/>
                <w:lang w:eastAsia="it-IT"/>
              </w:rPr>
              <w:t>Utilizzo avanzo di amministrazione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147.244.000,00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280.453.779,61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133.209.779,61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282.056.568,12</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0,57</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91,56</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134.812.568,12</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r>
      <w:tr w:rsidR="00346601" w:rsidRPr="00AF04B7" w:rsidTr="00AF04B7">
        <w:trPr>
          <w:trHeight w:val="85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I - Entrate correnti di natura tributaria, contributiva e perequativa</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6.769.424.000,00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6.954.393.000,00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7.104.006.640,11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6.802.506.590,81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334.582.640,11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-151.886.409,19</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7.104.006.640,11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6.802.506.590,81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4,94</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-2,18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334.582.640,11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-151.886.409,19</w:t>
            </w:r>
          </w:p>
        </w:tc>
      </w:tr>
      <w:tr w:rsidR="00346601" w:rsidRPr="00AF04B7" w:rsidTr="00AF04B7">
        <w:trPr>
          <w:trHeight w:val="55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II - Trasferimenti correnti</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233.273.608,23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274.859.608,23</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416.896.299,18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387.988.762,50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183.622.690,95</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113.129.154,27</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417.001.826,16</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387.988.762,50</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0,03</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78,76</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41,16</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183.728.217,93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113.129.154,27</w:t>
            </w:r>
          </w:p>
        </w:tc>
      </w:tr>
      <w:tr w:rsidR="00346601" w:rsidRPr="00AF04B7" w:rsidTr="00AF04B7">
        <w:trPr>
          <w:trHeight w:val="31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III - Entrate Extratributarie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81.574.878,24</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64.475.876,24</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98.204.417,47</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163.397.903,11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16.629.539,23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98.922.026,87</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103.204.417,47</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168.397.903,11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5,09</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26,51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3,06</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161,18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21.629.539,23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103.922.026,87</w:t>
            </w:r>
          </w:p>
        </w:tc>
      </w:tr>
      <w:tr w:rsidR="00346601" w:rsidRPr="00AF04B7" w:rsidTr="00AF04B7">
        <w:trPr>
          <w:trHeight w:val="40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IV - Entrate in conto capitale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579.489.702,75</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383.602.702,75</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1.062.194.140,93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1.110.468.114,99</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482.704.438,18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726.865.412,24</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1.062.494.140,93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1.110.468.114,99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0,03</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83,35</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189,48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483.004.438,18</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726.865.412,24</w:t>
            </w:r>
          </w:p>
        </w:tc>
      </w:tr>
      <w:tr w:rsidR="00346601" w:rsidRPr="00AF04B7" w:rsidTr="00AF04B7">
        <w:trPr>
          <w:trHeight w:val="480"/>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V - Entrate da riduzione di attività finanziarie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220.000,00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411.220.000,00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411.000.000,00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411.000.000,00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411.000.000,00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411.492.418,81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411.272.418,81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0,07</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186.942,01</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0,07</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#DIV/0!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411.272.418,81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411.272.418,81</w:t>
            </w:r>
          </w:p>
        </w:tc>
      </w:tr>
      <w:tr w:rsidR="00346601" w:rsidRPr="00AF04B7" w:rsidTr="00AF04B7">
        <w:trPr>
          <w:trHeight w:val="49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VI - Accensione di prestiti</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651.300.000,00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342.657.000,00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808.180.000,00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611.851.000,00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156.880.000,00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269.194.000,00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808.180.000,00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611.851.000,00</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24,09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78,56</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156.880.000,00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269.194.000,00</w:t>
            </w:r>
          </w:p>
        </w:tc>
      </w:tr>
      <w:tr w:rsidR="00346601" w:rsidRPr="00AF04B7" w:rsidTr="00AF04B7">
        <w:trPr>
          <w:trHeight w:val="67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VII - Anticipazioni da istituto tesoriere/cassiere</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0,00</w:t>
            </w:r>
          </w:p>
        </w:tc>
      </w:tr>
      <w:tr w:rsidR="00346601" w:rsidRPr="00AF04B7" w:rsidTr="00AF04B7">
        <w:trPr>
          <w:trHeight w:val="49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Titolo IX - Entrate per conto terzi e partite di giro</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155.050.000,00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155.000.000,00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155.320.000,00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156.601.749,20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270.000,00</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1.601.749,20</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155.745.712,37</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157.027.461,57</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0,27</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0,45</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0,27</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1,31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695.712,37</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2.027.461,57</w:t>
            </w:r>
          </w:p>
        </w:tc>
      </w:tr>
      <w:tr w:rsidR="00346601" w:rsidRPr="00AF04B7" w:rsidTr="00AF04B7">
        <w:trPr>
          <w:trHeight w:val="225"/>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themeColor="background1"/>
                <w:sz w:val="14"/>
                <w:szCs w:val="14"/>
                <w:lang w:eastAsia="it-IT"/>
              </w:rPr>
            </w:pPr>
            <w:r w:rsidRPr="00AF04B7">
              <w:rPr>
                <w:rFonts w:ascii="Bodoni MT" w:eastAsia="Times New Roman" w:hAnsi="Bodoni MT" w:cs="Arial"/>
                <w:b/>
                <w:bCs/>
                <w:color w:val="FFFFFF" w:themeColor="background1"/>
                <w:sz w:val="14"/>
                <w:szCs w:val="14"/>
                <w:lang w:eastAsia="it-IT"/>
              </w:rPr>
              <w:t>Totale Titoli</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8.470.332.189,22</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8.174.988.187,22</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10.056.021.497,69</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9.643.814.120,61</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1.585.689.308,47</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1.468.825.933,39</w:t>
            </w:r>
          </w:p>
        </w:tc>
        <w:tc>
          <w:tcPr>
            <w:tcW w:w="121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10.062.125.155,85</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9.649.512.251,79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0,06</w:t>
            </w:r>
          </w:p>
        </w:tc>
        <w:tc>
          <w:tcPr>
            <w:tcW w:w="851"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18,79</w:t>
            </w:r>
          </w:p>
        </w:tc>
        <w:tc>
          <w:tcPr>
            <w:tcW w:w="85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0,06</w:t>
            </w:r>
          </w:p>
        </w:tc>
        <w:tc>
          <w:tcPr>
            <w:tcW w:w="834"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18,04</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1.591.792.966,63</w:t>
            </w:r>
          </w:p>
        </w:tc>
        <w:tc>
          <w:tcPr>
            <w:tcW w:w="1140" w:type="dxa"/>
            <w:tcBorders>
              <w:top w:val="nil"/>
              <w:left w:val="nil"/>
              <w:bottom w:val="single" w:sz="4" w:space="0" w:color="auto"/>
              <w:right w:val="single" w:sz="4" w:space="0" w:color="auto"/>
            </w:tcBorders>
            <w:shd w:val="clear" w:color="auto" w:fill="auto"/>
            <w:noWrap/>
            <w:vAlign w:val="center"/>
            <w:hideMark/>
          </w:tcPr>
          <w:p w:rsidR="00346601" w:rsidRPr="00AF04B7" w:rsidRDefault="00346601" w:rsidP="00346601">
            <w:pPr>
              <w:spacing w:after="0" w:line="240" w:lineRule="auto"/>
              <w:jc w:val="center"/>
              <w:rPr>
                <w:rFonts w:ascii="Calibri" w:eastAsia="Times New Roman" w:hAnsi="Calibri" w:cs="Calibri"/>
                <w:color w:val="000000"/>
                <w:sz w:val="14"/>
                <w:szCs w:val="14"/>
                <w:lang w:eastAsia="it-IT"/>
              </w:rPr>
            </w:pPr>
            <w:r w:rsidRPr="00AF04B7">
              <w:rPr>
                <w:rFonts w:ascii="Calibri" w:eastAsia="Times New Roman" w:hAnsi="Calibri" w:cs="Calibri"/>
                <w:color w:val="000000"/>
                <w:sz w:val="14"/>
                <w:szCs w:val="14"/>
                <w:lang w:eastAsia="it-IT"/>
              </w:rPr>
              <w:t>1.474.524.064,57</w:t>
            </w:r>
          </w:p>
        </w:tc>
      </w:tr>
      <w:tr w:rsidR="00346601" w:rsidRPr="00AF04B7" w:rsidTr="00AF04B7">
        <w:trPr>
          <w:trHeight w:val="300"/>
          <w:jc w:val="center"/>
        </w:trPr>
        <w:tc>
          <w:tcPr>
            <w:tcW w:w="127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46601" w:rsidRPr="00AF04B7" w:rsidRDefault="00346601" w:rsidP="00346601">
            <w:pPr>
              <w:spacing w:after="0" w:line="240" w:lineRule="auto"/>
              <w:rPr>
                <w:rFonts w:ascii="Bodoni MT" w:eastAsia="Times New Roman" w:hAnsi="Bodoni MT" w:cs="Arial"/>
                <w:b/>
                <w:bCs/>
                <w:color w:val="FFFFFF"/>
                <w:sz w:val="14"/>
                <w:szCs w:val="14"/>
                <w:lang w:eastAsia="it-IT"/>
              </w:rPr>
            </w:pPr>
            <w:r w:rsidRPr="00AF04B7">
              <w:rPr>
                <w:rFonts w:ascii="Bodoni MT" w:eastAsia="Times New Roman" w:hAnsi="Bodoni MT" w:cs="Arial"/>
                <w:b/>
                <w:bCs/>
                <w:color w:val="FFFFFF"/>
                <w:sz w:val="14"/>
                <w:szCs w:val="14"/>
                <w:lang w:eastAsia="it-IT"/>
              </w:rPr>
              <w:t xml:space="preserve">Totale entrate </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8.852.786.077,09</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8.515.821.187,22</w:t>
            </w:r>
          </w:p>
        </w:tc>
        <w:tc>
          <w:tcPr>
            <w:tcW w:w="1211"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10.681.457.612,95</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9.984.646.857,70</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1.828.671.535,86</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1.468.825.670,48</w:t>
            </w:r>
          </w:p>
        </w:tc>
        <w:tc>
          <w:tcPr>
            <w:tcW w:w="1211"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10.689.164.059,62</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9.990.344.988,88</w:t>
            </w:r>
          </w:p>
        </w:tc>
        <w:tc>
          <w:tcPr>
            <w:tcW w:w="85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0,07</w:t>
            </w:r>
          </w:p>
        </w:tc>
        <w:tc>
          <w:tcPr>
            <w:tcW w:w="851"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20,74</w:t>
            </w:r>
          </w:p>
        </w:tc>
        <w:tc>
          <w:tcPr>
            <w:tcW w:w="85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0,06</w:t>
            </w:r>
          </w:p>
        </w:tc>
        <w:tc>
          <w:tcPr>
            <w:tcW w:w="834"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17,32</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1.836.377.982,53</w:t>
            </w:r>
          </w:p>
        </w:tc>
        <w:tc>
          <w:tcPr>
            <w:tcW w:w="1140" w:type="dxa"/>
            <w:tcBorders>
              <w:top w:val="nil"/>
              <w:left w:val="nil"/>
              <w:bottom w:val="single" w:sz="4" w:space="0" w:color="auto"/>
              <w:right w:val="single" w:sz="4" w:space="0" w:color="auto"/>
            </w:tcBorders>
            <w:shd w:val="clear" w:color="auto" w:fill="FFFFFF" w:themeFill="background1"/>
            <w:vAlign w:val="center"/>
            <w:hideMark/>
          </w:tcPr>
          <w:p w:rsidR="00346601" w:rsidRPr="00AF04B7" w:rsidRDefault="00346601" w:rsidP="00346601">
            <w:pPr>
              <w:spacing w:after="0" w:line="240" w:lineRule="auto"/>
              <w:jc w:val="center"/>
              <w:rPr>
                <w:rFonts w:ascii="Calibri" w:eastAsia="Times New Roman" w:hAnsi="Calibri" w:cs="Calibri"/>
                <w:b/>
                <w:bCs/>
                <w:sz w:val="14"/>
                <w:szCs w:val="14"/>
                <w:lang w:eastAsia="it-IT"/>
              </w:rPr>
            </w:pPr>
            <w:r w:rsidRPr="00AF04B7">
              <w:rPr>
                <w:rFonts w:ascii="Calibri" w:eastAsia="Times New Roman" w:hAnsi="Calibri" w:cs="Calibri"/>
                <w:b/>
                <w:bCs/>
                <w:sz w:val="14"/>
                <w:szCs w:val="14"/>
                <w:lang w:eastAsia="it-IT"/>
              </w:rPr>
              <w:t>1.474.523.801,66</w:t>
            </w:r>
          </w:p>
        </w:tc>
      </w:tr>
    </w:tbl>
    <w:p w:rsidR="00990744" w:rsidRDefault="00990744" w:rsidP="00DA6693">
      <w:pPr>
        <w:pStyle w:val="CdcTesto"/>
      </w:pPr>
    </w:p>
    <w:p w:rsidR="00990744" w:rsidRDefault="00990744" w:rsidP="00DA6693">
      <w:pPr>
        <w:pStyle w:val="CdcTesto"/>
      </w:pPr>
    </w:p>
    <w:p w:rsidR="00990744" w:rsidRDefault="00990744" w:rsidP="00DA6693">
      <w:pPr>
        <w:pStyle w:val="CdcTesto"/>
      </w:pPr>
    </w:p>
    <w:p w:rsidR="007C335A" w:rsidRPr="007C335A" w:rsidRDefault="007C335A" w:rsidP="007C335A">
      <w:pPr>
        <w:pStyle w:val="Didascalia"/>
        <w:rPr>
          <w:sz w:val="24"/>
          <w:szCs w:val="24"/>
        </w:rPr>
      </w:pPr>
      <w:bookmarkStart w:id="49" w:name="_Toc499040955"/>
      <w:bookmarkStart w:id="50" w:name="_Toc507422474"/>
      <w:r>
        <w:t xml:space="preserve">Tabella </w:t>
      </w:r>
      <w:r w:rsidR="00B90472">
        <w:fldChar w:fldCharType="begin"/>
      </w:r>
      <w:r w:rsidR="00B90472">
        <w:instrText xml:space="preserve"> SEQ Tabella \* ARABIC </w:instrText>
      </w:r>
      <w:r w:rsidR="00B90472">
        <w:fldChar w:fldCharType="separate"/>
      </w:r>
      <w:r w:rsidR="008616B3">
        <w:rPr>
          <w:noProof/>
        </w:rPr>
        <w:t>6</w:t>
      </w:r>
      <w:r w:rsidR="00B90472">
        <w:rPr>
          <w:noProof/>
        </w:rPr>
        <w:fldChar w:fldCharType="end"/>
      </w:r>
      <w:r w:rsidRPr="007C335A">
        <w:t xml:space="preserve"> - </w:t>
      </w:r>
      <w:r w:rsidRPr="007C335A">
        <w:rPr>
          <w:sz w:val="24"/>
          <w:szCs w:val="24"/>
        </w:rPr>
        <w:t>Spese – Titoli – Previsioni anno 2016</w:t>
      </w:r>
      <w:bookmarkEnd w:id="49"/>
      <w:bookmarkEnd w:id="50"/>
    </w:p>
    <w:tbl>
      <w:tblPr>
        <w:tblW w:w="15435" w:type="dxa"/>
        <w:tblInd w:w="-289" w:type="dxa"/>
        <w:tblCellMar>
          <w:left w:w="70" w:type="dxa"/>
          <w:right w:w="70" w:type="dxa"/>
        </w:tblCellMar>
        <w:tblLook w:val="04A0" w:firstRow="1" w:lastRow="0" w:firstColumn="1" w:lastColumn="0" w:noHBand="0" w:noVBand="1"/>
      </w:tblPr>
      <w:tblGrid>
        <w:gridCol w:w="973"/>
        <w:gridCol w:w="991"/>
        <w:gridCol w:w="687"/>
        <w:gridCol w:w="991"/>
        <w:gridCol w:w="1052"/>
        <w:gridCol w:w="900"/>
        <w:gridCol w:w="991"/>
        <w:gridCol w:w="1082"/>
        <w:gridCol w:w="1082"/>
        <w:gridCol w:w="1052"/>
        <w:gridCol w:w="900"/>
        <w:gridCol w:w="991"/>
        <w:gridCol w:w="737"/>
        <w:gridCol w:w="896"/>
        <w:gridCol w:w="1055"/>
        <w:gridCol w:w="1055"/>
      </w:tblGrid>
      <w:tr w:rsidR="007C335A" w:rsidRPr="007C335A" w:rsidTr="004E6597">
        <w:trPr>
          <w:trHeight w:val="660"/>
        </w:trPr>
        <w:tc>
          <w:tcPr>
            <w:tcW w:w="0" w:type="auto"/>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xml:space="preserve">SPESA </w:t>
            </w:r>
          </w:p>
        </w:tc>
        <w:tc>
          <w:tcPr>
            <w:tcW w:w="0" w:type="auto"/>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Previsioni iniziali 2016 L.R. 3/2017</w:t>
            </w:r>
          </w:p>
        </w:tc>
        <w:tc>
          <w:tcPr>
            <w:tcW w:w="0" w:type="auto"/>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xml:space="preserve">Previsioni assestate 2016 L.R. 36/2016 come modif. da </w:t>
            </w:r>
            <w:r w:rsidRPr="007C335A">
              <w:rPr>
                <w:rFonts w:ascii="Bodoni MT" w:eastAsia="Times New Roman" w:hAnsi="Bodoni MT" w:cs="Arial"/>
                <w:b/>
                <w:bCs/>
                <w:color w:val="FFFFFF"/>
                <w:sz w:val="12"/>
                <w:szCs w:val="12"/>
                <w:lang w:eastAsia="it-IT"/>
              </w:rPr>
              <w:br/>
              <w:t>L.R. 10/2017</w:t>
            </w:r>
          </w:p>
        </w:tc>
        <w:tc>
          <w:tcPr>
            <w:tcW w:w="0" w:type="auto"/>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0" w:type="auto"/>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c>
          <w:tcPr>
            <w:tcW w:w="0" w:type="auto"/>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xml:space="preserve">Previsioni definitive 2016 </w:t>
            </w:r>
          </w:p>
        </w:tc>
        <w:tc>
          <w:tcPr>
            <w:tcW w:w="0" w:type="auto"/>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w:t>
            </w:r>
          </w:p>
        </w:tc>
        <w:tc>
          <w:tcPr>
            <w:tcW w:w="0" w:type="auto"/>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896"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c>
          <w:tcPr>
            <w:tcW w:w="0" w:type="auto"/>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Variazioni in valore assoluto Prev.finali-Prev.iniziali</w:t>
            </w:r>
          </w:p>
        </w:tc>
      </w:tr>
      <w:tr w:rsidR="007C335A" w:rsidRPr="007C335A" w:rsidTr="004E6597">
        <w:trPr>
          <w:trHeight w:val="810"/>
        </w:trPr>
        <w:tc>
          <w:tcPr>
            <w:tcW w:w="0" w:type="auto"/>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TITOLO</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di cui FPV</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di cui FPV  assestato</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Var.% Prev.ass./Prev.iniz.</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Var.% Prev.ass./Prev.iniz.</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di cui FPV  finale</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c>
          <w:tcPr>
            <w:tcW w:w="0" w:type="auto"/>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xml:space="preserve">Var.% </w:t>
            </w:r>
            <w:r w:rsidRPr="007C335A">
              <w:rPr>
                <w:rFonts w:ascii="Bodoni MT" w:eastAsia="Times New Roman" w:hAnsi="Bodoni MT" w:cs="Arial"/>
                <w:b/>
                <w:bCs/>
                <w:color w:val="FFFFFF"/>
                <w:sz w:val="12"/>
                <w:szCs w:val="12"/>
                <w:lang w:eastAsia="it-IT"/>
              </w:rPr>
              <w:br/>
              <w:t>Prev.finali/</w:t>
            </w:r>
            <w:r w:rsidRPr="007C335A">
              <w:rPr>
                <w:rFonts w:ascii="Bodoni MT" w:eastAsia="Times New Roman" w:hAnsi="Bodoni MT" w:cs="Arial"/>
                <w:b/>
                <w:bCs/>
                <w:color w:val="FFFFFF"/>
                <w:sz w:val="12"/>
                <w:szCs w:val="12"/>
                <w:lang w:eastAsia="it-IT"/>
              </w:rPr>
              <w:br/>
              <w:t>Prev.iniziali</w:t>
            </w:r>
          </w:p>
        </w:tc>
        <w:tc>
          <w:tcPr>
            <w:tcW w:w="896"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 xml:space="preserve">Var.% </w:t>
            </w:r>
            <w:r w:rsidRPr="007C335A">
              <w:rPr>
                <w:rFonts w:ascii="Bodoni MT" w:eastAsia="Times New Roman" w:hAnsi="Bodoni MT" w:cs="Arial"/>
                <w:b/>
                <w:bCs/>
                <w:color w:val="FFFFFF"/>
                <w:sz w:val="12"/>
                <w:szCs w:val="12"/>
                <w:lang w:eastAsia="it-IT"/>
              </w:rPr>
              <w:br/>
              <w:t>Prev.finali/</w:t>
            </w:r>
            <w:r w:rsidRPr="007C335A">
              <w:rPr>
                <w:rFonts w:ascii="Bodoni MT" w:eastAsia="Times New Roman" w:hAnsi="Bodoni MT" w:cs="Arial"/>
                <w:b/>
                <w:bCs/>
                <w:color w:val="FFFFFF"/>
                <w:sz w:val="12"/>
                <w:szCs w:val="12"/>
                <w:lang w:eastAsia="it-IT"/>
              </w:rPr>
              <w:br/>
              <w:t>Prev.iniziali</w:t>
            </w:r>
          </w:p>
        </w:tc>
        <w:tc>
          <w:tcPr>
            <w:tcW w:w="1055"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Competenza</w:t>
            </w:r>
          </w:p>
        </w:tc>
        <w:tc>
          <w:tcPr>
            <w:tcW w:w="1055"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Cassa</w:t>
            </w:r>
          </w:p>
        </w:tc>
      </w:tr>
      <w:tr w:rsidR="007C335A" w:rsidRPr="007C335A" w:rsidTr="00237328">
        <w:trPr>
          <w:trHeight w:val="61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I - Spese correnti</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6.606.945.982,89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244.000,00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6.706.659.095,20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6.920.811.488,10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8.404.716,29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7.511.665.550,96</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4,75</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6.915.810.600,21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35.087.191,51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7.506.300.257,40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4,67</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11,92</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308.864.617,32</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799.641.162,20</w:t>
            </w:r>
          </w:p>
        </w:tc>
      </w:tr>
      <w:tr w:rsidR="007C335A" w:rsidRPr="007C335A" w:rsidTr="00237328">
        <w:trPr>
          <w:trHeight w:val="49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II - Spese c/capitale</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1.274.060.094,20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717.328,80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1.178.409.094,02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2.247.747.646,35</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114.890.431,73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1.707.178.375,86</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76,42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44,87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2.259.756.849,73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643.970.395,23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1.717.537.598,58</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77,37</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45,75</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985.696.755,53</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539.128.504,56</w:t>
            </w:r>
          </w:p>
        </w:tc>
      </w:tr>
      <w:tr w:rsidR="007C335A" w:rsidRPr="007C335A" w:rsidTr="00237328">
        <w:trPr>
          <w:trHeight w:val="46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III - Spese per incremento attività finanziarie</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15.000.000,00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15.000.000,00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426.034.128,50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426.034.128,50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2.740,23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2.740,23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426.306.547,31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426.306.547,31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2.742,04</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237328" w:rsidP="007C335A">
            <w:pPr>
              <w:spacing w:after="0" w:line="240" w:lineRule="auto"/>
              <w:jc w:val="center"/>
              <w:rPr>
                <w:rFonts w:ascii="Calibri" w:eastAsia="Times New Roman" w:hAnsi="Calibri" w:cs="Calibri"/>
                <w:color w:val="000000"/>
                <w:sz w:val="12"/>
                <w:szCs w:val="12"/>
                <w:lang w:eastAsia="it-IT"/>
              </w:rPr>
            </w:pPr>
            <w:r>
              <w:rPr>
                <w:rFonts w:ascii="Calibri" w:eastAsia="Times New Roman" w:hAnsi="Calibri" w:cs="Calibri"/>
                <w:color w:val="000000"/>
                <w:sz w:val="12"/>
                <w:szCs w:val="12"/>
                <w:lang w:eastAsia="it-IT"/>
              </w:rPr>
              <w:t>2.742,04</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411.306.547,31</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411.306.547,31</w:t>
            </w:r>
          </w:p>
        </w:tc>
      </w:tr>
      <w:tr w:rsidR="007C335A" w:rsidRPr="007C335A" w:rsidTr="00237328">
        <w:trPr>
          <w:trHeight w:val="57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IV - Rimborso prestiti</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460.797.000,00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459.041.000,00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394.282.350,00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178.624.588,09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-14,43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-61,09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394.282.350,00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178.624.588,09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-14,43</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-61,09</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-66.514.650,00</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-280.416.411,91</w:t>
            </w:r>
          </w:p>
        </w:tc>
      </w:tr>
      <w:tr w:rsidR="007C335A" w:rsidRPr="007C335A" w:rsidTr="00237328">
        <w:trPr>
          <w:trHeight w:val="103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V - Chiusura anticipazioni ricevute da istituto tesoriere/cassiere</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0" w:type="auto"/>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896" w:type="dxa"/>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r>
      <w:tr w:rsidR="007C335A" w:rsidRPr="007C335A" w:rsidTr="00237328">
        <w:trPr>
          <w:trHeight w:val="73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Titolo VII - Uscite per conto terzi e partite di giro</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155.050.000,00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156.712.000,00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155.320.000,00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161.144.214,29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0,17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2,83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155.745.712,37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161.575.997,50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0,45</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3,10</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695.712,37</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4.863.997,50</w:t>
            </w:r>
          </w:p>
        </w:tc>
      </w:tr>
      <w:tr w:rsidR="007C335A" w:rsidRPr="007C335A" w:rsidTr="00237328">
        <w:trPr>
          <w:trHeight w:val="315"/>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Totale Titoli</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8.511.853.077,09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961.328,80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8.515.821.189,22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10.144.195.612,95</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123.295.148,02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9.984.646.857,70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19,18</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17,25</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10.151.902.059,62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679.057.586,74</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9.990.344.988,88</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19,27</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17,32</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1.640.048.982,53</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1.474.523.799,66</w:t>
            </w:r>
          </w:p>
        </w:tc>
      </w:tr>
      <w:tr w:rsidR="007C335A" w:rsidRPr="007C335A" w:rsidTr="00237328">
        <w:trPr>
          <w:trHeight w:val="2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237328">
            <w:pPr>
              <w:spacing w:after="0" w:line="240" w:lineRule="auto"/>
              <w:jc w:val="center"/>
              <w:rPr>
                <w:rFonts w:ascii="Bodoni MT" w:eastAsia="Times New Roman" w:hAnsi="Bodoni MT" w:cs="Arial"/>
                <w:b/>
                <w:bCs/>
                <w:color w:val="FFFFFF" w:themeColor="background1"/>
                <w:sz w:val="12"/>
                <w:szCs w:val="12"/>
                <w:lang w:eastAsia="it-IT"/>
              </w:rPr>
            </w:pPr>
            <w:r w:rsidRPr="007C335A">
              <w:rPr>
                <w:rFonts w:ascii="Bodoni MT" w:eastAsia="Times New Roman" w:hAnsi="Bodoni MT" w:cs="Arial"/>
                <w:b/>
                <w:bCs/>
                <w:color w:val="FFFFFF" w:themeColor="background1"/>
                <w:sz w:val="12"/>
                <w:szCs w:val="12"/>
                <w:lang w:eastAsia="it-IT"/>
              </w:rPr>
              <w:t>Disavanzo</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340.933.000,00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537.262.000,00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57,59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E27692" w:rsidP="007C335A">
            <w:pPr>
              <w:spacing w:after="0" w:line="240" w:lineRule="auto"/>
              <w:jc w:val="center"/>
              <w:rPr>
                <w:rFonts w:ascii="Calibri" w:eastAsia="Times New Roman" w:hAnsi="Calibri" w:cs="Calibri"/>
                <w:color w:val="000000"/>
                <w:sz w:val="12"/>
                <w:szCs w:val="12"/>
                <w:lang w:eastAsia="it-IT"/>
              </w:rPr>
            </w:pPr>
            <w:r>
              <w:rPr>
                <w:rFonts w:ascii="Calibri" w:eastAsia="Times New Roman" w:hAnsi="Calibri" w:cs="Calibri"/>
                <w:color w:val="000000"/>
                <w:sz w:val="12"/>
                <w:szCs w:val="12"/>
                <w:lang w:eastAsia="it-IT"/>
              </w:rPr>
              <w:t>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537.262.000,00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57,59</w:t>
            </w:r>
          </w:p>
        </w:tc>
        <w:tc>
          <w:tcPr>
            <w:tcW w:w="896" w:type="dxa"/>
            <w:tcBorders>
              <w:top w:val="nil"/>
              <w:left w:val="nil"/>
              <w:bottom w:val="single" w:sz="4" w:space="0" w:color="auto"/>
              <w:right w:val="single" w:sz="4" w:space="0" w:color="auto"/>
            </w:tcBorders>
            <w:shd w:val="clear" w:color="auto" w:fill="auto"/>
            <w:noWrap/>
            <w:vAlign w:val="center"/>
            <w:hideMark/>
          </w:tcPr>
          <w:p w:rsidR="007C335A" w:rsidRPr="007C335A" w:rsidRDefault="001228FE" w:rsidP="007C335A">
            <w:pPr>
              <w:spacing w:after="0" w:line="240" w:lineRule="auto"/>
              <w:jc w:val="center"/>
              <w:rPr>
                <w:rFonts w:ascii="Calibri" w:eastAsia="Times New Roman" w:hAnsi="Calibri" w:cs="Calibri"/>
                <w:color w:val="000000"/>
                <w:sz w:val="12"/>
                <w:szCs w:val="12"/>
                <w:lang w:eastAsia="it-IT"/>
              </w:rPr>
            </w:pPr>
            <w:r>
              <w:rPr>
                <w:rFonts w:ascii="Calibri" w:eastAsia="Times New Roman" w:hAnsi="Calibri" w:cs="Calibri"/>
                <w:color w:val="000000"/>
                <w:sz w:val="12"/>
                <w:szCs w:val="12"/>
                <w:lang w:eastAsia="it-IT"/>
              </w:rPr>
              <w:t>0</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196.329.000,00</w:t>
            </w:r>
          </w:p>
        </w:tc>
        <w:tc>
          <w:tcPr>
            <w:tcW w:w="105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0,00</w:t>
            </w:r>
          </w:p>
        </w:tc>
      </w:tr>
      <w:tr w:rsidR="007C335A" w:rsidRPr="007C335A" w:rsidTr="00237328">
        <w:trPr>
          <w:trHeight w:val="270"/>
        </w:trPr>
        <w:tc>
          <w:tcPr>
            <w:tcW w:w="0" w:type="auto"/>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237328">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Totale spese</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8.852.786.077,09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961.328,80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8.515.821.189,22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10.681.457.612,95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123.295.148,02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9.984.646.857,70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20,66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17,25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10.689.164.059,62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679.057.586,74</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2"/>
                <w:szCs w:val="12"/>
                <w:lang w:eastAsia="it-IT"/>
              </w:rPr>
            </w:pPr>
            <w:r w:rsidRPr="007C335A">
              <w:rPr>
                <w:rFonts w:ascii="Bodoni MT" w:eastAsia="Times New Roman" w:hAnsi="Bodoni MT" w:cs="Arial"/>
                <w:b/>
                <w:bCs/>
                <w:sz w:val="12"/>
                <w:szCs w:val="12"/>
                <w:lang w:eastAsia="it-IT"/>
              </w:rPr>
              <w:t>9.990.344.988,88</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20,74</w:t>
            </w:r>
          </w:p>
        </w:tc>
        <w:tc>
          <w:tcPr>
            <w:tcW w:w="896"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0"/>
                <w:szCs w:val="10"/>
                <w:lang w:eastAsia="it-IT"/>
              </w:rPr>
            </w:pPr>
            <w:r w:rsidRPr="007C335A">
              <w:rPr>
                <w:rFonts w:ascii="Bodoni MT" w:eastAsia="Times New Roman" w:hAnsi="Bodoni MT" w:cs="Arial"/>
                <w:b/>
                <w:bCs/>
                <w:sz w:val="10"/>
                <w:szCs w:val="10"/>
                <w:lang w:eastAsia="it-IT"/>
              </w:rPr>
              <w:t>17,32</w:t>
            </w:r>
          </w:p>
        </w:tc>
        <w:tc>
          <w:tcPr>
            <w:tcW w:w="105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2"/>
                <w:szCs w:val="12"/>
                <w:lang w:eastAsia="it-IT"/>
              </w:rPr>
            </w:pPr>
            <w:r w:rsidRPr="007C335A">
              <w:rPr>
                <w:rFonts w:ascii="Bodoni MT" w:eastAsia="Times New Roman" w:hAnsi="Bodoni MT" w:cs="Arial"/>
                <w:b/>
                <w:bCs/>
                <w:sz w:val="12"/>
                <w:szCs w:val="12"/>
                <w:lang w:eastAsia="it-IT"/>
              </w:rPr>
              <w:t>1.836.377.982,53</w:t>
            </w:r>
          </w:p>
        </w:tc>
        <w:tc>
          <w:tcPr>
            <w:tcW w:w="105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Bodoni MT" w:eastAsia="Times New Roman" w:hAnsi="Bodoni MT" w:cs="Arial"/>
                <w:b/>
                <w:bCs/>
                <w:sz w:val="12"/>
                <w:szCs w:val="12"/>
                <w:lang w:eastAsia="it-IT"/>
              </w:rPr>
            </w:pPr>
            <w:r w:rsidRPr="007C335A">
              <w:rPr>
                <w:rFonts w:ascii="Bodoni MT" w:eastAsia="Times New Roman" w:hAnsi="Bodoni MT" w:cs="Arial"/>
                <w:b/>
                <w:bCs/>
                <w:sz w:val="12"/>
                <w:szCs w:val="12"/>
                <w:lang w:eastAsia="it-IT"/>
              </w:rPr>
              <w:t>1.474.523.799,66</w:t>
            </w:r>
          </w:p>
        </w:tc>
      </w:tr>
    </w:tbl>
    <w:p w:rsidR="007C335A" w:rsidRPr="007C335A" w:rsidRDefault="007C335A" w:rsidP="007C335A">
      <w:pPr>
        <w:spacing w:line="360" w:lineRule="auto"/>
        <w:jc w:val="center"/>
        <w:rPr>
          <w:rFonts w:ascii="Bodoni MT" w:eastAsiaTheme="minorEastAsia" w:hAnsi="Bodoni MT" w:cs="Bodoni MT"/>
          <w:color w:val="000000"/>
          <w:sz w:val="24"/>
          <w:szCs w:val="24"/>
          <w:highlight w:val="yellow"/>
        </w:rPr>
      </w:pPr>
    </w:p>
    <w:p w:rsidR="007C335A" w:rsidRPr="007C335A" w:rsidRDefault="007C335A" w:rsidP="007C335A">
      <w:pPr>
        <w:spacing w:line="360" w:lineRule="auto"/>
        <w:jc w:val="both"/>
        <w:rPr>
          <w:rFonts w:ascii="Bodoni MT" w:eastAsiaTheme="minorEastAsia" w:hAnsi="Bodoni MT" w:cs="Bodoni MT"/>
          <w:color w:val="000000"/>
          <w:sz w:val="24"/>
          <w:szCs w:val="24"/>
          <w:highlight w:val="yellow"/>
        </w:rPr>
      </w:pPr>
    </w:p>
    <w:p w:rsidR="007C335A" w:rsidRPr="007C335A" w:rsidRDefault="007C335A" w:rsidP="007C335A">
      <w:pPr>
        <w:spacing w:line="360" w:lineRule="auto"/>
        <w:jc w:val="both"/>
        <w:rPr>
          <w:rFonts w:ascii="Bodoni MT" w:eastAsiaTheme="minorEastAsia" w:hAnsi="Bodoni MT" w:cs="Bodoni MT"/>
          <w:color w:val="000000"/>
          <w:sz w:val="24"/>
          <w:szCs w:val="24"/>
          <w:highlight w:val="yellow"/>
        </w:rPr>
      </w:pPr>
    </w:p>
    <w:p w:rsidR="007C335A" w:rsidRPr="007C335A" w:rsidRDefault="007C335A" w:rsidP="007C335A">
      <w:pPr>
        <w:spacing w:line="360" w:lineRule="auto"/>
        <w:jc w:val="both"/>
        <w:rPr>
          <w:rFonts w:ascii="Bodoni MT" w:eastAsiaTheme="minorEastAsia" w:hAnsi="Bodoni MT" w:cs="Bodoni MT"/>
          <w:color w:val="000000"/>
          <w:sz w:val="24"/>
          <w:szCs w:val="24"/>
          <w:highlight w:val="yellow"/>
        </w:rPr>
      </w:pPr>
    </w:p>
    <w:p w:rsidR="007C335A" w:rsidRPr="007C335A" w:rsidRDefault="007C335A" w:rsidP="007C335A">
      <w:pPr>
        <w:spacing w:line="360" w:lineRule="auto"/>
        <w:jc w:val="both"/>
        <w:rPr>
          <w:rFonts w:ascii="Bodoni MT" w:eastAsiaTheme="minorEastAsia" w:hAnsi="Bodoni MT" w:cs="Bodoni MT"/>
          <w:color w:val="000000"/>
          <w:sz w:val="24"/>
          <w:szCs w:val="24"/>
          <w:highlight w:val="yellow"/>
        </w:rPr>
      </w:pPr>
    </w:p>
    <w:p w:rsidR="007C335A" w:rsidRPr="007C335A" w:rsidRDefault="007C335A" w:rsidP="007C335A">
      <w:pPr>
        <w:pStyle w:val="Didascalia"/>
        <w:rPr>
          <w:sz w:val="24"/>
          <w:szCs w:val="24"/>
        </w:rPr>
      </w:pPr>
      <w:bookmarkStart w:id="51" w:name="_Toc499040956"/>
      <w:bookmarkStart w:id="52" w:name="_Toc507422475"/>
      <w:r>
        <w:t xml:space="preserve">Tabella </w:t>
      </w:r>
      <w:r w:rsidR="00B90472">
        <w:fldChar w:fldCharType="begin"/>
      </w:r>
      <w:r w:rsidR="00B90472">
        <w:instrText xml:space="preserve"> SEQ Tabella \* ARABIC </w:instrText>
      </w:r>
      <w:r w:rsidR="00B90472">
        <w:fldChar w:fldCharType="separate"/>
      </w:r>
      <w:r w:rsidR="008616B3">
        <w:rPr>
          <w:noProof/>
        </w:rPr>
        <w:t>7</w:t>
      </w:r>
      <w:r w:rsidR="00B90472">
        <w:rPr>
          <w:noProof/>
        </w:rPr>
        <w:fldChar w:fldCharType="end"/>
      </w:r>
      <w:r w:rsidRPr="007C335A">
        <w:t xml:space="preserve"> </w:t>
      </w:r>
      <w:r w:rsidRPr="007C335A">
        <w:rPr>
          <w:sz w:val="24"/>
          <w:szCs w:val="24"/>
        </w:rPr>
        <w:t>- Spese – Missioni – Previsioni anno 2016</w:t>
      </w:r>
      <w:bookmarkEnd w:id="51"/>
      <w:bookmarkEnd w:id="52"/>
    </w:p>
    <w:tbl>
      <w:tblPr>
        <w:tblW w:w="5600" w:type="pct"/>
        <w:jc w:val="center"/>
        <w:tblCellMar>
          <w:left w:w="70" w:type="dxa"/>
          <w:right w:w="70" w:type="dxa"/>
        </w:tblCellMar>
        <w:tblLook w:val="04A0" w:firstRow="1" w:lastRow="0" w:firstColumn="1" w:lastColumn="0" w:noHBand="0" w:noVBand="1"/>
      </w:tblPr>
      <w:tblGrid>
        <w:gridCol w:w="258"/>
        <w:gridCol w:w="934"/>
        <w:gridCol w:w="936"/>
        <w:gridCol w:w="616"/>
        <w:gridCol w:w="774"/>
        <w:gridCol w:w="936"/>
        <w:gridCol w:w="777"/>
        <w:gridCol w:w="855"/>
        <w:gridCol w:w="936"/>
        <w:gridCol w:w="812"/>
        <w:gridCol w:w="936"/>
        <w:gridCol w:w="905"/>
        <w:gridCol w:w="849"/>
        <w:gridCol w:w="874"/>
        <w:gridCol w:w="933"/>
        <w:gridCol w:w="874"/>
        <w:gridCol w:w="933"/>
        <w:gridCol w:w="936"/>
        <w:gridCol w:w="1083"/>
      </w:tblGrid>
      <w:tr w:rsidR="007C335A" w:rsidRPr="007C335A" w:rsidTr="00C571B8">
        <w:trPr>
          <w:trHeight w:val="660"/>
          <w:jc w:val="center"/>
        </w:trPr>
        <w:tc>
          <w:tcPr>
            <w:tcW w:w="378" w:type="pct"/>
            <w:gridSpan w:val="2"/>
            <w:tcBorders>
              <w:top w:val="nil"/>
              <w:left w:val="single" w:sz="4" w:space="0" w:color="auto"/>
              <w:bottom w:val="nil"/>
              <w:right w:val="nil"/>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SPESA 2016</w:t>
            </w:r>
          </w:p>
        </w:tc>
        <w:tc>
          <w:tcPr>
            <w:tcW w:w="727" w:type="pct"/>
            <w:gridSpan w:val="3"/>
            <w:tcBorders>
              <w:top w:val="nil"/>
              <w:left w:val="single" w:sz="4" w:space="0" w:color="auto"/>
              <w:bottom w:val="single" w:sz="4" w:space="0" w:color="auto"/>
              <w:right w:val="nil"/>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Previsioni iniziali L.R. 3/2017</w:t>
            </w:r>
          </w:p>
        </w:tc>
        <w:tc>
          <w:tcPr>
            <w:tcW w:w="803" w:type="pct"/>
            <w:gridSpan w:val="3"/>
            <w:tcBorders>
              <w:top w:val="single" w:sz="4" w:space="0" w:color="auto"/>
              <w:left w:val="single" w:sz="4" w:space="0" w:color="auto"/>
              <w:bottom w:val="single" w:sz="4" w:space="0" w:color="auto"/>
              <w:right w:val="nil"/>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Previsioni assestate 2016 L.R. 36/2016 come modif. da L.R. 10/2017</w:t>
            </w:r>
          </w:p>
        </w:tc>
        <w:tc>
          <w:tcPr>
            <w:tcW w:w="293"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254"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c>
          <w:tcPr>
            <w:tcW w:w="841" w:type="pct"/>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8505F5" w:rsidP="007C335A">
            <w:pPr>
              <w:spacing w:after="0" w:line="240" w:lineRule="auto"/>
              <w:jc w:val="center"/>
              <w:rPr>
                <w:rFonts w:ascii="Bodoni MT" w:eastAsia="Times New Roman" w:hAnsi="Bodoni MT" w:cs="Arial"/>
                <w:b/>
                <w:bCs/>
                <w:color w:val="FFFFFF"/>
                <w:sz w:val="16"/>
                <w:szCs w:val="16"/>
                <w:lang w:eastAsia="it-IT"/>
              </w:rPr>
            </w:pPr>
            <w:r>
              <w:rPr>
                <w:rFonts w:ascii="Bodoni MT" w:eastAsia="Times New Roman" w:hAnsi="Bodoni MT" w:cs="Arial"/>
                <w:b/>
                <w:bCs/>
                <w:color w:val="FFFFFF"/>
                <w:sz w:val="16"/>
                <w:szCs w:val="16"/>
                <w:lang w:eastAsia="it-IT"/>
              </w:rPr>
              <w:t>Previsioni</w:t>
            </w:r>
            <w:r w:rsidR="007C335A" w:rsidRPr="007C335A">
              <w:rPr>
                <w:rFonts w:ascii="Bodoni MT" w:eastAsia="Times New Roman" w:hAnsi="Bodoni MT" w:cs="Arial"/>
                <w:b/>
                <w:bCs/>
                <w:color w:val="FFFFFF"/>
                <w:sz w:val="16"/>
                <w:szCs w:val="16"/>
                <w:lang w:eastAsia="it-IT"/>
              </w:rPr>
              <w:t xml:space="preserve"> definitive</w:t>
            </w:r>
          </w:p>
        </w:tc>
        <w:tc>
          <w:tcPr>
            <w:tcW w:w="565" w:type="pct"/>
            <w:gridSpan w:val="2"/>
            <w:tcBorders>
              <w:top w:val="nil"/>
              <w:left w:val="nil"/>
              <w:bottom w:val="single" w:sz="4" w:space="0" w:color="auto"/>
              <w:right w:val="nil"/>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483" w:type="pct"/>
            <w:gridSpan w:val="2"/>
            <w:tcBorders>
              <w:top w:val="nil"/>
              <w:left w:val="single" w:sz="4" w:space="0" w:color="auto"/>
              <w:bottom w:val="single" w:sz="4" w:space="0" w:color="auto"/>
              <w:right w:val="nil"/>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c>
          <w:tcPr>
            <w:tcW w:w="656" w:type="pct"/>
            <w:gridSpan w:val="2"/>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Variazioni in valore assoluto Prev.finali-Prev.iniziali</w:t>
            </w:r>
          </w:p>
        </w:tc>
      </w:tr>
      <w:tr w:rsidR="00C571B8" w:rsidRPr="007C335A" w:rsidTr="00C571B8">
        <w:trPr>
          <w:trHeight w:val="810"/>
          <w:jc w:val="center"/>
        </w:trPr>
        <w:tc>
          <w:tcPr>
            <w:tcW w:w="378" w:type="pct"/>
            <w:gridSpan w:val="2"/>
            <w:tcBorders>
              <w:top w:val="single" w:sz="4" w:space="0" w:color="auto"/>
              <w:left w:val="single" w:sz="4" w:space="0" w:color="auto"/>
              <w:bottom w:val="single" w:sz="4" w:space="0" w:color="auto"/>
              <w:right w:val="single" w:sz="4" w:space="0" w:color="000000"/>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MISSIONI</w:t>
            </w:r>
          </w:p>
        </w:tc>
        <w:tc>
          <w:tcPr>
            <w:tcW w:w="29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19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di cui FPV iniziale</w:t>
            </w:r>
          </w:p>
        </w:tc>
        <w:tc>
          <w:tcPr>
            <w:tcW w:w="242" w:type="pct"/>
            <w:tcBorders>
              <w:top w:val="nil"/>
              <w:left w:val="nil"/>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c>
          <w:tcPr>
            <w:tcW w:w="29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24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di cui FPV assestato</w:t>
            </w:r>
          </w:p>
        </w:tc>
        <w:tc>
          <w:tcPr>
            <w:tcW w:w="267"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c>
          <w:tcPr>
            <w:tcW w:w="293" w:type="pct"/>
            <w:tcBorders>
              <w:top w:val="nil"/>
              <w:left w:val="nil"/>
              <w:bottom w:val="nil"/>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Var.% Prev.iniz./</w:t>
            </w:r>
            <w:r w:rsidRPr="007C335A">
              <w:rPr>
                <w:rFonts w:ascii="Bodoni MT" w:eastAsia="Times New Roman" w:hAnsi="Bodoni MT" w:cs="Arial"/>
                <w:b/>
                <w:bCs/>
                <w:color w:val="FFFFFF"/>
                <w:sz w:val="16"/>
                <w:szCs w:val="16"/>
                <w:lang w:eastAsia="it-IT"/>
              </w:rPr>
              <w:br/>
              <w:t>Prev.ass.</w:t>
            </w:r>
          </w:p>
        </w:tc>
        <w:tc>
          <w:tcPr>
            <w:tcW w:w="254"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 xml:space="preserve">Var.% </w:t>
            </w:r>
            <w:r w:rsidRPr="007C335A">
              <w:rPr>
                <w:rFonts w:ascii="Bodoni MT" w:eastAsia="Times New Roman" w:hAnsi="Bodoni MT" w:cs="Arial"/>
                <w:b/>
                <w:bCs/>
                <w:color w:val="FFFFFF"/>
                <w:sz w:val="16"/>
                <w:szCs w:val="16"/>
                <w:lang w:eastAsia="it-IT"/>
              </w:rPr>
              <w:br/>
              <w:t>Prev.iniz./</w:t>
            </w:r>
            <w:r w:rsidRPr="007C335A">
              <w:rPr>
                <w:rFonts w:ascii="Bodoni MT" w:eastAsia="Times New Roman" w:hAnsi="Bodoni MT" w:cs="Arial"/>
                <w:b/>
                <w:bCs/>
                <w:color w:val="FFFFFF"/>
                <w:sz w:val="16"/>
                <w:szCs w:val="16"/>
                <w:lang w:eastAsia="it-IT"/>
              </w:rPr>
              <w:br/>
              <w:t>Prev.ass.</w:t>
            </w:r>
          </w:p>
        </w:tc>
        <w:tc>
          <w:tcPr>
            <w:tcW w:w="29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28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di cui FPV finale</w:t>
            </w:r>
          </w:p>
        </w:tc>
        <w:tc>
          <w:tcPr>
            <w:tcW w:w="265"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c>
          <w:tcPr>
            <w:tcW w:w="27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 xml:space="preserve">Var.% </w:t>
            </w:r>
            <w:r w:rsidRPr="007C335A">
              <w:rPr>
                <w:rFonts w:ascii="Bodoni MT" w:eastAsia="Times New Roman" w:hAnsi="Bodoni MT" w:cs="Arial"/>
                <w:b/>
                <w:bCs/>
                <w:color w:val="FFFFFF"/>
                <w:sz w:val="16"/>
                <w:szCs w:val="16"/>
                <w:lang w:eastAsia="it-IT"/>
              </w:rPr>
              <w:br/>
              <w:t>Prev.finali/</w:t>
            </w:r>
            <w:r w:rsidRPr="007C335A">
              <w:rPr>
                <w:rFonts w:ascii="Bodoni MT" w:eastAsia="Times New Roman" w:hAnsi="Bodoni MT" w:cs="Arial"/>
                <w:b/>
                <w:bCs/>
                <w:color w:val="FFFFFF"/>
                <w:sz w:val="16"/>
                <w:szCs w:val="16"/>
                <w:lang w:eastAsia="it-IT"/>
              </w:rPr>
              <w:br/>
              <w:t>Prev.ass.</w:t>
            </w:r>
          </w:p>
        </w:tc>
        <w:tc>
          <w:tcPr>
            <w:tcW w:w="292"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 xml:space="preserve">Var.% </w:t>
            </w:r>
            <w:r w:rsidRPr="007C335A">
              <w:rPr>
                <w:rFonts w:ascii="Bodoni MT" w:eastAsia="Times New Roman" w:hAnsi="Bodoni MT" w:cs="Arial"/>
                <w:b/>
                <w:bCs/>
                <w:color w:val="FFFFFF"/>
                <w:sz w:val="16"/>
                <w:szCs w:val="16"/>
                <w:lang w:eastAsia="it-IT"/>
              </w:rPr>
              <w:br/>
              <w:t>Prev.finali/</w:t>
            </w:r>
            <w:r w:rsidRPr="007C335A">
              <w:rPr>
                <w:rFonts w:ascii="Bodoni MT" w:eastAsia="Times New Roman" w:hAnsi="Bodoni MT" w:cs="Arial"/>
                <w:b/>
                <w:bCs/>
                <w:color w:val="FFFFFF"/>
                <w:sz w:val="16"/>
                <w:szCs w:val="16"/>
                <w:lang w:eastAsia="it-IT"/>
              </w:rPr>
              <w:br/>
              <w:t>Prev.iniziali</w:t>
            </w:r>
          </w:p>
        </w:tc>
        <w:tc>
          <w:tcPr>
            <w:tcW w:w="273"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 xml:space="preserve">Var.% </w:t>
            </w:r>
            <w:r w:rsidRPr="007C335A">
              <w:rPr>
                <w:rFonts w:ascii="Bodoni MT" w:eastAsia="Times New Roman" w:hAnsi="Bodoni MT" w:cs="Arial"/>
                <w:b/>
                <w:bCs/>
                <w:color w:val="FFFFFF"/>
                <w:sz w:val="16"/>
                <w:szCs w:val="16"/>
                <w:lang w:eastAsia="it-IT"/>
              </w:rPr>
              <w:br/>
              <w:t>Prev.finali/</w:t>
            </w:r>
            <w:r w:rsidRPr="007C335A">
              <w:rPr>
                <w:rFonts w:ascii="Bodoni MT" w:eastAsia="Times New Roman" w:hAnsi="Bodoni MT" w:cs="Arial"/>
                <w:b/>
                <w:bCs/>
                <w:color w:val="FFFFFF"/>
                <w:sz w:val="16"/>
                <w:szCs w:val="16"/>
                <w:lang w:eastAsia="it-IT"/>
              </w:rPr>
              <w:br/>
              <w:t>Prev.ass.</w:t>
            </w:r>
          </w:p>
        </w:tc>
        <w:tc>
          <w:tcPr>
            <w:tcW w:w="210"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 xml:space="preserve">Var.% </w:t>
            </w:r>
            <w:r w:rsidRPr="007C335A">
              <w:rPr>
                <w:rFonts w:ascii="Bodoni MT" w:eastAsia="Times New Roman" w:hAnsi="Bodoni MT" w:cs="Arial"/>
                <w:b/>
                <w:bCs/>
                <w:color w:val="FFFFFF"/>
                <w:sz w:val="16"/>
                <w:szCs w:val="16"/>
                <w:lang w:eastAsia="it-IT"/>
              </w:rPr>
              <w:br/>
              <w:t>Prev.finali/</w:t>
            </w:r>
            <w:r w:rsidRPr="007C335A">
              <w:rPr>
                <w:rFonts w:ascii="Bodoni MT" w:eastAsia="Times New Roman" w:hAnsi="Bodoni MT" w:cs="Arial"/>
                <w:b/>
                <w:bCs/>
                <w:color w:val="FFFFFF"/>
                <w:sz w:val="16"/>
                <w:szCs w:val="16"/>
                <w:lang w:eastAsia="it-IT"/>
              </w:rPr>
              <w:br/>
              <w:t>Prev.iniziali</w:t>
            </w:r>
          </w:p>
        </w:tc>
        <w:tc>
          <w:tcPr>
            <w:tcW w:w="299"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Competenza</w:t>
            </w:r>
          </w:p>
        </w:tc>
        <w:tc>
          <w:tcPr>
            <w:tcW w:w="357"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6"/>
                <w:szCs w:val="16"/>
                <w:lang w:eastAsia="it-IT"/>
              </w:rPr>
            </w:pPr>
            <w:r w:rsidRPr="007C335A">
              <w:rPr>
                <w:rFonts w:ascii="Bodoni MT" w:eastAsia="Times New Roman" w:hAnsi="Bodoni MT" w:cs="Arial"/>
                <w:b/>
                <w:bCs/>
                <w:color w:val="FFFFFF"/>
                <w:sz w:val="16"/>
                <w:szCs w:val="16"/>
                <w:lang w:eastAsia="it-IT"/>
              </w:rPr>
              <w:t>Cassa</w:t>
            </w:r>
          </w:p>
        </w:tc>
      </w:tr>
      <w:tr w:rsidR="008F0602" w:rsidRPr="007C335A" w:rsidTr="00237328">
        <w:trPr>
          <w:trHeight w:val="61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01</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237328"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 xml:space="preserve">Servizi istituzionali, </w:t>
            </w:r>
            <w:r w:rsidR="007C335A" w:rsidRPr="00237328">
              <w:rPr>
                <w:rFonts w:ascii="Bodoni MT" w:eastAsia="Times New Roman" w:hAnsi="Bodoni MT" w:cs="Arial"/>
                <w:b/>
                <w:bCs/>
                <w:iCs/>
                <w:color w:val="FFFFFF" w:themeColor="background1"/>
                <w:sz w:val="12"/>
                <w:szCs w:val="12"/>
                <w:lang w:eastAsia="it-IT"/>
              </w:rPr>
              <w:t>generali e di gestione</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908.936.925,98</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868.453.457,67</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1.250.983.463,18</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3.620.571,40</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1.044.784.683,24</w:t>
            </w:r>
          </w:p>
        </w:tc>
        <w:tc>
          <w:tcPr>
            <w:tcW w:w="29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37,63</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20,30</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1.251.477.579,04</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16.797.178,40</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1.045.778.787,53</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0,04</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37,69</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0,10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20,42</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342.540.653,06</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177.325.329,86</w:t>
            </w:r>
          </w:p>
        </w:tc>
      </w:tr>
      <w:tr w:rsidR="008F0602" w:rsidRPr="007C335A" w:rsidTr="00237328">
        <w:trPr>
          <w:trHeight w:val="49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03</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Ordine pubblico e sicurezza</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3.200.000,00</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2.269.000,00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10.100.000,00</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11.725.000,00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215,63</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416,75</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10.100.000,00</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100.000,00</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11.725.000,00</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215,63</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416,75</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6.900.000,00</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9.456.000,00</w:t>
            </w:r>
          </w:p>
        </w:tc>
      </w:tr>
      <w:tr w:rsidR="008F0602" w:rsidRPr="007C335A" w:rsidTr="00237328">
        <w:trPr>
          <w:trHeight w:val="46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04</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Istruzione e diritto allo studio</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219.535.671,28</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194.631.293,46</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276.489.876,87</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17.357.694,95</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280.088.194,60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25,94</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43,91</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276.489.876,87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22.898.952,41</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280.949.372,52</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25,94</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0,31</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44,35</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56.954.205,59</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86.318.079,06</w:t>
            </w:r>
          </w:p>
        </w:tc>
      </w:tr>
      <w:tr w:rsidR="008F0602" w:rsidRPr="007C335A" w:rsidTr="00237328">
        <w:trPr>
          <w:trHeight w:val="57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05</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Tutela e valorizzazione dei beni e delle attività culturali</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69.603.713,95</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59.623.996,32</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95.026.938,08</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505.470,00</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73.996.306,44</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36,53</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24,10</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95.032.818,08</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2.721.919,00</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74.002.186,44</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0,01</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36,53</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0,01</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24,11</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25.429.104,13</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14.378.190,12</w:t>
            </w:r>
          </w:p>
        </w:tc>
      </w:tr>
      <w:tr w:rsidR="008F0602" w:rsidRPr="007C335A" w:rsidTr="00237328">
        <w:trPr>
          <w:trHeight w:val="728"/>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06</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Politiche giovanili, sport e tempo libero</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7.408.964,95</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6.401.322,60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11.303.734,87</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18.905.742,66</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52,57</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195,34</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11.303.734,87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19.213.719,37</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52,57</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1,63</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200,15</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3.894.769,92</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12.812.396,77</w:t>
            </w:r>
          </w:p>
        </w:tc>
      </w:tr>
      <w:tr w:rsidR="008F0602" w:rsidRPr="007C335A" w:rsidTr="00237328">
        <w:trPr>
          <w:trHeight w:val="412"/>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07</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Turismo</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35.011.187,43</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31.283.982,60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40.410.976,17</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45.422.667,14</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15,42</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45,19</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42.810.976,17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1.340.547,42</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45.333.082,63</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5,94</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22,28</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AF04B7"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 xml:space="preserve"> 0,20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44,91</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7.799.788,74</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14.049.100,03</w:t>
            </w:r>
          </w:p>
        </w:tc>
      </w:tr>
      <w:tr w:rsidR="008F0602" w:rsidRPr="007C335A" w:rsidTr="00237328">
        <w:trPr>
          <w:trHeight w:val="31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08</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Assetto del territorio ed edilizia abitativa</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85.124.121,97</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82.108.558,35</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145.831.000,82</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5.147.806,77</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113.727.852,08</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71,32</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38,51</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145.969.299,37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46.089.093,62</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113.839.852,08</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0,09</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71,48</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0,10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38,65</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60.845.177,40</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31.731.293,73</w:t>
            </w:r>
          </w:p>
        </w:tc>
      </w:tr>
      <w:tr w:rsidR="008F0602" w:rsidRPr="007C335A" w:rsidTr="00237328">
        <w:trPr>
          <w:trHeight w:val="24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09</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Sviluppo sostenibile e tutela del territorio e dell'ambiente</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584.535.690,20</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390.328,80</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481.397.829,60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712.303.452,12</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29.321.875,28</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604.176.584,43</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21,86</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25,50</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734.171.859,41</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160.986.812,40</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622.622.505,84</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3,07</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25,60</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3,05</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29,34</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149.636.169,21</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141.224.676,24</w:t>
            </w:r>
          </w:p>
        </w:tc>
      </w:tr>
      <w:tr w:rsidR="008F0602" w:rsidRPr="007C335A" w:rsidTr="00237328">
        <w:trPr>
          <w:trHeight w:val="27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10</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Trasporti e diritto alla mobilità</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578.287.300,38</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459.754.075,72</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760.199.463,73</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28.104.055,20</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586.964.274,88</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31,46</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27,67</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760.244.207,86</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145.763.676,97</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586.985.737,54</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0,01</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31,46</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27,67</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181.956.907,48</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127.231.661,82</w:t>
            </w:r>
          </w:p>
        </w:tc>
      </w:tr>
      <w:tr w:rsidR="008F0602" w:rsidRPr="007C335A" w:rsidTr="00237328">
        <w:trPr>
          <w:trHeight w:val="49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11</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Soccorso civile</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37.716.477,52</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327.000,00</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22.812.680,90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36.736.521,27</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1.457.381,85</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34.243.445,89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2,60</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50,11</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38.145.915,57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3.227.661,88</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34.243.445,89</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3,84</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1,14</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50,11</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429.438,05</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11.430.764,99</w:t>
            </w:r>
          </w:p>
        </w:tc>
      </w:tr>
      <w:tr w:rsidR="008F0602" w:rsidRPr="007C335A" w:rsidTr="00237328">
        <w:trPr>
          <w:trHeight w:val="67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12</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Diritti sociali, politiche sociali e famiglia</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279.410.030,16</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307.138.847,16</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305.372.319,93</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320.884.050,17</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9,29</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4,48</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307.665.902,10</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163.041,87</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339.998.532,34</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0,75</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10,11</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5,96</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10,70</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28.255.871,94</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32.859.685,18</w:t>
            </w:r>
          </w:p>
        </w:tc>
      </w:tr>
      <w:tr w:rsidR="008F0602" w:rsidRPr="007C335A" w:rsidTr="00237328">
        <w:trPr>
          <w:trHeight w:val="49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13</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Tutela della salute</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3.393.369.356,89</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3393369356,89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3.600.631.136,00</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3.763.822.796,27</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6,11</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8,10</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3.601.051.175,83</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51.263.310,56</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3.763.832.451,17</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0,01</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6,12</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8,10</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207.681.818,94</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281.922.457,16</w:t>
            </w:r>
          </w:p>
        </w:tc>
      </w:tr>
      <w:tr w:rsidR="008F0602" w:rsidRPr="007C335A" w:rsidTr="00237328">
        <w:trPr>
          <w:trHeight w:val="225"/>
          <w:jc w:val="center"/>
        </w:trPr>
        <w:tc>
          <w:tcPr>
            <w:tcW w:w="81" w:type="pct"/>
            <w:tcBorders>
              <w:top w:val="single" w:sz="4" w:space="0" w:color="auto"/>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14</w:t>
            </w:r>
          </w:p>
        </w:tc>
        <w:tc>
          <w:tcPr>
            <w:tcW w:w="297"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 xml:space="preserve">Sviluppo </w:t>
            </w:r>
            <w:r w:rsidRPr="00237328">
              <w:rPr>
                <w:rFonts w:ascii="Bodoni MT" w:eastAsia="Times New Roman" w:hAnsi="Bodoni MT" w:cs="Arial"/>
                <w:b/>
                <w:bCs/>
                <w:iCs/>
                <w:color w:val="FFFFFF" w:themeColor="background1"/>
                <w:sz w:val="12"/>
                <w:szCs w:val="12"/>
                <w:lang w:eastAsia="it-IT"/>
              </w:rPr>
              <w:lastRenderedPageBreak/>
              <w:t>economico e competitività</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lastRenderedPageBreak/>
              <w:t>132.092.748,91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single" w:sz="4" w:space="0" w:color="auto"/>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145.855.829,66</w:t>
            </w:r>
          </w:p>
        </w:tc>
        <w:tc>
          <w:tcPr>
            <w:tcW w:w="29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298.561.987,03</w:t>
            </w:r>
          </w:p>
        </w:tc>
        <w:tc>
          <w:tcPr>
            <w:tcW w:w="24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10.522.260,00</w:t>
            </w:r>
          </w:p>
        </w:tc>
        <w:tc>
          <w:tcPr>
            <w:tcW w:w="267"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139.690.347,24</w:t>
            </w:r>
          </w:p>
        </w:tc>
        <w:tc>
          <w:tcPr>
            <w:tcW w:w="29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126,02</w:t>
            </w:r>
          </w:p>
        </w:tc>
        <w:tc>
          <w:tcPr>
            <w:tcW w:w="2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4,23</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298.844.139,93</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127.883.079,66</w:t>
            </w:r>
          </w:p>
        </w:tc>
        <w:tc>
          <w:tcPr>
            <w:tcW w:w="265"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139.804.147,24</w:t>
            </w:r>
          </w:p>
        </w:tc>
        <w:tc>
          <w:tcPr>
            <w:tcW w:w="273" w:type="pct"/>
            <w:tcBorders>
              <w:top w:val="single" w:sz="4" w:space="0" w:color="auto"/>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0,09</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126,24</w:t>
            </w:r>
          </w:p>
        </w:tc>
        <w:tc>
          <w:tcPr>
            <w:tcW w:w="27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0,08</w:t>
            </w:r>
          </w:p>
        </w:tc>
        <w:tc>
          <w:tcPr>
            <w:tcW w:w="210"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AF04B7"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4,15</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166.751.391,02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8F0602" w:rsidP="00237328">
            <w:pPr>
              <w:spacing w:after="0" w:line="240" w:lineRule="auto"/>
              <w:jc w:val="center"/>
              <w:rPr>
                <w:rFonts w:ascii="Calibri" w:eastAsia="Times New Roman" w:hAnsi="Calibri" w:cs="Arial"/>
                <w:color w:val="000000"/>
                <w:sz w:val="12"/>
                <w:szCs w:val="12"/>
                <w:lang w:eastAsia="it-IT"/>
              </w:rPr>
            </w:pPr>
            <w:r>
              <w:rPr>
                <w:rFonts w:ascii="Calibri" w:eastAsia="Times New Roman" w:hAnsi="Calibri" w:cs="Arial"/>
                <w:color w:val="000000"/>
                <w:sz w:val="12"/>
                <w:szCs w:val="12"/>
                <w:lang w:eastAsia="it-IT"/>
              </w:rPr>
              <w:t>-</w:t>
            </w:r>
            <w:r w:rsidR="007C335A" w:rsidRPr="007C335A">
              <w:rPr>
                <w:rFonts w:ascii="Calibri" w:eastAsia="Times New Roman" w:hAnsi="Calibri" w:cs="Arial"/>
                <w:color w:val="000000"/>
                <w:sz w:val="12"/>
                <w:szCs w:val="12"/>
                <w:lang w:eastAsia="it-IT"/>
              </w:rPr>
              <w:t>6.051.682,42</w:t>
            </w:r>
          </w:p>
        </w:tc>
      </w:tr>
      <w:tr w:rsidR="008F0602" w:rsidRPr="007C335A" w:rsidTr="00237328">
        <w:trPr>
          <w:trHeight w:val="300"/>
          <w:jc w:val="center"/>
        </w:trPr>
        <w:tc>
          <w:tcPr>
            <w:tcW w:w="81" w:type="pct"/>
            <w:tcBorders>
              <w:top w:val="single" w:sz="4" w:space="0" w:color="auto"/>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lastRenderedPageBreak/>
              <w:t>15</w:t>
            </w:r>
          </w:p>
        </w:tc>
        <w:tc>
          <w:tcPr>
            <w:tcW w:w="297"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Politiche per il lavoro e la formazione professionale</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67.759.912,28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244.000,00</w:t>
            </w:r>
          </w:p>
        </w:tc>
        <w:tc>
          <w:tcPr>
            <w:tcW w:w="242" w:type="pct"/>
            <w:tcBorders>
              <w:top w:val="single" w:sz="4" w:space="0" w:color="auto"/>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82.677.760,71</w:t>
            </w:r>
          </w:p>
        </w:tc>
        <w:tc>
          <w:tcPr>
            <w:tcW w:w="29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153.084.475,99</w:t>
            </w:r>
          </w:p>
        </w:tc>
        <w:tc>
          <w:tcPr>
            <w:tcW w:w="24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1.588.298,00</w:t>
            </w:r>
          </w:p>
        </w:tc>
        <w:tc>
          <w:tcPr>
            <w:tcW w:w="267"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132.237.107,98</w:t>
            </w:r>
          </w:p>
        </w:tc>
        <w:tc>
          <w:tcPr>
            <w:tcW w:w="293" w:type="pct"/>
            <w:tcBorders>
              <w:top w:val="single" w:sz="4" w:space="0" w:color="auto"/>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125,92</w:t>
            </w:r>
          </w:p>
        </w:tc>
        <w:tc>
          <w:tcPr>
            <w:tcW w:w="2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59,94</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153.218.339,92</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8.333.647,32</w:t>
            </w:r>
          </w:p>
        </w:tc>
        <w:tc>
          <w:tcPr>
            <w:tcW w:w="265"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132.306.729,60</w:t>
            </w:r>
          </w:p>
        </w:tc>
        <w:tc>
          <w:tcPr>
            <w:tcW w:w="273" w:type="pct"/>
            <w:tcBorders>
              <w:top w:val="single" w:sz="4" w:space="0" w:color="auto"/>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0,09</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126,12</w:t>
            </w:r>
          </w:p>
        </w:tc>
        <w:tc>
          <w:tcPr>
            <w:tcW w:w="273"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0,05</w:t>
            </w:r>
          </w:p>
        </w:tc>
        <w:tc>
          <w:tcPr>
            <w:tcW w:w="210"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60,03</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85.458.427,64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49.628.968,89</w:t>
            </w:r>
          </w:p>
        </w:tc>
      </w:tr>
      <w:tr w:rsidR="008F0602" w:rsidRPr="007C335A" w:rsidTr="00237328">
        <w:trPr>
          <w:trHeight w:val="714"/>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16</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Agricoltura, politiche agroalimentari e pesca</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168.593.990,15</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187.646.587,64</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261.749.734,47</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7.505.408,54</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332.362.742,12</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55,25</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77,12</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266.981.655,26</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18.373.773,80</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337.362.742,12</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2,00</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58,36</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1,50</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79,79</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98.387.665,11</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149.716.154,48</w:t>
            </w:r>
          </w:p>
        </w:tc>
      </w:tr>
      <w:tr w:rsidR="008F0602" w:rsidRPr="007C335A" w:rsidTr="00237328">
        <w:trPr>
          <w:trHeight w:val="90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17</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Energia e diversificazione delle fonti energetiche</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21.711.873,59</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12.612.242,09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50.202.892,10</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3.692.261,18</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27.688.993,79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131,22</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119,54</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50.442.953,21</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33.828.471,13</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27.929.054,90</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0,48</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132,33</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0,87</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121,44</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28.731.079,62</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15.316.812,81</w:t>
            </w:r>
          </w:p>
        </w:tc>
      </w:tr>
      <w:tr w:rsidR="008F0602" w:rsidRPr="007C335A" w:rsidTr="00237328">
        <w:trPr>
          <w:trHeight w:val="70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18</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Relazioni con le altre autonomie territoriali e locali</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1.320.861.939,12</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1318328558,40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1.382.400.757,65</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14.434.854,37</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1.588.371.837,71</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4,66</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20,48</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1.382.400.757,65</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39.233.113,81</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1.588.371.837,71</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AF04B7">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 xml:space="preserve"> 0,00</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4,66</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20,48</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61.538.818,53</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270.043.279,31</w:t>
            </w:r>
          </w:p>
        </w:tc>
      </w:tr>
      <w:tr w:rsidR="008F0602" w:rsidRPr="007C335A" w:rsidTr="00237328">
        <w:trPr>
          <w:trHeight w:val="45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19</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Relazioni internazionali</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2.494.172,33</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917.172,33</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55.546.825,01</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37.210,48</w:t>
            </w: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53.626.256,79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2.127,06</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5.746,91</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55.546.825,01</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53.306,49</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53.638.256,79</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AF04B7">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2.127,06</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0,02</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5.748,22</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53.052.652,68</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52.721.084,46</w:t>
            </w:r>
          </w:p>
        </w:tc>
      </w:tr>
      <w:tr w:rsidR="008F0602" w:rsidRPr="007C335A" w:rsidTr="00237328">
        <w:trPr>
          <w:trHeight w:val="450"/>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20</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Fondi e accantonamenti</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152.797.000,00</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321.968.000,00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318.894.707,66</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427.738.171,89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108,70</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32,85</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291.212.981,10</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387.785.961,58</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AF04B7">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8,68</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90,59</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9,34</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20,44</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138.415.981,10</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65.817.961,58</w:t>
            </w:r>
          </w:p>
        </w:tc>
      </w:tr>
      <w:tr w:rsidR="008F0602" w:rsidRPr="007C335A" w:rsidTr="00237328">
        <w:trPr>
          <w:trHeight w:val="255"/>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50</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FFFFFF" w:themeColor="background1"/>
                <w:sz w:val="12"/>
                <w:szCs w:val="12"/>
                <w:lang w:eastAsia="it-IT"/>
              </w:rPr>
            </w:pPr>
            <w:r w:rsidRPr="00237328">
              <w:rPr>
                <w:rFonts w:ascii="Bodoni MT" w:eastAsia="Times New Roman" w:hAnsi="Bodoni MT" w:cs="Arial"/>
                <w:b/>
                <w:bCs/>
                <w:iCs/>
                <w:color w:val="FFFFFF" w:themeColor="background1"/>
                <w:sz w:val="12"/>
                <w:szCs w:val="12"/>
                <w:lang w:eastAsia="it-IT"/>
              </w:rPr>
              <w:t>Debito pubblico</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288.352.000,00</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291.318.000,00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223.045.350,00</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223.045.588,09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8F0602"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22,65</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8F0602"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23,44</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223.045.350,00</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223.045.588,09</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AF04B7">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22,65</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8F0602"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23,44</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8F0602" w:rsidP="007C335A">
            <w:pPr>
              <w:spacing w:after="0" w:line="240" w:lineRule="auto"/>
              <w:jc w:val="center"/>
              <w:rPr>
                <w:rFonts w:ascii="Calibri" w:eastAsia="Times New Roman" w:hAnsi="Calibri" w:cs="Arial"/>
                <w:color w:val="000000"/>
                <w:sz w:val="10"/>
                <w:szCs w:val="10"/>
                <w:lang w:eastAsia="it-IT"/>
              </w:rPr>
            </w:pPr>
            <w:r>
              <w:rPr>
                <w:rFonts w:ascii="Calibri" w:eastAsia="Times New Roman" w:hAnsi="Calibri" w:cs="Arial"/>
                <w:color w:val="000000"/>
                <w:sz w:val="10"/>
                <w:szCs w:val="10"/>
                <w:lang w:eastAsia="it-IT"/>
              </w:rPr>
              <w:t>-</w:t>
            </w:r>
            <w:r w:rsidR="007C335A" w:rsidRPr="007C335A">
              <w:rPr>
                <w:rFonts w:ascii="Calibri" w:eastAsia="Times New Roman" w:hAnsi="Calibri" w:cs="Arial"/>
                <w:color w:val="000000"/>
                <w:sz w:val="10"/>
                <w:szCs w:val="10"/>
                <w:lang w:eastAsia="it-IT"/>
              </w:rPr>
              <w:t>65.306.650,00</w:t>
            </w:r>
          </w:p>
        </w:tc>
        <w:tc>
          <w:tcPr>
            <w:tcW w:w="357"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68.272.411,91</w:t>
            </w:r>
          </w:p>
        </w:tc>
      </w:tr>
      <w:tr w:rsidR="008F0602" w:rsidRPr="007C335A" w:rsidTr="00237328">
        <w:trPr>
          <w:trHeight w:val="343"/>
          <w:jc w:val="center"/>
        </w:trPr>
        <w:tc>
          <w:tcPr>
            <w:tcW w:w="81" w:type="pct"/>
            <w:tcBorders>
              <w:top w:val="nil"/>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99</w:t>
            </w:r>
          </w:p>
        </w:tc>
        <w:tc>
          <w:tcPr>
            <w:tcW w:w="29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237328" w:rsidRDefault="007C335A" w:rsidP="00237328">
            <w:pPr>
              <w:spacing w:after="0" w:line="240" w:lineRule="auto"/>
              <w:jc w:val="center"/>
              <w:rPr>
                <w:rFonts w:ascii="Bodoni MT" w:eastAsia="Times New Roman" w:hAnsi="Bodoni MT" w:cs="Arial"/>
                <w:b/>
                <w:bCs/>
                <w:iCs/>
                <w:color w:val="000000"/>
                <w:sz w:val="12"/>
                <w:szCs w:val="12"/>
                <w:lang w:eastAsia="it-IT"/>
              </w:rPr>
            </w:pPr>
            <w:r w:rsidRPr="00237328">
              <w:rPr>
                <w:rFonts w:ascii="Bodoni MT" w:eastAsia="Times New Roman" w:hAnsi="Bodoni MT" w:cs="Arial"/>
                <w:b/>
                <w:bCs/>
                <w:iCs/>
                <w:color w:val="FFFFFF" w:themeColor="background1"/>
                <w:sz w:val="12"/>
                <w:szCs w:val="12"/>
                <w:lang w:eastAsia="it-IT"/>
              </w:rPr>
              <w:t>Servizi per conto terzi</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155.050.000,00</w:t>
            </w:r>
          </w:p>
        </w:tc>
        <w:tc>
          <w:tcPr>
            <w:tcW w:w="1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42" w:type="pct"/>
            <w:tcBorders>
              <w:top w:val="nil"/>
              <w:left w:val="nil"/>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156.712.000,00</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155.320.000,00</w:t>
            </w:r>
          </w:p>
        </w:tc>
        <w:tc>
          <w:tcPr>
            <w:tcW w:w="24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p>
        </w:tc>
        <w:tc>
          <w:tcPr>
            <w:tcW w:w="267"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161.144.214,29</w:t>
            </w:r>
          </w:p>
        </w:tc>
        <w:tc>
          <w:tcPr>
            <w:tcW w:w="293" w:type="pct"/>
            <w:tcBorders>
              <w:top w:val="nil"/>
              <w:left w:val="single" w:sz="4" w:space="0" w:color="auto"/>
              <w:bottom w:val="single" w:sz="4" w:space="0" w:color="auto"/>
              <w:right w:val="nil"/>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0,17</w:t>
            </w:r>
          </w:p>
        </w:tc>
        <w:tc>
          <w:tcPr>
            <w:tcW w:w="254"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2,83</w:t>
            </w:r>
          </w:p>
        </w:tc>
        <w:tc>
          <w:tcPr>
            <w:tcW w:w="29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155.745.712,37</w:t>
            </w:r>
          </w:p>
        </w:tc>
        <w:tc>
          <w:tcPr>
            <w:tcW w:w="28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w:t>
            </w:r>
          </w:p>
        </w:tc>
        <w:tc>
          <w:tcPr>
            <w:tcW w:w="265"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161.575.997,50</w:t>
            </w:r>
          </w:p>
        </w:tc>
        <w:tc>
          <w:tcPr>
            <w:tcW w:w="273" w:type="pct"/>
            <w:tcBorders>
              <w:top w:val="nil"/>
              <w:left w:val="nil"/>
              <w:bottom w:val="single" w:sz="4" w:space="0" w:color="auto"/>
              <w:right w:val="nil"/>
            </w:tcBorders>
            <w:shd w:val="clear" w:color="auto" w:fill="auto"/>
            <w:noWrap/>
            <w:vAlign w:val="center"/>
            <w:hideMark/>
          </w:tcPr>
          <w:p w:rsidR="007C335A" w:rsidRPr="007C335A" w:rsidRDefault="007C335A" w:rsidP="00AF04B7">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0,27</w:t>
            </w:r>
          </w:p>
        </w:tc>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0,45</w:t>
            </w:r>
          </w:p>
        </w:tc>
        <w:tc>
          <w:tcPr>
            <w:tcW w:w="273"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0,27</w:t>
            </w:r>
          </w:p>
        </w:tc>
        <w:tc>
          <w:tcPr>
            <w:tcW w:w="210"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3,10</w:t>
            </w:r>
          </w:p>
        </w:tc>
        <w:tc>
          <w:tcPr>
            <w:tcW w:w="299"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Arial"/>
                <w:color w:val="000000"/>
                <w:sz w:val="10"/>
                <w:szCs w:val="10"/>
                <w:lang w:eastAsia="it-IT"/>
              </w:rPr>
            </w:pPr>
            <w:r w:rsidRPr="007C335A">
              <w:rPr>
                <w:rFonts w:ascii="Calibri" w:eastAsia="Times New Roman" w:hAnsi="Calibri" w:cs="Arial"/>
                <w:color w:val="000000"/>
                <w:sz w:val="10"/>
                <w:szCs w:val="10"/>
                <w:lang w:eastAsia="it-IT"/>
              </w:rPr>
              <w:t>695.712,37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237328">
            <w:pPr>
              <w:spacing w:after="0" w:line="240" w:lineRule="auto"/>
              <w:jc w:val="center"/>
              <w:rPr>
                <w:rFonts w:ascii="Calibri" w:eastAsia="Times New Roman" w:hAnsi="Calibri" w:cs="Arial"/>
                <w:color w:val="000000"/>
                <w:sz w:val="12"/>
                <w:szCs w:val="12"/>
                <w:lang w:eastAsia="it-IT"/>
              </w:rPr>
            </w:pPr>
            <w:r w:rsidRPr="007C335A">
              <w:rPr>
                <w:rFonts w:ascii="Calibri" w:eastAsia="Times New Roman" w:hAnsi="Calibri" w:cs="Arial"/>
                <w:color w:val="000000"/>
                <w:sz w:val="12"/>
                <w:szCs w:val="12"/>
                <w:lang w:eastAsia="it-IT"/>
              </w:rPr>
              <w:t>4.863.997,50</w:t>
            </w:r>
          </w:p>
        </w:tc>
      </w:tr>
      <w:tr w:rsidR="008F0602" w:rsidRPr="007C335A" w:rsidTr="00237328">
        <w:trPr>
          <w:trHeight w:val="334"/>
          <w:jc w:val="center"/>
        </w:trPr>
        <w:tc>
          <w:tcPr>
            <w:tcW w:w="378" w:type="pct"/>
            <w:gridSpan w:val="2"/>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Totale Missioni</w:t>
            </w:r>
          </w:p>
        </w:tc>
        <w:tc>
          <w:tcPr>
            <w:tcW w:w="293" w:type="pct"/>
            <w:tcBorders>
              <w:top w:val="nil"/>
              <w:left w:val="nil"/>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8.511.853.077,09</w:t>
            </w:r>
          </w:p>
        </w:tc>
        <w:tc>
          <w:tcPr>
            <w:tcW w:w="1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p>
        </w:tc>
        <w:tc>
          <w:tcPr>
            <w:tcW w:w="242"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1228FE">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8515821189,22</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10.144.195.612,95</w:t>
            </w:r>
          </w:p>
        </w:tc>
        <w:tc>
          <w:tcPr>
            <w:tcW w:w="24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123.295.148,02</w:t>
            </w:r>
          </w:p>
        </w:tc>
        <w:tc>
          <w:tcPr>
            <w:tcW w:w="267"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9.984.646.857,70</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19,18</w:t>
            </w:r>
          </w:p>
        </w:tc>
        <w:tc>
          <w:tcPr>
            <w:tcW w:w="254"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17,25</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10.151.902.059,62</w:t>
            </w:r>
          </w:p>
        </w:tc>
        <w:tc>
          <w:tcPr>
            <w:tcW w:w="28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10.144.195.612,95</w:t>
            </w:r>
          </w:p>
        </w:tc>
        <w:tc>
          <w:tcPr>
            <w:tcW w:w="265"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123.295.148,02</w:t>
            </w:r>
          </w:p>
        </w:tc>
        <w:tc>
          <w:tcPr>
            <w:tcW w:w="27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AF04B7">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0,08</w:t>
            </w:r>
          </w:p>
        </w:tc>
        <w:tc>
          <w:tcPr>
            <w:tcW w:w="292"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19,18</w:t>
            </w:r>
          </w:p>
        </w:tc>
        <w:tc>
          <w:tcPr>
            <w:tcW w:w="27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98,77</w:t>
            </w:r>
          </w:p>
        </w:tc>
        <w:tc>
          <w:tcPr>
            <w:tcW w:w="210"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w:t>
            </w:r>
          </w:p>
        </w:tc>
        <w:tc>
          <w:tcPr>
            <w:tcW w:w="299"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1.640.048.982,53</w:t>
            </w:r>
          </w:p>
        </w:tc>
        <w:tc>
          <w:tcPr>
            <w:tcW w:w="3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C335A" w:rsidRPr="007C335A" w:rsidRDefault="008F0602" w:rsidP="00237328">
            <w:pPr>
              <w:spacing w:after="0" w:line="240" w:lineRule="auto"/>
              <w:jc w:val="center"/>
              <w:rPr>
                <w:rFonts w:ascii="Calibri" w:eastAsia="Times New Roman" w:hAnsi="Calibri" w:cs="Arial"/>
                <w:b/>
                <w:bCs/>
                <w:sz w:val="12"/>
                <w:szCs w:val="12"/>
                <w:lang w:eastAsia="it-IT"/>
              </w:rPr>
            </w:pPr>
            <w:r>
              <w:rPr>
                <w:rFonts w:ascii="Calibri" w:eastAsia="Times New Roman" w:hAnsi="Calibri" w:cs="Arial"/>
                <w:b/>
                <w:bCs/>
                <w:sz w:val="12"/>
                <w:szCs w:val="12"/>
                <w:lang w:eastAsia="it-IT"/>
              </w:rPr>
              <w:t xml:space="preserve">- </w:t>
            </w:r>
            <w:r w:rsidR="007C335A" w:rsidRPr="007C335A">
              <w:rPr>
                <w:rFonts w:ascii="Calibri" w:eastAsia="Times New Roman" w:hAnsi="Calibri" w:cs="Arial"/>
                <w:b/>
                <w:bCs/>
                <w:sz w:val="12"/>
                <w:szCs w:val="12"/>
                <w:lang w:eastAsia="it-IT"/>
              </w:rPr>
              <w:t>8.392.526.041,20</w:t>
            </w:r>
          </w:p>
        </w:tc>
      </w:tr>
      <w:tr w:rsidR="008F0602" w:rsidRPr="007C335A" w:rsidTr="00237328">
        <w:trPr>
          <w:trHeight w:val="300"/>
          <w:jc w:val="center"/>
        </w:trPr>
        <w:tc>
          <w:tcPr>
            <w:tcW w:w="378" w:type="pct"/>
            <w:gridSpan w:val="2"/>
            <w:tcBorders>
              <w:top w:val="single" w:sz="4" w:space="0" w:color="auto"/>
              <w:left w:val="single" w:sz="4" w:space="0" w:color="auto"/>
              <w:bottom w:val="single" w:sz="4" w:space="0" w:color="auto"/>
              <w:right w:val="nil"/>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Dis. di amministr.</w:t>
            </w:r>
          </w:p>
        </w:tc>
        <w:tc>
          <w:tcPr>
            <w:tcW w:w="293"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340.933.000,00</w:t>
            </w:r>
          </w:p>
        </w:tc>
        <w:tc>
          <w:tcPr>
            <w:tcW w:w="193"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w:t>
            </w:r>
          </w:p>
        </w:tc>
        <w:tc>
          <w:tcPr>
            <w:tcW w:w="242" w:type="pct"/>
            <w:tcBorders>
              <w:top w:val="nil"/>
              <w:left w:val="nil"/>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537.262.000,00</w:t>
            </w:r>
          </w:p>
        </w:tc>
        <w:tc>
          <w:tcPr>
            <w:tcW w:w="24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67"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93" w:type="pct"/>
            <w:tcBorders>
              <w:top w:val="nil"/>
              <w:left w:val="nil"/>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57,59</w:t>
            </w:r>
          </w:p>
        </w:tc>
        <w:tc>
          <w:tcPr>
            <w:tcW w:w="254"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93"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537.262.000,00</w:t>
            </w:r>
          </w:p>
        </w:tc>
        <w:tc>
          <w:tcPr>
            <w:tcW w:w="283"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65"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73" w:type="pct"/>
            <w:tcBorders>
              <w:top w:val="nil"/>
              <w:left w:val="nil"/>
              <w:bottom w:val="single" w:sz="4" w:space="0" w:color="auto"/>
              <w:right w:val="nil"/>
            </w:tcBorders>
            <w:shd w:val="clear" w:color="auto" w:fill="FFFFFF" w:themeFill="background1"/>
            <w:noWrap/>
            <w:vAlign w:val="center"/>
            <w:hideMark/>
          </w:tcPr>
          <w:p w:rsidR="007C335A" w:rsidRPr="007C335A" w:rsidRDefault="007C335A" w:rsidP="00AF04B7">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w:t>
            </w:r>
          </w:p>
        </w:tc>
        <w:tc>
          <w:tcPr>
            <w:tcW w:w="292"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r w:rsidRPr="007C335A">
              <w:rPr>
                <w:rFonts w:ascii="Calibri" w:eastAsia="Times New Roman" w:hAnsi="Calibri" w:cs="Arial"/>
                <w:b/>
                <w:sz w:val="10"/>
                <w:szCs w:val="10"/>
                <w:lang w:eastAsia="it-IT"/>
              </w:rPr>
              <w:t>57,59</w:t>
            </w:r>
          </w:p>
        </w:tc>
        <w:tc>
          <w:tcPr>
            <w:tcW w:w="273"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10"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299" w:type="pct"/>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sz w:val="10"/>
                <w:szCs w:val="10"/>
                <w:lang w:eastAsia="it-IT"/>
              </w:rPr>
            </w:pPr>
          </w:p>
        </w:tc>
        <w:tc>
          <w:tcPr>
            <w:tcW w:w="357"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7C335A" w:rsidRPr="007C335A" w:rsidRDefault="007C335A" w:rsidP="00237328">
            <w:pPr>
              <w:spacing w:after="0" w:line="240" w:lineRule="auto"/>
              <w:jc w:val="center"/>
              <w:rPr>
                <w:rFonts w:ascii="Calibri" w:eastAsia="Times New Roman" w:hAnsi="Calibri" w:cs="Arial"/>
                <w:b/>
                <w:sz w:val="12"/>
                <w:szCs w:val="12"/>
                <w:lang w:eastAsia="it-IT"/>
              </w:rPr>
            </w:pPr>
          </w:p>
        </w:tc>
      </w:tr>
      <w:tr w:rsidR="008F0602" w:rsidRPr="007C335A" w:rsidTr="00237328">
        <w:trPr>
          <w:trHeight w:val="255"/>
          <w:jc w:val="center"/>
        </w:trPr>
        <w:tc>
          <w:tcPr>
            <w:tcW w:w="378" w:type="pct"/>
            <w:gridSpan w:val="2"/>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Arial"/>
                <w:b/>
                <w:bCs/>
                <w:color w:val="FFFFFF"/>
                <w:sz w:val="12"/>
                <w:szCs w:val="12"/>
                <w:lang w:eastAsia="it-IT"/>
              </w:rPr>
            </w:pPr>
            <w:r w:rsidRPr="007C335A">
              <w:rPr>
                <w:rFonts w:ascii="Bodoni MT" w:eastAsia="Times New Roman" w:hAnsi="Bodoni MT" w:cs="Arial"/>
                <w:b/>
                <w:bCs/>
                <w:color w:val="FFFFFF"/>
                <w:sz w:val="12"/>
                <w:szCs w:val="12"/>
                <w:lang w:eastAsia="it-IT"/>
              </w:rPr>
              <w:t>TOTALE</w:t>
            </w:r>
          </w:p>
        </w:tc>
        <w:tc>
          <w:tcPr>
            <w:tcW w:w="293" w:type="pct"/>
            <w:tcBorders>
              <w:top w:val="nil"/>
              <w:left w:val="nil"/>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8.852.786.077,09</w:t>
            </w:r>
          </w:p>
        </w:tc>
        <w:tc>
          <w:tcPr>
            <w:tcW w:w="1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961.328,80</w:t>
            </w:r>
          </w:p>
        </w:tc>
        <w:tc>
          <w:tcPr>
            <w:tcW w:w="242"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1228FE">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8515821189,22</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10.681.457.612,95</w:t>
            </w:r>
          </w:p>
        </w:tc>
        <w:tc>
          <w:tcPr>
            <w:tcW w:w="24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123.295.148,02</w:t>
            </w:r>
          </w:p>
        </w:tc>
        <w:tc>
          <w:tcPr>
            <w:tcW w:w="267"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9.984.646.857,70</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20,66</w:t>
            </w:r>
          </w:p>
        </w:tc>
        <w:tc>
          <w:tcPr>
            <w:tcW w:w="254"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17,25</w:t>
            </w:r>
          </w:p>
        </w:tc>
        <w:tc>
          <w:tcPr>
            <w:tcW w:w="29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10.689.164.059,62</w:t>
            </w:r>
          </w:p>
        </w:tc>
        <w:tc>
          <w:tcPr>
            <w:tcW w:w="28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10.144.195.612,95</w:t>
            </w:r>
          </w:p>
        </w:tc>
        <w:tc>
          <w:tcPr>
            <w:tcW w:w="265"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123.295.148,02</w:t>
            </w:r>
          </w:p>
        </w:tc>
        <w:tc>
          <w:tcPr>
            <w:tcW w:w="27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0,07</w:t>
            </w:r>
          </w:p>
        </w:tc>
        <w:tc>
          <w:tcPr>
            <w:tcW w:w="292"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20,74</w:t>
            </w:r>
          </w:p>
        </w:tc>
        <w:tc>
          <w:tcPr>
            <w:tcW w:w="273"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AF04B7" w:rsidP="007C335A">
            <w:pPr>
              <w:spacing w:after="0" w:line="240" w:lineRule="auto"/>
              <w:jc w:val="center"/>
              <w:rPr>
                <w:rFonts w:ascii="Calibri" w:eastAsia="Times New Roman" w:hAnsi="Calibri" w:cs="Arial"/>
                <w:b/>
                <w:bCs/>
                <w:sz w:val="10"/>
                <w:szCs w:val="10"/>
                <w:lang w:eastAsia="it-IT"/>
              </w:rPr>
            </w:pPr>
            <w:r>
              <w:rPr>
                <w:rFonts w:ascii="Calibri" w:eastAsia="Times New Roman" w:hAnsi="Calibri" w:cs="Arial"/>
                <w:b/>
                <w:bCs/>
                <w:sz w:val="10"/>
                <w:szCs w:val="10"/>
                <w:lang w:eastAsia="it-IT"/>
              </w:rPr>
              <w:t>9</w:t>
            </w:r>
            <w:r w:rsidR="007C335A" w:rsidRPr="007C335A">
              <w:rPr>
                <w:rFonts w:ascii="Calibri" w:eastAsia="Times New Roman" w:hAnsi="Calibri" w:cs="Arial"/>
                <w:b/>
                <w:bCs/>
                <w:sz w:val="10"/>
                <w:szCs w:val="10"/>
                <w:lang w:eastAsia="it-IT"/>
              </w:rPr>
              <w:t>8,77</w:t>
            </w:r>
          </w:p>
        </w:tc>
        <w:tc>
          <w:tcPr>
            <w:tcW w:w="210"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8F0602" w:rsidP="007C335A">
            <w:pPr>
              <w:spacing w:after="0" w:line="240" w:lineRule="auto"/>
              <w:jc w:val="center"/>
              <w:rPr>
                <w:rFonts w:ascii="Calibri" w:eastAsia="Times New Roman" w:hAnsi="Calibri" w:cs="Arial"/>
                <w:b/>
                <w:bCs/>
                <w:sz w:val="10"/>
                <w:szCs w:val="10"/>
                <w:lang w:eastAsia="it-IT"/>
              </w:rPr>
            </w:pPr>
            <w:r>
              <w:rPr>
                <w:rFonts w:ascii="Calibri" w:eastAsia="Times New Roman" w:hAnsi="Calibri" w:cs="Arial"/>
                <w:b/>
                <w:bCs/>
                <w:sz w:val="10"/>
                <w:szCs w:val="10"/>
                <w:lang w:eastAsia="it-IT"/>
              </w:rPr>
              <w:t>-</w:t>
            </w:r>
            <w:r w:rsidR="007C335A" w:rsidRPr="007C335A">
              <w:rPr>
                <w:rFonts w:ascii="Calibri" w:eastAsia="Times New Roman" w:hAnsi="Calibri" w:cs="Arial"/>
                <w:b/>
                <w:bCs/>
                <w:sz w:val="10"/>
                <w:szCs w:val="10"/>
                <w:lang w:eastAsia="it-IT"/>
              </w:rPr>
              <w:t xml:space="preserve"> 98,55</w:t>
            </w:r>
          </w:p>
        </w:tc>
        <w:tc>
          <w:tcPr>
            <w:tcW w:w="299" w:type="pct"/>
            <w:tcBorders>
              <w:top w:val="nil"/>
              <w:left w:val="single" w:sz="4" w:space="0" w:color="auto"/>
              <w:bottom w:val="single" w:sz="4" w:space="0" w:color="auto"/>
              <w:right w:val="nil"/>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Arial"/>
                <w:b/>
                <w:bCs/>
                <w:sz w:val="10"/>
                <w:szCs w:val="10"/>
                <w:lang w:eastAsia="it-IT"/>
              </w:rPr>
            </w:pPr>
            <w:r w:rsidRPr="007C335A">
              <w:rPr>
                <w:rFonts w:ascii="Calibri" w:eastAsia="Times New Roman" w:hAnsi="Calibri" w:cs="Arial"/>
                <w:b/>
                <w:bCs/>
                <w:sz w:val="10"/>
                <w:szCs w:val="10"/>
                <w:lang w:eastAsia="it-IT"/>
              </w:rPr>
              <w:t>1.836.377.982,53</w:t>
            </w:r>
          </w:p>
        </w:tc>
        <w:tc>
          <w:tcPr>
            <w:tcW w:w="3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C335A" w:rsidRPr="007C335A" w:rsidRDefault="008F0602" w:rsidP="00237328">
            <w:pPr>
              <w:spacing w:after="0" w:line="240" w:lineRule="auto"/>
              <w:jc w:val="center"/>
              <w:rPr>
                <w:rFonts w:ascii="Calibri" w:eastAsia="Times New Roman" w:hAnsi="Calibri" w:cs="Arial"/>
                <w:b/>
                <w:bCs/>
                <w:sz w:val="12"/>
                <w:szCs w:val="12"/>
                <w:lang w:eastAsia="it-IT"/>
              </w:rPr>
            </w:pPr>
            <w:r>
              <w:rPr>
                <w:rFonts w:ascii="Calibri" w:eastAsia="Times New Roman" w:hAnsi="Calibri" w:cs="Arial"/>
                <w:b/>
                <w:bCs/>
                <w:sz w:val="12"/>
                <w:szCs w:val="12"/>
                <w:lang w:eastAsia="it-IT"/>
              </w:rPr>
              <w:t xml:space="preserve">- </w:t>
            </w:r>
            <w:r w:rsidR="007C335A" w:rsidRPr="007C335A">
              <w:rPr>
                <w:rFonts w:ascii="Calibri" w:eastAsia="Times New Roman" w:hAnsi="Calibri" w:cs="Arial"/>
                <w:b/>
                <w:bCs/>
                <w:sz w:val="12"/>
                <w:szCs w:val="12"/>
                <w:lang w:eastAsia="it-IT"/>
              </w:rPr>
              <w:t>8.392.526.041,20</w:t>
            </w:r>
          </w:p>
        </w:tc>
      </w:tr>
    </w:tbl>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line="240" w:lineRule="auto"/>
        <w:jc w:val="center"/>
        <w:rPr>
          <w:rFonts w:ascii="Bodoni MT" w:hAnsi="Bodoni MT"/>
          <w:sz w:val="24"/>
          <w:szCs w:val="24"/>
        </w:rPr>
      </w:pPr>
    </w:p>
    <w:p w:rsidR="007C335A" w:rsidRPr="007C335A" w:rsidRDefault="007C335A" w:rsidP="007C335A">
      <w:pPr>
        <w:spacing w:before="240" w:after="120" w:line="240" w:lineRule="auto"/>
        <w:jc w:val="center"/>
        <w:rPr>
          <w:rFonts w:ascii="Bodoni MT" w:eastAsiaTheme="minorEastAsia" w:hAnsi="Bodoni MT"/>
          <w:b/>
          <w:bCs/>
          <w:sz w:val="24"/>
          <w:szCs w:val="24"/>
        </w:rPr>
      </w:pPr>
    </w:p>
    <w:p w:rsidR="007C335A" w:rsidRPr="007C335A" w:rsidRDefault="007C335A" w:rsidP="007C335A">
      <w:pPr>
        <w:spacing w:before="240" w:after="120" w:line="240" w:lineRule="auto"/>
        <w:jc w:val="center"/>
        <w:rPr>
          <w:rFonts w:ascii="Bodoni MT" w:eastAsiaTheme="minorEastAsia" w:hAnsi="Bodoni MT"/>
          <w:b/>
          <w:bCs/>
          <w:sz w:val="24"/>
          <w:szCs w:val="24"/>
        </w:rPr>
      </w:pPr>
    </w:p>
    <w:p w:rsidR="007C335A" w:rsidRPr="007C335A" w:rsidRDefault="007C335A" w:rsidP="007C335A">
      <w:pPr>
        <w:spacing w:before="240" w:after="120" w:line="240" w:lineRule="auto"/>
        <w:jc w:val="center"/>
        <w:rPr>
          <w:rFonts w:ascii="Bodoni MT" w:eastAsiaTheme="minorEastAsia" w:hAnsi="Bodoni MT"/>
          <w:b/>
          <w:bCs/>
          <w:sz w:val="24"/>
          <w:szCs w:val="24"/>
        </w:rPr>
      </w:pPr>
    </w:p>
    <w:p w:rsidR="007C335A" w:rsidRPr="007C335A" w:rsidRDefault="007C335A" w:rsidP="007C335A">
      <w:pPr>
        <w:pStyle w:val="Didascalia"/>
      </w:pPr>
      <w:bookmarkStart w:id="53" w:name="_Toc499040986"/>
      <w:bookmarkStart w:id="54" w:name="_Toc507422704"/>
      <w:r>
        <w:t xml:space="preserve">Grafico </w:t>
      </w:r>
      <w:r w:rsidR="00B90472">
        <w:fldChar w:fldCharType="begin"/>
      </w:r>
      <w:r w:rsidR="00B90472">
        <w:instrText xml:space="preserve"> SEQ Grafico \* ARABIC </w:instrText>
      </w:r>
      <w:r w:rsidR="00B90472">
        <w:fldChar w:fldCharType="separate"/>
      </w:r>
      <w:r w:rsidR="008616B3">
        <w:rPr>
          <w:noProof/>
        </w:rPr>
        <w:t>1</w:t>
      </w:r>
      <w:r w:rsidR="00B90472">
        <w:rPr>
          <w:noProof/>
        </w:rPr>
        <w:fldChar w:fldCharType="end"/>
      </w:r>
      <w:r w:rsidRPr="007C335A">
        <w:t xml:space="preserve"> – Spesa per missioni – </w:t>
      </w:r>
      <w:r w:rsidR="00920EFB">
        <w:t xml:space="preserve">Previsioni iniziali e finali esercizio </w:t>
      </w:r>
      <w:r w:rsidRPr="007C335A">
        <w:t>2016</w:t>
      </w:r>
      <w:bookmarkEnd w:id="53"/>
      <w:bookmarkEnd w:id="54"/>
    </w:p>
    <w:p w:rsidR="007C335A" w:rsidRPr="007C335A" w:rsidRDefault="007C335A" w:rsidP="007C335A">
      <w:pPr>
        <w:jc w:val="center"/>
      </w:pPr>
      <w:r w:rsidRPr="007C335A">
        <w:rPr>
          <w:noProof/>
          <w:lang w:eastAsia="it-IT"/>
        </w:rPr>
        <w:drawing>
          <wp:inline distT="0" distB="0" distL="0" distR="0" wp14:anchorId="3AD7BD56" wp14:editId="01876E2E">
            <wp:extent cx="6224270" cy="2749550"/>
            <wp:effectExtent l="0" t="0" r="508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4270" cy="2749550"/>
                    </a:xfrm>
                    <a:prstGeom prst="rect">
                      <a:avLst/>
                    </a:prstGeom>
                    <a:noFill/>
                  </pic:spPr>
                </pic:pic>
              </a:graphicData>
            </a:graphic>
          </wp:inline>
        </w:drawing>
      </w:r>
    </w:p>
    <w:p w:rsidR="005B64E7" w:rsidRDefault="005B64E7" w:rsidP="00DA6693">
      <w:pPr>
        <w:pStyle w:val="CdcTesto"/>
      </w:pPr>
    </w:p>
    <w:p w:rsidR="005B64E7" w:rsidRDefault="005B64E7" w:rsidP="00DA6693">
      <w:pPr>
        <w:pStyle w:val="CdcTesto"/>
      </w:pPr>
    </w:p>
    <w:p w:rsidR="005B64E7" w:rsidRDefault="005B64E7" w:rsidP="00DA6693">
      <w:pPr>
        <w:pStyle w:val="CdcTesto"/>
      </w:pPr>
    </w:p>
    <w:p w:rsidR="005B64E7" w:rsidRDefault="005B64E7" w:rsidP="00DA6693">
      <w:pPr>
        <w:pStyle w:val="CdcTesto"/>
        <w:sectPr w:rsidR="005B64E7" w:rsidSect="003E77C8">
          <w:footerReference w:type="default" r:id="rId34"/>
          <w:pgSz w:w="16838" w:h="11906" w:orient="landscape"/>
          <w:pgMar w:top="851" w:right="1418" w:bottom="1134" w:left="1134" w:header="709" w:footer="709" w:gutter="0"/>
          <w:cols w:space="708"/>
          <w:docGrid w:linePitch="360"/>
        </w:sectPr>
      </w:pPr>
    </w:p>
    <w:p w:rsidR="007C335A" w:rsidRPr="007C335A" w:rsidRDefault="007C335A" w:rsidP="007C335A">
      <w:pPr>
        <w:pStyle w:val="Titolo2"/>
        <w:rPr>
          <w:rFonts w:eastAsiaTheme="minorEastAsia"/>
        </w:rPr>
      </w:pPr>
      <w:bookmarkStart w:id="55" w:name="_Toc507422620"/>
      <w:bookmarkStart w:id="56" w:name="_Toc412820276"/>
      <w:r>
        <w:rPr>
          <w:rFonts w:eastAsiaTheme="minorEastAsia"/>
        </w:rPr>
        <w:lastRenderedPageBreak/>
        <w:t>L’analisi delle principali variazioni di bilancio</w:t>
      </w:r>
      <w:bookmarkEnd w:id="55"/>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L’esame delle variazioni mostra che il </w:t>
      </w:r>
      <w:r w:rsidRPr="007C335A">
        <w:rPr>
          <w:rFonts w:ascii="Bodoni MT" w:eastAsiaTheme="minorEastAsia" w:hAnsi="Bodoni MT" w:cs="Bodoni MT"/>
          <w:b/>
          <w:color w:val="000000"/>
          <w:sz w:val="24"/>
          <w:szCs w:val="24"/>
        </w:rPr>
        <w:t>Fondo Pluriennale Vincolato in entrata</w:t>
      </w:r>
      <w:r w:rsidRPr="007C335A">
        <w:rPr>
          <w:rFonts w:ascii="Bodoni MT" w:eastAsiaTheme="minorEastAsia" w:hAnsi="Bodoni MT" w:cs="Bodoni MT"/>
          <w:color w:val="000000"/>
          <w:sz w:val="24"/>
          <w:szCs w:val="24"/>
        </w:rPr>
        <w:t>, previsto inizialmente in € 235.209.887,87 (di cui € 10.379.076,38 destinato a spese correnti e € 224.830.811,49 destinato a spese in c/capitale), ha registrato un incremento di € 109.772.447,78, pari al 46,6% del valore iniziale. Tale incremento deriva dal riaccertamento ordinario 2015, ed è scaturito dalla eliminazione di impegni già imputati al 2015 in sede di riaccertamento straordinario e contestuale loro reimputazione agli esercizi successivi al 2015 per € 43.924.606,69, e dalla competenza 2015 per i restanti € 65.847.841,09. L’aumento più significativo riguarda la quota in conto capitale (€ 63.648.888,65), destinata alla copertura delle spese per investimenti rinviate agli esercizi successivi. Per effetto di tale variazione al 2016 sono stati reimputati impegni (coperti dal FPV di entrata) per € 42.862.906,35</w:t>
      </w:r>
      <w:r w:rsidRPr="008505F5">
        <w:rPr>
          <w:rFonts w:ascii="Bodoni MT" w:eastAsiaTheme="minorEastAsia" w:hAnsi="Bodoni MT" w:cs="Bodoni MT"/>
          <w:color w:val="000000"/>
          <w:sz w:val="24"/>
          <w:szCs w:val="24"/>
          <w:vertAlign w:val="superscript"/>
        </w:rPr>
        <w:footnoteReference w:id="66"/>
      </w:r>
      <w:r w:rsidRPr="008505F5">
        <w:rPr>
          <w:rFonts w:ascii="Bodoni MT" w:eastAsiaTheme="minorEastAsia" w:hAnsi="Bodoni MT" w:cs="Bodoni MT"/>
          <w:color w:val="000000"/>
          <w:sz w:val="24"/>
          <w:szCs w:val="24"/>
          <w:vertAlign w:val="superscript"/>
        </w:rPr>
        <w:t>.</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Il </w:t>
      </w:r>
      <w:r w:rsidRPr="007C335A">
        <w:rPr>
          <w:rFonts w:ascii="Bodoni MT" w:eastAsiaTheme="minorEastAsia" w:hAnsi="Bodoni MT" w:cs="Bodoni MT"/>
          <w:b/>
          <w:color w:val="000000"/>
          <w:sz w:val="24"/>
          <w:szCs w:val="24"/>
        </w:rPr>
        <w:t>Fondo Pluriennale Vincolato</w:t>
      </w:r>
      <w:r w:rsidRPr="007C335A">
        <w:rPr>
          <w:rFonts w:ascii="Bodoni MT" w:eastAsiaTheme="minorEastAsia" w:hAnsi="Bodoni MT" w:cs="Bodoni MT"/>
          <w:color w:val="000000"/>
          <w:sz w:val="24"/>
          <w:szCs w:val="24"/>
        </w:rPr>
        <w:t xml:space="preserve"> </w:t>
      </w:r>
      <w:r w:rsidRPr="007C335A">
        <w:rPr>
          <w:rFonts w:ascii="Bodoni MT" w:eastAsiaTheme="minorEastAsia" w:hAnsi="Bodoni MT" w:cs="Bodoni MT"/>
          <w:b/>
          <w:color w:val="000000"/>
          <w:sz w:val="24"/>
          <w:szCs w:val="24"/>
        </w:rPr>
        <w:t>in spesa</w:t>
      </w:r>
      <w:r w:rsidRPr="007C335A">
        <w:rPr>
          <w:rFonts w:ascii="Bodoni MT" w:eastAsiaTheme="minorEastAsia" w:hAnsi="Bodoni MT" w:cs="Bodoni MT"/>
          <w:color w:val="000000"/>
          <w:sz w:val="24"/>
          <w:szCs w:val="24"/>
        </w:rPr>
        <w:t>, nelle previsioni iniziali pari a €</w:t>
      </w:r>
      <w:r w:rsidR="00C571B8">
        <w:rPr>
          <w:rFonts w:ascii="Bodoni MT" w:eastAsiaTheme="minorEastAsia" w:hAnsi="Bodoni MT" w:cs="Bodoni MT"/>
          <w:color w:val="000000"/>
          <w:sz w:val="24"/>
          <w:szCs w:val="24"/>
        </w:rPr>
        <w:t xml:space="preserve"> </w:t>
      </w:r>
      <w:r w:rsidRPr="007C335A">
        <w:rPr>
          <w:rFonts w:ascii="Bodoni MT" w:eastAsiaTheme="minorEastAsia" w:hAnsi="Bodoni MT" w:cs="Bodoni MT"/>
          <w:color w:val="000000"/>
          <w:sz w:val="24"/>
          <w:szCs w:val="24"/>
        </w:rPr>
        <w:t>961.328,80, ha registrato un significativo incremento in sede di assestamento. Infatti, una quota del FPV al 31/12/2015, pari a € </w:t>
      </w:r>
      <w:r>
        <w:rPr>
          <w:rFonts w:ascii="Bodoni MT" w:eastAsiaTheme="minorEastAsia" w:hAnsi="Bodoni MT" w:cs="Bodoni MT"/>
          <w:color w:val="000000"/>
          <w:sz w:val="24"/>
          <w:szCs w:val="24"/>
        </w:rPr>
        <w:t>123.295.148</w:t>
      </w:r>
      <w:r w:rsidRPr="007C335A">
        <w:rPr>
          <w:rFonts w:ascii="Bodoni MT" w:eastAsiaTheme="minorEastAsia" w:hAnsi="Bodoni MT" w:cs="Bodoni MT"/>
          <w:color w:val="000000"/>
          <w:sz w:val="24"/>
          <w:szCs w:val="24"/>
        </w:rPr>
        <w:t>, è stata rinviata agli esercizi 2017 e successivi</w:t>
      </w:r>
      <w:r w:rsidRPr="007C335A">
        <w:rPr>
          <w:rFonts w:ascii="Bodoni MT" w:eastAsiaTheme="minorEastAsia" w:hAnsi="Bodoni MT" w:cs="Bodoni MT"/>
          <w:color w:val="000000"/>
          <w:sz w:val="24"/>
          <w:szCs w:val="24"/>
          <w:vertAlign w:val="superscript"/>
        </w:rPr>
        <w:footnoteReference w:id="67"/>
      </w:r>
      <w:r w:rsidRPr="007C335A">
        <w:rPr>
          <w:rFonts w:ascii="Bodoni MT" w:eastAsiaTheme="minorEastAsia" w:hAnsi="Bodoni MT" w:cs="Bodoni MT"/>
          <w:color w:val="000000"/>
          <w:sz w:val="24"/>
          <w:szCs w:val="24"/>
        </w:rPr>
        <w:t xml:space="preserve">. L’importo definitivo del FPV di spesa è stato poi rideterminato, in sede di riaccertamento ordinario per l’esercizio 2016, in € 679.057.586,74 (di cui € 35.087.191,51 destinato alle spese correnti e € 643.970.395,23 destinato alle spese in conto capitale). </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Con riguardo </w:t>
      </w:r>
      <w:r w:rsidRPr="007C335A">
        <w:rPr>
          <w:rFonts w:ascii="Bodoni MT" w:eastAsiaTheme="minorEastAsia" w:hAnsi="Bodoni MT" w:cs="Bodoni MT"/>
          <w:b/>
          <w:color w:val="000000"/>
          <w:sz w:val="24"/>
          <w:szCs w:val="24"/>
        </w:rPr>
        <w:t>alle entrate</w:t>
      </w:r>
      <w:r w:rsidR="000D1769">
        <w:rPr>
          <w:rFonts w:ascii="Bodoni MT" w:eastAsiaTheme="minorEastAsia" w:hAnsi="Bodoni MT" w:cs="Bodoni MT"/>
          <w:color w:val="000000"/>
          <w:sz w:val="24"/>
          <w:szCs w:val="24"/>
        </w:rPr>
        <w:t xml:space="preserve"> le previsioni definitive </w:t>
      </w:r>
      <w:r w:rsidR="00550C97">
        <w:rPr>
          <w:rFonts w:ascii="Bodoni MT" w:eastAsiaTheme="minorEastAsia" w:hAnsi="Bodoni MT" w:cs="Bodoni MT"/>
          <w:color w:val="000000"/>
          <w:sz w:val="24"/>
          <w:szCs w:val="24"/>
        </w:rPr>
        <w:t xml:space="preserve">di competenza </w:t>
      </w:r>
      <w:r w:rsidR="000D1769">
        <w:rPr>
          <w:rFonts w:ascii="Bodoni MT" w:eastAsiaTheme="minorEastAsia" w:hAnsi="Bodoni MT" w:cs="Bodoni MT"/>
          <w:color w:val="000000"/>
          <w:sz w:val="24"/>
          <w:szCs w:val="24"/>
        </w:rPr>
        <w:t xml:space="preserve">si attestano su </w:t>
      </w:r>
      <w:r w:rsidR="00C571B8">
        <w:rPr>
          <w:rFonts w:ascii="Bodoni MT" w:eastAsiaTheme="minorEastAsia" w:hAnsi="Bodoni MT" w:cs="Bodoni MT"/>
          <w:color w:val="000000"/>
          <w:sz w:val="24"/>
          <w:szCs w:val="24"/>
        </w:rPr>
        <w:t xml:space="preserve">€ </w:t>
      </w:r>
      <w:r w:rsidR="000D1769">
        <w:rPr>
          <w:rFonts w:ascii="Bodoni MT" w:eastAsiaTheme="minorEastAsia" w:hAnsi="Bodoni MT" w:cs="Bodoni MT"/>
          <w:color w:val="000000"/>
          <w:sz w:val="24"/>
          <w:szCs w:val="24"/>
        </w:rPr>
        <w:t>10.689.164.059,62 con un aumento del 20,74% rispetto a quelle iniziali.</w:t>
      </w:r>
      <w:r w:rsidRPr="007C335A">
        <w:rPr>
          <w:rFonts w:ascii="Bodoni MT" w:eastAsiaTheme="minorEastAsia" w:hAnsi="Bodoni MT" w:cs="Bodoni MT"/>
          <w:color w:val="000000"/>
          <w:sz w:val="24"/>
          <w:szCs w:val="24"/>
        </w:rPr>
        <w:t xml:space="preserve"> </w:t>
      </w:r>
      <w:r w:rsidR="000D1769">
        <w:rPr>
          <w:rFonts w:ascii="Bodoni MT" w:eastAsiaTheme="minorEastAsia" w:hAnsi="Bodoni MT" w:cs="Bodoni MT"/>
          <w:color w:val="000000"/>
          <w:sz w:val="24"/>
          <w:szCs w:val="24"/>
        </w:rPr>
        <w:t>S</w:t>
      </w:r>
      <w:r w:rsidRPr="007C335A">
        <w:rPr>
          <w:rFonts w:ascii="Bodoni MT" w:eastAsiaTheme="minorEastAsia" w:hAnsi="Bodoni MT" w:cs="Bodoni MT"/>
          <w:color w:val="000000"/>
          <w:sz w:val="24"/>
          <w:szCs w:val="24"/>
        </w:rPr>
        <w:t xml:space="preserve">i evidenzia l’incremento dell’Avanzo di amministrazione applicato, inizialmente previsto in € 147.244.000, passato a € 280.453.779,61 nel </w:t>
      </w:r>
      <w:r w:rsidR="008505F5">
        <w:rPr>
          <w:rFonts w:ascii="Bodoni MT" w:eastAsiaTheme="minorEastAsia" w:hAnsi="Bodoni MT" w:cs="Bodoni MT"/>
          <w:color w:val="000000"/>
          <w:sz w:val="24"/>
          <w:szCs w:val="24"/>
        </w:rPr>
        <w:t xml:space="preserve">bilancio assestato e infine a € </w:t>
      </w:r>
      <w:r w:rsidRPr="007C335A">
        <w:rPr>
          <w:rFonts w:ascii="Bodoni MT" w:eastAsiaTheme="minorEastAsia" w:hAnsi="Bodoni MT" w:cs="Bodoni MT"/>
          <w:color w:val="000000"/>
          <w:sz w:val="24"/>
          <w:szCs w:val="24"/>
        </w:rPr>
        <w:t>282.056.568,12 (+91,56% rispetto alle previsioni iniziali) nelle previsioni definitive.</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I maggiori incrementi in termini percentuali si sono registrati nel Titolo IV “Entrate in conto capitale”, che in sede di previsioni definitive ha subito un incremento di € 483.004.438,18 (+83,35%), di cui € 390.023.679,53</w:t>
      </w:r>
      <w:r w:rsidRPr="007C335A">
        <w:rPr>
          <w:rFonts w:ascii="Bodoni MT" w:eastAsiaTheme="minorEastAsia" w:hAnsi="Bodoni MT" w:cs="Bodoni MT"/>
          <w:color w:val="000000"/>
          <w:sz w:val="24"/>
          <w:szCs w:val="24"/>
          <w:vertAlign w:val="superscript"/>
        </w:rPr>
        <w:footnoteReference w:id="68"/>
      </w:r>
      <w:r w:rsidRPr="007C335A">
        <w:rPr>
          <w:rFonts w:ascii="Bodoni MT" w:eastAsiaTheme="minorEastAsia" w:hAnsi="Bodoni MT" w:cs="Bodoni MT"/>
          <w:color w:val="000000"/>
          <w:sz w:val="24"/>
          <w:szCs w:val="24"/>
        </w:rPr>
        <w:t xml:space="preserve"> relativi a crediti reimputati a seguito del riaccertamento ordinario al 31/12/2015, e nel Titolo II “Trasferimenti correnti” (+78,76% pari a € 183.728.217,93). </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In valore assolu</w:t>
      </w:r>
      <w:r w:rsidR="00550C97">
        <w:rPr>
          <w:rFonts w:ascii="Bodoni MT" w:eastAsiaTheme="minorEastAsia" w:hAnsi="Bodoni MT" w:cs="Bodoni MT"/>
          <w:color w:val="000000"/>
          <w:sz w:val="24"/>
          <w:szCs w:val="24"/>
        </w:rPr>
        <w:t>to, sono rilevanti gli aumenti de</w:t>
      </w:r>
      <w:r w:rsidRPr="007C335A">
        <w:rPr>
          <w:rFonts w:ascii="Bodoni MT" w:eastAsiaTheme="minorEastAsia" w:hAnsi="Bodoni MT" w:cs="Bodoni MT"/>
          <w:color w:val="000000"/>
          <w:sz w:val="24"/>
          <w:szCs w:val="24"/>
        </w:rPr>
        <w:t xml:space="preserve">lle previsioni del Titolo I “Entrate correnti di natura tributaria, contributiva e perequativa”, che in sede di assestamento registrano un </w:t>
      </w:r>
      <w:r w:rsidRPr="007C335A">
        <w:rPr>
          <w:rFonts w:ascii="Bodoni MT" w:eastAsiaTheme="minorEastAsia" w:hAnsi="Bodoni MT" w:cs="Bodoni MT"/>
          <w:color w:val="000000"/>
          <w:sz w:val="24"/>
          <w:szCs w:val="24"/>
        </w:rPr>
        <w:lastRenderedPageBreak/>
        <w:t>incremento pari a €</w:t>
      </w:r>
      <w:r w:rsidR="00AB0398">
        <w:rPr>
          <w:rFonts w:ascii="Bodoni MT" w:eastAsiaTheme="minorEastAsia" w:hAnsi="Bodoni MT" w:cs="Bodoni MT"/>
          <w:color w:val="000000"/>
          <w:sz w:val="24"/>
          <w:szCs w:val="24"/>
        </w:rPr>
        <w:t> </w:t>
      </w:r>
      <w:r w:rsidRPr="007C335A">
        <w:rPr>
          <w:rFonts w:ascii="Bodoni MT" w:eastAsiaTheme="minorEastAsia" w:hAnsi="Bodoni MT" w:cs="Bodoni MT"/>
          <w:color w:val="000000"/>
          <w:sz w:val="24"/>
          <w:szCs w:val="24"/>
        </w:rPr>
        <w:t xml:space="preserve">334.582.640,11 (di cui 111,805 mln di euro derivanti dal riaccertamento ordinario 2015), confermato in sede di previsioni definitive. Consistenti incrementi si sono registrati già in sede di assestamento anche nel Titolo V “Entrate da riduzione di attività finanziarie” (+411,272 </w:t>
      </w:r>
      <w:r w:rsidR="00DC3A5C">
        <w:rPr>
          <w:rFonts w:ascii="Bodoni MT" w:eastAsiaTheme="minorEastAsia" w:hAnsi="Bodoni MT" w:cs="Bodoni MT"/>
          <w:color w:val="000000"/>
          <w:sz w:val="24"/>
          <w:szCs w:val="24"/>
        </w:rPr>
        <w:t>milioni</w:t>
      </w:r>
      <w:r w:rsidRPr="007C335A">
        <w:rPr>
          <w:rFonts w:ascii="Bodoni MT" w:eastAsiaTheme="minorEastAsia" w:hAnsi="Bodoni MT" w:cs="Bodoni MT"/>
          <w:color w:val="000000"/>
          <w:sz w:val="24"/>
          <w:szCs w:val="24"/>
        </w:rPr>
        <w:t xml:space="preserve"> di euro) e nel Titolo VI “Accensione di prestiti” (+157 </w:t>
      </w:r>
      <w:r w:rsidR="00DC3A5C">
        <w:rPr>
          <w:rFonts w:ascii="Bodoni MT" w:eastAsiaTheme="minorEastAsia" w:hAnsi="Bodoni MT" w:cs="Bodoni MT"/>
          <w:color w:val="000000"/>
          <w:sz w:val="24"/>
          <w:szCs w:val="24"/>
        </w:rPr>
        <w:t>milioni</w:t>
      </w:r>
      <w:r w:rsidR="00DC3A5C" w:rsidRPr="007C335A">
        <w:rPr>
          <w:rFonts w:ascii="Bodoni MT" w:eastAsiaTheme="minorEastAsia" w:hAnsi="Bodoni MT" w:cs="Bodoni MT"/>
          <w:color w:val="000000"/>
          <w:sz w:val="24"/>
          <w:szCs w:val="24"/>
        </w:rPr>
        <w:t xml:space="preserve"> </w:t>
      </w:r>
      <w:r w:rsidRPr="007C335A">
        <w:rPr>
          <w:rFonts w:ascii="Bodoni MT" w:eastAsiaTheme="minorEastAsia" w:hAnsi="Bodoni MT" w:cs="Bodoni MT"/>
          <w:color w:val="000000"/>
          <w:sz w:val="24"/>
          <w:szCs w:val="24"/>
        </w:rPr>
        <w:t>di euro).</w:t>
      </w:r>
    </w:p>
    <w:p w:rsidR="00E93C34"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Con riguardo alle </w:t>
      </w:r>
      <w:r w:rsidRPr="007C335A">
        <w:rPr>
          <w:rFonts w:ascii="Bodoni MT" w:eastAsiaTheme="minorEastAsia" w:hAnsi="Bodoni MT" w:cs="Bodoni MT"/>
          <w:b/>
          <w:color w:val="000000"/>
          <w:sz w:val="24"/>
          <w:szCs w:val="24"/>
        </w:rPr>
        <w:t>previsioni di cassa in entrata</w:t>
      </w:r>
      <w:r w:rsidRPr="007C335A">
        <w:rPr>
          <w:rFonts w:ascii="Bodoni MT" w:eastAsiaTheme="minorEastAsia" w:hAnsi="Bodoni MT" w:cs="Bodoni MT"/>
          <w:color w:val="000000"/>
          <w:sz w:val="24"/>
          <w:szCs w:val="24"/>
        </w:rPr>
        <w:t>, con la legge di assestamento si è avuto un incremento complessivo del 17,32% circa. Le previsioni finali registrano un ulteriore ma esiguo incremento dello 0,06% determinando una variazione complessiva in valore assoluto, rispetto alle previsioni iniziali, pari a € 1.474.523.801,66. Nello specifico, la maggiore variazione si riscontra nel Titolo IV “Entrate in conto capitale” dove, a fronte di previsioni iniziali di € 383.602.702,75, le previsioni definitive si attestano su € 1.110.468.114,99. Si evidenzia la variazione di cassa del Titolo V “Entrate da riduzione di attività finanziarie”, le cui previsioni iniziali erano pari a zero, mentre quelle definitive sono state di € 411.272.418,</w:t>
      </w:r>
      <w:r w:rsidRPr="00905B43">
        <w:rPr>
          <w:rFonts w:ascii="Bodoni MT" w:eastAsiaTheme="minorEastAsia" w:hAnsi="Bodoni MT" w:cs="Bodoni MT"/>
          <w:sz w:val="24"/>
          <w:szCs w:val="24"/>
        </w:rPr>
        <w:t>81</w:t>
      </w:r>
      <w:r w:rsidR="00905B43">
        <w:rPr>
          <w:rFonts w:ascii="Bodoni MT" w:eastAsiaTheme="minorEastAsia" w:hAnsi="Bodoni MT" w:cs="Bodoni MT"/>
          <w:sz w:val="24"/>
          <w:szCs w:val="24"/>
        </w:rPr>
        <w:t xml:space="preserve">. </w:t>
      </w:r>
      <w:r w:rsidRPr="00905B43">
        <w:rPr>
          <w:rFonts w:ascii="Bodoni MT" w:eastAsiaTheme="minorEastAsia" w:hAnsi="Bodoni MT" w:cs="Bodoni MT"/>
          <w:sz w:val="24"/>
          <w:szCs w:val="24"/>
        </w:rPr>
        <w:t>Rilevanti</w:t>
      </w:r>
      <w:r w:rsidRPr="007C335A">
        <w:rPr>
          <w:rFonts w:ascii="Bodoni MT" w:eastAsiaTheme="minorEastAsia" w:hAnsi="Bodoni MT" w:cs="Bodoni MT"/>
          <w:color w:val="000000"/>
          <w:sz w:val="24"/>
          <w:szCs w:val="24"/>
        </w:rPr>
        <w:t xml:space="preserve"> anche le variazioni in aumento dei titoli VI “Accensione di prestiti” (+78,56%), del Titolo II “Trasferimenti correnti” (+41,16%) e del Titolo III “Entrate extratributarie</w:t>
      </w:r>
      <w:r w:rsidR="001354F9">
        <w:rPr>
          <w:rFonts w:ascii="Bodoni MT" w:eastAsiaTheme="minorEastAsia" w:hAnsi="Bodoni MT" w:cs="Bodoni MT"/>
          <w:color w:val="000000"/>
          <w:sz w:val="24"/>
          <w:szCs w:val="24"/>
        </w:rPr>
        <w:t>”</w:t>
      </w:r>
      <w:r w:rsidRPr="007C335A">
        <w:rPr>
          <w:rFonts w:ascii="Bodoni MT" w:eastAsiaTheme="minorEastAsia" w:hAnsi="Bodoni MT" w:cs="Bodoni MT"/>
          <w:color w:val="000000"/>
          <w:sz w:val="24"/>
          <w:szCs w:val="24"/>
        </w:rPr>
        <w:t xml:space="preserve"> (+161,18%). Per contro si registra una variazione in diminuzione, pari al 2,18%, delle Entrate di natura tributaria, contributiva e perequativa del Titolo I.</w:t>
      </w:r>
      <w:r w:rsidR="00800C4F">
        <w:rPr>
          <w:rFonts w:ascii="Bodoni MT" w:eastAsiaTheme="minorEastAsia" w:hAnsi="Bodoni MT" w:cs="Bodoni MT"/>
          <w:color w:val="000000"/>
          <w:sz w:val="24"/>
          <w:szCs w:val="24"/>
        </w:rPr>
        <w:t xml:space="preserve"> </w:t>
      </w:r>
    </w:p>
    <w:p w:rsidR="007C335A" w:rsidRPr="007C335A" w:rsidRDefault="00800C4F"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color w:val="000000"/>
          <w:sz w:val="24"/>
          <w:szCs w:val="24"/>
        </w:rPr>
        <w:t xml:space="preserve">In sintesi si nota che, salvo che per le entrate tributarie, per gli altri titoli di entrata si sono rilevati considerevoli errori di stima delle previsioni che hanno generato la necessità di correzioni importanti in sede di variazione. </w:t>
      </w:r>
      <w:r w:rsidR="00E93C34" w:rsidRPr="00E93C34">
        <w:rPr>
          <w:rFonts w:ascii="Bodoni MT" w:eastAsiaTheme="minorEastAsia" w:hAnsi="Bodoni MT" w:cs="Bodoni MT"/>
          <w:color w:val="000000"/>
          <w:sz w:val="24"/>
          <w:szCs w:val="24"/>
        </w:rPr>
        <w:t xml:space="preserve">Lo </w:t>
      </w:r>
      <w:r w:rsidRPr="00E93C34">
        <w:rPr>
          <w:rFonts w:ascii="Bodoni MT" w:eastAsiaTheme="minorEastAsia" w:hAnsi="Bodoni MT" w:cs="Bodoni MT"/>
          <w:color w:val="000000"/>
          <w:sz w:val="24"/>
          <w:szCs w:val="24"/>
        </w:rPr>
        <w:t xml:space="preserve">scostamento complessivo tra previsioni iniziali e definitive </w:t>
      </w:r>
      <w:r w:rsidR="00E93C34">
        <w:rPr>
          <w:rFonts w:ascii="Bodoni MT" w:eastAsiaTheme="minorEastAsia" w:hAnsi="Bodoni MT" w:cs="Bodoni MT"/>
          <w:color w:val="000000"/>
          <w:sz w:val="24"/>
          <w:szCs w:val="24"/>
        </w:rPr>
        <w:t>risultato</w:t>
      </w:r>
      <w:r w:rsidRPr="00E93C34">
        <w:rPr>
          <w:rFonts w:ascii="Bodoni MT" w:eastAsiaTheme="minorEastAsia" w:hAnsi="Bodoni MT" w:cs="Bodoni MT"/>
          <w:color w:val="000000"/>
          <w:sz w:val="24"/>
          <w:szCs w:val="24"/>
        </w:rPr>
        <w:t xml:space="preserve"> </w:t>
      </w:r>
      <w:r w:rsidR="00E93C34">
        <w:rPr>
          <w:rFonts w:ascii="Bodoni MT" w:eastAsiaTheme="minorEastAsia" w:hAnsi="Bodoni MT" w:cs="Bodoni MT"/>
          <w:color w:val="000000"/>
          <w:sz w:val="24"/>
          <w:szCs w:val="24"/>
        </w:rPr>
        <w:t xml:space="preserve">molto rilevante </w:t>
      </w:r>
      <w:r w:rsidRPr="00E93C34">
        <w:rPr>
          <w:rFonts w:ascii="Bodoni MT" w:eastAsiaTheme="minorEastAsia" w:hAnsi="Bodoni MT" w:cs="Bodoni MT"/>
          <w:color w:val="000000"/>
          <w:sz w:val="24"/>
          <w:szCs w:val="24"/>
        </w:rPr>
        <w:t>è indice di una programmazione di bilancio poco attendibile.</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Le </w:t>
      </w:r>
      <w:r w:rsidRPr="007C335A">
        <w:rPr>
          <w:rFonts w:ascii="Bodoni MT" w:eastAsiaTheme="minorEastAsia" w:hAnsi="Bodoni MT" w:cs="Bodoni MT"/>
          <w:b/>
          <w:color w:val="000000"/>
          <w:sz w:val="24"/>
          <w:szCs w:val="24"/>
        </w:rPr>
        <w:t>previsioni complessive di spesa</w:t>
      </w:r>
      <w:r w:rsidRPr="007C335A">
        <w:rPr>
          <w:rFonts w:ascii="Bodoni MT" w:eastAsiaTheme="minorEastAsia" w:hAnsi="Bodoni MT" w:cs="Bodoni MT"/>
          <w:color w:val="000000"/>
          <w:sz w:val="24"/>
          <w:szCs w:val="24"/>
        </w:rPr>
        <w:t xml:space="preserve"> </w:t>
      </w:r>
      <w:r w:rsidR="001354F9">
        <w:rPr>
          <w:rFonts w:ascii="Bodoni MT" w:eastAsiaTheme="minorEastAsia" w:hAnsi="Bodoni MT" w:cs="Bodoni MT"/>
          <w:color w:val="000000"/>
          <w:sz w:val="24"/>
          <w:szCs w:val="24"/>
        </w:rPr>
        <w:t xml:space="preserve">(di competenza) </w:t>
      </w:r>
      <w:r w:rsidRPr="007C335A">
        <w:rPr>
          <w:rFonts w:ascii="Bodoni MT" w:eastAsiaTheme="minorEastAsia" w:hAnsi="Bodoni MT" w:cs="Bodoni MT"/>
          <w:color w:val="000000"/>
          <w:sz w:val="24"/>
          <w:szCs w:val="24"/>
        </w:rPr>
        <w:t xml:space="preserve">registrano una variazione del 20,66% in assestamento e del 20,74% in sede di previsioni definitive, </w:t>
      </w:r>
      <w:r w:rsidRPr="000D1769">
        <w:rPr>
          <w:rFonts w:ascii="Bodoni MT" w:eastAsiaTheme="minorEastAsia" w:hAnsi="Bodoni MT" w:cs="Bodoni MT"/>
          <w:b/>
          <w:color w:val="000000"/>
          <w:sz w:val="24"/>
          <w:szCs w:val="24"/>
        </w:rPr>
        <w:t>pari a € 1.836.377.982,53 rispetto alle previsioni iniziali di €</w:t>
      </w:r>
      <w:r w:rsidR="00AB0398" w:rsidRPr="000D1769">
        <w:rPr>
          <w:rFonts w:ascii="Bodoni MT" w:eastAsiaTheme="minorEastAsia" w:hAnsi="Bodoni MT" w:cs="Bodoni MT"/>
          <w:b/>
          <w:color w:val="000000"/>
          <w:sz w:val="24"/>
          <w:szCs w:val="24"/>
        </w:rPr>
        <w:t> </w:t>
      </w:r>
      <w:r w:rsidRPr="000D1769">
        <w:rPr>
          <w:rFonts w:ascii="Bodoni MT" w:eastAsiaTheme="minorEastAsia" w:hAnsi="Bodoni MT" w:cs="Bodoni MT"/>
          <w:b/>
          <w:color w:val="000000"/>
          <w:sz w:val="24"/>
          <w:szCs w:val="24"/>
        </w:rPr>
        <w:t>8.852.786.077,09</w:t>
      </w:r>
      <w:r w:rsidRPr="007C335A">
        <w:rPr>
          <w:rFonts w:ascii="Bodoni MT" w:eastAsiaTheme="minorEastAsia" w:hAnsi="Bodoni MT" w:cs="Bodoni MT"/>
          <w:color w:val="000000"/>
          <w:sz w:val="24"/>
          <w:szCs w:val="24"/>
        </w:rPr>
        <w:t>. Tale maggiorazione è anche conseguenza delle reimputazioni effettuate in sede di applicazione dei risultati del riaccertamento ordinario al 31/12/2015. Infatti, come già detto in precedenza, alla competenza 2016 sono stati reimputati debiti complessivi non coperti dal FPV per € 414.431.259,00 (di cui € 87.825.893,69 dal</w:t>
      </w:r>
      <w:r w:rsidR="00331C1E">
        <w:rPr>
          <w:rFonts w:ascii="Bodoni MT" w:eastAsiaTheme="minorEastAsia" w:hAnsi="Bodoni MT" w:cs="Bodoni MT"/>
          <w:color w:val="000000"/>
          <w:sz w:val="24"/>
          <w:szCs w:val="24"/>
        </w:rPr>
        <w:t>la competenza pura del 2015 e € </w:t>
      </w:r>
      <w:r w:rsidRPr="007C335A">
        <w:rPr>
          <w:rFonts w:ascii="Bodoni MT" w:eastAsiaTheme="minorEastAsia" w:hAnsi="Bodoni MT" w:cs="Bodoni MT"/>
          <w:color w:val="000000"/>
          <w:sz w:val="24"/>
          <w:szCs w:val="24"/>
        </w:rPr>
        <w:t xml:space="preserve">326.605.365,31 dal </w:t>
      </w:r>
      <w:r w:rsidR="00331C1E">
        <w:rPr>
          <w:rFonts w:ascii="Bodoni MT" w:eastAsiaTheme="minorEastAsia" w:hAnsi="Bodoni MT" w:cs="Bodoni MT"/>
          <w:color w:val="000000"/>
          <w:sz w:val="24"/>
          <w:szCs w:val="24"/>
        </w:rPr>
        <w:t>riaccertamento straordinario all’</w:t>
      </w:r>
      <w:r w:rsidRPr="007C335A">
        <w:rPr>
          <w:rFonts w:ascii="Bodoni MT" w:eastAsiaTheme="minorEastAsia" w:hAnsi="Bodoni MT" w:cs="Bodoni MT"/>
          <w:color w:val="000000"/>
          <w:sz w:val="24"/>
          <w:szCs w:val="24"/>
        </w:rPr>
        <w:t>01/01/2015)</w:t>
      </w:r>
      <w:r w:rsidRPr="007C335A">
        <w:rPr>
          <w:rFonts w:ascii="Bodoni MT" w:eastAsiaTheme="minorEastAsia" w:hAnsi="Bodoni MT" w:cs="Bodoni MT"/>
          <w:color w:val="000000"/>
          <w:sz w:val="24"/>
          <w:szCs w:val="24"/>
          <w:vertAlign w:val="superscript"/>
        </w:rPr>
        <w:footnoteReference w:id="69"/>
      </w:r>
      <w:r w:rsidRPr="007C335A">
        <w:rPr>
          <w:rFonts w:ascii="Bodoni MT" w:eastAsiaTheme="minorEastAsia" w:hAnsi="Bodoni MT" w:cs="Bodoni MT"/>
          <w:color w:val="000000"/>
          <w:sz w:val="24"/>
          <w:szCs w:val="24"/>
        </w:rPr>
        <w:t>, e ulteriori impegni coperti dal FPV per un importo di €</w:t>
      </w:r>
      <w:r w:rsidR="00331C1E">
        <w:rPr>
          <w:rFonts w:ascii="Bodoni MT" w:eastAsiaTheme="minorEastAsia" w:hAnsi="Bodoni MT" w:cs="Bodoni MT"/>
          <w:color w:val="000000"/>
          <w:sz w:val="24"/>
          <w:szCs w:val="24"/>
        </w:rPr>
        <w:t xml:space="preserve"> </w:t>
      </w:r>
      <w:r w:rsidRPr="007C335A">
        <w:rPr>
          <w:rFonts w:ascii="Bodoni MT" w:eastAsiaTheme="minorEastAsia" w:hAnsi="Bodoni MT" w:cs="Bodoni MT"/>
          <w:color w:val="000000"/>
          <w:sz w:val="24"/>
          <w:szCs w:val="24"/>
        </w:rPr>
        <w:t>42.862.906,35</w:t>
      </w:r>
      <w:r w:rsidRPr="007C335A">
        <w:rPr>
          <w:rFonts w:ascii="Bodoni MT" w:eastAsiaTheme="minorEastAsia" w:hAnsi="Bodoni MT" w:cs="Bodoni MT"/>
          <w:color w:val="000000"/>
          <w:sz w:val="24"/>
          <w:szCs w:val="24"/>
          <w:vertAlign w:val="superscript"/>
        </w:rPr>
        <w:footnoteReference w:id="70"/>
      </w:r>
      <w:r w:rsidRPr="007C335A">
        <w:rPr>
          <w:rFonts w:ascii="Bodoni MT" w:eastAsiaTheme="minorEastAsia" w:hAnsi="Bodoni MT" w:cs="Bodoni MT"/>
          <w:color w:val="000000"/>
          <w:sz w:val="24"/>
          <w:szCs w:val="24"/>
        </w:rPr>
        <w:t xml:space="preserve">. Per effetto del riaccertamento ordinario 2015 e delle altre variazioni intervenute in corso di esercizio, le previsioni definitive di spesa si </w:t>
      </w:r>
      <w:r w:rsidR="00331C1E">
        <w:rPr>
          <w:rFonts w:ascii="Bodoni MT" w:eastAsiaTheme="minorEastAsia" w:hAnsi="Bodoni MT" w:cs="Bodoni MT"/>
          <w:color w:val="000000"/>
          <w:sz w:val="24"/>
          <w:szCs w:val="24"/>
        </w:rPr>
        <w:t xml:space="preserve">attestano complessivamente su € </w:t>
      </w:r>
      <w:r w:rsidRPr="007C335A">
        <w:rPr>
          <w:rFonts w:ascii="Bodoni MT" w:eastAsiaTheme="minorEastAsia" w:hAnsi="Bodoni MT" w:cs="Bodoni MT"/>
          <w:color w:val="000000"/>
          <w:sz w:val="24"/>
          <w:szCs w:val="24"/>
        </w:rPr>
        <w:t>10.689.164.059,62 (+0,07</w:t>
      </w:r>
      <w:r w:rsidR="000D1769">
        <w:rPr>
          <w:rFonts w:ascii="Bodoni MT" w:eastAsiaTheme="minorEastAsia" w:hAnsi="Bodoni MT" w:cs="Bodoni MT"/>
          <w:color w:val="000000"/>
          <w:sz w:val="24"/>
          <w:szCs w:val="24"/>
        </w:rPr>
        <w:t>%</w:t>
      </w:r>
      <w:r w:rsidRPr="007C335A">
        <w:rPr>
          <w:rFonts w:ascii="Bodoni MT" w:eastAsiaTheme="minorEastAsia" w:hAnsi="Bodoni MT" w:cs="Bodoni MT"/>
          <w:color w:val="000000"/>
          <w:sz w:val="24"/>
          <w:szCs w:val="24"/>
        </w:rPr>
        <w:t xml:space="preserve"> rispetto al </w:t>
      </w:r>
      <w:r w:rsidR="00331C1E">
        <w:rPr>
          <w:rFonts w:ascii="Bodoni MT" w:eastAsiaTheme="minorEastAsia" w:hAnsi="Bodoni MT" w:cs="Bodoni MT"/>
          <w:color w:val="000000"/>
          <w:sz w:val="24"/>
          <w:szCs w:val="24"/>
        </w:rPr>
        <w:t xml:space="preserve">totale </w:t>
      </w:r>
      <w:r w:rsidR="00331C1E">
        <w:rPr>
          <w:rFonts w:ascii="Bodoni MT" w:eastAsiaTheme="minorEastAsia" w:hAnsi="Bodoni MT" w:cs="Bodoni MT"/>
          <w:color w:val="000000"/>
          <w:sz w:val="24"/>
          <w:szCs w:val="24"/>
        </w:rPr>
        <w:lastRenderedPageBreak/>
        <w:t>assestato di € </w:t>
      </w:r>
      <w:r w:rsidRPr="007C335A">
        <w:rPr>
          <w:rFonts w:ascii="Bodoni MT" w:eastAsiaTheme="minorEastAsia" w:hAnsi="Bodoni MT" w:cs="Bodoni MT"/>
          <w:color w:val="000000"/>
          <w:sz w:val="24"/>
          <w:szCs w:val="24"/>
        </w:rPr>
        <w:t xml:space="preserve">10.681.457.612,95). Le variazioni in aumento più significative si riscontrano nel Titolo II “Spese in conto capitale”, con un incremento di 985,697 </w:t>
      </w:r>
      <w:r w:rsidR="00331C1E">
        <w:rPr>
          <w:rFonts w:ascii="Bodoni MT" w:eastAsiaTheme="minorEastAsia" w:hAnsi="Bodoni MT" w:cs="Bodoni MT"/>
          <w:color w:val="000000"/>
          <w:sz w:val="24"/>
          <w:szCs w:val="24"/>
        </w:rPr>
        <w:t>milioni</w:t>
      </w:r>
      <w:r w:rsidRPr="007C335A">
        <w:rPr>
          <w:rFonts w:ascii="Bodoni MT" w:eastAsiaTheme="minorEastAsia" w:hAnsi="Bodoni MT" w:cs="Bodoni MT"/>
          <w:color w:val="000000"/>
          <w:sz w:val="24"/>
          <w:szCs w:val="24"/>
        </w:rPr>
        <w:t xml:space="preserve"> di euro, pari al 77,37% in più rispetto alle previsioni iniziali</w:t>
      </w:r>
      <w:r w:rsidR="004B78CB">
        <w:rPr>
          <w:rFonts w:ascii="Bodoni MT" w:eastAsiaTheme="minorEastAsia" w:hAnsi="Bodoni MT" w:cs="Bodoni MT"/>
          <w:color w:val="000000"/>
          <w:sz w:val="24"/>
          <w:szCs w:val="24"/>
        </w:rPr>
        <w:t xml:space="preserve"> </w:t>
      </w:r>
      <w:r w:rsidR="00E93C34">
        <w:rPr>
          <w:rFonts w:ascii="Bodoni MT" w:eastAsiaTheme="minorEastAsia" w:hAnsi="Bodoni MT" w:cs="Bodoni MT"/>
          <w:color w:val="000000"/>
          <w:sz w:val="24"/>
          <w:szCs w:val="24"/>
        </w:rPr>
        <w:t>(cui è corrisposto un aumento dell’entrata in conto capitale e per accensione prestiti)</w:t>
      </w:r>
      <w:r w:rsidRPr="007C335A">
        <w:rPr>
          <w:rFonts w:ascii="Bodoni MT" w:eastAsiaTheme="minorEastAsia" w:hAnsi="Bodoni MT" w:cs="Bodoni MT"/>
          <w:color w:val="000000"/>
          <w:sz w:val="24"/>
          <w:szCs w:val="24"/>
        </w:rPr>
        <w:t>; nel Titolo I “Spese correnti”, con un incremento di 30</w:t>
      </w:r>
      <w:r w:rsidR="000D1769">
        <w:rPr>
          <w:rFonts w:ascii="Bodoni MT" w:eastAsiaTheme="minorEastAsia" w:hAnsi="Bodoni MT" w:cs="Bodoni MT"/>
          <w:color w:val="000000"/>
          <w:sz w:val="24"/>
          <w:szCs w:val="24"/>
        </w:rPr>
        <w:t xml:space="preserve">8,864 </w:t>
      </w:r>
      <w:r w:rsidR="001228FE" w:rsidRPr="001228FE">
        <w:rPr>
          <w:rFonts w:ascii="Bodoni MT" w:hAnsi="Bodoni MT"/>
          <w:sz w:val="24"/>
          <w:szCs w:val="24"/>
        </w:rPr>
        <w:t>milioni</w:t>
      </w:r>
      <w:r w:rsidR="001228FE" w:rsidRPr="001228FE">
        <w:rPr>
          <w:rFonts w:ascii="Bodoni MT" w:hAnsi="Bodoni MT"/>
        </w:rPr>
        <w:t xml:space="preserve"> </w:t>
      </w:r>
      <w:r w:rsidR="000D1769">
        <w:rPr>
          <w:rFonts w:ascii="Bodoni MT" w:eastAsiaTheme="minorEastAsia" w:hAnsi="Bodoni MT" w:cs="Bodoni MT"/>
          <w:color w:val="000000"/>
          <w:sz w:val="24"/>
          <w:szCs w:val="24"/>
        </w:rPr>
        <w:t>di euro (pari a +4,67</w:t>
      </w:r>
      <w:r w:rsidRPr="007C335A">
        <w:rPr>
          <w:rFonts w:ascii="Bodoni MT" w:eastAsiaTheme="minorEastAsia" w:hAnsi="Bodoni MT" w:cs="Bodoni MT"/>
          <w:color w:val="000000"/>
          <w:sz w:val="24"/>
          <w:szCs w:val="24"/>
        </w:rPr>
        <w:t xml:space="preserve">% delle previsioni iniziali); nel Titolo III “Spese per incremento di attività finanziarie” dove si registrano previsioni definitive di 411,306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 xml:space="preserve">di euro a fronte di previsioni iniziali di 15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di euro</w:t>
      </w:r>
      <w:r w:rsidR="00E93C34">
        <w:rPr>
          <w:rFonts w:ascii="Bodoni MT" w:eastAsiaTheme="minorEastAsia" w:hAnsi="Bodoni MT" w:cs="Bodoni MT"/>
          <w:color w:val="000000"/>
          <w:sz w:val="24"/>
          <w:szCs w:val="24"/>
        </w:rPr>
        <w:t>.</w:t>
      </w:r>
    </w:p>
    <w:p w:rsidR="007C335A" w:rsidRPr="007C335A" w:rsidRDefault="007C335A" w:rsidP="007C335A">
      <w:pPr>
        <w:spacing w:line="360" w:lineRule="auto"/>
        <w:jc w:val="both"/>
        <w:rPr>
          <w:rFonts w:ascii="Bodoni MT" w:hAnsi="Bodoni MT"/>
          <w:sz w:val="24"/>
          <w:szCs w:val="24"/>
        </w:rPr>
      </w:pPr>
      <w:r w:rsidRPr="007C335A">
        <w:rPr>
          <w:rFonts w:ascii="Bodoni MT" w:hAnsi="Bodoni MT"/>
          <w:sz w:val="24"/>
          <w:szCs w:val="24"/>
        </w:rPr>
        <w:t xml:space="preserve">Anche le </w:t>
      </w:r>
      <w:r w:rsidRPr="007C335A">
        <w:rPr>
          <w:rFonts w:ascii="Bodoni MT" w:hAnsi="Bodoni MT"/>
          <w:b/>
          <w:sz w:val="24"/>
          <w:szCs w:val="24"/>
        </w:rPr>
        <w:t xml:space="preserve">previsioni definitive di cassa in spesa </w:t>
      </w:r>
      <w:r w:rsidRPr="007C335A">
        <w:rPr>
          <w:rFonts w:ascii="Bodoni MT" w:hAnsi="Bodoni MT"/>
          <w:sz w:val="24"/>
          <w:szCs w:val="24"/>
        </w:rPr>
        <w:t xml:space="preserve">registrano un aumento complessivo del </w:t>
      </w:r>
      <w:r w:rsidRPr="000D1769">
        <w:rPr>
          <w:rFonts w:ascii="Bodoni MT" w:hAnsi="Bodoni MT"/>
          <w:b/>
          <w:sz w:val="24"/>
          <w:szCs w:val="24"/>
        </w:rPr>
        <w:t>17,32%</w:t>
      </w:r>
      <w:r w:rsidRPr="007C335A">
        <w:rPr>
          <w:rFonts w:ascii="Bodoni MT" w:hAnsi="Bodoni MT"/>
          <w:sz w:val="24"/>
          <w:szCs w:val="24"/>
        </w:rPr>
        <w:t xml:space="preserve"> rispetto alle previsioni iniziali. I maggiori scostamenti si rilevano in relazione alle spese in conto capitale del Titolo II, con un aumento del 45,8%, e alle spese per incremento di attività finanziaria che da una previsione iniziale di 15 </w:t>
      </w:r>
      <w:r w:rsidR="001228FE" w:rsidRPr="001228FE">
        <w:rPr>
          <w:rFonts w:ascii="Bodoni MT" w:hAnsi="Bodoni MT"/>
          <w:sz w:val="24"/>
          <w:szCs w:val="24"/>
        </w:rPr>
        <w:t>milioni</w:t>
      </w:r>
      <w:r w:rsidR="001228FE" w:rsidRPr="007C335A">
        <w:t xml:space="preserve"> </w:t>
      </w:r>
      <w:r w:rsidRPr="007C335A">
        <w:rPr>
          <w:rFonts w:ascii="Bodoni MT" w:hAnsi="Bodoni MT"/>
          <w:sz w:val="24"/>
          <w:szCs w:val="24"/>
        </w:rPr>
        <w:t xml:space="preserve">di euro sono passate a 426,306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hAnsi="Bodoni MT"/>
          <w:sz w:val="24"/>
          <w:szCs w:val="24"/>
        </w:rPr>
        <w:t xml:space="preserve">di euro in sede di previsioni finali. Maggiore, in valore assoluto, l’incremento della cassa del Titolo I (800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hAnsi="Bodoni MT"/>
          <w:sz w:val="24"/>
          <w:szCs w:val="24"/>
        </w:rPr>
        <w:t>di euro circa).</w:t>
      </w:r>
    </w:p>
    <w:p w:rsidR="007C335A" w:rsidRPr="007C335A" w:rsidRDefault="007C335A" w:rsidP="007C335A">
      <w:pPr>
        <w:pStyle w:val="Didascalia"/>
        <w:rPr>
          <w:sz w:val="24"/>
          <w:szCs w:val="24"/>
        </w:rPr>
      </w:pPr>
      <w:bookmarkStart w:id="57" w:name="_Toc499040987"/>
      <w:bookmarkStart w:id="58" w:name="_Toc507422705"/>
      <w:r>
        <w:t xml:space="preserve">Grafico </w:t>
      </w:r>
      <w:r w:rsidR="00B90472">
        <w:fldChar w:fldCharType="begin"/>
      </w:r>
      <w:r w:rsidR="00B90472">
        <w:instrText xml:space="preserve"> SEQ Grafico \* ARABIC </w:instrText>
      </w:r>
      <w:r w:rsidR="00B90472">
        <w:fldChar w:fldCharType="separate"/>
      </w:r>
      <w:r w:rsidR="008616B3">
        <w:rPr>
          <w:noProof/>
        </w:rPr>
        <w:t>2</w:t>
      </w:r>
      <w:r w:rsidR="00B90472">
        <w:rPr>
          <w:noProof/>
        </w:rPr>
        <w:fldChar w:fldCharType="end"/>
      </w:r>
      <w:r w:rsidRPr="007C335A">
        <w:t xml:space="preserve"> – Spesa per titoli </w:t>
      </w:r>
      <w:r w:rsidR="00DA6D0C">
        <w:t xml:space="preserve">esercizio </w:t>
      </w:r>
      <w:r w:rsidRPr="007C335A">
        <w:t>2016 – Previsioni iniziali e finali di cassa</w:t>
      </w:r>
      <w:bookmarkEnd w:id="57"/>
      <w:bookmarkEnd w:id="58"/>
    </w:p>
    <w:p w:rsidR="007C335A" w:rsidRPr="007C335A" w:rsidRDefault="007C335A" w:rsidP="007C335A">
      <w:pPr>
        <w:spacing w:line="360" w:lineRule="auto"/>
        <w:jc w:val="center"/>
        <w:rPr>
          <w:rFonts w:ascii="Bodoni MT" w:hAnsi="Bodoni MT"/>
          <w:sz w:val="24"/>
          <w:szCs w:val="24"/>
        </w:rPr>
      </w:pPr>
      <w:r w:rsidRPr="007C335A">
        <w:rPr>
          <w:rFonts w:ascii="Bodoni MT" w:hAnsi="Bodoni MT"/>
          <w:noProof/>
          <w:sz w:val="24"/>
          <w:szCs w:val="24"/>
          <w:lang w:eastAsia="it-IT"/>
        </w:rPr>
        <w:drawing>
          <wp:inline distT="0" distB="0" distL="0" distR="0" wp14:anchorId="36E0DF84" wp14:editId="6BEB8B9D">
            <wp:extent cx="4584700" cy="2755900"/>
            <wp:effectExtent l="0" t="0" r="6350" b="635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C335A" w:rsidRPr="007C335A" w:rsidRDefault="007C335A" w:rsidP="007C335A">
      <w:pPr>
        <w:pStyle w:val="Titolo2"/>
      </w:pPr>
      <w:bookmarkStart w:id="59" w:name="_Toc498947666"/>
      <w:bookmarkStart w:id="60" w:name="_Toc498947701"/>
      <w:bookmarkStart w:id="61" w:name="_Toc498947755"/>
      <w:bookmarkStart w:id="62" w:name="_Toc498947789"/>
      <w:bookmarkStart w:id="63" w:name="_Toc498948159"/>
      <w:bookmarkStart w:id="64" w:name="_Toc498951140"/>
      <w:bookmarkStart w:id="65" w:name="_Toc498951216"/>
      <w:bookmarkStart w:id="66" w:name="_Toc498951302"/>
      <w:bookmarkStart w:id="67" w:name="_Toc498951336"/>
      <w:bookmarkStart w:id="68" w:name="_Toc498954430"/>
      <w:bookmarkStart w:id="69" w:name="_Toc498955549"/>
      <w:bookmarkStart w:id="70" w:name="_Toc498947667"/>
      <w:bookmarkStart w:id="71" w:name="_Toc498947702"/>
      <w:bookmarkStart w:id="72" w:name="_Toc498947756"/>
      <w:bookmarkStart w:id="73" w:name="_Toc498947790"/>
      <w:bookmarkStart w:id="74" w:name="_Toc498948160"/>
      <w:bookmarkStart w:id="75" w:name="_Toc498951141"/>
      <w:bookmarkStart w:id="76" w:name="_Toc498951217"/>
      <w:bookmarkStart w:id="77" w:name="_Toc498951303"/>
      <w:bookmarkStart w:id="78" w:name="_Toc498951337"/>
      <w:bookmarkStart w:id="79" w:name="_Toc498954431"/>
      <w:bookmarkStart w:id="80" w:name="_Toc498955550"/>
      <w:bookmarkStart w:id="81" w:name="_Toc499040919"/>
      <w:bookmarkStart w:id="82" w:name="_Toc507422621"/>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7C335A">
        <w:t>L’analisi delle previsioni definitive per Missioni</w:t>
      </w:r>
      <w:bookmarkEnd w:id="81"/>
      <w:bookmarkEnd w:id="82"/>
    </w:p>
    <w:p w:rsidR="000D1769" w:rsidRDefault="007C335A" w:rsidP="000D1769">
      <w:pPr>
        <w:pStyle w:val="CdcTesto"/>
      </w:pPr>
      <w:r w:rsidRPr="007C335A">
        <w:t xml:space="preserve">L’analisi delle previsioni definitive per Missioni mostra che i maggiori incrementi, in termini percentuali, si sono registrati nella Missione 19 “Relazioni Internazionali” il cui stanziamento iniziale di circa 2,5 </w:t>
      </w:r>
      <w:r w:rsidR="001228FE" w:rsidRPr="007C335A">
        <w:t xml:space="preserve">milioni </w:t>
      </w:r>
      <w:r w:rsidRPr="007C335A">
        <w:t>di euro, si è attestato in 55,5 milioni di euro circa. In valore assoluto, le variazioni più consistenti si sono riscontrate</w:t>
      </w:r>
      <w:r w:rsidR="000D1769">
        <w:t>:</w:t>
      </w:r>
    </w:p>
    <w:p w:rsidR="006F2258" w:rsidRDefault="007C335A" w:rsidP="007D10C5">
      <w:pPr>
        <w:pStyle w:val="CdcTesto"/>
        <w:numPr>
          <w:ilvl w:val="0"/>
          <w:numId w:val="10"/>
        </w:numPr>
        <w:tabs>
          <w:tab w:val="left" w:pos="142"/>
        </w:tabs>
      </w:pPr>
      <w:r w:rsidRPr="007C335A">
        <w:lastRenderedPageBreak/>
        <w:t xml:space="preserve">nella Missione 1 “Servizi Istituzionali, generali e di gestione” (342 </w:t>
      </w:r>
      <w:r w:rsidR="001228FE" w:rsidRPr="001228FE">
        <w:t xml:space="preserve">milioni </w:t>
      </w:r>
      <w:r w:rsidRPr="007C335A">
        <w:t xml:space="preserve">di euro circa pari a +37,69%); </w:t>
      </w:r>
    </w:p>
    <w:p w:rsidR="006F2258" w:rsidRDefault="007C335A" w:rsidP="007D10C5">
      <w:pPr>
        <w:pStyle w:val="CdcTesto"/>
        <w:numPr>
          <w:ilvl w:val="0"/>
          <w:numId w:val="10"/>
        </w:numPr>
        <w:tabs>
          <w:tab w:val="left" w:pos="284"/>
        </w:tabs>
      </w:pPr>
      <w:r w:rsidRPr="007C335A">
        <w:t xml:space="preserve">nella Missione 13 “Tutela della salute (207,682 </w:t>
      </w:r>
      <w:r w:rsidR="001228FE" w:rsidRPr="001228FE">
        <w:t xml:space="preserve">milioni </w:t>
      </w:r>
      <w:r w:rsidRPr="007C335A">
        <w:t xml:space="preserve">di euro circa pari a +6,12%); </w:t>
      </w:r>
    </w:p>
    <w:p w:rsidR="006F2258" w:rsidRDefault="007C335A" w:rsidP="007D10C5">
      <w:pPr>
        <w:pStyle w:val="CdcTesto"/>
        <w:numPr>
          <w:ilvl w:val="0"/>
          <w:numId w:val="10"/>
        </w:numPr>
        <w:tabs>
          <w:tab w:val="left" w:pos="284"/>
        </w:tabs>
      </w:pPr>
      <w:r w:rsidRPr="007C335A">
        <w:t xml:space="preserve">nella Missione 10 “Trasporti e diritto alla mobilità” (181,956 </w:t>
      </w:r>
      <w:r w:rsidR="001228FE" w:rsidRPr="001228FE">
        <w:t xml:space="preserve">milioni </w:t>
      </w:r>
      <w:r w:rsidRPr="007C335A">
        <w:t xml:space="preserve">di euro pari a +31,46%); </w:t>
      </w:r>
    </w:p>
    <w:p w:rsidR="006F2258" w:rsidRDefault="007C335A" w:rsidP="007D10C5">
      <w:pPr>
        <w:pStyle w:val="CdcTesto"/>
        <w:numPr>
          <w:ilvl w:val="0"/>
          <w:numId w:val="10"/>
        </w:numPr>
        <w:tabs>
          <w:tab w:val="left" w:pos="284"/>
        </w:tabs>
      </w:pPr>
      <w:r w:rsidRPr="007C335A">
        <w:t xml:space="preserve">nella Missione 14 “Sviluppo economico e competitività” (166,75 </w:t>
      </w:r>
      <w:r w:rsidR="001228FE" w:rsidRPr="001228FE">
        <w:t xml:space="preserve">milioni </w:t>
      </w:r>
      <w:r w:rsidRPr="007C335A">
        <w:t xml:space="preserve">di euro circa pari a +126,24%). </w:t>
      </w:r>
    </w:p>
    <w:p w:rsidR="007C335A" w:rsidRPr="00AB0398" w:rsidRDefault="007C335A" w:rsidP="006F2258">
      <w:pPr>
        <w:pStyle w:val="CdcTesto"/>
        <w:tabs>
          <w:tab w:val="left" w:pos="284"/>
        </w:tabs>
      </w:pPr>
      <w:r w:rsidRPr="007C335A">
        <w:t xml:space="preserve">Sono raddoppiate anche le previsioni della Missione 20 “Fondi e accantonamenti” (+138,416 </w:t>
      </w:r>
      <w:r w:rsidR="001228FE" w:rsidRPr="001228FE">
        <w:t xml:space="preserve">milioni </w:t>
      </w:r>
      <w:r w:rsidRPr="007C335A">
        <w:t xml:space="preserve">di euro), all’interno della quale è appostato il </w:t>
      </w:r>
      <w:r w:rsidRPr="006F2258">
        <w:rPr>
          <w:b/>
        </w:rPr>
        <w:t>Fondo crediti di dubbia esigibilità</w:t>
      </w:r>
      <w:r w:rsidRPr="007C335A">
        <w:t xml:space="preserve"> che, in sede di assestamento, ha subito variazioni in aumento per </w:t>
      </w:r>
      <w:r w:rsidR="00AB0398">
        <w:t>€ 9.005.000,00</w:t>
      </w:r>
      <w:r w:rsidRPr="007C335A">
        <w:rPr>
          <w:vertAlign w:val="superscript"/>
        </w:rPr>
        <w:footnoteReference w:id="71"/>
      </w:r>
      <w:r w:rsidRPr="007C335A">
        <w:t xml:space="preserve">, attestandosi poi in </w:t>
      </w:r>
      <w:r w:rsidR="006F2258">
        <w:t>€ </w:t>
      </w:r>
      <w:r w:rsidR="0093488F">
        <w:t>11.057.000,00</w:t>
      </w:r>
      <w:r w:rsidRPr="007C335A">
        <w:t xml:space="preserve"> nelle previsioni finali di spesa.</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In relazione al peso di ciascuna Missione</w:t>
      </w:r>
      <w:r w:rsidRPr="007C335A">
        <w:rPr>
          <w:rFonts w:ascii="Bodoni MT" w:eastAsiaTheme="minorEastAsia" w:hAnsi="Bodoni MT" w:cs="Bodoni MT"/>
          <w:color w:val="000000"/>
          <w:sz w:val="24"/>
          <w:szCs w:val="24"/>
          <w:vertAlign w:val="superscript"/>
        </w:rPr>
        <w:footnoteReference w:id="72"/>
      </w:r>
      <w:r w:rsidRPr="007C335A">
        <w:rPr>
          <w:rFonts w:ascii="Bodoni MT" w:eastAsiaTheme="minorEastAsia" w:hAnsi="Bodoni MT" w:cs="Bodoni MT"/>
          <w:color w:val="000000"/>
          <w:sz w:val="24"/>
          <w:szCs w:val="24"/>
        </w:rPr>
        <w:t xml:space="preserve"> sulle previsioni di bilancio, evidenziato nei grafici sottostanti, si riscontra la </w:t>
      </w:r>
      <w:r w:rsidRPr="00F940FB">
        <w:rPr>
          <w:rFonts w:ascii="Bodoni MT" w:eastAsiaTheme="minorEastAsia" w:hAnsi="Bodoni MT" w:cs="Bodoni MT"/>
          <w:b/>
          <w:color w:val="000000"/>
          <w:sz w:val="24"/>
          <w:szCs w:val="24"/>
        </w:rPr>
        <w:t>notevole incidenza della Missione 13 “Tutela della salute”,</w:t>
      </w:r>
      <w:r w:rsidRPr="007C335A">
        <w:rPr>
          <w:rFonts w:ascii="Bodoni MT" w:eastAsiaTheme="minorEastAsia" w:hAnsi="Bodoni MT" w:cs="Bodoni MT"/>
          <w:color w:val="000000"/>
          <w:sz w:val="24"/>
          <w:szCs w:val="24"/>
        </w:rPr>
        <w:t xml:space="preserve"> che rappresenta il 35,47% del complesso degli stanziamenti di competenza e il 40% circa degli stanziamenti di cassa, e della Missione 18 “Relazioni con le altre autonomie territoriali e locali” che incide per il 13,62% sulla competenza e per il 15,52% sulla cassa. Rilevante anche l’incidenza della Missione 1 “Servizi istituzionali” i cui stanziamenti costituiscono il 12,33% del totale (10,68% in termini di cassa).</w:t>
      </w:r>
    </w:p>
    <w:p w:rsidR="007C335A" w:rsidRDefault="004B78CB"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b/>
          <w:color w:val="000000"/>
          <w:sz w:val="24"/>
          <w:szCs w:val="24"/>
        </w:rPr>
        <w:lastRenderedPageBreak/>
        <w:t xml:space="preserve">Risultano di minore </w:t>
      </w:r>
      <w:r w:rsidR="007C335A" w:rsidRPr="00E93C34">
        <w:rPr>
          <w:rFonts w:ascii="Bodoni MT" w:eastAsiaTheme="minorEastAsia" w:hAnsi="Bodoni MT" w:cs="Bodoni MT"/>
          <w:b/>
          <w:color w:val="000000"/>
          <w:sz w:val="24"/>
          <w:szCs w:val="24"/>
        </w:rPr>
        <w:t>consistenza</w:t>
      </w:r>
      <w:r w:rsidR="0093488F">
        <w:rPr>
          <w:rFonts w:ascii="Bodoni MT" w:eastAsiaTheme="minorEastAsia" w:hAnsi="Bodoni MT" w:cs="Bodoni MT"/>
          <w:b/>
          <w:color w:val="000000"/>
          <w:sz w:val="24"/>
          <w:szCs w:val="24"/>
        </w:rPr>
        <w:t xml:space="preserve"> </w:t>
      </w:r>
      <w:r w:rsidR="007C335A" w:rsidRPr="00F940FB">
        <w:rPr>
          <w:rFonts w:ascii="Bodoni MT" w:eastAsiaTheme="minorEastAsia" w:hAnsi="Bodoni MT" w:cs="Bodoni MT"/>
          <w:b/>
          <w:color w:val="000000"/>
          <w:sz w:val="24"/>
          <w:szCs w:val="24"/>
        </w:rPr>
        <w:t>gli stanziamenti previsti nelle Missioni destinate alle politiche sociali e giovanili, allo studio, al lavoro, al turismo</w:t>
      </w:r>
      <w:r w:rsidR="007C335A" w:rsidRPr="007C335A">
        <w:rPr>
          <w:rFonts w:ascii="Bodoni MT" w:eastAsiaTheme="minorEastAsia" w:hAnsi="Bodoni MT" w:cs="Bodoni MT"/>
          <w:color w:val="000000"/>
          <w:sz w:val="24"/>
          <w:szCs w:val="24"/>
        </w:rPr>
        <w:t xml:space="preserve"> (Missioni 4, 5, 6, 7, 12 e 15), alle quali sono destinate complessivamente solo </w:t>
      </w:r>
      <w:r w:rsidR="007C335A" w:rsidRPr="00F940FB">
        <w:rPr>
          <w:rFonts w:ascii="Bodoni MT" w:eastAsiaTheme="minorEastAsia" w:hAnsi="Bodoni MT" w:cs="Bodoni MT"/>
          <w:b/>
          <w:color w:val="000000"/>
          <w:sz w:val="24"/>
          <w:szCs w:val="24"/>
        </w:rPr>
        <w:t>l’8,73% degli stanziamenti di bilancio</w:t>
      </w:r>
      <w:r w:rsidR="007C335A" w:rsidRPr="007C335A">
        <w:rPr>
          <w:rFonts w:ascii="Bodoni MT" w:eastAsiaTheme="minorEastAsia" w:hAnsi="Bodoni MT" w:cs="Bodoni MT"/>
          <w:color w:val="000000"/>
          <w:sz w:val="24"/>
          <w:szCs w:val="24"/>
        </w:rPr>
        <w:t>.</w:t>
      </w:r>
    </w:p>
    <w:p w:rsidR="00C22E8C" w:rsidRDefault="00C22E8C"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E’ da considerare al riguardo che la dotazione degli stanziamenti è condizionata dall’andamento delle diversi fonti che li alimentano di origine statale, regionale e comunitaria.</w:t>
      </w:r>
    </w:p>
    <w:p w:rsidR="007C335A" w:rsidRPr="007C335A" w:rsidRDefault="007C335A" w:rsidP="007C335A">
      <w:pPr>
        <w:pStyle w:val="Didascalia"/>
        <w:rPr>
          <w:sz w:val="24"/>
          <w:szCs w:val="24"/>
        </w:rPr>
      </w:pPr>
      <w:bookmarkStart w:id="83" w:name="_Toc499040988"/>
      <w:bookmarkStart w:id="84" w:name="_Toc507422706"/>
      <w:r>
        <w:t xml:space="preserve">Grafico </w:t>
      </w:r>
      <w:r w:rsidR="00B90472">
        <w:fldChar w:fldCharType="begin"/>
      </w:r>
      <w:r w:rsidR="00B90472">
        <w:instrText xml:space="preserve"> SEQ Grafico \* ARABIC </w:instrText>
      </w:r>
      <w:r w:rsidR="00B90472">
        <w:fldChar w:fldCharType="separate"/>
      </w:r>
      <w:r w:rsidR="008616B3">
        <w:rPr>
          <w:noProof/>
        </w:rPr>
        <w:t>3</w:t>
      </w:r>
      <w:r w:rsidR="00B90472">
        <w:rPr>
          <w:noProof/>
        </w:rPr>
        <w:fldChar w:fldCharType="end"/>
      </w:r>
      <w:r w:rsidRPr="007C335A">
        <w:rPr>
          <w:sz w:val="24"/>
          <w:szCs w:val="24"/>
        </w:rPr>
        <w:t xml:space="preserve"> – Spesa per Missioni esercizio 2016 – Previsioni definitive di competenza</w:t>
      </w:r>
      <w:bookmarkEnd w:id="83"/>
      <w:bookmarkEnd w:id="84"/>
    </w:p>
    <w:p w:rsidR="007C335A" w:rsidRPr="007C335A" w:rsidRDefault="007C335A" w:rsidP="007C335A">
      <w:pPr>
        <w:spacing w:line="360" w:lineRule="auto"/>
        <w:jc w:val="center"/>
        <w:rPr>
          <w:rFonts w:ascii="Bodoni MT" w:hAnsi="Bodoni MT"/>
          <w:sz w:val="24"/>
          <w:szCs w:val="24"/>
        </w:rPr>
      </w:pPr>
      <w:r w:rsidRPr="007C335A">
        <w:rPr>
          <w:rFonts w:ascii="Bodoni MT" w:hAnsi="Bodoni MT"/>
          <w:noProof/>
          <w:sz w:val="24"/>
          <w:szCs w:val="24"/>
          <w:lang w:eastAsia="it-IT"/>
        </w:rPr>
        <w:drawing>
          <wp:inline distT="0" distB="0" distL="0" distR="0" wp14:anchorId="4657FCDF" wp14:editId="388CD426">
            <wp:extent cx="6066155" cy="3377565"/>
            <wp:effectExtent l="0" t="0" r="0" b="0"/>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6155" cy="3377565"/>
                    </a:xfrm>
                    <a:prstGeom prst="rect">
                      <a:avLst/>
                    </a:prstGeom>
                    <a:noFill/>
                  </pic:spPr>
                </pic:pic>
              </a:graphicData>
            </a:graphic>
          </wp:inline>
        </w:drawing>
      </w:r>
    </w:p>
    <w:p w:rsidR="007C335A" w:rsidRPr="007C335A" w:rsidRDefault="007C335A" w:rsidP="007C335A">
      <w:pPr>
        <w:rPr>
          <w:rFonts w:ascii="Bodoni MT" w:hAnsi="Bodoni MT"/>
          <w:sz w:val="24"/>
          <w:szCs w:val="24"/>
        </w:rPr>
      </w:pPr>
    </w:p>
    <w:p w:rsidR="007C335A" w:rsidRPr="007C335A" w:rsidRDefault="007C335A" w:rsidP="007C335A">
      <w:pPr>
        <w:pStyle w:val="Didascalia"/>
        <w:rPr>
          <w:sz w:val="24"/>
          <w:szCs w:val="24"/>
        </w:rPr>
      </w:pPr>
      <w:bookmarkStart w:id="85" w:name="_Toc499040989"/>
      <w:bookmarkStart w:id="86" w:name="_Toc507422707"/>
      <w:r>
        <w:t xml:space="preserve">Grafico </w:t>
      </w:r>
      <w:r w:rsidR="00B90472">
        <w:fldChar w:fldCharType="begin"/>
      </w:r>
      <w:r w:rsidR="00B90472">
        <w:instrText xml:space="preserve"> SEQ Grafico \* ARABIC </w:instrText>
      </w:r>
      <w:r w:rsidR="00B90472">
        <w:fldChar w:fldCharType="separate"/>
      </w:r>
      <w:r w:rsidR="008616B3">
        <w:rPr>
          <w:noProof/>
        </w:rPr>
        <w:t>4</w:t>
      </w:r>
      <w:r w:rsidR="00B90472">
        <w:rPr>
          <w:noProof/>
        </w:rPr>
        <w:fldChar w:fldCharType="end"/>
      </w:r>
      <w:r w:rsidRPr="007C335A">
        <w:rPr>
          <w:sz w:val="24"/>
          <w:szCs w:val="24"/>
        </w:rPr>
        <w:t xml:space="preserve"> – Spesa per Missioni esercizio 2016 – Previsioni definitive di cassa</w:t>
      </w:r>
      <w:bookmarkEnd w:id="85"/>
      <w:bookmarkEnd w:id="86"/>
    </w:p>
    <w:p w:rsidR="007C335A" w:rsidRPr="007C335A" w:rsidRDefault="007C335A" w:rsidP="007C335A">
      <w:pPr>
        <w:jc w:val="center"/>
      </w:pPr>
      <w:r w:rsidRPr="007C335A">
        <w:rPr>
          <w:noProof/>
          <w:lang w:eastAsia="it-IT"/>
        </w:rPr>
        <w:lastRenderedPageBreak/>
        <w:drawing>
          <wp:inline distT="0" distB="0" distL="0" distR="0" wp14:anchorId="0DB3872E" wp14:editId="3B55AD3A">
            <wp:extent cx="5761355" cy="3621405"/>
            <wp:effectExtent l="0" t="0" r="0" b="0"/>
            <wp:docPr id="195"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3621405"/>
                    </a:xfrm>
                    <a:prstGeom prst="rect">
                      <a:avLst/>
                    </a:prstGeom>
                    <a:noFill/>
                  </pic:spPr>
                </pic:pic>
              </a:graphicData>
            </a:graphic>
          </wp:inline>
        </w:drawing>
      </w:r>
    </w:p>
    <w:p w:rsidR="007C335A" w:rsidRPr="007C335A" w:rsidRDefault="007C335A" w:rsidP="007C335A">
      <w:pPr>
        <w:rPr>
          <w:rFonts w:ascii="Bodoni MT" w:eastAsiaTheme="majorEastAsia" w:hAnsi="Bodoni MT" w:cstheme="majorBidi"/>
          <w:b/>
          <w:color w:val="000000" w:themeColor="text1"/>
          <w:sz w:val="32"/>
          <w:szCs w:val="36"/>
        </w:rPr>
      </w:pPr>
      <w:r w:rsidRPr="007C335A">
        <w:br w:type="page"/>
      </w:r>
    </w:p>
    <w:p w:rsidR="007C335A" w:rsidRPr="007C335A" w:rsidRDefault="007C335A" w:rsidP="007C335A">
      <w:pPr>
        <w:pStyle w:val="Titolo2"/>
      </w:pPr>
      <w:bookmarkStart w:id="87" w:name="_Toc499040920"/>
      <w:bookmarkStart w:id="88" w:name="_Toc507422622"/>
      <w:r w:rsidRPr="007C335A">
        <w:lastRenderedPageBreak/>
        <w:t>Il confronto delle Previsioni Finali Esercizi 2015 e 2016</w:t>
      </w:r>
      <w:bookmarkEnd w:id="87"/>
      <w:bookmarkEnd w:id="88"/>
    </w:p>
    <w:p w:rsidR="007C335A" w:rsidRPr="007C335A" w:rsidRDefault="007C335A" w:rsidP="007C335A">
      <w:pPr>
        <w:pStyle w:val="Titolo3"/>
      </w:pPr>
      <w:bookmarkStart w:id="89" w:name="_Toc499040921"/>
      <w:bookmarkStart w:id="90" w:name="_Toc507422623"/>
      <w:r w:rsidRPr="007C335A">
        <w:t>Il confronto fra titoli di entrata e spesa</w:t>
      </w:r>
      <w:bookmarkEnd w:id="89"/>
      <w:bookmarkEnd w:id="90"/>
    </w:p>
    <w:p w:rsidR="007C335A" w:rsidRPr="007C335A" w:rsidRDefault="007C335A" w:rsidP="006F2258">
      <w:pPr>
        <w:pStyle w:val="CdcTesto"/>
      </w:pPr>
      <w:r w:rsidRPr="007C335A">
        <w:t>Nei documenti ufficiali sin qui messi a disposizione dalla Regione non si rinviene il confronto fra le previsioni definitive di entrata e di spesa autorizzate per l’esercizio 2016 e quelle di pertinenza dell’esercizio precedente, viceversa da ritenersi utile ai fini di esaminare le manovre di bilancio nella fisiologica evoluzione temporale annuale. Analogo raffronto sarà fatto nell’esame delle risultanze della gestione.</w:t>
      </w:r>
    </w:p>
    <w:p w:rsidR="007C335A" w:rsidRPr="007C335A" w:rsidRDefault="007C335A" w:rsidP="006F2258">
      <w:pPr>
        <w:pStyle w:val="CdcTesto"/>
      </w:pPr>
      <w:r w:rsidRPr="007C335A">
        <w:t xml:space="preserve">Nelle seguenti tabelle si riportano, quindi, gli scostamenti in termini percentuali e in valore assoluto delle entrate e delle spese degli esercizi considerati. </w:t>
      </w:r>
    </w:p>
    <w:p w:rsidR="007C335A" w:rsidRDefault="007C335A" w:rsidP="006F2258">
      <w:pPr>
        <w:pStyle w:val="CdcTesto"/>
        <w:rPr>
          <w:color w:val="000000" w:themeColor="text1"/>
        </w:rPr>
      </w:pPr>
      <w:r w:rsidRPr="00E93C34">
        <w:rPr>
          <w:b/>
        </w:rPr>
        <w:t>Le previsioni finali di competenza di entrata e di spesa nel 2016</w:t>
      </w:r>
      <w:r w:rsidRPr="007C335A">
        <w:t xml:space="preserve"> mostrano una lieve flessione rispetto al 2015 (-1,11%). Con riferimento alle </w:t>
      </w:r>
      <w:r w:rsidRPr="00E93C34">
        <w:rPr>
          <w:b/>
        </w:rPr>
        <w:t xml:space="preserve">previsioni di cassa </w:t>
      </w:r>
      <w:r w:rsidRPr="007C335A">
        <w:t>complessivamente considerate</w:t>
      </w:r>
      <w:r w:rsidR="00E93C34">
        <w:t xml:space="preserve"> (competenza+residui)</w:t>
      </w:r>
      <w:r w:rsidRPr="007C335A">
        <w:t xml:space="preserve">, invece si </w:t>
      </w:r>
      <w:r w:rsidR="00905B43">
        <w:t>osserva un incremento del 22,55% rispetto all’esercizio precedente</w:t>
      </w:r>
      <w:r w:rsidRPr="007C335A">
        <w:t>. Infatti nel 2015 il rapporto fra previsioni definitive di competenza e previsioni di cassa era pari al 76%, mentre lo stesso rapporto sale al 93,46% nelle previsioni 2016</w:t>
      </w:r>
      <w:r w:rsidRPr="00F618F9">
        <w:rPr>
          <w:color w:val="000000" w:themeColor="text1"/>
        </w:rPr>
        <w:t>.</w:t>
      </w:r>
    </w:p>
    <w:p w:rsidR="004B78CB" w:rsidRDefault="004B78CB" w:rsidP="006F2258">
      <w:pPr>
        <w:pStyle w:val="CdcTesto"/>
        <w:rPr>
          <w:color w:val="000000" w:themeColor="text1"/>
        </w:rPr>
      </w:pPr>
      <w:r w:rsidRPr="00E93C34">
        <w:rPr>
          <w:color w:val="000000" w:themeColor="text1"/>
        </w:rPr>
        <w:t xml:space="preserve">Quanto rilevato potrebbe essere la conseguenza dell’applicazione dei nuovi principi contabili </w:t>
      </w:r>
      <w:r w:rsidR="00612347" w:rsidRPr="00E93C34">
        <w:rPr>
          <w:color w:val="000000" w:themeColor="text1"/>
        </w:rPr>
        <w:t>che tendenzialmente determinano una maggiore realizzazione della competenza e l’avvicinamento dello stanziamento di cassa a quello di competenza.</w:t>
      </w:r>
    </w:p>
    <w:p w:rsidR="007C335A" w:rsidRPr="007C335A" w:rsidRDefault="007C335A" w:rsidP="007C335A">
      <w:pPr>
        <w:spacing w:before="240" w:after="120" w:line="240" w:lineRule="auto"/>
        <w:jc w:val="center"/>
        <w:rPr>
          <w:rFonts w:ascii="Bodoni MT" w:eastAsiaTheme="minorEastAsia" w:hAnsi="Bodoni MT"/>
          <w:b/>
          <w:bCs/>
        </w:rPr>
      </w:pPr>
      <w:r w:rsidRPr="007C335A">
        <w:rPr>
          <w:rFonts w:ascii="Bodoni MT" w:eastAsiaTheme="minorEastAsia" w:hAnsi="Bodoni MT"/>
          <w:b/>
          <w:bCs/>
        </w:rPr>
        <w:br w:type="page"/>
      </w:r>
    </w:p>
    <w:p w:rsidR="007C335A" w:rsidRPr="007C335A" w:rsidRDefault="007C335A" w:rsidP="007C335A">
      <w:pPr>
        <w:pStyle w:val="Didascalia"/>
        <w:rPr>
          <w:sz w:val="24"/>
          <w:szCs w:val="24"/>
        </w:rPr>
      </w:pPr>
      <w:bookmarkStart w:id="91" w:name="_Toc499040957"/>
      <w:bookmarkStart w:id="92" w:name="_Toc507422476"/>
      <w:r>
        <w:lastRenderedPageBreak/>
        <w:t xml:space="preserve">Tabella </w:t>
      </w:r>
      <w:r w:rsidR="00B90472">
        <w:fldChar w:fldCharType="begin"/>
      </w:r>
      <w:r w:rsidR="00B90472">
        <w:instrText xml:space="preserve"> SEQ Tabella \* ARABIC </w:instrText>
      </w:r>
      <w:r w:rsidR="00B90472">
        <w:fldChar w:fldCharType="separate"/>
      </w:r>
      <w:r w:rsidR="008616B3">
        <w:rPr>
          <w:noProof/>
        </w:rPr>
        <w:t>8</w:t>
      </w:r>
      <w:r w:rsidR="00B90472">
        <w:rPr>
          <w:noProof/>
        </w:rPr>
        <w:fldChar w:fldCharType="end"/>
      </w:r>
      <w:r w:rsidRPr="007C335A">
        <w:rPr>
          <w:sz w:val="24"/>
          <w:szCs w:val="24"/>
        </w:rPr>
        <w:t xml:space="preserve"> – Entrate per Titoli – Previsioni definitive – Confronto Esercizi 2015-2016</w:t>
      </w:r>
      <w:bookmarkEnd w:id="91"/>
      <w:bookmarkEnd w:id="92"/>
    </w:p>
    <w:tbl>
      <w:tblPr>
        <w:tblW w:w="0" w:type="auto"/>
        <w:tblCellMar>
          <w:left w:w="70" w:type="dxa"/>
          <w:right w:w="70" w:type="dxa"/>
        </w:tblCellMar>
        <w:tblLook w:val="04A0" w:firstRow="1" w:lastRow="0" w:firstColumn="1" w:lastColumn="0" w:noHBand="0" w:noVBand="1"/>
      </w:tblPr>
      <w:tblGrid>
        <w:gridCol w:w="1362"/>
        <w:gridCol w:w="1211"/>
        <w:gridCol w:w="1140"/>
        <w:gridCol w:w="1211"/>
        <w:gridCol w:w="1140"/>
        <w:gridCol w:w="936"/>
        <w:gridCol w:w="813"/>
        <w:gridCol w:w="1089"/>
        <w:gridCol w:w="1159"/>
      </w:tblGrid>
      <w:tr w:rsidR="007C335A" w:rsidRPr="007C335A" w:rsidTr="007C335A">
        <w:trPr>
          <w:trHeight w:val="300"/>
        </w:trPr>
        <w:tc>
          <w:tcPr>
            <w:tcW w:w="0" w:type="auto"/>
            <w:tcBorders>
              <w:top w:val="nil"/>
              <w:left w:val="single" w:sz="4" w:space="0" w:color="auto"/>
              <w:bottom w:val="single" w:sz="4" w:space="0" w:color="auto"/>
              <w:right w:val="single" w:sz="4" w:space="0" w:color="auto"/>
            </w:tcBorders>
            <w:shd w:val="clear" w:color="auto" w:fill="17365D" w:themeFill="text2" w:themeFillShade="BF"/>
            <w:noWrap/>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ENTRATA</w:t>
            </w:r>
          </w:p>
        </w:tc>
        <w:tc>
          <w:tcPr>
            <w:tcW w:w="0" w:type="auto"/>
            <w:gridSpan w:val="2"/>
            <w:tcBorders>
              <w:top w:val="nil"/>
              <w:left w:val="nil"/>
              <w:bottom w:val="single" w:sz="4" w:space="0" w:color="auto"/>
              <w:right w:val="single" w:sz="4" w:space="0" w:color="000000"/>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Previsioni finali 2015</w:t>
            </w:r>
          </w:p>
        </w:tc>
        <w:tc>
          <w:tcPr>
            <w:tcW w:w="0" w:type="auto"/>
            <w:gridSpan w:val="2"/>
            <w:tcBorders>
              <w:top w:val="single" w:sz="4" w:space="0" w:color="auto"/>
              <w:left w:val="nil"/>
              <w:bottom w:val="single" w:sz="4" w:space="0" w:color="auto"/>
              <w:right w:val="nil"/>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 xml:space="preserve">Previsioni finali 2016 </w:t>
            </w:r>
          </w:p>
        </w:tc>
        <w:tc>
          <w:tcPr>
            <w:tcW w:w="0" w:type="auto"/>
            <w:tcBorders>
              <w:top w:val="nil"/>
              <w:left w:val="single" w:sz="4" w:space="0" w:color="auto"/>
              <w:bottom w:val="single" w:sz="4" w:space="0" w:color="auto"/>
              <w:right w:val="nil"/>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Competenza</w:t>
            </w:r>
          </w:p>
        </w:tc>
        <w:tc>
          <w:tcPr>
            <w:tcW w:w="0" w:type="auto"/>
            <w:tcBorders>
              <w:top w:val="nil"/>
              <w:left w:val="single" w:sz="4" w:space="0" w:color="auto"/>
              <w:bottom w:val="single" w:sz="4" w:space="0" w:color="auto"/>
              <w:right w:val="nil"/>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Cassa</w:t>
            </w:r>
          </w:p>
        </w:tc>
        <w:tc>
          <w:tcPr>
            <w:tcW w:w="0" w:type="auto"/>
            <w:gridSpan w:val="2"/>
            <w:tcBorders>
              <w:top w:val="nil"/>
              <w:left w:val="single" w:sz="4" w:space="0" w:color="auto"/>
              <w:bottom w:val="single" w:sz="4" w:space="0" w:color="auto"/>
              <w:right w:val="nil"/>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Variazioni in valore assoluto2016-2015</w:t>
            </w:r>
          </w:p>
        </w:tc>
      </w:tr>
      <w:tr w:rsidR="007C335A" w:rsidRPr="007C335A" w:rsidTr="007C335A">
        <w:trPr>
          <w:trHeight w:val="450"/>
        </w:trPr>
        <w:tc>
          <w:tcPr>
            <w:tcW w:w="0" w:type="auto"/>
            <w:tcBorders>
              <w:top w:val="nil"/>
              <w:left w:val="single" w:sz="4" w:space="0" w:color="auto"/>
              <w:bottom w:val="single" w:sz="4" w:space="0" w:color="auto"/>
              <w:right w:val="single" w:sz="4" w:space="0" w:color="auto"/>
            </w:tcBorders>
            <w:shd w:val="clear" w:color="auto" w:fill="17365D" w:themeFill="text2" w:themeFillShade="BF"/>
            <w:noWrap/>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TITOLO</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Competenza</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Cassa</w:t>
            </w:r>
          </w:p>
        </w:tc>
        <w:tc>
          <w:tcPr>
            <w:tcW w:w="0" w:type="auto"/>
            <w:tcBorders>
              <w:top w:val="nil"/>
              <w:left w:val="nil"/>
              <w:bottom w:val="nil"/>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Competenza</w:t>
            </w:r>
          </w:p>
        </w:tc>
        <w:tc>
          <w:tcPr>
            <w:tcW w:w="0" w:type="auto"/>
            <w:tcBorders>
              <w:top w:val="nil"/>
              <w:left w:val="nil"/>
              <w:bottom w:val="nil"/>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8"/>
                <w:szCs w:val="18"/>
                <w:lang w:eastAsia="it-IT"/>
              </w:rPr>
            </w:pPr>
            <w:r w:rsidRPr="007C335A">
              <w:rPr>
                <w:rFonts w:ascii="Bodoni MT" w:eastAsia="Times New Roman" w:hAnsi="Bodoni MT" w:cs="Times New Roman"/>
                <w:b/>
                <w:bCs/>
                <w:color w:val="FFFFFF"/>
                <w:sz w:val="18"/>
                <w:szCs w:val="18"/>
                <w:lang w:eastAsia="it-IT"/>
              </w:rPr>
              <w:t>Cassa</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Var.% </w:t>
            </w:r>
            <w:r w:rsidRPr="007C335A">
              <w:rPr>
                <w:rFonts w:ascii="Bodoni MT" w:eastAsia="Times New Roman" w:hAnsi="Bodoni MT" w:cs="Times New Roman"/>
                <w:b/>
                <w:bCs/>
                <w:color w:val="FFFFFF"/>
                <w:sz w:val="16"/>
                <w:szCs w:val="16"/>
                <w:lang w:eastAsia="it-IT"/>
              </w:rPr>
              <w:br/>
              <w:t>2016/2015</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Var.% </w:t>
            </w:r>
            <w:r w:rsidRPr="007C335A">
              <w:rPr>
                <w:rFonts w:ascii="Bodoni MT" w:eastAsia="Times New Roman" w:hAnsi="Bodoni MT" w:cs="Times New Roman"/>
                <w:b/>
                <w:bCs/>
                <w:color w:val="FFFFFF"/>
                <w:sz w:val="16"/>
                <w:szCs w:val="16"/>
                <w:lang w:eastAsia="it-IT"/>
              </w:rPr>
              <w:br/>
            </w:r>
            <w:r w:rsidR="00833822">
              <w:rPr>
                <w:rFonts w:ascii="Bodoni MT" w:eastAsia="Times New Roman" w:hAnsi="Bodoni MT" w:cs="Times New Roman"/>
                <w:b/>
                <w:bCs/>
                <w:color w:val="FFFFFF"/>
                <w:sz w:val="16"/>
                <w:szCs w:val="16"/>
                <w:lang w:eastAsia="it-IT"/>
              </w:rPr>
              <w:t>2016/2015</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Competenza</w:t>
            </w:r>
          </w:p>
        </w:tc>
        <w:tc>
          <w:tcPr>
            <w:tcW w:w="0" w:type="auto"/>
            <w:tcBorders>
              <w:top w:val="nil"/>
              <w:left w:val="nil"/>
              <w:bottom w:val="single" w:sz="4" w:space="0" w:color="auto"/>
              <w:right w:val="single" w:sz="4" w:space="0" w:color="auto"/>
            </w:tcBorders>
            <w:shd w:val="clear" w:color="auto" w:fill="17365D" w:themeFill="text2" w:themeFillShade="BF"/>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Cassa</w:t>
            </w:r>
          </w:p>
        </w:tc>
      </w:tr>
      <w:tr w:rsidR="007C335A" w:rsidRPr="007C335A" w:rsidTr="007C335A">
        <w:trPr>
          <w:trHeight w:val="5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Fondo Pluriennale Vincolato per spese correnti</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56.502.635,51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#DIV/0!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#DIV/0!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56.502.635,51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0,00</w:t>
            </w:r>
          </w:p>
        </w:tc>
      </w:tr>
      <w:tr w:rsidR="007C335A" w:rsidRPr="007C335A" w:rsidTr="007C335A">
        <w:trPr>
          <w:trHeight w:val="5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Fondo Pluriennale Vincolato per spese in conto capitale</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493.932.135,05</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288.479.700,14</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-41,60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#DIV/0!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-205.452.434,91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0,00</w:t>
            </w:r>
          </w:p>
        </w:tc>
      </w:tr>
      <w:tr w:rsidR="007C335A" w:rsidRPr="007C335A" w:rsidTr="007C335A">
        <w:trPr>
          <w:trHeight w:val="36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Fondo di cassa all'inizio dell'esercizio</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414.632.760,60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340.832.737,09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#DIV/0!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-17,80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-73.800.023,51</w:t>
            </w:r>
          </w:p>
        </w:tc>
      </w:tr>
      <w:tr w:rsidR="007C335A" w:rsidRPr="007C335A" w:rsidTr="007C335A">
        <w:trPr>
          <w:trHeight w:val="5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0 - Utilizzo avanzo di amministrazione</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207.745.681,79</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282.056.568,12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0,00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35,77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#DIV/0!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74.310.886,33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0,00</w:t>
            </w:r>
          </w:p>
        </w:tc>
      </w:tr>
      <w:tr w:rsidR="007C335A" w:rsidRPr="007C335A" w:rsidTr="007C335A">
        <w:trPr>
          <w:trHeight w:val="90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I - Entrate correnti di natura tributaria, contributiva e perequativa</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6.825.956.901,22</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6.717.146.726,58</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7.104.006.640,11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6.802.506.590,81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4,07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1,27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278.049.738,89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85.359.864,23</w:t>
            </w:r>
          </w:p>
        </w:tc>
      </w:tr>
      <w:tr w:rsidR="007C335A" w:rsidRPr="007C335A" w:rsidTr="007C335A">
        <w:trPr>
          <w:trHeight w:val="36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II - Trasferimenti correnti</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523.486.120,28</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295.114.642,74</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417.001.826,16</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387.988.762,50</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-20,34</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31,47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-106.484.294,12</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92.874.119,76</w:t>
            </w:r>
          </w:p>
        </w:tc>
      </w:tr>
      <w:tr w:rsidR="007C335A" w:rsidRPr="007C335A" w:rsidTr="007C335A">
        <w:trPr>
          <w:trHeight w:val="36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III - Entrate Extratributarie</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177.233.169,23</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111.388.630,85</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103.204.417,47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168.397.903,11</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-41,77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51,18</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-74.028.751,76</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57.009.272,26</w:t>
            </w:r>
          </w:p>
        </w:tc>
      </w:tr>
      <w:tr w:rsidR="007C335A" w:rsidRPr="007C335A" w:rsidTr="007C335A">
        <w:trPr>
          <w:trHeight w:val="36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IV - Entrate in conto capitale</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1.618.948.502,87</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418.307.950,03</w:t>
            </w:r>
          </w:p>
        </w:tc>
        <w:tc>
          <w:tcPr>
            <w:tcW w:w="0" w:type="auto"/>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1.062.494.140,93</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1.110.468.114,99</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-34,37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165,47</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-556.454.361,94</w:t>
            </w:r>
          </w:p>
        </w:tc>
        <w:tc>
          <w:tcPr>
            <w:tcW w:w="0" w:type="auto"/>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Times New Roman"/>
                <w:color w:val="000000"/>
                <w:sz w:val="14"/>
                <w:szCs w:val="14"/>
                <w:lang w:eastAsia="it-IT"/>
              </w:rPr>
            </w:pPr>
            <w:r w:rsidRPr="007C335A">
              <w:rPr>
                <w:rFonts w:ascii="Calibri" w:eastAsia="Times New Roman" w:hAnsi="Calibri" w:cs="Times New Roman"/>
                <w:color w:val="000000"/>
                <w:sz w:val="14"/>
                <w:szCs w:val="14"/>
                <w:lang w:eastAsia="it-IT"/>
              </w:rPr>
              <w:t>692.160.164,96</w:t>
            </w:r>
          </w:p>
        </w:tc>
      </w:tr>
      <w:tr w:rsidR="007C335A" w:rsidRPr="007C335A" w:rsidTr="007C335A">
        <w:trPr>
          <w:trHeight w:val="5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V - Entrate da riduzione di attività finanziarie</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220.000,00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1.990.708,87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411.492.418,81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411.272.418,81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186.942,01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20.559,60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411.272.418,81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409.281.709,94</w:t>
            </w:r>
          </w:p>
        </w:tc>
      </w:tr>
      <w:tr w:rsidR="007C335A" w:rsidRPr="007C335A" w:rsidTr="007C335A">
        <w:trPr>
          <w:trHeight w:val="36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VI - Accensione di prestiti</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782.165.365,99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60.449.276,00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808.180.000,00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611.851.000,00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3,33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912,17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26.014.634,01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551.401.724,00</w:t>
            </w:r>
          </w:p>
        </w:tc>
      </w:tr>
      <w:tr w:rsidR="007C335A" w:rsidRPr="007C335A" w:rsidTr="007C335A">
        <w:trPr>
          <w:trHeight w:val="72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VII - Anticipazioni da istituto tesoriere/cassiere</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#DIV/0!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#DIV/0!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0,00</w:t>
            </w:r>
          </w:p>
        </w:tc>
      </w:tr>
      <w:tr w:rsidR="007C335A" w:rsidRPr="007C335A" w:rsidTr="007C335A">
        <w:trPr>
          <w:trHeight w:val="54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Titolo IX - Entrate per conto terzi e partite di giro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179.731.698,33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132.877.218,69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155.745.712,37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157.027.461,57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-13,35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18,17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-23.985.985,96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24.150.242,88</w:t>
            </w:r>
          </w:p>
        </w:tc>
      </w:tr>
      <w:tr w:rsidR="007C335A" w:rsidRPr="007C335A" w:rsidTr="007C335A">
        <w:trPr>
          <w:trHeight w:val="30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Totale Titoli</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10.107.741.757,92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7.737.275.153,76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10.062.125.155,85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9.649.512.251,79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-0,45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24,71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-45.616.602,07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Times New Roman"/>
                <w:sz w:val="14"/>
                <w:szCs w:val="14"/>
                <w:lang w:eastAsia="it-IT"/>
              </w:rPr>
            </w:pPr>
            <w:r w:rsidRPr="007C335A">
              <w:rPr>
                <w:rFonts w:ascii="Calibri" w:eastAsia="Times New Roman" w:hAnsi="Calibri" w:cs="Times New Roman"/>
                <w:sz w:val="14"/>
                <w:szCs w:val="14"/>
                <w:lang w:eastAsia="it-IT"/>
              </w:rPr>
              <w:t>1.912.237.098,03</w:t>
            </w:r>
          </w:p>
        </w:tc>
      </w:tr>
      <w:tr w:rsidR="007C335A" w:rsidRPr="007C335A" w:rsidTr="007C335A">
        <w:trPr>
          <w:trHeight w:val="300"/>
        </w:trPr>
        <w:tc>
          <w:tcPr>
            <w:tcW w:w="0" w:type="auto"/>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4"/>
                <w:szCs w:val="14"/>
                <w:lang w:eastAsia="it-IT"/>
              </w:rPr>
            </w:pPr>
            <w:r w:rsidRPr="007C335A">
              <w:rPr>
                <w:rFonts w:ascii="Bodoni MT" w:eastAsia="Times New Roman" w:hAnsi="Bodoni MT" w:cs="Times New Roman"/>
                <w:b/>
                <w:bCs/>
                <w:color w:val="FFFFFF" w:themeColor="background1"/>
                <w:sz w:val="14"/>
                <w:szCs w:val="14"/>
                <w:lang w:eastAsia="it-IT"/>
              </w:rPr>
              <w:t xml:space="preserve">Totale entrate </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10.809.419.574,76</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8.151.907.914,36</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10.689.164.059,62</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9.990.344.988,88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- 1,11</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22,55</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-120.255.515,14</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Times New Roman"/>
                <w:b/>
                <w:bCs/>
                <w:sz w:val="14"/>
                <w:szCs w:val="14"/>
                <w:lang w:eastAsia="it-IT"/>
              </w:rPr>
            </w:pPr>
            <w:r w:rsidRPr="007C335A">
              <w:rPr>
                <w:rFonts w:ascii="Calibri" w:eastAsia="Times New Roman" w:hAnsi="Calibri" w:cs="Times New Roman"/>
                <w:b/>
                <w:bCs/>
                <w:sz w:val="14"/>
                <w:szCs w:val="14"/>
                <w:lang w:eastAsia="it-IT"/>
              </w:rPr>
              <w:t>1.838.437.074,52</w:t>
            </w:r>
          </w:p>
        </w:tc>
      </w:tr>
    </w:tbl>
    <w:p w:rsidR="007C335A" w:rsidRPr="007C335A" w:rsidRDefault="007C335A" w:rsidP="007C335A">
      <w:pPr>
        <w:jc w:val="center"/>
        <w:rPr>
          <w:rFonts w:ascii="Bodoni MT" w:hAnsi="Bodoni MT"/>
          <w:b/>
          <w:sz w:val="24"/>
          <w:szCs w:val="24"/>
        </w:rPr>
      </w:pPr>
    </w:p>
    <w:p w:rsidR="007C335A" w:rsidRPr="007C335A" w:rsidRDefault="007C335A" w:rsidP="007C335A">
      <w:pPr>
        <w:pStyle w:val="Didascalia"/>
      </w:pPr>
      <w:bookmarkStart w:id="93" w:name="_Toc499040990"/>
      <w:bookmarkStart w:id="94" w:name="_Toc507422708"/>
      <w:r>
        <w:t xml:space="preserve">Grafico </w:t>
      </w:r>
      <w:r w:rsidR="00B90472">
        <w:fldChar w:fldCharType="begin"/>
      </w:r>
      <w:r w:rsidR="00B90472">
        <w:instrText xml:space="preserve"> SEQ Grafico \* ARABIC </w:instrText>
      </w:r>
      <w:r w:rsidR="00B90472">
        <w:fldChar w:fldCharType="separate"/>
      </w:r>
      <w:r w:rsidR="008616B3">
        <w:rPr>
          <w:noProof/>
        </w:rPr>
        <w:t>5</w:t>
      </w:r>
      <w:r w:rsidR="00B90472">
        <w:rPr>
          <w:noProof/>
        </w:rPr>
        <w:fldChar w:fldCharType="end"/>
      </w:r>
      <w:r w:rsidRPr="007C335A">
        <w:t xml:space="preserve"> – Entrate Titoli – Previsioni definitive di competenza 2015-2016</w:t>
      </w:r>
      <w:bookmarkEnd w:id="93"/>
      <w:bookmarkEnd w:id="94"/>
    </w:p>
    <w:p w:rsidR="007C335A" w:rsidRPr="007C335A" w:rsidRDefault="007C335A" w:rsidP="007C335A">
      <w:pPr>
        <w:jc w:val="center"/>
        <w:rPr>
          <w:rFonts w:ascii="Bodoni MT" w:hAnsi="Bodoni MT"/>
          <w:b/>
          <w:sz w:val="24"/>
          <w:szCs w:val="24"/>
        </w:rPr>
      </w:pPr>
      <w:r w:rsidRPr="007C335A">
        <w:rPr>
          <w:rFonts w:ascii="Bodoni MT" w:hAnsi="Bodoni MT"/>
          <w:b/>
          <w:noProof/>
          <w:sz w:val="24"/>
          <w:szCs w:val="24"/>
          <w:lang w:eastAsia="it-IT"/>
        </w:rPr>
        <w:drawing>
          <wp:inline distT="0" distB="0" distL="0" distR="0" wp14:anchorId="60E368C7" wp14:editId="0F378AEA">
            <wp:extent cx="4584700" cy="2755900"/>
            <wp:effectExtent l="0" t="0" r="6350" b="6350"/>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C335A" w:rsidRPr="00E93C34"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lastRenderedPageBreak/>
        <w:t xml:space="preserve">Dalla tabella si rileva una </w:t>
      </w:r>
      <w:r w:rsidR="00E61468" w:rsidRPr="00E93C34">
        <w:rPr>
          <w:rFonts w:ascii="Bodoni MT" w:eastAsiaTheme="minorEastAsia" w:hAnsi="Bodoni MT" w:cs="Bodoni MT"/>
          <w:color w:val="000000"/>
          <w:sz w:val="24"/>
          <w:szCs w:val="24"/>
        </w:rPr>
        <w:t xml:space="preserve">lieve </w:t>
      </w:r>
      <w:r w:rsidRPr="00E93C34">
        <w:rPr>
          <w:rFonts w:ascii="Bodoni MT" w:eastAsiaTheme="minorEastAsia" w:hAnsi="Bodoni MT" w:cs="Bodoni MT"/>
          <w:color w:val="000000"/>
          <w:sz w:val="24"/>
          <w:szCs w:val="24"/>
        </w:rPr>
        <w:t xml:space="preserve">diminuzione </w:t>
      </w:r>
      <w:r w:rsidR="00E61468" w:rsidRPr="00E93C34">
        <w:rPr>
          <w:rFonts w:ascii="Bodoni MT" w:eastAsiaTheme="minorEastAsia" w:hAnsi="Bodoni MT" w:cs="Bodoni MT"/>
          <w:color w:val="000000"/>
          <w:sz w:val="24"/>
          <w:szCs w:val="24"/>
        </w:rPr>
        <w:t>(</w:t>
      </w:r>
      <w:r w:rsidRPr="00E93C34">
        <w:rPr>
          <w:rFonts w:ascii="Bodoni MT" w:eastAsiaTheme="minorEastAsia" w:hAnsi="Bodoni MT" w:cs="Bodoni MT"/>
          <w:color w:val="000000"/>
          <w:sz w:val="24"/>
          <w:szCs w:val="24"/>
        </w:rPr>
        <w:t>1,11%</w:t>
      </w:r>
      <w:r w:rsidR="00E61468" w:rsidRPr="00E93C34">
        <w:rPr>
          <w:rFonts w:ascii="Bodoni MT" w:eastAsiaTheme="minorEastAsia" w:hAnsi="Bodoni MT" w:cs="Bodoni MT"/>
          <w:color w:val="000000"/>
          <w:sz w:val="24"/>
          <w:szCs w:val="24"/>
        </w:rPr>
        <w:t>)</w:t>
      </w:r>
      <w:r w:rsidRPr="00E93C34">
        <w:rPr>
          <w:rFonts w:ascii="Bodoni MT" w:eastAsiaTheme="minorEastAsia" w:hAnsi="Bodoni MT" w:cs="Bodoni MT"/>
          <w:color w:val="000000"/>
          <w:sz w:val="24"/>
          <w:szCs w:val="24"/>
        </w:rPr>
        <w:t xml:space="preserve"> delle previsioni finali di entrata 2016 rispetto a quelle dell’esercizio precedente, compresi l’utilizzo dell’Avanzo di amministrazione e il Fondo Pluriennale Vincolato. L’analisi per titoli mostra una significativa riduzione delle previsioni del Titolo IV “Entrate in c/capitale” (556,454 </w:t>
      </w:r>
      <w:r w:rsidR="001228FE" w:rsidRPr="001228FE">
        <w:rPr>
          <w:rFonts w:ascii="Bodoni MT" w:hAnsi="Bodoni MT"/>
          <w:sz w:val="24"/>
          <w:szCs w:val="24"/>
        </w:rPr>
        <w:t>milioni</w:t>
      </w:r>
      <w:r w:rsidR="001228FE" w:rsidRPr="001228FE">
        <w:rPr>
          <w:rFonts w:ascii="Bodoni MT" w:hAnsi="Bodoni MT"/>
        </w:rPr>
        <w:t xml:space="preserve"> </w:t>
      </w:r>
      <w:r w:rsidRPr="00E93C34">
        <w:rPr>
          <w:rFonts w:ascii="Bodoni MT" w:eastAsiaTheme="minorEastAsia" w:hAnsi="Bodoni MT" w:cs="Bodoni MT"/>
          <w:color w:val="000000"/>
          <w:sz w:val="24"/>
          <w:szCs w:val="24"/>
        </w:rPr>
        <w:t>in meno rispetto al 2015)</w:t>
      </w:r>
      <w:r w:rsidR="00E61468" w:rsidRPr="00E93C34">
        <w:rPr>
          <w:rFonts w:ascii="Bodoni MT" w:eastAsiaTheme="minorEastAsia" w:hAnsi="Bodoni MT" w:cs="Bodoni MT"/>
          <w:color w:val="000000"/>
          <w:sz w:val="24"/>
          <w:szCs w:val="24"/>
        </w:rPr>
        <w:t>, nonostante le rilevanti variazioni in aumento intervenute rispetto alle previsioni iniziali</w:t>
      </w:r>
      <w:r w:rsidR="00E93C34">
        <w:rPr>
          <w:rFonts w:ascii="Bodoni MT" w:eastAsiaTheme="minorEastAsia" w:hAnsi="Bodoni MT" w:cs="Bodoni MT"/>
          <w:color w:val="000000"/>
          <w:sz w:val="24"/>
          <w:szCs w:val="24"/>
        </w:rPr>
        <w:t>: appare</w:t>
      </w:r>
      <w:r w:rsidR="00E61468" w:rsidRPr="00E93C34">
        <w:rPr>
          <w:rFonts w:ascii="Bodoni MT" w:eastAsiaTheme="minorEastAsia" w:hAnsi="Bodoni MT" w:cs="Bodoni MT"/>
          <w:color w:val="000000"/>
          <w:sz w:val="24"/>
          <w:szCs w:val="24"/>
        </w:rPr>
        <w:t xml:space="preserve"> che nella stesura iniziale del bilancio di previsione le entrate per gli investimenti siano state sottostimate</w:t>
      </w:r>
      <w:r w:rsidR="00E93C34">
        <w:rPr>
          <w:rFonts w:ascii="Bodoni MT" w:eastAsiaTheme="minorEastAsia" w:hAnsi="Bodoni MT" w:cs="Bodoni MT"/>
          <w:color w:val="000000"/>
          <w:sz w:val="24"/>
          <w:szCs w:val="24"/>
        </w:rPr>
        <w:t xml:space="preserve"> di molto</w:t>
      </w:r>
      <w:r w:rsidR="00E61468" w:rsidRPr="00E93C34">
        <w:rPr>
          <w:rFonts w:ascii="Bodoni MT" w:eastAsiaTheme="minorEastAsia" w:hAnsi="Bodoni MT" w:cs="Bodoni MT"/>
          <w:color w:val="000000"/>
          <w:sz w:val="24"/>
          <w:szCs w:val="24"/>
        </w:rPr>
        <w:t>.</w:t>
      </w:r>
      <w:r w:rsidRPr="00E93C34">
        <w:rPr>
          <w:rFonts w:ascii="Bodoni MT" w:eastAsiaTheme="minorEastAsia" w:hAnsi="Bodoni MT" w:cs="Bodoni MT"/>
          <w:color w:val="000000"/>
          <w:sz w:val="24"/>
          <w:szCs w:val="24"/>
        </w:rPr>
        <w:t xml:space="preserve"> Notevoli riduzioni si riscontrano anche negli stanziamenti dei Titoli II “Trasferimenti correnti” (-106,484 </w:t>
      </w:r>
      <w:r w:rsidR="001228FE" w:rsidRPr="001228FE">
        <w:rPr>
          <w:rFonts w:ascii="Bodoni MT" w:hAnsi="Bodoni MT"/>
          <w:sz w:val="24"/>
          <w:szCs w:val="24"/>
        </w:rPr>
        <w:t>milioni</w:t>
      </w:r>
      <w:r w:rsidR="001228FE" w:rsidRPr="001228FE">
        <w:rPr>
          <w:rFonts w:ascii="Bodoni MT" w:hAnsi="Bodoni MT"/>
        </w:rPr>
        <w:t xml:space="preserve"> </w:t>
      </w:r>
      <w:r w:rsidRPr="00E93C34">
        <w:rPr>
          <w:rFonts w:ascii="Bodoni MT" w:eastAsiaTheme="minorEastAsia" w:hAnsi="Bodoni MT" w:cs="Bodoni MT"/>
          <w:color w:val="000000"/>
          <w:sz w:val="24"/>
          <w:szCs w:val="24"/>
        </w:rPr>
        <w:t xml:space="preserve">di euro) e III “Entrate extratributarie” (-74,28 </w:t>
      </w:r>
      <w:r w:rsidR="001228FE" w:rsidRPr="001228FE">
        <w:rPr>
          <w:rFonts w:ascii="Bodoni MT" w:hAnsi="Bodoni MT"/>
          <w:sz w:val="24"/>
          <w:szCs w:val="24"/>
        </w:rPr>
        <w:t>milioni</w:t>
      </w:r>
      <w:r w:rsidR="001228FE" w:rsidRPr="001228FE">
        <w:rPr>
          <w:rFonts w:ascii="Bodoni MT" w:hAnsi="Bodoni MT"/>
        </w:rPr>
        <w:t xml:space="preserve"> </w:t>
      </w:r>
      <w:r w:rsidRPr="00E93C34">
        <w:rPr>
          <w:rFonts w:ascii="Bodoni MT" w:eastAsiaTheme="minorEastAsia" w:hAnsi="Bodoni MT" w:cs="Bodoni MT"/>
          <w:color w:val="000000"/>
          <w:sz w:val="24"/>
          <w:szCs w:val="24"/>
        </w:rPr>
        <w:t xml:space="preserve">di euro). Anche la quota del FPV destinata alle spese in c/capitale risulta inferiore di 205,452 </w:t>
      </w:r>
      <w:r w:rsidR="001228FE" w:rsidRPr="001228FE">
        <w:rPr>
          <w:rFonts w:ascii="Bodoni MT" w:hAnsi="Bodoni MT"/>
          <w:sz w:val="24"/>
          <w:szCs w:val="24"/>
        </w:rPr>
        <w:t>milioni</w:t>
      </w:r>
      <w:r w:rsidR="001228FE" w:rsidRPr="001228FE">
        <w:rPr>
          <w:rFonts w:ascii="Bodoni MT" w:hAnsi="Bodoni MT"/>
        </w:rPr>
        <w:t xml:space="preserve"> </w:t>
      </w:r>
      <w:r w:rsidRPr="00E93C34">
        <w:rPr>
          <w:rFonts w:ascii="Bodoni MT" w:eastAsiaTheme="minorEastAsia" w:hAnsi="Bodoni MT" w:cs="Bodoni MT"/>
          <w:color w:val="000000"/>
          <w:sz w:val="24"/>
          <w:szCs w:val="24"/>
        </w:rPr>
        <w:t>di euro rispetto al 2015.</w:t>
      </w:r>
    </w:p>
    <w:p w:rsidR="007C335A" w:rsidRPr="00E93C34" w:rsidRDefault="00E05A80"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color w:val="000000"/>
          <w:sz w:val="24"/>
          <w:szCs w:val="24"/>
        </w:rPr>
        <w:t>I m</w:t>
      </w:r>
      <w:r w:rsidR="007C335A" w:rsidRPr="00E93C34">
        <w:rPr>
          <w:rFonts w:ascii="Bodoni MT" w:eastAsiaTheme="minorEastAsia" w:hAnsi="Bodoni MT" w:cs="Bodoni MT"/>
          <w:color w:val="000000"/>
          <w:sz w:val="24"/>
          <w:szCs w:val="24"/>
        </w:rPr>
        <w:t>aggiori stanziamenti disposti nel Titolo I “Entrate correnti di natura tributaria, contributiva e perequativa”, co</w:t>
      </w:r>
      <w:r w:rsidRPr="00E93C34">
        <w:rPr>
          <w:rFonts w:ascii="Bodoni MT" w:eastAsiaTheme="minorEastAsia" w:hAnsi="Bodoni MT" w:cs="Bodoni MT"/>
          <w:color w:val="000000"/>
          <w:sz w:val="24"/>
          <w:szCs w:val="24"/>
        </w:rPr>
        <w:t>mporta</w:t>
      </w:r>
      <w:r w:rsidR="007C335A" w:rsidRPr="00E93C34">
        <w:rPr>
          <w:rFonts w:ascii="Bodoni MT" w:eastAsiaTheme="minorEastAsia" w:hAnsi="Bodoni MT" w:cs="Bodoni MT"/>
          <w:color w:val="000000"/>
          <w:sz w:val="24"/>
          <w:szCs w:val="24"/>
        </w:rPr>
        <w:t>n</w:t>
      </w:r>
      <w:r w:rsidRPr="00E93C34">
        <w:rPr>
          <w:rFonts w:ascii="Bodoni MT" w:eastAsiaTheme="minorEastAsia" w:hAnsi="Bodoni MT" w:cs="Bodoni MT"/>
          <w:color w:val="000000"/>
          <w:sz w:val="24"/>
          <w:szCs w:val="24"/>
        </w:rPr>
        <w:t>o</w:t>
      </w:r>
      <w:r w:rsidR="007C335A" w:rsidRPr="00E93C34">
        <w:rPr>
          <w:rFonts w:ascii="Bodoni MT" w:eastAsiaTheme="minorEastAsia" w:hAnsi="Bodoni MT" w:cs="Bodoni MT"/>
          <w:color w:val="000000"/>
          <w:sz w:val="24"/>
          <w:szCs w:val="24"/>
        </w:rPr>
        <w:t xml:space="preserve"> un incremento di 278,049 </w:t>
      </w:r>
      <w:r w:rsidR="001228FE" w:rsidRPr="001228FE">
        <w:rPr>
          <w:rFonts w:ascii="Bodoni MT" w:hAnsi="Bodoni MT"/>
          <w:sz w:val="24"/>
          <w:szCs w:val="24"/>
        </w:rPr>
        <w:t>milioni</w:t>
      </w:r>
      <w:r w:rsidR="001228FE" w:rsidRPr="001228FE">
        <w:rPr>
          <w:rFonts w:ascii="Bodoni MT" w:hAnsi="Bodoni MT"/>
        </w:rPr>
        <w:t xml:space="preserve"> </w:t>
      </w:r>
      <w:r w:rsidR="007C335A" w:rsidRPr="00E93C34">
        <w:rPr>
          <w:rFonts w:ascii="Bodoni MT" w:eastAsiaTheme="minorEastAsia" w:hAnsi="Bodoni MT" w:cs="Bodoni MT"/>
          <w:color w:val="000000"/>
          <w:sz w:val="24"/>
          <w:szCs w:val="24"/>
        </w:rPr>
        <w:t xml:space="preserve">di euro. </w:t>
      </w:r>
    </w:p>
    <w:p w:rsidR="007C335A" w:rsidRPr="00E93C34"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color w:val="000000"/>
          <w:sz w:val="24"/>
          <w:szCs w:val="24"/>
        </w:rPr>
        <w:t xml:space="preserve">Risulta considerevole il maggior stanziamento previsto per le entrate da riduzione di attività finanziarie del Titolo V che nel 2015 si attestavano su 220.000 euro e nel 2016 presentano un importo pari a 411,5 </w:t>
      </w:r>
      <w:r w:rsidR="001228FE" w:rsidRPr="001228FE">
        <w:rPr>
          <w:rFonts w:ascii="Bodoni MT" w:hAnsi="Bodoni MT"/>
          <w:sz w:val="24"/>
          <w:szCs w:val="24"/>
        </w:rPr>
        <w:t>milioni</w:t>
      </w:r>
      <w:r w:rsidR="001228FE" w:rsidRPr="001228FE">
        <w:rPr>
          <w:rFonts w:ascii="Bodoni MT" w:hAnsi="Bodoni MT"/>
        </w:rPr>
        <w:t xml:space="preserve"> </w:t>
      </w:r>
      <w:r w:rsidRPr="00E93C34">
        <w:rPr>
          <w:rFonts w:ascii="Bodoni MT" w:eastAsiaTheme="minorEastAsia" w:hAnsi="Bodoni MT" w:cs="Bodoni MT"/>
          <w:color w:val="000000"/>
          <w:sz w:val="24"/>
          <w:szCs w:val="24"/>
        </w:rPr>
        <w:t>di euro.</w:t>
      </w:r>
      <w:r w:rsidR="00EE5D78">
        <w:rPr>
          <w:rFonts w:ascii="Bodoni MT" w:eastAsiaTheme="minorEastAsia" w:hAnsi="Bodoni MT" w:cs="Bodoni MT"/>
          <w:color w:val="000000"/>
          <w:sz w:val="24"/>
          <w:szCs w:val="24"/>
        </w:rPr>
        <w:t xml:space="preserve"> In merito la Regione ha precisato che le previsioni di entrata del Titolo V e di spesa del Titolo III riguardano prevalentemente operazioni sui fondi comunitari e statali (FSC/PAC) per i quali nel bilancio di previsione è stata fatta una stima basata sui dati storici. Per la contabilizzazione di tali operazioni nel bilancio la Regione procede: 1) alla registrazione dell’accertamento e della riscossione del finanziamento; 2) alla registrazione del contemporaneo impegno e versamento di</w:t>
      </w:r>
      <w:r w:rsidR="00C459A0">
        <w:rPr>
          <w:rFonts w:ascii="Bodoni MT" w:eastAsiaTheme="minorEastAsia" w:hAnsi="Bodoni MT" w:cs="Bodoni MT"/>
          <w:color w:val="000000"/>
          <w:sz w:val="24"/>
          <w:szCs w:val="24"/>
        </w:rPr>
        <w:t xml:space="preserve"> </w:t>
      </w:r>
      <w:r w:rsidR="00EE5D78">
        <w:rPr>
          <w:rFonts w:ascii="Bodoni MT" w:eastAsiaTheme="minorEastAsia" w:hAnsi="Bodoni MT" w:cs="Bodoni MT"/>
          <w:color w:val="000000"/>
          <w:sz w:val="24"/>
          <w:szCs w:val="24"/>
        </w:rPr>
        <w:t>tali risorse nel conto di tesoreria centrale; 3) alla registrazione dell’incasso nel momento dell’effettivo prelievo delle somme presenti in tesoreria centrale.</w:t>
      </w:r>
    </w:p>
    <w:p w:rsidR="00E05A80" w:rsidRPr="00E93C34" w:rsidRDefault="00E05A80"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color w:val="000000"/>
          <w:sz w:val="24"/>
          <w:szCs w:val="24"/>
        </w:rPr>
        <w:t>È previsto, inoltre, l’utilizzo di avanzo di amministrazione libero per oltre 74 milioni.</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E93C34">
        <w:rPr>
          <w:rFonts w:ascii="Bodoni MT" w:eastAsiaTheme="minorEastAsia" w:hAnsi="Bodoni MT" w:cs="Bodoni MT"/>
          <w:color w:val="000000"/>
          <w:sz w:val="24"/>
          <w:szCs w:val="24"/>
        </w:rPr>
        <w:t xml:space="preserve">Sono invece aumentate le previsioni </w:t>
      </w:r>
      <w:r w:rsidR="00E05A80" w:rsidRPr="00E93C34">
        <w:rPr>
          <w:rFonts w:ascii="Bodoni MT" w:eastAsiaTheme="minorEastAsia" w:hAnsi="Bodoni MT" w:cs="Bodoni MT"/>
          <w:color w:val="000000"/>
          <w:sz w:val="24"/>
          <w:szCs w:val="24"/>
        </w:rPr>
        <w:t xml:space="preserve">di entrata </w:t>
      </w:r>
      <w:r w:rsidRPr="00E93C34">
        <w:rPr>
          <w:rFonts w:ascii="Bodoni MT" w:eastAsiaTheme="minorEastAsia" w:hAnsi="Bodoni MT" w:cs="Bodoni MT"/>
          <w:color w:val="000000"/>
          <w:sz w:val="24"/>
          <w:szCs w:val="24"/>
        </w:rPr>
        <w:t>complessive di cassa (+22,55%), conseguenti soprattutto alle maggiori entrate per riduzione di attività finanziarie e per accensione di prestiti, previste in aumento per complessivi 960,683 mln di euro</w:t>
      </w:r>
      <w:r w:rsidR="0093488F">
        <w:rPr>
          <w:rFonts w:ascii="Bodoni MT" w:eastAsiaTheme="minorEastAsia" w:hAnsi="Bodoni MT" w:cs="Bodoni MT"/>
          <w:color w:val="000000"/>
          <w:sz w:val="24"/>
          <w:szCs w:val="24"/>
        </w:rPr>
        <w:t xml:space="preserve"> (v. Titolo V</w:t>
      </w:r>
      <w:r w:rsidR="00E93C34">
        <w:rPr>
          <w:rFonts w:ascii="Bodoni MT" w:eastAsiaTheme="minorEastAsia" w:hAnsi="Bodoni MT" w:cs="Bodoni MT"/>
          <w:color w:val="000000"/>
          <w:sz w:val="24"/>
          <w:szCs w:val="24"/>
        </w:rPr>
        <w:t xml:space="preserve"> e IV del 2016 meno Titolo V e IV del 2015)</w:t>
      </w:r>
      <w:r w:rsidRPr="00E93C34">
        <w:rPr>
          <w:rFonts w:ascii="Bodoni MT" w:eastAsiaTheme="minorEastAsia" w:hAnsi="Bodoni MT" w:cs="Bodoni MT"/>
          <w:color w:val="000000"/>
          <w:sz w:val="24"/>
          <w:szCs w:val="24"/>
        </w:rPr>
        <w:t>.</w:t>
      </w:r>
      <w:r w:rsidR="00E05A80" w:rsidRPr="00E93C34">
        <w:rPr>
          <w:rFonts w:ascii="Bodoni MT" w:eastAsiaTheme="minorEastAsia" w:hAnsi="Bodoni MT" w:cs="Bodoni MT"/>
          <w:color w:val="000000"/>
          <w:sz w:val="24"/>
          <w:szCs w:val="24"/>
        </w:rPr>
        <w:t xml:space="preserve"> </w:t>
      </w:r>
    </w:p>
    <w:p w:rsidR="007B50FA" w:rsidRDefault="007B50FA" w:rsidP="007C335A">
      <w:pPr>
        <w:pStyle w:val="Didascalia"/>
      </w:pPr>
      <w:bookmarkStart w:id="95" w:name="_Toc499040958"/>
      <w:r>
        <w:br w:type="page"/>
      </w:r>
    </w:p>
    <w:p w:rsidR="007C335A" w:rsidRPr="007C335A" w:rsidRDefault="007C335A" w:rsidP="007C335A">
      <w:pPr>
        <w:pStyle w:val="Didascalia"/>
        <w:rPr>
          <w:sz w:val="24"/>
          <w:szCs w:val="24"/>
        </w:rPr>
      </w:pPr>
      <w:bookmarkStart w:id="96" w:name="_Toc507422477"/>
      <w:r>
        <w:lastRenderedPageBreak/>
        <w:t xml:space="preserve">Tabella </w:t>
      </w:r>
      <w:r w:rsidR="00B90472">
        <w:fldChar w:fldCharType="begin"/>
      </w:r>
      <w:r w:rsidR="00B90472">
        <w:instrText xml:space="preserve"> SEQ Tabella \* ARABIC </w:instrText>
      </w:r>
      <w:r w:rsidR="00B90472">
        <w:fldChar w:fldCharType="separate"/>
      </w:r>
      <w:r w:rsidR="008616B3">
        <w:rPr>
          <w:noProof/>
        </w:rPr>
        <w:t>9</w:t>
      </w:r>
      <w:r w:rsidR="00B90472">
        <w:rPr>
          <w:noProof/>
        </w:rPr>
        <w:fldChar w:fldCharType="end"/>
      </w:r>
      <w:r w:rsidRPr="007C335A">
        <w:rPr>
          <w:sz w:val="24"/>
          <w:szCs w:val="24"/>
        </w:rPr>
        <w:t xml:space="preserve"> – Spesa per Titoli – Previsioni definitive – Confronto Esercizi 2015-2016</w:t>
      </w:r>
      <w:bookmarkEnd w:id="95"/>
      <w:bookmarkEnd w:id="96"/>
    </w:p>
    <w:tbl>
      <w:tblPr>
        <w:tblW w:w="5057" w:type="pct"/>
        <w:jc w:val="center"/>
        <w:tblCellMar>
          <w:left w:w="70" w:type="dxa"/>
          <w:right w:w="70" w:type="dxa"/>
        </w:tblCellMar>
        <w:tblLook w:val="04A0" w:firstRow="1" w:lastRow="0" w:firstColumn="1" w:lastColumn="0" w:noHBand="0" w:noVBand="1"/>
      </w:tblPr>
      <w:tblGrid>
        <w:gridCol w:w="1250"/>
        <w:gridCol w:w="1364"/>
        <w:gridCol w:w="1159"/>
        <w:gridCol w:w="1283"/>
        <w:gridCol w:w="11"/>
        <w:gridCol w:w="1355"/>
        <w:gridCol w:w="1159"/>
        <w:gridCol w:w="1283"/>
        <w:gridCol w:w="9"/>
        <w:gridCol w:w="927"/>
        <w:gridCol w:w="707"/>
      </w:tblGrid>
      <w:tr w:rsidR="007C335A" w:rsidRPr="007C335A" w:rsidTr="002C0A25">
        <w:trPr>
          <w:trHeight w:val="360"/>
          <w:jc w:val="center"/>
        </w:trPr>
        <w:tc>
          <w:tcPr>
            <w:tcW w:w="583"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SPESA </w:t>
            </w:r>
          </w:p>
        </w:tc>
        <w:tc>
          <w:tcPr>
            <w:tcW w:w="1829" w:type="pct"/>
            <w:gridSpan w:val="4"/>
            <w:tcBorders>
              <w:top w:val="single" w:sz="4" w:space="0" w:color="auto"/>
              <w:left w:val="nil"/>
              <w:bottom w:val="single" w:sz="4" w:space="0" w:color="auto"/>
              <w:right w:val="single" w:sz="4" w:space="0" w:color="000000"/>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Previsioni definitive 2015</w:t>
            </w:r>
          </w:p>
        </w:tc>
        <w:tc>
          <w:tcPr>
            <w:tcW w:w="1773" w:type="pct"/>
            <w:gridSpan w:val="4"/>
            <w:tcBorders>
              <w:top w:val="single" w:sz="4" w:space="0" w:color="auto"/>
              <w:left w:val="nil"/>
              <w:bottom w:val="single" w:sz="4" w:space="0" w:color="auto"/>
              <w:right w:val="single" w:sz="4" w:space="0" w:color="000000"/>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Previsioni definitive 2016 </w:t>
            </w:r>
          </w:p>
        </w:tc>
        <w:tc>
          <w:tcPr>
            <w:tcW w:w="815" w:type="pct"/>
            <w:gridSpan w:val="2"/>
            <w:tcBorders>
              <w:top w:val="single" w:sz="4" w:space="0" w:color="auto"/>
              <w:left w:val="nil"/>
              <w:bottom w:val="single" w:sz="4" w:space="0" w:color="auto"/>
              <w:right w:val="single" w:sz="4" w:space="0" w:color="000000"/>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Var.% </w:t>
            </w:r>
            <w:r w:rsidRPr="007C335A">
              <w:rPr>
                <w:rFonts w:ascii="Bodoni MT" w:eastAsia="Times New Roman" w:hAnsi="Bodoni MT" w:cs="Times New Roman"/>
                <w:b/>
                <w:bCs/>
                <w:color w:val="FFFFFF"/>
                <w:sz w:val="16"/>
                <w:szCs w:val="16"/>
                <w:lang w:eastAsia="it-IT"/>
              </w:rPr>
              <w:br/>
              <w:t>2016/2015</w:t>
            </w:r>
          </w:p>
        </w:tc>
      </w:tr>
      <w:tr w:rsidR="007C335A" w:rsidRPr="007C335A" w:rsidTr="002C0A25">
        <w:trPr>
          <w:trHeight w:val="360"/>
          <w:jc w:val="center"/>
        </w:trPr>
        <w:tc>
          <w:tcPr>
            <w:tcW w:w="583" w:type="pct"/>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TITOLO</w:t>
            </w:r>
          </w:p>
        </w:tc>
        <w:tc>
          <w:tcPr>
            <w:tcW w:w="687"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Competenza</w:t>
            </w:r>
          </w:p>
        </w:tc>
        <w:tc>
          <w:tcPr>
            <w:tcW w:w="540"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di cui FPV  </w:t>
            </w:r>
            <w:r w:rsidRPr="007C335A">
              <w:rPr>
                <w:rFonts w:ascii="Bodoni MT" w:eastAsia="Times New Roman" w:hAnsi="Bodoni MT" w:cs="Times New Roman"/>
                <w:b/>
                <w:bCs/>
                <w:color w:val="FFFFFF"/>
                <w:sz w:val="16"/>
                <w:szCs w:val="16"/>
                <w:lang w:eastAsia="it-IT"/>
              </w:rPr>
              <w:br/>
              <w:t>finale</w:t>
            </w:r>
          </w:p>
        </w:tc>
        <w:tc>
          <w:tcPr>
            <w:tcW w:w="598"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Cassa</w:t>
            </w:r>
          </w:p>
        </w:tc>
        <w:tc>
          <w:tcPr>
            <w:tcW w:w="635" w:type="pct"/>
            <w:gridSpan w:val="2"/>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Competenza</w:t>
            </w:r>
          </w:p>
        </w:tc>
        <w:tc>
          <w:tcPr>
            <w:tcW w:w="540"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 xml:space="preserve">di cui FPV  </w:t>
            </w:r>
            <w:r w:rsidRPr="007C335A">
              <w:rPr>
                <w:rFonts w:ascii="Bodoni MT" w:eastAsia="Times New Roman" w:hAnsi="Bodoni MT" w:cs="Times New Roman"/>
                <w:b/>
                <w:bCs/>
                <w:color w:val="FFFFFF"/>
                <w:sz w:val="16"/>
                <w:szCs w:val="16"/>
                <w:lang w:eastAsia="it-IT"/>
              </w:rPr>
              <w:br/>
              <w:t>finale</w:t>
            </w:r>
          </w:p>
        </w:tc>
        <w:tc>
          <w:tcPr>
            <w:tcW w:w="598"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Cassa</w:t>
            </w:r>
          </w:p>
        </w:tc>
        <w:tc>
          <w:tcPr>
            <w:tcW w:w="437" w:type="pct"/>
            <w:gridSpan w:val="2"/>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Competenza</w:t>
            </w:r>
          </w:p>
        </w:tc>
        <w:tc>
          <w:tcPr>
            <w:tcW w:w="378" w:type="pct"/>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Cassa</w:t>
            </w:r>
          </w:p>
        </w:tc>
      </w:tr>
      <w:tr w:rsidR="007C335A" w:rsidRPr="007C335A" w:rsidTr="007C335A">
        <w:trPr>
          <w:trHeight w:val="286"/>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I - Spese correnti</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7.167.291.316,14</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56.502.635,51</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6.387.687.819,93</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6.915.810.600,21</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35.087.191,51</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7.506.300.257,40</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-3,51</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17,51</w:t>
            </w:r>
          </w:p>
        </w:tc>
      </w:tr>
      <w:tr w:rsidR="007C335A" w:rsidRPr="007C335A" w:rsidTr="007C335A">
        <w:trPr>
          <w:trHeight w:val="191"/>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II - Spese c/capitale</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2.606.783.065,47</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288.479.700,14</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967.932.195,44</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2.259.756.849,73</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643.970.395,23</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1.717.537.598,58</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- 13,31</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77,44</w:t>
            </w:r>
          </w:p>
        </w:tc>
      </w:tr>
      <w:tr w:rsidR="007C335A" w:rsidRPr="007C335A" w:rsidTr="007C335A">
        <w:trPr>
          <w:trHeight w:val="381"/>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III - Spese per incremento attività finanziarie</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28.400.000,00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28.000.000,00</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426.306.547,31</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426.306.547,31</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1.401,08</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1.422,52</w:t>
            </w:r>
          </w:p>
        </w:tc>
      </w:tr>
      <w:tr w:rsidR="007C335A" w:rsidRPr="007C335A" w:rsidTr="007C335A">
        <w:trPr>
          <w:trHeight w:val="235"/>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IV - Rimborso prestiti</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289.952.775,00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289.545.268,94</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394.282.350,00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178.624.588,09</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35,98</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-38,31</w:t>
            </w:r>
          </w:p>
        </w:tc>
      </w:tr>
      <w:tr w:rsidR="007C335A" w:rsidRPr="007C335A" w:rsidTr="00A31729">
        <w:trPr>
          <w:trHeight w:val="527"/>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V - Chiusura anticipazioni ricevute da istituto tesoriere/cassiere</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437" w:type="pct"/>
            <w:gridSpan w:val="2"/>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378" w:type="pct"/>
            <w:tcBorders>
              <w:top w:val="nil"/>
              <w:left w:val="nil"/>
              <w:bottom w:val="single" w:sz="4" w:space="0" w:color="auto"/>
              <w:right w:val="single" w:sz="4" w:space="0" w:color="auto"/>
            </w:tcBorders>
            <w:shd w:val="clear" w:color="auto" w:fill="auto"/>
            <w:noWrap/>
            <w:vAlign w:val="center"/>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r>
      <w:tr w:rsidR="007C335A" w:rsidRPr="007C335A" w:rsidTr="007C335A">
        <w:trPr>
          <w:trHeight w:val="309"/>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Titolo VII - Uscite per conto terzi e partite di giro</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179.731.698,33</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138.177.261,02</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155.745.712,37</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59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161.575.997,50</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-13,35</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16,93</w:t>
            </w:r>
          </w:p>
        </w:tc>
      </w:tr>
      <w:tr w:rsidR="007C335A" w:rsidRPr="007C335A" w:rsidTr="007C335A">
        <w:trPr>
          <w:trHeight w:val="300"/>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Totale Titoli</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10.272.158.854,94</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344.982.335,65</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7.811.342.545,33</w:t>
            </w: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10.151.902.059,62</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679.057.586,74</w:t>
            </w: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9.990.344.988,88</w:t>
            </w: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-1,17</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27,90</w:t>
            </w:r>
          </w:p>
        </w:tc>
      </w:tr>
      <w:tr w:rsidR="007C335A" w:rsidRPr="007C335A" w:rsidTr="007C335A">
        <w:trPr>
          <w:trHeight w:val="219"/>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themeColor="background1"/>
                <w:sz w:val="16"/>
                <w:szCs w:val="16"/>
                <w:lang w:eastAsia="it-IT"/>
              </w:rPr>
            </w:pPr>
            <w:r w:rsidRPr="007C335A">
              <w:rPr>
                <w:rFonts w:ascii="Bodoni MT" w:eastAsia="Times New Roman" w:hAnsi="Bodoni MT" w:cs="Times New Roman"/>
                <w:b/>
                <w:bCs/>
                <w:color w:val="FFFFFF" w:themeColor="background1"/>
                <w:sz w:val="16"/>
                <w:szCs w:val="16"/>
                <w:lang w:eastAsia="it-IT"/>
              </w:rPr>
              <w:t>Disavanzo</w:t>
            </w:r>
          </w:p>
        </w:tc>
        <w:tc>
          <w:tcPr>
            <w:tcW w:w="687"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537.260.719,82</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635" w:type="pct"/>
            <w:gridSpan w:val="2"/>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537.262.000,00</w:t>
            </w:r>
          </w:p>
        </w:tc>
        <w:tc>
          <w:tcPr>
            <w:tcW w:w="540"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598" w:type="pct"/>
            <w:tcBorders>
              <w:top w:val="nil"/>
              <w:left w:val="nil"/>
              <w:bottom w:val="single" w:sz="4" w:space="0" w:color="auto"/>
              <w:right w:val="single" w:sz="4" w:space="0" w:color="auto"/>
            </w:tcBorders>
            <w:shd w:val="clear" w:color="000000" w:fill="FFFFFF"/>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c>
          <w:tcPr>
            <w:tcW w:w="437" w:type="pct"/>
            <w:gridSpan w:val="2"/>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r w:rsidRPr="007C335A">
              <w:rPr>
                <w:rFonts w:ascii="Calibri" w:eastAsia="Times New Roman" w:hAnsi="Calibri" w:cs="Times New Roman"/>
                <w:color w:val="000000"/>
                <w:sz w:val="16"/>
                <w:szCs w:val="16"/>
                <w:lang w:eastAsia="it-IT"/>
              </w:rPr>
              <w:t>0,00</w:t>
            </w:r>
          </w:p>
        </w:tc>
        <w:tc>
          <w:tcPr>
            <w:tcW w:w="378" w:type="pct"/>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right"/>
              <w:rPr>
                <w:rFonts w:ascii="Calibri" w:eastAsia="Times New Roman" w:hAnsi="Calibri" w:cs="Times New Roman"/>
                <w:color w:val="000000"/>
                <w:sz w:val="16"/>
                <w:szCs w:val="16"/>
                <w:lang w:eastAsia="it-IT"/>
              </w:rPr>
            </w:pPr>
          </w:p>
        </w:tc>
      </w:tr>
      <w:tr w:rsidR="007C335A" w:rsidRPr="007C335A" w:rsidTr="007C335A">
        <w:trPr>
          <w:trHeight w:val="300"/>
          <w:jc w:val="center"/>
        </w:trPr>
        <w:tc>
          <w:tcPr>
            <w:tcW w:w="58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rPr>
                <w:rFonts w:ascii="Bodoni MT" w:eastAsia="Times New Roman" w:hAnsi="Bodoni MT" w:cs="Times New Roman"/>
                <w:b/>
                <w:bCs/>
                <w:color w:val="FFFFFF"/>
                <w:sz w:val="16"/>
                <w:szCs w:val="16"/>
                <w:lang w:eastAsia="it-IT"/>
              </w:rPr>
            </w:pPr>
            <w:r w:rsidRPr="007C335A">
              <w:rPr>
                <w:rFonts w:ascii="Bodoni MT" w:eastAsia="Times New Roman" w:hAnsi="Bodoni MT" w:cs="Times New Roman"/>
                <w:b/>
                <w:bCs/>
                <w:color w:val="FFFFFF"/>
                <w:sz w:val="16"/>
                <w:szCs w:val="16"/>
                <w:lang w:eastAsia="it-IT"/>
              </w:rPr>
              <w:t>Totale spese</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10.809.419.574,76</w:t>
            </w:r>
          </w:p>
        </w:tc>
        <w:tc>
          <w:tcPr>
            <w:tcW w:w="540"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344.982.335,65</w:t>
            </w:r>
          </w:p>
        </w:tc>
        <w:tc>
          <w:tcPr>
            <w:tcW w:w="598"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7.811.342.545,33</w:t>
            </w:r>
          </w:p>
        </w:tc>
        <w:tc>
          <w:tcPr>
            <w:tcW w:w="635" w:type="pct"/>
            <w:gridSpan w:val="2"/>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10.689.164.059,62</w:t>
            </w:r>
          </w:p>
        </w:tc>
        <w:tc>
          <w:tcPr>
            <w:tcW w:w="540"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679.057.586,74</w:t>
            </w:r>
          </w:p>
        </w:tc>
        <w:tc>
          <w:tcPr>
            <w:tcW w:w="598"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9.990.344.988,88</w:t>
            </w:r>
          </w:p>
        </w:tc>
        <w:tc>
          <w:tcPr>
            <w:tcW w:w="437" w:type="pct"/>
            <w:gridSpan w:val="2"/>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-1,11</w:t>
            </w:r>
          </w:p>
        </w:tc>
        <w:tc>
          <w:tcPr>
            <w:tcW w:w="378" w:type="pct"/>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right"/>
              <w:rPr>
                <w:rFonts w:ascii="Calibri" w:eastAsia="Times New Roman" w:hAnsi="Calibri" w:cs="Times New Roman"/>
                <w:b/>
                <w:bCs/>
                <w:sz w:val="16"/>
                <w:szCs w:val="16"/>
                <w:lang w:eastAsia="it-IT"/>
              </w:rPr>
            </w:pPr>
            <w:r w:rsidRPr="007C335A">
              <w:rPr>
                <w:rFonts w:ascii="Calibri" w:eastAsia="Times New Roman" w:hAnsi="Calibri" w:cs="Times New Roman"/>
                <w:b/>
                <w:bCs/>
                <w:sz w:val="16"/>
                <w:szCs w:val="16"/>
                <w:lang w:eastAsia="it-IT"/>
              </w:rPr>
              <w:t>27,90</w:t>
            </w:r>
          </w:p>
        </w:tc>
      </w:tr>
    </w:tbl>
    <w:p w:rsidR="007C335A" w:rsidRPr="007C335A" w:rsidRDefault="007C335A" w:rsidP="007C335A">
      <w:pPr>
        <w:tabs>
          <w:tab w:val="left" w:pos="9921"/>
        </w:tabs>
        <w:spacing w:line="360" w:lineRule="auto"/>
        <w:jc w:val="center"/>
        <w:rPr>
          <w:rFonts w:ascii="Bodoni MT" w:eastAsiaTheme="minorEastAsia" w:hAnsi="Bodoni MT" w:cs="Bodoni MT"/>
          <w:color w:val="000000"/>
          <w:sz w:val="24"/>
          <w:szCs w:val="24"/>
        </w:rPr>
      </w:pPr>
    </w:p>
    <w:p w:rsidR="007C335A" w:rsidRDefault="007C335A" w:rsidP="007C335A">
      <w:pPr>
        <w:pStyle w:val="Didascalia"/>
      </w:pPr>
      <w:bookmarkStart w:id="97" w:name="_Toc507422709"/>
      <w:r>
        <w:t xml:space="preserve">Grafico </w:t>
      </w:r>
      <w:r w:rsidR="00B90472">
        <w:fldChar w:fldCharType="begin"/>
      </w:r>
      <w:r w:rsidR="00B90472">
        <w:instrText xml:space="preserve"> SEQ Grafico \* ARABIC </w:instrText>
      </w:r>
      <w:r w:rsidR="00B90472">
        <w:fldChar w:fldCharType="separate"/>
      </w:r>
      <w:r w:rsidR="008616B3">
        <w:rPr>
          <w:noProof/>
        </w:rPr>
        <w:t>6</w:t>
      </w:r>
      <w:r w:rsidR="00B90472">
        <w:rPr>
          <w:noProof/>
        </w:rPr>
        <w:fldChar w:fldCharType="end"/>
      </w:r>
      <w:r>
        <w:t xml:space="preserve"> - </w:t>
      </w:r>
      <w:r w:rsidRPr="007C335A">
        <w:rPr>
          <w:rFonts w:cs="Bodoni MT"/>
          <w:color w:val="000000"/>
          <w:sz w:val="24"/>
          <w:szCs w:val="24"/>
        </w:rPr>
        <w:t>Spesa per Titoli - Previsioni definitive di competenza 2015-2016</w:t>
      </w:r>
      <w:bookmarkEnd w:id="97"/>
    </w:p>
    <w:p w:rsidR="007C335A" w:rsidRPr="007C335A" w:rsidRDefault="007C335A" w:rsidP="007C335A">
      <w:pPr>
        <w:tabs>
          <w:tab w:val="left" w:pos="9921"/>
        </w:tabs>
        <w:spacing w:line="360" w:lineRule="auto"/>
        <w:jc w:val="center"/>
        <w:rPr>
          <w:rFonts w:ascii="Bodoni MT" w:eastAsiaTheme="minorEastAsia" w:hAnsi="Bodoni MT" w:cs="Bodoni MT"/>
          <w:color w:val="000000"/>
          <w:sz w:val="24"/>
          <w:szCs w:val="24"/>
        </w:rPr>
      </w:pPr>
      <w:r w:rsidRPr="007C335A">
        <w:rPr>
          <w:noProof/>
          <w:lang w:eastAsia="it-IT"/>
        </w:rPr>
        <w:drawing>
          <wp:inline distT="0" distB="0" distL="0" distR="0" wp14:anchorId="60D8E6B5" wp14:editId="7C179454">
            <wp:extent cx="4572000" cy="2743200"/>
            <wp:effectExtent l="0" t="0" r="0" b="0"/>
            <wp:docPr id="15" name="Grafico 1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A8D5C6-E643-461F-91B2-D813CC4CDA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C335A" w:rsidRPr="007C335A" w:rsidRDefault="007C335A" w:rsidP="007C335A">
      <w:pPr>
        <w:autoSpaceDE w:val="0"/>
        <w:autoSpaceDN w:val="0"/>
        <w:adjustRightInd w:val="0"/>
        <w:spacing w:before="240"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Con riguardo alla spesa, il confronto fra i due esercizi mette in evidenza che, a fronte di un leggero scostamento complessivo (-1,11%), si registrano forti riduzioni delle previsioni 2016 relative al Titolo</w:t>
      </w:r>
      <w:r>
        <w:rPr>
          <w:rFonts w:ascii="Bodoni MT" w:eastAsiaTheme="minorEastAsia" w:hAnsi="Bodoni MT" w:cs="Bodoni MT"/>
          <w:color w:val="000000"/>
          <w:sz w:val="24"/>
          <w:szCs w:val="24"/>
        </w:rPr>
        <w:t> </w:t>
      </w:r>
      <w:r w:rsidRPr="007C335A">
        <w:rPr>
          <w:rFonts w:ascii="Bodoni MT" w:eastAsiaTheme="minorEastAsia" w:hAnsi="Bodoni MT" w:cs="Bodoni MT"/>
          <w:color w:val="000000"/>
          <w:sz w:val="24"/>
          <w:szCs w:val="24"/>
        </w:rPr>
        <w:t xml:space="preserve">I “Spese correnti” (-251,480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di euro) e al Titolo II “Spese in conto capitale”</w:t>
      </w:r>
      <w:r>
        <w:rPr>
          <w:rFonts w:ascii="Bodoni MT" w:eastAsiaTheme="minorEastAsia" w:hAnsi="Bodoni MT" w:cs="Bodoni MT"/>
          <w:color w:val="000000"/>
          <w:sz w:val="24"/>
          <w:szCs w:val="24"/>
        </w:rPr>
        <w:t xml:space="preserve"> </w:t>
      </w:r>
      <w:r w:rsidRPr="007C335A">
        <w:rPr>
          <w:rFonts w:ascii="Bodoni MT" w:eastAsiaTheme="minorEastAsia" w:hAnsi="Bodoni MT" w:cs="Bodoni MT"/>
          <w:color w:val="000000"/>
          <w:sz w:val="24"/>
          <w:szCs w:val="24"/>
        </w:rPr>
        <w:t xml:space="preserve">(-347,026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di euro), c</w:t>
      </w:r>
      <w:r w:rsidR="009118B0">
        <w:rPr>
          <w:rFonts w:ascii="Bodoni MT" w:eastAsiaTheme="minorEastAsia" w:hAnsi="Bodoni MT" w:cs="Bodoni MT"/>
          <w:color w:val="000000"/>
          <w:sz w:val="24"/>
          <w:szCs w:val="24"/>
        </w:rPr>
        <w:t xml:space="preserve">ompensate dalle maggiori spese </w:t>
      </w:r>
      <w:r w:rsidRPr="007C335A">
        <w:rPr>
          <w:rFonts w:ascii="Bodoni MT" w:eastAsiaTheme="minorEastAsia" w:hAnsi="Bodoni MT" w:cs="Bodoni MT"/>
          <w:color w:val="000000"/>
          <w:sz w:val="24"/>
          <w:szCs w:val="24"/>
        </w:rPr>
        <w:t xml:space="preserve">per incremento di attività finanziarie del </w:t>
      </w:r>
      <w:r w:rsidRPr="007C335A">
        <w:rPr>
          <w:rFonts w:ascii="Bodoni MT" w:eastAsiaTheme="minorEastAsia" w:hAnsi="Bodoni MT" w:cs="Bodoni MT"/>
          <w:color w:val="000000"/>
          <w:sz w:val="24"/>
          <w:szCs w:val="24"/>
        </w:rPr>
        <w:lastRenderedPageBreak/>
        <w:t xml:space="preserve">Titolo III (+397,906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di euro), e per rimborso di prestiti del T</w:t>
      </w:r>
      <w:r w:rsidR="008F0602">
        <w:rPr>
          <w:rFonts w:ascii="Bodoni MT" w:eastAsiaTheme="minorEastAsia" w:hAnsi="Bodoni MT" w:cs="Bodoni MT"/>
          <w:color w:val="000000"/>
          <w:sz w:val="24"/>
          <w:szCs w:val="24"/>
        </w:rPr>
        <w:t xml:space="preserve">itolo IV (+104,329 </w:t>
      </w:r>
      <w:r w:rsidR="001228FE" w:rsidRPr="001228FE">
        <w:rPr>
          <w:rFonts w:ascii="Bodoni MT" w:hAnsi="Bodoni MT"/>
          <w:sz w:val="24"/>
          <w:szCs w:val="24"/>
        </w:rPr>
        <w:t>milioni</w:t>
      </w:r>
      <w:r w:rsidR="001228FE" w:rsidRPr="001228FE">
        <w:rPr>
          <w:rFonts w:ascii="Bodoni MT" w:hAnsi="Bodoni MT"/>
        </w:rPr>
        <w:t xml:space="preserve"> </w:t>
      </w:r>
      <w:r w:rsidR="008F0602">
        <w:rPr>
          <w:rFonts w:ascii="Bodoni MT" w:eastAsiaTheme="minorEastAsia" w:hAnsi="Bodoni MT" w:cs="Bodoni MT"/>
          <w:color w:val="000000"/>
          <w:sz w:val="24"/>
          <w:szCs w:val="24"/>
        </w:rPr>
        <w:t>di euro)</w:t>
      </w:r>
      <w:r w:rsidRPr="007C335A">
        <w:rPr>
          <w:rFonts w:ascii="Bodoni MT" w:eastAsiaTheme="minorEastAsia" w:hAnsi="Bodoni MT" w:cs="Bodoni MT"/>
          <w:color w:val="000000"/>
          <w:sz w:val="24"/>
          <w:szCs w:val="24"/>
        </w:rPr>
        <w:t>.</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In termini di cassa, le previsioni definitive 2016 registrano un aumento complessivo del 28% rispetto al 2015, ascrivibile soprattutto alle</w:t>
      </w:r>
      <w:r w:rsidR="00DC3954">
        <w:rPr>
          <w:rFonts w:ascii="Bodoni MT" w:eastAsiaTheme="minorEastAsia" w:hAnsi="Bodoni MT" w:cs="Bodoni MT"/>
          <w:color w:val="000000"/>
          <w:sz w:val="24"/>
          <w:szCs w:val="24"/>
        </w:rPr>
        <w:t xml:space="preserve"> spese correnti del Titolo I (+</w:t>
      </w:r>
      <w:r w:rsidRPr="007C335A">
        <w:rPr>
          <w:rFonts w:ascii="Bodoni MT" w:eastAsiaTheme="minorEastAsia" w:hAnsi="Bodoni MT" w:cs="Bodoni MT"/>
          <w:color w:val="000000"/>
          <w:sz w:val="24"/>
          <w:szCs w:val="24"/>
        </w:rPr>
        <w:t xml:space="preserve">1.119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 xml:space="preserve">di euro) e a quelle del Titolo II (+750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 xml:space="preserve">di euro), in controtendenza rispetto alle previsioni di competenza. </w:t>
      </w:r>
    </w:p>
    <w:p w:rsidR="007C335A" w:rsidRPr="007C335A" w:rsidRDefault="007C335A" w:rsidP="008E4EAA">
      <w:pPr>
        <w:keepNext/>
        <w:keepLines/>
        <w:numPr>
          <w:ilvl w:val="2"/>
          <w:numId w:val="1"/>
        </w:numPr>
        <w:spacing w:before="360" w:after="120" w:line="360" w:lineRule="auto"/>
        <w:ind w:left="720"/>
        <w:outlineLvl w:val="2"/>
        <w:rPr>
          <w:rFonts w:ascii="Bodoni MT" w:eastAsiaTheme="minorEastAsia" w:hAnsi="Bodoni MT" w:cs="Bodoni MT"/>
          <w:b/>
          <w:color w:val="000000"/>
          <w:sz w:val="24"/>
          <w:szCs w:val="24"/>
        </w:rPr>
      </w:pPr>
      <w:bookmarkStart w:id="98" w:name="_Toc498951145"/>
      <w:bookmarkStart w:id="99" w:name="_Toc498951221"/>
      <w:bookmarkStart w:id="100" w:name="_Toc498951307"/>
      <w:bookmarkStart w:id="101" w:name="_Toc498951341"/>
      <w:bookmarkStart w:id="102" w:name="_Toc498954435"/>
      <w:bookmarkStart w:id="103" w:name="_Toc498955554"/>
      <w:bookmarkStart w:id="104" w:name="_Toc498951146"/>
      <w:bookmarkStart w:id="105" w:name="_Toc498951222"/>
      <w:bookmarkStart w:id="106" w:name="_Toc498951308"/>
      <w:bookmarkStart w:id="107" w:name="_Toc498951342"/>
      <w:bookmarkStart w:id="108" w:name="_Toc498954436"/>
      <w:bookmarkStart w:id="109" w:name="_Toc498955555"/>
      <w:bookmarkStart w:id="110" w:name="_Toc499040922"/>
      <w:bookmarkStart w:id="111" w:name="_Toc507422624"/>
      <w:bookmarkEnd w:id="98"/>
      <w:bookmarkEnd w:id="99"/>
      <w:bookmarkEnd w:id="100"/>
      <w:bookmarkEnd w:id="101"/>
      <w:bookmarkEnd w:id="102"/>
      <w:bookmarkEnd w:id="103"/>
      <w:bookmarkEnd w:id="104"/>
      <w:bookmarkEnd w:id="105"/>
      <w:bookmarkEnd w:id="106"/>
      <w:bookmarkEnd w:id="107"/>
      <w:bookmarkEnd w:id="108"/>
      <w:bookmarkEnd w:id="109"/>
      <w:r w:rsidRPr="007C335A">
        <w:rPr>
          <w:rFonts w:ascii="Bodoni MT" w:eastAsiaTheme="minorEastAsia" w:hAnsi="Bodoni MT" w:cstheme="majorBidi"/>
          <w:b/>
          <w:color w:val="000000" w:themeColor="text1"/>
          <w:sz w:val="28"/>
          <w:szCs w:val="28"/>
        </w:rPr>
        <w:t>Il confronto della spesa per Missioni</w:t>
      </w:r>
      <w:bookmarkEnd w:id="110"/>
      <w:bookmarkEnd w:id="111"/>
    </w:p>
    <w:p w:rsidR="007C335A" w:rsidRPr="007C335A" w:rsidRDefault="007C335A" w:rsidP="007C335A">
      <w:pPr>
        <w:tabs>
          <w:tab w:val="left" w:pos="9921"/>
        </w:tabs>
        <w:spacing w:line="360" w:lineRule="auto"/>
        <w:jc w:val="both"/>
        <w:rPr>
          <w:rFonts w:ascii="Bodoni MT" w:eastAsiaTheme="minorEastAsia" w:hAnsi="Bodoni MT" w:cs="Bodoni MT"/>
          <w:color w:val="000000"/>
          <w:sz w:val="24"/>
          <w:szCs w:val="24"/>
        </w:rPr>
      </w:pPr>
      <w:r w:rsidRPr="007C335A">
        <w:rPr>
          <w:rFonts w:ascii="Bodoni MT" w:hAnsi="Bodoni MT"/>
          <w:sz w:val="24"/>
          <w:szCs w:val="24"/>
        </w:rPr>
        <w:t xml:space="preserve">Attesa la considerazione rivestita dalle distinte politiche di spesa per i diversi settori/ambiti d’intervento finanziario (MISSIONI) in cui si sostanziano gli obiettivi assunti in sede di programmazione, </w:t>
      </w:r>
      <w:r w:rsidRPr="006F2258">
        <w:rPr>
          <w:rFonts w:ascii="Bodoni MT" w:hAnsi="Bodoni MT"/>
          <w:sz w:val="24"/>
          <w:szCs w:val="24"/>
        </w:rPr>
        <w:t>anche al fine di verificarne l’aderenza alle politiche dei documenti di programmazione, si</w:t>
      </w:r>
      <w:r w:rsidRPr="007C335A">
        <w:rPr>
          <w:rFonts w:ascii="Bodoni MT" w:hAnsi="Bodoni MT"/>
          <w:sz w:val="24"/>
          <w:szCs w:val="24"/>
        </w:rPr>
        <w:t xml:space="preserve"> riporta</w:t>
      </w:r>
      <w:r w:rsidR="006F2258">
        <w:rPr>
          <w:rFonts w:ascii="Bodoni MT" w:hAnsi="Bodoni MT"/>
          <w:sz w:val="24"/>
          <w:szCs w:val="24"/>
        </w:rPr>
        <w:t>no</w:t>
      </w:r>
      <w:r w:rsidRPr="007C335A">
        <w:rPr>
          <w:rFonts w:ascii="Bodoni MT" w:hAnsi="Bodoni MT"/>
          <w:sz w:val="24"/>
          <w:szCs w:val="24"/>
        </w:rPr>
        <w:t xml:space="preserve"> </w:t>
      </w:r>
      <w:r w:rsidR="006F2258">
        <w:rPr>
          <w:rFonts w:ascii="Bodoni MT" w:hAnsi="Bodoni MT"/>
          <w:sz w:val="24"/>
          <w:szCs w:val="24"/>
        </w:rPr>
        <w:t>gli stanziamenti assegnati</w:t>
      </w:r>
      <w:r w:rsidRPr="007C335A">
        <w:rPr>
          <w:rFonts w:ascii="Bodoni MT" w:hAnsi="Bodoni MT"/>
          <w:sz w:val="24"/>
          <w:szCs w:val="24"/>
        </w:rPr>
        <w:t xml:space="preserve"> nel 2016 per ciascuna MISSIONE di</w:t>
      </w:r>
      <w:r w:rsidR="006F2258">
        <w:rPr>
          <w:rFonts w:ascii="Bodoni MT" w:hAnsi="Bodoni MT"/>
          <w:sz w:val="24"/>
          <w:szCs w:val="24"/>
        </w:rPr>
        <w:t xml:space="preserve"> bilancio a raffronto con quelli</w:t>
      </w:r>
      <w:r w:rsidRPr="007C335A">
        <w:rPr>
          <w:rFonts w:ascii="Bodoni MT" w:hAnsi="Bodoni MT"/>
          <w:sz w:val="24"/>
          <w:szCs w:val="24"/>
        </w:rPr>
        <w:t xml:space="preserve"> previst</w:t>
      </w:r>
      <w:r w:rsidR="006F2258">
        <w:rPr>
          <w:rFonts w:ascii="Bodoni MT" w:hAnsi="Bodoni MT"/>
          <w:sz w:val="24"/>
          <w:szCs w:val="24"/>
        </w:rPr>
        <w:t>i</w:t>
      </w:r>
      <w:r w:rsidRPr="007C335A">
        <w:rPr>
          <w:rFonts w:ascii="Bodoni MT" w:hAnsi="Bodoni MT"/>
          <w:sz w:val="24"/>
          <w:szCs w:val="24"/>
        </w:rPr>
        <w:t xml:space="preserve"> nel 2015.</w:t>
      </w:r>
    </w:p>
    <w:p w:rsidR="00FF65BD" w:rsidRDefault="00FF65BD" w:rsidP="007C335A">
      <w:pPr>
        <w:pStyle w:val="Didascalia"/>
      </w:pPr>
      <w:bookmarkStart w:id="112" w:name="_Toc499040959"/>
      <w:r>
        <w:br w:type="page"/>
      </w:r>
    </w:p>
    <w:p w:rsidR="007C335A" w:rsidRPr="007C335A" w:rsidRDefault="007C335A" w:rsidP="007C335A">
      <w:pPr>
        <w:pStyle w:val="Didascalia"/>
        <w:rPr>
          <w:sz w:val="24"/>
          <w:szCs w:val="24"/>
        </w:rPr>
      </w:pPr>
      <w:bookmarkStart w:id="113" w:name="_Toc507422478"/>
      <w:r>
        <w:lastRenderedPageBreak/>
        <w:t xml:space="preserve">Tabella </w:t>
      </w:r>
      <w:r w:rsidR="00B90472">
        <w:fldChar w:fldCharType="begin"/>
      </w:r>
      <w:r w:rsidR="00B90472">
        <w:instrText xml:space="preserve"> SEQ Tabella \* ARABIC </w:instrText>
      </w:r>
      <w:r w:rsidR="00B90472">
        <w:fldChar w:fldCharType="separate"/>
      </w:r>
      <w:r w:rsidR="008616B3">
        <w:rPr>
          <w:noProof/>
        </w:rPr>
        <w:t>10</w:t>
      </w:r>
      <w:r w:rsidR="00B90472">
        <w:rPr>
          <w:noProof/>
        </w:rPr>
        <w:fldChar w:fldCharType="end"/>
      </w:r>
      <w:r w:rsidRPr="007C335A">
        <w:rPr>
          <w:sz w:val="24"/>
          <w:szCs w:val="24"/>
        </w:rPr>
        <w:t xml:space="preserve"> – Spesa per Missioni – Previsioni definitive – Confronto Esercizi 2015-2016</w:t>
      </w:r>
      <w:bookmarkEnd w:id="112"/>
      <w:bookmarkEnd w:id="113"/>
    </w:p>
    <w:tbl>
      <w:tblPr>
        <w:tblW w:w="10768" w:type="dxa"/>
        <w:jc w:val="center"/>
        <w:tblCellMar>
          <w:left w:w="70" w:type="dxa"/>
          <w:right w:w="70" w:type="dxa"/>
        </w:tblCellMar>
        <w:tblLook w:val="04A0" w:firstRow="1" w:lastRow="0" w:firstColumn="1" w:lastColumn="0" w:noHBand="0" w:noVBand="1"/>
      </w:tblPr>
      <w:tblGrid>
        <w:gridCol w:w="297"/>
        <w:gridCol w:w="974"/>
        <w:gridCol w:w="1058"/>
        <w:gridCol w:w="905"/>
        <w:gridCol w:w="997"/>
        <w:gridCol w:w="1058"/>
        <w:gridCol w:w="905"/>
        <w:gridCol w:w="997"/>
        <w:gridCol w:w="742"/>
        <w:gridCol w:w="645"/>
        <w:gridCol w:w="1056"/>
        <w:gridCol w:w="1134"/>
      </w:tblGrid>
      <w:tr w:rsidR="007C335A" w:rsidRPr="007C335A" w:rsidTr="002C0A25">
        <w:trPr>
          <w:trHeight w:val="330"/>
          <w:jc w:val="center"/>
        </w:trPr>
        <w:tc>
          <w:tcPr>
            <w:tcW w:w="1271" w:type="dxa"/>
            <w:gridSpan w:val="2"/>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SPESA</w:t>
            </w:r>
          </w:p>
        </w:tc>
        <w:tc>
          <w:tcPr>
            <w:tcW w:w="2960" w:type="dxa"/>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Previsioni   finali 2015 </w:t>
            </w:r>
          </w:p>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w:t>
            </w:r>
          </w:p>
        </w:tc>
        <w:tc>
          <w:tcPr>
            <w:tcW w:w="2960" w:type="dxa"/>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Previsioni   finali 2016</w:t>
            </w:r>
          </w:p>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w:t>
            </w:r>
          </w:p>
        </w:tc>
        <w:tc>
          <w:tcPr>
            <w:tcW w:w="742"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Competenza</w:t>
            </w:r>
          </w:p>
        </w:tc>
        <w:tc>
          <w:tcPr>
            <w:tcW w:w="64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Cassa</w:t>
            </w:r>
          </w:p>
        </w:tc>
        <w:tc>
          <w:tcPr>
            <w:tcW w:w="2190" w:type="dxa"/>
            <w:gridSpan w:val="2"/>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xml:space="preserve">Variazioni in valore assoluto </w:t>
            </w:r>
            <w:r w:rsidRPr="007C335A">
              <w:rPr>
                <w:rFonts w:ascii="Bodoni MT" w:eastAsia="Times New Roman" w:hAnsi="Bodoni MT" w:cs="Calibri"/>
                <w:b/>
                <w:bCs/>
                <w:color w:val="FFFFFF"/>
                <w:sz w:val="12"/>
                <w:szCs w:val="12"/>
                <w:lang w:eastAsia="it-IT"/>
              </w:rPr>
              <w:br/>
              <w:t>2016 - 2015</w:t>
            </w:r>
          </w:p>
        </w:tc>
      </w:tr>
      <w:tr w:rsidR="007C335A" w:rsidRPr="007C335A" w:rsidTr="002C0A25">
        <w:trPr>
          <w:trHeight w:val="390"/>
          <w:jc w:val="center"/>
        </w:trPr>
        <w:tc>
          <w:tcPr>
            <w:tcW w:w="1271" w:type="dxa"/>
            <w:gridSpan w:val="2"/>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MISSIONI</w:t>
            </w:r>
          </w:p>
        </w:tc>
        <w:tc>
          <w:tcPr>
            <w:tcW w:w="1058"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Competenza</w:t>
            </w:r>
          </w:p>
        </w:tc>
        <w:tc>
          <w:tcPr>
            <w:tcW w:w="905"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xml:space="preserve">di cui FPV </w:t>
            </w:r>
            <w:r w:rsidRPr="007C335A">
              <w:rPr>
                <w:rFonts w:ascii="Bodoni MT" w:eastAsia="Times New Roman" w:hAnsi="Bodoni MT" w:cs="Calibri"/>
                <w:b/>
                <w:bCs/>
                <w:color w:val="FFFFFF"/>
                <w:sz w:val="12"/>
                <w:szCs w:val="12"/>
                <w:lang w:eastAsia="it-IT"/>
              </w:rPr>
              <w:br/>
              <w:t>finale</w:t>
            </w:r>
          </w:p>
        </w:tc>
        <w:tc>
          <w:tcPr>
            <w:tcW w:w="997"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Cassa</w:t>
            </w:r>
          </w:p>
        </w:tc>
        <w:tc>
          <w:tcPr>
            <w:tcW w:w="1058"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Competenza</w:t>
            </w:r>
          </w:p>
        </w:tc>
        <w:tc>
          <w:tcPr>
            <w:tcW w:w="905"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di cui FPV</w:t>
            </w:r>
            <w:r w:rsidRPr="007C335A">
              <w:rPr>
                <w:rFonts w:ascii="Bodoni MT" w:eastAsia="Times New Roman" w:hAnsi="Bodoni MT" w:cs="Calibri"/>
                <w:b/>
                <w:bCs/>
                <w:color w:val="FFFFFF"/>
                <w:sz w:val="12"/>
                <w:szCs w:val="12"/>
                <w:lang w:eastAsia="it-IT"/>
              </w:rPr>
              <w:br/>
              <w:t xml:space="preserve"> finale</w:t>
            </w:r>
          </w:p>
        </w:tc>
        <w:tc>
          <w:tcPr>
            <w:tcW w:w="997"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Cassa</w:t>
            </w:r>
          </w:p>
        </w:tc>
        <w:tc>
          <w:tcPr>
            <w:tcW w:w="742"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xml:space="preserve">Var.% </w:t>
            </w:r>
            <w:r w:rsidRPr="007C335A">
              <w:rPr>
                <w:rFonts w:ascii="Bodoni MT" w:eastAsia="Times New Roman" w:hAnsi="Bodoni MT" w:cs="Calibri"/>
                <w:b/>
                <w:bCs/>
                <w:color w:val="FFFFFF"/>
                <w:sz w:val="12"/>
                <w:szCs w:val="12"/>
                <w:lang w:eastAsia="it-IT"/>
              </w:rPr>
              <w:br/>
              <w:t>2016/2015</w:t>
            </w:r>
          </w:p>
        </w:tc>
        <w:tc>
          <w:tcPr>
            <w:tcW w:w="645"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 xml:space="preserve">Var.% </w:t>
            </w:r>
            <w:r w:rsidRPr="007C335A">
              <w:rPr>
                <w:rFonts w:ascii="Bodoni MT" w:eastAsia="Times New Roman" w:hAnsi="Bodoni MT" w:cs="Calibri"/>
                <w:b/>
                <w:bCs/>
                <w:color w:val="FFFFFF"/>
                <w:sz w:val="12"/>
                <w:szCs w:val="12"/>
                <w:lang w:eastAsia="it-IT"/>
              </w:rPr>
              <w:br/>
              <w:t>2016/2015</w:t>
            </w:r>
          </w:p>
        </w:tc>
        <w:tc>
          <w:tcPr>
            <w:tcW w:w="1056"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Competenza</w:t>
            </w:r>
          </w:p>
        </w:tc>
        <w:tc>
          <w:tcPr>
            <w:tcW w:w="1134" w:type="dxa"/>
            <w:tcBorders>
              <w:top w:val="nil"/>
              <w:left w:val="nil"/>
              <w:bottom w:val="single" w:sz="4" w:space="0" w:color="auto"/>
              <w:right w:val="single" w:sz="4" w:space="0" w:color="auto"/>
            </w:tcBorders>
            <w:shd w:val="clear" w:color="auto" w:fill="0F243E" w:themeFill="text2" w:themeFillShade="80"/>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2"/>
                <w:szCs w:val="12"/>
                <w:lang w:eastAsia="it-IT"/>
              </w:rPr>
            </w:pPr>
            <w:r w:rsidRPr="007C335A">
              <w:rPr>
                <w:rFonts w:ascii="Bodoni MT" w:eastAsia="Times New Roman" w:hAnsi="Bodoni MT" w:cs="Calibri"/>
                <w:b/>
                <w:bCs/>
                <w:color w:val="FFFFFF"/>
                <w:sz w:val="12"/>
                <w:szCs w:val="12"/>
                <w:lang w:eastAsia="it-IT"/>
              </w:rPr>
              <w:t>Cassa</w:t>
            </w:r>
          </w:p>
        </w:tc>
      </w:tr>
      <w:tr w:rsidR="007C335A" w:rsidRPr="007C335A" w:rsidTr="007C335A">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01</w:t>
            </w:r>
          </w:p>
        </w:tc>
        <w:tc>
          <w:tcPr>
            <w:tcW w:w="974" w:type="dxa"/>
            <w:tcBorders>
              <w:top w:val="nil"/>
              <w:left w:val="nil"/>
              <w:bottom w:val="single" w:sz="4" w:space="0" w:color="auto"/>
              <w:right w:val="single" w:sz="4" w:space="0" w:color="auto"/>
            </w:tcBorders>
            <w:shd w:val="clear" w:color="auto" w:fill="auto"/>
            <w:hideMark/>
          </w:tcPr>
          <w:p w:rsidR="007C335A" w:rsidRPr="007C335A" w:rsidRDefault="00A77528" w:rsidP="007C335A">
            <w:pPr>
              <w:spacing w:after="0" w:line="240" w:lineRule="auto"/>
              <w:rPr>
                <w:rFonts w:ascii="Calibri" w:eastAsia="Times New Roman" w:hAnsi="Calibri" w:cs="Calibri"/>
                <w:b/>
                <w:bCs/>
                <w:i/>
                <w:iCs/>
                <w:color w:val="000000"/>
                <w:sz w:val="12"/>
                <w:szCs w:val="12"/>
                <w:lang w:eastAsia="it-IT"/>
              </w:rPr>
            </w:pPr>
            <w:r>
              <w:rPr>
                <w:rFonts w:ascii="Calibri" w:eastAsia="Times New Roman" w:hAnsi="Calibri" w:cs="Calibri"/>
                <w:b/>
                <w:bCs/>
                <w:i/>
                <w:iCs/>
                <w:color w:val="000000"/>
                <w:sz w:val="12"/>
                <w:szCs w:val="12"/>
                <w:lang w:eastAsia="it-IT"/>
              </w:rPr>
              <w:t xml:space="preserve">Servizi istituzionali, </w:t>
            </w:r>
            <w:r w:rsidR="007C335A" w:rsidRPr="007C335A">
              <w:rPr>
                <w:rFonts w:ascii="Calibri" w:eastAsia="Times New Roman" w:hAnsi="Calibri" w:cs="Calibri"/>
                <w:b/>
                <w:bCs/>
                <w:i/>
                <w:iCs/>
                <w:color w:val="000000"/>
                <w:sz w:val="12"/>
                <w:szCs w:val="12"/>
                <w:lang w:eastAsia="it-IT"/>
              </w:rPr>
              <w:t xml:space="preserve">generali e di gestione </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1.152.616.189,09</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9.127.753,67</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469.640.533,76</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1.251.477.579,04</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16.797.178,40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1.045.778.787,53</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8,58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122,68</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98.861.389,95</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576.138.253,77</w:t>
            </w:r>
          </w:p>
        </w:tc>
      </w:tr>
      <w:tr w:rsidR="007C335A" w:rsidRPr="007C335A" w:rsidTr="007C335A">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03</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Ordine pubblico e sicurezza</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5.111.944,29</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4.706.784,70</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10.100.000,00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100.000,00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11.725.000,00</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97,58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149,11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4.988.055,71</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7.018.215,30</w:t>
            </w:r>
          </w:p>
        </w:tc>
      </w:tr>
      <w:tr w:rsidR="007C335A" w:rsidRPr="007C335A" w:rsidTr="007C335A">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04</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Istruzione e diritto allo studio</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468.909.390,66</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71.423.869,80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180.391.048,91</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276.489.876,87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22.898.952,41</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280.949.372,52</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-41,04</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55,74</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   192.419.513,79</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100.558.323,61</w:t>
            </w:r>
          </w:p>
        </w:tc>
      </w:tr>
      <w:tr w:rsidR="007C335A" w:rsidRPr="007C335A" w:rsidTr="007C335A">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05</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Tutela e valorizzazione dei beni e delle attività culturali</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101.995.734,15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4.112.618,75</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89.680.291,40</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95.032.818,08</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2.721.919,00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74.002.186,44</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-6,83</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-17,48</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-6.962.916,07</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-15.678.104,96</w:t>
            </w:r>
          </w:p>
        </w:tc>
      </w:tr>
      <w:tr w:rsidR="007C335A" w:rsidRPr="007C335A" w:rsidTr="007C335A">
        <w:trPr>
          <w:trHeight w:val="495"/>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06</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Politiche giovanili, sport e tempo libero</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34.145.623,76</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24.262.701,15</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11.303.734,87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19.213.719,37</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-66,90</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-20,81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-22.841.888,89</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- 5.048.981,78</w:t>
            </w:r>
          </w:p>
        </w:tc>
      </w:tr>
      <w:tr w:rsidR="007C335A" w:rsidRPr="007C335A" w:rsidTr="007C335A">
        <w:trPr>
          <w:trHeight w:val="30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07</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Turismo</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59.245.086,89</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8.346.265,13</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24.239.884,27</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42.810.976,17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1.340.547,42</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45.333.082,63</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-27,74</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87,02</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-16.434.110,72</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21.093.198,36</w:t>
            </w:r>
          </w:p>
        </w:tc>
      </w:tr>
      <w:tr w:rsidR="007C335A" w:rsidRPr="007C335A" w:rsidTr="007C335A">
        <w:trPr>
          <w:trHeight w:val="495"/>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08</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Assetto del territorio ed edilizia abitativa</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147.863.645,04</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7.454.342,31</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149.565.452,59</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145.969.299,37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46.089.093,62</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113.839.852,08</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-23,89</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-1.894.345,67</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-35.725.600,51</w:t>
            </w:r>
          </w:p>
        </w:tc>
      </w:tr>
      <w:tr w:rsidR="007C335A" w:rsidRPr="007C335A" w:rsidTr="00331C1E">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09</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Sviluppo sostenibile e tutela del territorio e dell'ambiente</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844.635.992,65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77.403.403,11</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575.405.185,66</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734.171.859,41</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160.986.812,40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622.622.505,84</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-13,08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8,21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331C1E">
            <w:pPr>
              <w:spacing w:after="0" w:line="240" w:lineRule="auto"/>
              <w:jc w:val="right"/>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 xml:space="preserve"> 110.464.133,24</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47.217.320,18</w:t>
            </w:r>
          </w:p>
        </w:tc>
      </w:tr>
      <w:tr w:rsidR="007C335A" w:rsidRPr="007C335A" w:rsidTr="007C335A">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10</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Trasporti e diritto alla mobilità</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1.051.582.889,30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76.633.212,46</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455.957.802,12</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760.244.207,86</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145.763.676,97</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586.985.737,54</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  27,70</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28,74</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- 291.338.681,44</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131.027.935,42</w:t>
            </w:r>
          </w:p>
        </w:tc>
      </w:tr>
      <w:tr w:rsidR="007C335A" w:rsidRPr="007C335A" w:rsidTr="007C335A">
        <w:trPr>
          <w:trHeight w:val="30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11</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Soccorso civile</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26.385.955,95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2.386.051,12</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6.595.130,74</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38.145.915,57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3.227.661,88</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34.243.445,89</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44,57</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419,22</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11.759.959,62</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27.648.315,15</w:t>
            </w:r>
          </w:p>
        </w:tc>
      </w:tr>
      <w:tr w:rsidR="007C335A" w:rsidRPr="007C335A" w:rsidTr="007C335A">
        <w:trPr>
          <w:trHeight w:val="495"/>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12</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Diritti sociali, politiche sociali e famiglia</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375.018.733,39</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300.268.892,40</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307.665.902,10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163.041,87</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339.998.532,34</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-17,96</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13,23</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-67.352.831,29</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39.729.639,94</w:t>
            </w:r>
          </w:p>
        </w:tc>
      </w:tr>
      <w:tr w:rsidR="007C335A" w:rsidRPr="007C335A" w:rsidTr="007C335A">
        <w:trPr>
          <w:trHeight w:val="30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13</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Tutela della salute</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3.238.735.873,84</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7.291.828,92</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3.094.871.460,14</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3.601.051.175,83</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51.263.310,56</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3.763.832.451,17</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11,19</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21,62</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362.315.301,99</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668.960.991,03</w:t>
            </w:r>
          </w:p>
        </w:tc>
      </w:tr>
      <w:tr w:rsidR="007C335A" w:rsidRPr="007C335A" w:rsidTr="007C335A">
        <w:trPr>
          <w:trHeight w:val="495"/>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14</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Sviluppo economico e competitività</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188.334.764,15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41.901.835,87</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159.624.561,31</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298.844.139,93</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127.883.079,66</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139.804.147,24</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58,68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12,42</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110.509.375,78</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-19.820.414,07</w:t>
            </w:r>
          </w:p>
        </w:tc>
      </w:tr>
      <w:tr w:rsidR="007C335A" w:rsidRPr="007C335A" w:rsidTr="00331C1E">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15</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Politiche per il lavoro e la formazione professionale</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256.994.070,64</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14.633.655,35</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150.028.495,92</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153.218.339,92</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8.333.647,32</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132.306.729,60</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40,38</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11,81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331C1E">
            <w:pPr>
              <w:spacing w:after="0" w:line="240" w:lineRule="auto"/>
              <w:jc w:val="right"/>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103.775.730,72</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331C1E">
            <w:pPr>
              <w:spacing w:after="0" w:line="240" w:lineRule="auto"/>
              <w:jc w:val="right"/>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17.721.766,32</w:t>
            </w:r>
          </w:p>
        </w:tc>
      </w:tr>
      <w:tr w:rsidR="007C335A" w:rsidRPr="007C335A" w:rsidTr="007C335A">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16</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Agricoltura, politiche agroalimentari e pesca</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209.067.268,09</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17.129.724,31</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207.844.578,61</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266.981.655,26</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18.373.773,80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337.362.742,12</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27,70</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62,31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57.914.387,17</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129.518.163,51</w:t>
            </w:r>
          </w:p>
        </w:tc>
      </w:tr>
      <w:tr w:rsidR="007C335A" w:rsidRPr="007C335A" w:rsidTr="007C335A">
        <w:trPr>
          <w:trHeight w:val="66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17</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Energia e diversificazione delle fonti energetiche</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26.369.749,74</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6.471.267,67</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39.221.863,78</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50.442.953,21</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33.828.471,13</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27.929.054,90</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91,29</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-28,79</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24.073.203,47</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-11.292.808,88</w:t>
            </w:r>
          </w:p>
        </w:tc>
      </w:tr>
      <w:tr w:rsidR="007C335A" w:rsidRPr="007C335A" w:rsidTr="007C335A">
        <w:trPr>
          <w:trHeight w:val="495"/>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18</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Relazioni con le altre autonomie territoriali e locali</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651.500.917,17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209.700,00</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701.458.089,08</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1.382.400.757,65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39.233.113,81</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1.588.371.837,71</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112,19</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126,44</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730.899.840,48</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886.913.748,63</w:t>
            </w:r>
          </w:p>
        </w:tc>
      </w:tr>
      <w:tr w:rsidR="007C335A" w:rsidRPr="007C335A" w:rsidTr="007C335A">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19</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Relazioni internazionali</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98.397.071,36</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456.807,18</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23.300.209,18</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55.546.825,01</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53.306,49</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53.638.256,79</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-43,55</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130,21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-42.850.246,35</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30.338.047,61</w:t>
            </w:r>
          </w:p>
        </w:tc>
      </w:tr>
      <w:tr w:rsidR="007C335A" w:rsidRPr="007C335A" w:rsidTr="007C335A">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20</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Fondi e accantonamenti</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819.512.226,70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681.700.721,75</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291.212.981,10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387.785.961,58</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-64,47</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-43,11</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-528.299.245,60</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-293.914.760,17</w:t>
            </w:r>
          </w:p>
        </w:tc>
      </w:tr>
      <w:tr w:rsidR="007C335A" w:rsidRPr="007C335A" w:rsidTr="007C335A">
        <w:trPr>
          <w:trHeight w:val="30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50</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Debito pubblico</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336.004.029,75</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334.401.596,84</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223.045.350,00</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223.045.588,09</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-33,62</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-33,30</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-112.958.679,75</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-111.356.008,75</w:t>
            </w:r>
          </w:p>
        </w:tc>
      </w:tr>
      <w:tr w:rsidR="007C335A" w:rsidRPr="007C335A" w:rsidTr="00331C1E">
        <w:trPr>
          <w:trHeight w:val="330"/>
          <w:jc w:val="center"/>
        </w:trPr>
        <w:tc>
          <w:tcPr>
            <w:tcW w:w="297"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99</w:t>
            </w:r>
          </w:p>
        </w:tc>
        <w:tc>
          <w:tcPr>
            <w:tcW w:w="974" w:type="dxa"/>
            <w:tcBorders>
              <w:top w:val="nil"/>
              <w:left w:val="nil"/>
              <w:bottom w:val="single" w:sz="4" w:space="0" w:color="auto"/>
              <w:right w:val="single" w:sz="4" w:space="0" w:color="auto"/>
            </w:tcBorders>
            <w:shd w:val="clear" w:color="auto" w:fill="auto"/>
            <w:hideMark/>
          </w:tcPr>
          <w:p w:rsidR="007C335A" w:rsidRPr="007C335A" w:rsidRDefault="007C335A" w:rsidP="007C335A">
            <w:pPr>
              <w:spacing w:after="0" w:line="240" w:lineRule="auto"/>
              <w:rPr>
                <w:rFonts w:ascii="Calibri" w:eastAsia="Times New Roman" w:hAnsi="Calibri" w:cs="Calibri"/>
                <w:b/>
                <w:bCs/>
                <w:i/>
                <w:iCs/>
                <w:color w:val="000000"/>
                <w:sz w:val="12"/>
                <w:szCs w:val="12"/>
                <w:lang w:eastAsia="it-IT"/>
              </w:rPr>
            </w:pPr>
            <w:r w:rsidRPr="007C335A">
              <w:rPr>
                <w:rFonts w:ascii="Calibri" w:eastAsia="Times New Roman" w:hAnsi="Calibri" w:cs="Calibri"/>
                <w:b/>
                <w:bCs/>
                <w:i/>
                <w:iCs/>
                <w:color w:val="000000"/>
                <w:sz w:val="12"/>
                <w:szCs w:val="12"/>
                <w:lang w:eastAsia="it-IT"/>
              </w:rPr>
              <w:t>Servizi per conto terzi</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179.731.698,33</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138.177.261,02</w:t>
            </w:r>
          </w:p>
        </w:tc>
        <w:tc>
          <w:tcPr>
            <w:tcW w:w="1058"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155.745.712,37</w:t>
            </w:r>
          </w:p>
        </w:tc>
        <w:tc>
          <w:tcPr>
            <w:tcW w:w="90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w:t>
            </w:r>
          </w:p>
        </w:tc>
        <w:tc>
          <w:tcPr>
            <w:tcW w:w="997"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161.575.997,50</w:t>
            </w:r>
          </w:p>
        </w:tc>
        <w:tc>
          <w:tcPr>
            <w:tcW w:w="742"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-13,35</w:t>
            </w:r>
          </w:p>
        </w:tc>
        <w:tc>
          <w:tcPr>
            <w:tcW w:w="645"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16,93</w:t>
            </w:r>
          </w:p>
        </w:tc>
        <w:tc>
          <w:tcPr>
            <w:tcW w:w="1056"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331C1E">
            <w:pPr>
              <w:spacing w:after="0" w:line="240" w:lineRule="auto"/>
              <w:jc w:val="right"/>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23.985.985,96</w:t>
            </w:r>
          </w:p>
        </w:tc>
        <w:tc>
          <w:tcPr>
            <w:tcW w:w="1134" w:type="dxa"/>
            <w:tcBorders>
              <w:top w:val="nil"/>
              <w:left w:val="nil"/>
              <w:bottom w:val="single" w:sz="4" w:space="0" w:color="auto"/>
              <w:right w:val="single" w:sz="4" w:space="0" w:color="auto"/>
            </w:tcBorders>
            <w:shd w:val="clear" w:color="auto" w:fill="auto"/>
            <w:noWrap/>
            <w:vAlign w:val="center"/>
            <w:hideMark/>
          </w:tcPr>
          <w:p w:rsidR="007C335A" w:rsidRPr="007C335A" w:rsidRDefault="007C335A" w:rsidP="007C335A">
            <w:pPr>
              <w:spacing w:after="0" w:line="240" w:lineRule="auto"/>
              <w:jc w:val="center"/>
              <w:rPr>
                <w:rFonts w:ascii="Calibri" w:eastAsia="Times New Roman" w:hAnsi="Calibri" w:cs="Calibri"/>
                <w:color w:val="000000"/>
                <w:sz w:val="12"/>
                <w:szCs w:val="12"/>
                <w:lang w:eastAsia="it-IT"/>
              </w:rPr>
            </w:pPr>
            <w:r w:rsidRPr="007C335A">
              <w:rPr>
                <w:rFonts w:ascii="Calibri" w:eastAsia="Times New Roman" w:hAnsi="Calibri" w:cs="Calibri"/>
                <w:color w:val="000000"/>
                <w:sz w:val="12"/>
                <w:szCs w:val="12"/>
                <w:lang w:eastAsia="it-IT"/>
              </w:rPr>
              <w:t>23.398.736,48</w:t>
            </w:r>
          </w:p>
        </w:tc>
      </w:tr>
      <w:tr w:rsidR="007C335A" w:rsidRPr="007C335A" w:rsidTr="007C335A">
        <w:trPr>
          <w:trHeight w:val="300"/>
          <w:jc w:val="center"/>
        </w:trPr>
        <w:tc>
          <w:tcPr>
            <w:tcW w:w="1271"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Totale Missioni</w:t>
            </w:r>
          </w:p>
        </w:tc>
        <w:tc>
          <w:tcPr>
            <w:tcW w:w="1058"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10.272.158.854,94</w:t>
            </w:r>
          </w:p>
        </w:tc>
        <w:tc>
          <w:tcPr>
            <w:tcW w:w="905"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344.982.335,65</w:t>
            </w:r>
          </w:p>
        </w:tc>
        <w:tc>
          <w:tcPr>
            <w:tcW w:w="997"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7.811.342.545,33</w:t>
            </w:r>
          </w:p>
        </w:tc>
        <w:tc>
          <w:tcPr>
            <w:tcW w:w="1058"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10.151.902.059,62</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679.057.586,74</w:t>
            </w:r>
          </w:p>
        </w:tc>
        <w:tc>
          <w:tcPr>
            <w:tcW w:w="997"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9.990.344.988,88</w:t>
            </w:r>
          </w:p>
        </w:tc>
        <w:tc>
          <w:tcPr>
            <w:tcW w:w="742"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-1,17</w:t>
            </w:r>
          </w:p>
        </w:tc>
        <w:tc>
          <w:tcPr>
            <w:tcW w:w="64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27,90</w:t>
            </w:r>
          </w:p>
        </w:tc>
        <w:tc>
          <w:tcPr>
            <w:tcW w:w="1056"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-120.256.795,32</w:t>
            </w:r>
          </w:p>
        </w:tc>
        <w:tc>
          <w:tcPr>
            <w:tcW w:w="1134"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2.179.002.443,55</w:t>
            </w:r>
          </w:p>
        </w:tc>
      </w:tr>
      <w:tr w:rsidR="007C335A" w:rsidRPr="007C335A" w:rsidTr="007C335A">
        <w:trPr>
          <w:trHeight w:val="300"/>
          <w:jc w:val="center"/>
        </w:trPr>
        <w:tc>
          <w:tcPr>
            <w:tcW w:w="1271"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Dis. di amministr.</w:t>
            </w:r>
          </w:p>
        </w:tc>
        <w:tc>
          <w:tcPr>
            <w:tcW w:w="1058"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r w:rsidRPr="007C335A">
              <w:rPr>
                <w:rFonts w:ascii="Calibri" w:eastAsia="Times New Roman" w:hAnsi="Calibri" w:cs="Calibri"/>
                <w:sz w:val="12"/>
                <w:szCs w:val="12"/>
                <w:lang w:eastAsia="it-IT"/>
              </w:rPr>
              <w:t>537.260.719,82</w:t>
            </w:r>
          </w:p>
        </w:tc>
        <w:tc>
          <w:tcPr>
            <w:tcW w:w="905"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Bodoni MT" w:eastAsia="Times New Roman" w:hAnsi="Bodoni MT" w:cs="Calibri"/>
                <w:b/>
                <w:bCs/>
                <w:sz w:val="12"/>
                <w:szCs w:val="12"/>
                <w:lang w:eastAsia="it-IT"/>
              </w:rPr>
            </w:pPr>
          </w:p>
        </w:tc>
        <w:tc>
          <w:tcPr>
            <w:tcW w:w="997" w:type="dxa"/>
            <w:tcBorders>
              <w:top w:val="nil"/>
              <w:left w:val="nil"/>
              <w:bottom w:val="single" w:sz="4" w:space="0" w:color="auto"/>
              <w:right w:val="single" w:sz="4" w:space="0" w:color="auto"/>
            </w:tcBorders>
            <w:shd w:val="clear" w:color="auto" w:fill="FFFFFF" w:themeFill="background1"/>
            <w:vAlign w:val="center"/>
            <w:hideMark/>
          </w:tcPr>
          <w:p w:rsidR="007C335A" w:rsidRPr="007C335A" w:rsidRDefault="007C335A" w:rsidP="007C335A">
            <w:pPr>
              <w:spacing w:after="0" w:line="240" w:lineRule="auto"/>
              <w:jc w:val="center"/>
              <w:rPr>
                <w:rFonts w:ascii="Bodoni MT" w:eastAsia="Times New Roman" w:hAnsi="Bodoni MT" w:cs="Calibri"/>
                <w:b/>
                <w:bCs/>
                <w:sz w:val="12"/>
                <w:szCs w:val="12"/>
                <w:lang w:eastAsia="it-IT"/>
              </w:rPr>
            </w:pPr>
          </w:p>
        </w:tc>
        <w:tc>
          <w:tcPr>
            <w:tcW w:w="1058"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r w:rsidRPr="007C335A">
              <w:rPr>
                <w:rFonts w:ascii="Calibri" w:eastAsia="Times New Roman" w:hAnsi="Calibri" w:cs="Calibri"/>
                <w:sz w:val="12"/>
                <w:szCs w:val="12"/>
                <w:lang w:eastAsia="it-IT"/>
              </w:rPr>
              <w:t>537.262.000,00</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p>
        </w:tc>
        <w:tc>
          <w:tcPr>
            <w:tcW w:w="997"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Arial" w:eastAsia="Times New Roman" w:hAnsi="Arial" w:cs="Arial"/>
                <w:sz w:val="12"/>
                <w:szCs w:val="12"/>
                <w:lang w:eastAsia="it-IT"/>
              </w:rPr>
            </w:pPr>
          </w:p>
        </w:tc>
        <w:tc>
          <w:tcPr>
            <w:tcW w:w="742"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r w:rsidRPr="007C335A">
              <w:rPr>
                <w:rFonts w:ascii="Calibri" w:eastAsia="Times New Roman" w:hAnsi="Calibri" w:cs="Calibri"/>
                <w:sz w:val="12"/>
                <w:szCs w:val="12"/>
                <w:lang w:eastAsia="it-IT"/>
              </w:rPr>
              <w:t>0,00</w:t>
            </w:r>
          </w:p>
        </w:tc>
        <w:tc>
          <w:tcPr>
            <w:tcW w:w="64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p>
        </w:tc>
        <w:tc>
          <w:tcPr>
            <w:tcW w:w="1056"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sz w:val="12"/>
                <w:szCs w:val="12"/>
                <w:lang w:eastAsia="it-IT"/>
              </w:rPr>
            </w:pPr>
            <w:r w:rsidRPr="007C335A">
              <w:rPr>
                <w:rFonts w:ascii="Calibri" w:eastAsia="Times New Roman" w:hAnsi="Calibri" w:cs="Calibri"/>
                <w:sz w:val="12"/>
                <w:szCs w:val="12"/>
                <w:lang w:eastAsia="it-IT"/>
              </w:rPr>
              <w:t>1.280,18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Arial" w:eastAsia="Times New Roman" w:hAnsi="Arial" w:cs="Arial"/>
                <w:sz w:val="12"/>
                <w:szCs w:val="12"/>
                <w:lang w:eastAsia="it-IT"/>
              </w:rPr>
            </w:pPr>
          </w:p>
        </w:tc>
      </w:tr>
      <w:tr w:rsidR="007C335A" w:rsidRPr="007C335A" w:rsidTr="007C335A">
        <w:trPr>
          <w:trHeight w:val="300"/>
          <w:jc w:val="center"/>
        </w:trPr>
        <w:tc>
          <w:tcPr>
            <w:tcW w:w="1271"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7C335A" w:rsidRPr="007C335A" w:rsidRDefault="007C335A" w:rsidP="007C335A">
            <w:pPr>
              <w:spacing w:after="0" w:line="240" w:lineRule="auto"/>
              <w:jc w:val="center"/>
              <w:rPr>
                <w:rFonts w:ascii="Bodoni MT" w:eastAsia="Times New Roman" w:hAnsi="Bodoni MT" w:cs="Calibri"/>
                <w:b/>
                <w:bCs/>
                <w:color w:val="FFFFFF"/>
                <w:sz w:val="16"/>
                <w:szCs w:val="16"/>
                <w:lang w:eastAsia="it-IT"/>
              </w:rPr>
            </w:pPr>
            <w:r w:rsidRPr="007C335A">
              <w:rPr>
                <w:rFonts w:ascii="Bodoni MT" w:eastAsia="Times New Roman" w:hAnsi="Bodoni MT" w:cs="Calibri"/>
                <w:b/>
                <w:bCs/>
                <w:color w:val="FFFFFF"/>
                <w:sz w:val="16"/>
                <w:szCs w:val="16"/>
                <w:lang w:eastAsia="it-IT"/>
              </w:rPr>
              <w:t>TOTALE</w:t>
            </w:r>
          </w:p>
        </w:tc>
        <w:tc>
          <w:tcPr>
            <w:tcW w:w="1058"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10.809.419.574,76</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344.982.335,65</w:t>
            </w:r>
          </w:p>
        </w:tc>
        <w:tc>
          <w:tcPr>
            <w:tcW w:w="997"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7.811.342.545,33</w:t>
            </w:r>
          </w:p>
        </w:tc>
        <w:tc>
          <w:tcPr>
            <w:tcW w:w="1058"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10.689.164.059,62</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679.057.586,74</w:t>
            </w:r>
          </w:p>
        </w:tc>
        <w:tc>
          <w:tcPr>
            <w:tcW w:w="997"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9.990.344.988,88</w:t>
            </w:r>
          </w:p>
        </w:tc>
        <w:tc>
          <w:tcPr>
            <w:tcW w:w="742"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-1,11</w:t>
            </w:r>
          </w:p>
        </w:tc>
        <w:tc>
          <w:tcPr>
            <w:tcW w:w="645"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27,90</w:t>
            </w:r>
          </w:p>
        </w:tc>
        <w:tc>
          <w:tcPr>
            <w:tcW w:w="1056"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-120.255.515,14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7C335A" w:rsidRPr="007C335A" w:rsidRDefault="007C335A" w:rsidP="007C335A">
            <w:pPr>
              <w:spacing w:after="0" w:line="240" w:lineRule="auto"/>
              <w:jc w:val="center"/>
              <w:rPr>
                <w:rFonts w:ascii="Calibri" w:eastAsia="Times New Roman" w:hAnsi="Calibri" w:cs="Calibri"/>
                <w:b/>
                <w:bCs/>
                <w:sz w:val="12"/>
                <w:szCs w:val="12"/>
                <w:lang w:eastAsia="it-IT"/>
              </w:rPr>
            </w:pPr>
            <w:r w:rsidRPr="007C335A">
              <w:rPr>
                <w:rFonts w:ascii="Calibri" w:eastAsia="Times New Roman" w:hAnsi="Calibri" w:cs="Calibri"/>
                <w:b/>
                <w:bCs/>
                <w:sz w:val="12"/>
                <w:szCs w:val="12"/>
                <w:lang w:eastAsia="it-IT"/>
              </w:rPr>
              <w:t>2.179.002.443,55</w:t>
            </w:r>
          </w:p>
        </w:tc>
      </w:tr>
    </w:tbl>
    <w:p w:rsidR="007C335A" w:rsidRPr="007C335A" w:rsidRDefault="007C335A" w:rsidP="007C335A">
      <w:pPr>
        <w:tabs>
          <w:tab w:val="left" w:pos="9921"/>
        </w:tabs>
        <w:spacing w:line="360" w:lineRule="auto"/>
        <w:jc w:val="both"/>
        <w:rPr>
          <w:rFonts w:ascii="Bodoni MT" w:eastAsiaTheme="minorEastAsia" w:hAnsi="Bodoni MT" w:cs="Bodoni MT"/>
          <w:color w:val="000000"/>
          <w:sz w:val="24"/>
          <w:szCs w:val="24"/>
        </w:rPr>
      </w:pPr>
    </w:p>
    <w:p w:rsidR="006F2258"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 xml:space="preserve">Il confronto della spesa per MISSIONI, in termini di competenza, evidenzia il maggior stanziamento </w:t>
      </w:r>
      <w:r w:rsidR="006F2258">
        <w:rPr>
          <w:rFonts w:ascii="Bodoni MT" w:eastAsiaTheme="minorEastAsia" w:hAnsi="Bodoni MT" w:cs="Bodoni MT"/>
          <w:color w:val="000000"/>
          <w:sz w:val="24"/>
          <w:szCs w:val="24"/>
        </w:rPr>
        <w:t xml:space="preserve">nel 2016 </w:t>
      </w:r>
      <w:r w:rsidRPr="007C335A">
        <w:rPr>
          <w:rFonts w:ascii="Bodoni MT" w:eastAsiaTheme="minorEastAsia" w:hAnsi="Bodoni MT" w:cs="Bodoni MT"/>
          <w:color w:val="000000"/>
          <w:sz w:val="24"/>
          <w:szCs w:val="24"/>
        </w:rPr>
        <w:t xml:space="preserve">di 730,9 </w:t>
      </w:r>
      <w:r w:rsidR="001228FE" w:rsidRPr="001228FE">
        <w:rPr>
          <w:rFonts w:ascii="Bodoni MT" w:hAnsi="Bodoni MT"/>
          <w:sz w:val="24"/>
          <w:szCs w:val="24"/>
        </w:rPr>
        <w:t>milioni</w:t>
      </w:r>
      <w:r w:rsidR="001228FE" w:rsidRPr="001228FE">
        <w:rPr>
          <w:rFonts w:ascii="Bodoni MT" w:hAnsi="Bodoni MT"/>
        </w:rPr>
        <w:t xml:space="preserve"> </w:t>
      </w:r>
      <w:r w:rsidRPr="007C335A">
        <w:rPr>
          <w:rFonts w:ascii="Bodoni MT" w:eastAsiaTheme="minorEastAsia" w:hAnsi="Bodoni MT" w:cs="Bodoni MT"/>
          <w:color w:val="000000"/>
          <w:sz w:val="24"/>
          <w:szCs w:val="24"/>
        </w:rPr>
        <w:t xml:space="preserve">di euro della Missione 18 “Relazioni con le altre autonomie territoriali e locali” e quello di 362,315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della Missione 13 “Tutela della salute”. </w:t>
      </w:r>
    </w:p>
    <w:p w:rsidR="007C335A" w:rsidRP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lastRenderedPageBreak/>
        <w:t xml:space="preserve">Da segnalare anche l’incremento delle previsioni della Missione 14 “Sviluppo economico e competitività (+110,5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e quello della Missione 1 “Servizi istituzionali, generali e di gestione” (+98,861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w:t>
      </w:r>
    </w:p>
    <w:p w:rsidR="007C335A" w:rsidRDefault="007C335A"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7C335A">
        <w:rPr>
          <w:rFonts w:ascii="Bodoni MT" w:eastAsiaTheme="minorEastAsia" w:hAnsi="Bodoni MT" w:cs="Bodoni MT"/>
          <w:color w:val="000000"/>
          <w:sz w:val="24"/>
          <w:szCs w:val="24"/>
        </w:rPr>
        <w:t>Si ev</w:t>
      </w:r>
      <w:r w:rsidR="006F2258">
        <w:rPr>
          <w:rFonts w:ascii="Bodoni MT" w:eastAsiaTheme="minorEastAsia" w:hAnsi="Bodoni MT" w:cs="Bodoni MT"/>
          <w:color w:val="000000"/>
          <w:sz w:val="24"/>
          <w:szCs w:val="24"/>
        </w:rPr>
        <w:t>idenzia</w:t>
      </w:r>
      <w:r w:rsidRPr="007C335A">
        <w:rPr>
          <w:rFonts w:ascii="Bodoni MT" w:eastAsiaTheme="minorEastAsia" w:hAnsi="Bodoni MT" w:cs="Bodoni MT"/>
          <w:color w:val="000000"/>
          <w:sz w:val="24"/>
          <w:szCs w:val="24"/>
        </w:rPr>
        <w:t xml:space="preserve">, per contro, </w:t>
      </w:r>
      <w:r w:rsidR="006F2258" w:rsidRPr="006F2258">
        <w:rPr>
          <w:rFonts w:ascii="Bodoni MT" w:eastAsiaTheme="minorEastAsia" w:hAnsi="Bodoni MT" w:cs="Bodoni MT"/>
          <w:b/>
          <w:color w:val="000000"/>
          <w:sz w:val="24"/>
          <w:szCs w:val="24"/>
        </w:rPr>
        <w:t>l’andamento in riduzione</w:t>
      </w:r>
      <w:r w:rsidRPr="006F2258">
        <w:rPr>
          <w:rFonts w:ascii="Bodoni MT" w:eastAsiaTheme="minorEastAsia" w:hAnsi="Bodoni MT" w:cs="Bodoni MT"/>
          <w:b/>
          <w:color w:val="000000"/>
          <w:sz w:val="24"/>
          <w:szCs w:val="24"/>
        </w:rPr>
        <w:t xml:space="preserve"> negli stanziamenti della Missione 4“Istruzione e diritto allo studio”</w:t>
      </w:r>
      <w:r w:rsidRPr="007C335A">
        <w:rPr>
          <w:rFonts w:ascii="Bodoni MT" w:eastAsiaTheme="minorEastAsia" w:hAnsi="Bodoni MT" w:cs="Bodoni MT"/>
          <w:color w:val="000000"/>
          <w:sz w:val="24"/>
          <w:szCs w:val="24"/>
        </w:rPr>
        <w:t xml:space="preserve"> (-192,4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rispetto al 2015), </w:t>
      </w:r>
      <w:r w:rsidRPr="006F2258">
        <w:rPr>
          <w:rFonts w:ascii="Bodoni MT" w:eastAsiaTheme="minorEastAsia" w:hAnsi="Bodoni MT" w:cs="Bodoni MT"/>
          <w:b/>
          <w:color w:val="000000"/>
          <w:sz w:val="24"/>
          <w:szCs w:val="24"/>
        </w:rPr>
        <w:t>della Missione 10 “Trasporti e diritto alla mobilità”</w:t>
      </w:r>
      <w:r w:rsidRPr="007C335A">
        <w:rPr>
          <w:rFonts w:ascii="Bodoni MT" w:eastAsiaTheme="minorEastAsia" w:hAnsi="Bodoni MT" w:cs="Bodoni MT"/>
          <w:color w:val="000000"/>
          <w:sz w:val="24"/>
          <w:szCs w:val="24"/>
        </w:rPr>
        <w:t xml:space="preserve"> (-291,338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w:t>
      </w:r>
      <w:r w:rsidRPr="006F2258">
        <w:rPr>
          <w:rFonts w:ascii="Bodoni MT" w:eastAsiaTheme="minorEastAsia" w:hAnsi="Bodoni MT" w:cs="Bodoni MT"/>
          <w:b/>
          <w:color w:val="000000"/>
          <w:sz w:val="24"/>
          <w:szCs w:val="24"/>
        </w:rPr>
        <w:t>della Missione 9 “Sviluppo sostenibile e tutela del territorio e dell’ambiente”</w:t>
      </w:r>
      <w:r w:rsidRPr="007C335A">
        <w:rPr>
          <w:rFonts w:ascii="Bodoni MT" w:eastAsiaTheme="minorEastAsia" w:hAnsi="Bodoni MT" w:cs="Bodoni MT"/>
          <w:color w:val="000000"/>
          <w:sz w:val="24"/>
          <w:szCs w:val="24"/>
        </w:rPr>
        <w:t xml:space="preserve"> (-110,464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w:t>
      </w:r>
      <w:r w:rsidRPr="006F2258">
        <w:rPr>
          <w:rFonts w:ascii="Bodoni MT" w:eastAsiaTheme="minorEastAsia" w:hAnsi="Bodoni MT" w:cs="Bodoni MT"/>
          <w:b/>
          <w:color w:val="000000"/>
          <w:sz w:val="24"/>
          <w:szCs w:val="24"/>
        </w:rPr>
        <w:t>della Missione 15 “Politiche per il lavoro e la formazione professionale”</w:t>
      </w:r>
      <w:r w:rsidRPr="007C335A">
        <w:rPr>
          <w:rFonts w:ascii="Bodoni MT" w:eastAsiaTheme="minorEastAsia" w:hAnsi="Bodoni MT" w:cs="Bodoni MT"/>
          <w:color w:val="000000"/>
          <w:sz w:val="24"/>
          <w:szCs w:val="24"/>
        </w:rPr>
        <w:t xml:space="preserve"> (-103,776 </w:t>
      </w:r>
      <w:r w:rsidR="00057D68" w:rsidRPr="001228FE">
        <w:rPr>
          <w:rFonts w:ascii="Bodoni MT" w:hAnsi="Bodoni MT"/>
          <w:sz w:val="24"/>
          <w:szCs w:val="24"/>
        </w:rPr>
        <w:t>milioni</w:t>
      </w:r>
      <w:r w:rsidR="00057D68" w:rsidRPr="001228FE">
        <w:rPr>
          <w:rFonts w:ascii="Bodoni MT" w:hAnsi="Bodoni MT"/>
        </w:rPr>
        <w:t xml:space="preserve"> </w:t>
      </w:r>
      <w:r w:rsidRPr="007C335A">
        <w:rPr>
          <w:rFonts w:ascii="Bodoni MT" w:eastAsiaTheme="minorEastAsia" w:hAnsi="Bodoni MT" w:cs="Bodoni MT"/>
          <w:color w:val="000000"/>
          <w:sz w:val="24"/>
          <w:szCs w:val="24"/>
        </w:rPr>
        <w:t xml:space="preserve">di euro), riduzioni che parrebbero interessare proprio quei settori che avrebbero maggiore necessità di sostegno in considerazione delle condizioni economiche e sociali della </w:t>
      </w:r>
      <w:r w:rsidR="0056062A" w:rsidRPr="00E93C34">
        <w:rPr>
          <w:rFonts w:ascii="Bodoni MT" w:eastAsiaTheme="minorEastAsia" w:hAnsi="Bodoni MT" w:cs="Bodoni MT"/>
          <w:color w:val="000000"/>
          <w:sz w:val="24"/>
          <w:szCs w:val="24"/>
        </w:rPr>
        <w:t>Regione</w:t>
      </w:r>
      <w:r w:rsidR="0056062A">
        <w:rPr>
          <w:rFonts w:ascii="Bodoni MT" w:eastAsiaTheme="minorEastAsia" w:hAnsi="Bodoni MT" w:cs="Bodoni MT"/>
          <w:color w:val="000000"/>
          <w:sz w:val="24"/>
          <w:szCs w:val="24"/>
        </w:rPr>
        <w:t xml:space="preserve"> </w:t>
      </w:r>
      <w:r w:rsidR="006F2258">
        <w:rPr>
          <w:rFonts w:ascii="Bodoni MT" w:eastAsiaTheme="minorEastAsia" w:hAnsi="Bodoni MT" w:cs="Bodoni MT"/>
          <w:color w:val="000000"/>
          <w:sz w:val="24"/>
          <w:szCs w:val="24"/>
        </w:rPr>
        <w:t>e degli obiettivi di crescita progettati nel DEFR</w:t>
      </w:r>
      <w:r w:rsidRPr="007C335A">
        <w:rPr>
          <w:rFonts w:ascii="Bodoni MT" w:eastAsiaTheme="minorEastAsia" w:hAnsi="Bodoni MT" w:cs="Bodoni MT"/>
          <w:color w:val="000000"/>
          <w:sz w:val="24"/>
          <w:szCs w:val="24"/>
        </w:rPr>
        <w:t>.</w:t>
      </w:r>
    </w:p>
    <w:p w:rsidR="00EF1D29" w:rsidRPr="00626DE1" w:rsidRDefault="00EF1D29" w:rsidP="007C335A">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Pr>
          <w:rFonts w:ascii="Bodoni MT" w:eastAsiaTheme="minorEastAsia" w:hAnsi="Bodoni MT" w:cs="Bodoni MT"/>
          <w:color w:val="000000"/>
          <w:sz w:val="24"/>
          <w:szCs w:val="24"/>
        </w:rPr>
        <w:t>A tale proposito in sede finale di controdeduzioni la Direzione generale del lavoro ha illustrato quanto segue: “</w:t>
      </w:r>
      <w:r w:rsidRPr="00626DE1">
        <w:rPr>
          <w:rFonts w:ascii="Bodoni MT" w:eastAsiaTheme="minorEastAsia" w:hAnsi="Bodoni MT" w:cs="Bodoni MT"/>
          <w:i/>
          <w:color w:val="000000"/>
          <w:sz w:val="24"/>
          <w:szCs w:val="24"/>
        </w:rPr>
        <w:t xml:space="preserve">sul punto si osserva che tale importante valore, analizzato alla luce dell’attuale quadro di finanza pubblica, caratterizzato da una sempre maggiore integrazione tra fonti finanziarie e dalla notevole rilevanza dei fondi strutturali e di investimento europei nel finanziamento delle politiche di sviluppo regionali, assume carattere in buona parte fisiologico e non è frutto della scelta di spostare risorse da un settore particolarmente delicato dal punto di vista delle ricadute economiche e sociali sul </w:t>
      </w:r>
      <w:r w:rsidR="00626DE1" w:rsidRPr="00626DE1">
        <w:rPr>
          <w:rFonts w:ascii="Bodoni MT" w:eastAsiaTheme="minorEastAsia" w:hAnsi="Bodoni MT" w:cs="Bodoni MT"/>
          <w:i/>
          <w:color w:val="000000"/>
          <w:sz w:val="24"/>
          <w:szCs w:val="24"/>
        </w:rPr>
        <w:t>territorio isolano. Il decremento di risorse osservato dalla Corte deriva principalmente dal fatto che il 2015 è l’esercizio nel quale sono state stanziate in conto competenze le risorse residue del POR FSE 2007/2013, pari a circa 66 milioni di euro, nonché le risorse residue del PAC di competenza del FSE. E’</w:t>
      </w:r>
      <w:r w:rsidR="00D30429">
        <w:rPr>
          <w:rFonts w:ascii="Bodoni MT" w:eastAsiaTheme="minorEastAsia" w:hAnsi="Bodoni MT" w:cs="Bodoni MT"/>
          <w:i/>
          <w:color w:val="000000"/>
          <w:sz w:val="24"/>
          <w:szCs w:val="24"/>
        </w:rPr>
        <w:t>,</w:t>
      </w:r>
      <w:r w:rsidR="00626DE1" w:rsidRPr="00626DE1">
        <w:rPr>
          <w:rFonts w:ascii="Bodoni MT" w:eastAsiaTheme="minorEastAsia" w:hAnsi="Bodoni MT" w:cs="Bodoni MT"/>
          <w:i/>
          <w:color w:val="000000"/>
          <w:sz w:val="24"/>
          <w:szCs w:val="24"/>
        </w:rPr>
        <w:t xml:space="preserve"> inoltre</w:t>
      </w:r>
      <w:r w:rsidR="00D30429">
        <w:rPr>
          <w:rFonts w:ascii="Bodoni MT" w:eastAsiaTheme="minorEastAsia" w:hAnsi="Bodoni MT" w:cs="Bodoni MT"/>
          <w:i/>
          <w:color w:val="000000"/>
          <w:sz w:val="24"/>
          <w:szCs w:val="24"/>
        </w:rPr>
        <w:t>,</w:t>
      </w:r>
      <w:r w:rsidR="00626DE1" w:rsidRPr="00626DE1">
        <w:rPr>
          <w:rFonts w:ascii="Bodoni MT" w:eastAsiaTheme="minorEastAsia" w:hAnsi="Bodoni MT" w:cs="Bodoni MT"/>
          <w:i/>
          <w:color w:val="000000"/>
          <w:sz w:val="24"/>
          <w:szCs w:val="24"/>
        </w:rPr>
        <w:t xml:space="preserve"> l’anno nel quale è stata definita in maniera puntuale l’articolazione delle linee di azione del Programma Garanzia Giovani, con conseguente stanziamento della parte più importante delle risorse del piano finanziario. </w:t>
      </w:r>
    </w:p>
    <w:p w:rsidR="00626DE1" w:rsidRDefault="00626DE1" w:rsidP="007C335A">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626DE1">
        <w:rPr>
          <w:rFonts w:ascii="Bodoni MT" w:eastAsiaTheme="minorEastAsia" w:hAnsi="Bodoni MT" w:cs="Bodoni MT"/>
          <w:i/>
          <w:color w:val="000000"/>
          <w:sz w:val="24"/>
          <w:szCs w:val="24"/>
        </w:rPr>
        <w:t xml:space="preserve">L’anno 2016, di contro, è un esercizio nel quale il POR FSE 2007/2013 ha esaurito la sua programmazione finanziaria e gli stanziamenti iscritti riguardano il saldo di progetti completati, mentre il nuovo </w:t>
      </w:r>
      <w:r w:rsidRPr="00626DE1">
        <w:rPr>
          <w:rFonts w:ascii="Bodoni MT" w:eastAsiaTheme="minorEastAsia" w:hAnsi="Bodoni MT" w:cs="Bodoni MT"/>
          <w:b/>
          <w:i/>
          <w:color w:val="000000"/>
          <w:sz w:val="24"/>
          <w:szCs w:val="24"/>
        </w:rPr>
        <w:t>Programma Operativo 2014/2020, di importo notevolmente inferiore a quello precedente, è in fase di avvio</w:t>
      </w:r>
      <w:r w:rsidRPr="00626DE1">
        <w:rPr>
          <w:rFonts w:ascii="Bodoni MT" w:eastAsiaTheme="minorEastAsia" w:hAnsi="Bodoni MT" w:cs="Bodoni MT"/>
          <w:i/>
          <w:color w:val="000000"/>
          <w:sz w:val="24"/>
          <w:szCs w:val="24"/>
        </w:rPr>
        <w:t xml:space="preserve"> e di conseguenza gli stanziamenti iscritti risultano essere molto bassi anche a causa dei tempi lunghi che ha avuto il negoziato con la Commissione Europea</w:t>
      </w:r>
      <w:r>
        <w:rPr>
          <w:rFonts w:ascii="Bodoni MT" w:eastAsiaTheme="minorEastAsia" w:hAnsi="Bodoni MT" w:cs="Bodoni MT"/>
          <w:i/>
          <w:color w:val="000000"/>
          <w:sz w:val="24"/>
          <w:szCs w:val="24"/>
        </w:rPr>
        <w:t>”</w:t>
      </w:r>
      <w:r>
        <w:rPr>
          <w:rFonts w:ascii="Bodoni MT" w:eastAsiaTheme="minorEastAsia" w:hAnsi="Bodoni MT" w:cs="Bodoni MT"/>
          <w:color w:val="000000"/>
          <w:sz w:val="24"/>
          <w:szCs w:val="24"/>
        </w:rPr>
        <w:t>.</w:t>
      </w:r>
    </w:p>
    <w:p w:rsidR="00626DE1" w:rsidRDefault="00626DE1" w:rsidP="007C335A">
      <w:pPr>
        <w:pStyle w:val="Didascalia"/>
      </w:pPr>
      <w:bookmarkStart w:id="114" w:name="_Toc499040991"/>
      <w:r>
        <w:br w:type="page"/>
      </w:r>
    </w:p>
    <w:p w:rsidR="007C335A" w:rsidRPr="007C335A" w:rsidRDefault="007C335A" w:rsidP="007C335A">
      <w:pPr>
        <w:pStyle w:val="Didascalia"/>
      </w:pPr>
      <w:bookmarkStart w:id="115" w:name="_Toc507422710"/>
      <w:r>
        <w:lastRenderedPageBreak/>
        <w:t xml:space="preserve">Grafico </w:t>
      </w:r>
      <w:r w:rsidR="00B90472">
        <w:fldChar w:fldCharType="begin"/>
      </w:r>
      <w:r w:rsidR="00B90472">
        <w:instrText xml:space="preserve"> SEQ Grafico \* ARABIC </w:instrText>
      </w:r>
      <w:r w:rsidR="00B90472">
        <w:fldChar w:fldCharType="separate"/>
      </w:r>
      <w:r w:rsidR="008616B3">
        <w:rPr>
          <w:noProof/>
        </w:rPr>
        <w:t>7</w:t>
      </w:r>
      <w:r w:rsidR="00B90472">
        <w:rPr>
          <w:noProof/>
        </w:rPr>
        <w:fldChar w:fldCharType="end"/>
      </w:r>
      <w:r w:rsidRPr="007C335A">
        <w:t xml:space="preserve"> - </w:t>
      </w:r>
      <w:r w:rsidRPr="007C335A">
        <w:rPr>
          <w:rFonts w:cs="Bodoni MT"/>
          <w:sz w:val="24"/>
          <w:szCs w:val="24"/>
        </w:rPr>
        <w:t>Spesa per Missioni – Previsioni definitive 2015-2016</w:t>
      </w:r>
      <w:bookmarkEnd w:id="114"/>
      <w:bookmarkEnd w:id="115"/>
    </w:p>
    <w:p w:rsidR="007C335A" w:rsidRPr="007C335A" w:rsidRDefault="007C335A" w:rsidP="007C335A">
      <w:pPr>
        <w:rPr>
          <w:rFonts w:ascii="Bodoni MT" w:eastAsiaTheme="minorEastAsia" w:hAnsi="Bodoni MT" w:cs="Bodoni MT"/>
          <w:sz w:val="24"/>
          <w:szCs w:val="24"/>
        </w:rPr>
      </w:pPr>
      <w:r w:rsidRPr="007C335A">
        <w:rPr>
          <w:noProof/>
          <w:lang w:eastAsia="it-IT"/>
        </w:rPr>
        <w:drawing>
          <wp:inline distT="0" distB="0" distL="0" distR="0" wp14:anchorId="2FA24DE8" wp14:editId="00938CA2">
            <wp:extent cx="6299835" cy="2336165"/>
            <wp:effectExtent l="0" t="0" r="5715" b="6985"/>
            <wp:docPr id="20" name="Grafico 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94F149-59C0-4D86-8DC2-3E1A2452B8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C335A" w:rsidRDefault="007C335A" w:rsidP="00FF65BD">
      <w:pPr>
        <w:spacing w:before="360" w:line="360" w:lineRule="auto"/>
        <w:jc w:val="both"/>
      </w:pPr>
      <w:r w:rsidRPr="007C335A">
        <w:rPr>
          <w:rFonts w:ascii="Bodoni MT" w:eastAsiaTheme="minorEastAsia" w:hAnsi="Bodoni MT" w:cs="Bodoni MT"/>
          <w:sz w:val="24"/>
          <w:szCs w:val="24"/>
        </w:rPr>
        <w:t xml:space="preserve">Nel complesso, si rileva un aumento delle </w:t>
      </w:r>
      <w:r w:rsidRPr="006F2258">
        <w:rPr>
          <w:rFonts w:ascii="Bodoni MT" w:eastAsiaTheme="minorEastAsia" w:hAnsi="Bodoni MT" w:cs="Bodoni MT"/>
          <w:b/>
          <w:sz w:val="24"/>
          <w:szCs w:val="24"/>
        </w:rPr>
        <w:t>previsioni di cassa</w:t>
      </w:r>
      <w:r w:rsidRPr="007C335A">
        <w:rPr>
          <w:rFonts w:ascii="Bodoni MT" w:eastAsiaTheme="minorEastAsia" w:hAnsi="Bodoni MT" w:cs="Bodoni MT"/>
          <w:sz w:val="24"/>
          <w:szCs w:val="24"/>
        </w:rPr>
        <w:t xml:space="preserve"> pari al 28% circa rispetto </w:t>
      </w:r>
      <w:r w:rsidR="00AB0398">
        <w:rPr>
          <w:rFonts w:ascii="Bodoni MT" w:eastAsiaTheme="minorEastAsia" w:hAnsi="Bodoni MT" w:cs="Bodoni MT"/>
          <w:sz w:val="24"/>
          <w:szCs w:val="24"/>
        </w:rPr>
        <w:t>al 2015.</w:t>
      </w:r>
      <w:r w:rsidRPr="007C335A">
        <w:rPr>
          <w:rFonts w:ascii="Bodoni MT" w:eastAsiaTheme="minorEastAsia" w:hAnsi="Bodoni MT" w:cs="Bodoni MT"/>
          <w:sz w:val="24"/>
          <w:szCs w:val="24"/>
        </w:rPr>
        <w:t xml:space="preserve"> Un notevole incremento, in valore assoluto, hanno registrato l</w:t>
      </w:r>
      <w:r w:rsidR="0093488F">
        <w:rPr>
          <w:rFonts w:ascii="Bodoni MT" w:eastAsiaTheme="minorEastAsia" w:hAnsi="Bodoni MT" w:cs="Bodoni MT"/>
          <w:sz w:val="24"/>
          <w:szCs w:val="24"/>
        </w:rPr>
        <w:t>e previsioni della Missione 18 “</w:t>
      </w:r>
      <w:r w:rsidR="0093488F" w:rsidRPr="007C335A">
        <w:rPr>
          <w:rFonts w:ascii="Bodoni MT" w:eastAsiaTheme="minorEastAsia" w:hAnsi="Bodoni MT" w:cs="Bodoni MT"/>
          <w:sz w:val="24"/>
          <w:szCs w:val="24"/>
        </w:rPr>
        <w:t xml:space="preserve">Relazioni </w:t>
      </w:r>
      <w:r w:rsidRPr="007C335A">
        <w:rPr>
          <w:rFonts w:ascii="Bodoni MT" w:eastAsiaTheme="minorEastAsia" w:hAnsi="Bodoni MT" w:cs="Bodoni MT"/>
          <w:sz w:val="24"/>
          <w:szCs w:val="24"/>
        </w:rPr>
        <w:t>con autonomie territoriali</w:t>
      </w:r>
      <w:r w:rsidR="0093488F">
        <w:rPr>
          <w:rFonts w:ascii="Bodoni MT" w:eastAsiaTheme="minorEastAsia" w:hAnsi="Bodoni MT" w:cs="Bodoni MT"/>
          <w:sz w:val="24"/>
          <w:szCs w:val="24"/>
        </w:rPr>
        <w:t>”</w:t>
      </w:r>
      <w:r w:rsidRPr="007C335A">
        <w:rPr>
          <w:rFonts w:ascii="Bodoni MT" w:eastAsiaTheme="minorEastAsia" w:hAnsi="Bodoni MT" w:cs="Bodoni MT"/>
          <w:sz w:val="24"/>
          <w:szCs w:val="24"/>
        </w:rPr>
        <w:t xml:space="preserve"> (+887 </w:t>
      </w:r>
      <w:r w:rsidR="00057D68" w:rsidRPr="001228FE">
        <w:rPr>
          <w:rFonts w:ascii="Bodoni MT" w:hAnsi="Bodoni MT"/>
          <w:sz w:val="24"/>
          <w:szCs w:val="24"/>
        </w:rPr>
        <w:t>milioni</w:t>
      </w:r>
      <w:r w:rsidR="00057D68" w:rsidRPr="001228FE">
        <w:rPr>
          <w:rFonts w:ascii="Bodoni MT" w:hAnsi="Bodoni MT"/>
        </w:rPr>
        <w:t xml:space="preserve"> </w:t>
      </w:r>
      <w:r w:rsidR="0093488F">
        <w:rPr>
          <w:rFonts w:ascii="Bodoni MT" w:eastAsiaTheme="minorEastAsia" w:hAnsi="Bodoni MT" w:cs="Bodoni MT"/>
          <w:sz w:val="24"/>
          <w:szCs w:val="24"/>
        </w:rPr>
        <w:t>circa), della Missione 13 “</w:t>
      </w:r>
      <w:r w:rsidR="0093488F" w:rsidRPr="007C335A">
        <w:rPr>
          <w:rFonts w:ascii="Bodoni MT" w:eastAsiaTheme="minorEastAsia" w:hAnsi="Bodoni MT" w:cs="Bodoni MT"/>
          <w:sz w:val="24"/>
          <w:szCs w:val="24"/>
        </w:rPr>
        <w:t xml:space="preserve">Tutela </w:t>
      </w:r>
      <w:r w:rsidRPr="007C335A">
        <w:rPr>
          <w:rFonts w:ascii="Bodoni MT" w:eastAsiaTheme="minorEastAsia" w:hAnsi="Bodoni MT" w:cs="Bodoni MT"/>
          <w:sz w:val="24"/>
          <w:szCs w:val="24"/>
        </w:rPr>
        <w:t>salute</w:t>
      </w:r>
      <w:r w:rsidR="0093488F">
        <w:rPr>
          <w:rFonts w:ascii="Bodoni MT" w:eastAsiaTheme="minorEastAsia" w:hAnsi="Bodoni MT" w:cs="Bodoni MT"/>
          <w:sz w:val="24"/>
          <w:szCs w:val="24"/>
        </w:rPr>
        <w:t>”</w:t>
      </w:r>
      <w:r w:rsidRPr="007C335A">
        <w:rPr>
          <w:rFonts w:ascii="Bodoni MT" w:eastAsiaTheme="minorEastAsia" w:hAnsi="Bodoni MT" w:cs="Bodoni MT"/>
          <w:sz w:val="24"/>
          <w:szCs w:val="24"/>
        </w:rPr>
        <w:t xml:space="preserve"> (+669 </w:t>
      </w:r>
      <w:r w:rsidR="00057D68" w:rsidRPr="001228FE">
        <w:rPr>
          <w:rFonts w:ascii="Bodoni MT" w:hAnsi="Bodoni MT"/>
          <w:sz w:val="24"/>
          <w:szCs w:val="24"/>
        </w:rPr>
        <w:t>milioni</w:t>
      </w:r>
      <w:r w:rsidR="0093488F">
        <w:rPr>
          <w:rFonts w:ascii="Bodoni MT" w:eastAsiaTheme="minorEastAsia" w:hAnsi="Bodoni MT" w:cs="Bodoni MT"/>
          <w:sz w:val="24"/>
          <w:szCs w:val="24"/>
        </w:rPr>
        <w:t>) e della Missione “</w:t>
      </w:r>
      <w:r w:rsidR="0093488F" w:rsidRPr="007C335A">
        <w:rPr>
          <w:rFonts w:ascii="Bodoni MT" w:eastAsiaTheme="minorEastAsia" w:hAnsi="Bodoni MT" w:cs="Bodoni MT"/>
          <w:sz w:val="24"/>
          <w:szCs w:val="24"/>
        </w:rPr>
        <w:t xml:space="preserve">Servizi </w:t>
      </w:r>
      <w:r w:rsidRPr="007C335A">
        <w:rPr>
          <w:rFonts w:ascii="Bodoni MT" w:eastAsiaTheme="minorEastAsia" w:hAnsi="Bodoni MT" w:cs="Bodoni MT"/>
          <w:sz w:val="24"/>
          <w:szCs w:val="24"/>
        </w:rPr>
        <w:t>istituzionali</w:t>
      </w:r>
      <w:r w:rsidR="0093488F">
        <w:rPr>
          <w:rFonts w:ascii="Bodoni MT" w:eastAsiaTheme="minorEastAsia" w:hAnsi="Bodoni MT" w:cs="Bodoni MT"/>
          <w:sz w:val="24"/>
          <w:szCs w:val="24"/>
        </w:rPr>
        <w:t>”</w:t>
      </w:r>
      <w:r w:rsidRPr="007C335A">
        <w:rPr>
          <w:rFonts w:ascii="Bodoni MT" w:eastAsiaTheme="minorEastAsia" w:hAnsi="Bodoni MT" w:cs="Bodoni MT"/>
          <w:sz w:val="24"/>
          <w:szCs w:val="24"/>
        </w:rPr>
        <w:t xml:space="preserve"> (+576 </w:t>
      </w:r>
      <w:r w:rsidR="00057D68" w:rsidRPr="001228FE">
        <w:rPr>
          <w:rFonts w:ascii="Bodoni MT" w:hAnsi="Bodoni MT"/>
          <w:sz w:val="24"/>
          <w:szCs w:val="24"/>
        </w:rPr>
        <w:t>milioni</w:t>
      </w:r>
      <w:r w:rsidRPr="007C335A">
        <w:rPr>
          <w:rFonts w:ascii="Bodoni MT" w:eastAsiaTheme="minorEastAsia" w:hAnsi="Bodoni MT" w:cs="Bodoni MT"/>
          <w:sz w:val="24"/>
          <w:szCs w:val="24"/>
        </w:rPr>
        <w:t xml:space="preserve">). </w:t>
      </w:r>
      <w:r w:rsidR="00EE5D78">
        <w:rPr>
          <w:rFonts w:ascii="Bodoni MT" w:eastAsiaTheme="minorEastAsia" w:hAnsi="Bodoni MT" w:cs="Bodoni MT"/>
          <w:sz w:val="24"/>
          <w:szCs w:val="24"/>
        </w:rPr>
        <w:t xml:space="preserve">L’aumento più consistente della Missione 1 si riferisce al capitolo SC08.6040 “Versamenti ai conti di Tesoreria statale da parte di Soggetti non sottoposti al regime di </w:t>
      </w:r>
      <w:r w:rsidR="00DE34E9">
        <w:rPr>
          <w:rFonts w:ascii="Bodoni MT" w:eastAsiaTheme="minorEastAsia" w:hAnsi="Bodoni MT" w:cs="Bodoni MT"/>
          <w:sz w:val="24"/>
          <w:szCs w:val="24"/>
        </w:rPr>
        <w:t>Tesoreria Unica” (+400 milioni), dove vengono registrati i versamenti di fondi comunitari e statali. La stima delle previsioni viene fatta sui dati storici</w:t>
      </w:r>
      <w:r w:rsidR="00DE34E9">
        <w:rPr>
          <w:rStyle w:val="Rimandonotaapidipagina"/>
          <w:rFonts w:ascii="Bodoni MT" w:eastAsiaTheme="minorEastAsia" w:hAnsi="Bodoni MT" w:cs="Bodoni MT"/>
          <w:sz w:val="24"/>
          <w:szCs w:val="24"/>
        </w:rPr>
        <w:footnoteReference w:id="73"/>
      </w:r>
      <w:r w:rsidR="00DE34E9">
        <w:rPr>
          <w:rFonts w:ascii="Bodoni MT" w:eastAsiaTheme="minorEastAsia" w:hAnsi="Bodoni MT" w:cs="Bodoni MT"/>
          <w:sz w:val="24"/>
          <w:szCs w:val="24"/>
        </w:rPr>
        <w:t>.</w:t>
      </w:r>
    </w:p>
    <w:bookmarkEnd w:id="56"/>
    <w:p w:rsidR="00474C78" w:rsidRDefault="00474C78" w:rsidP="007C335A">
      <w:pPr>
        <w:pStyle w:val="CdcTesto"/>
      </w:pPr>
    </w:p>
    <w:p w:rsidR="00474C78" w:rsidRDefault="00474C78" w:rsidP="007C335A">
      <w:pPr>
        <w:pStyle w:val="CdcTesto"/>
        <w:sectPr w:rsidR="00474C78" w:rsidSect="00093721">
          <w:footerReference w:type="default" r:id="rId41"/>
          <w:type w:val="continuous"/>
          <w:pgSz w:w="11906" w:h="16838"/>
          <w:pgMar w:top="1418" w:right="1134" w:bottom="1134" w:left="851" w:header="709" w:footer="709" w:gutter="0"/>
          <w:cols w:space="708"/>
          <w:docGrid w:linePitch="360"/>
        </w:sectPr>
      </w:pPr>
    </w:p>
    <w:p w:rsidR="00956A34" w:rsidRDefault="007C335A" w:rsidP="007C335A">
      <w:pPr>
        <w:pStyle w:val="Titolo1"/>
        <w:numPr>
          <w:ilvl w:val="0"/>
          <w:numId w:val="0"/>
        </w:numPr>
        <w:jc w:val="center"/>
      </w:pPr>
      <w:bookmarkStart w:id="116" w:name="_Toc507422625"/>
      <w:r>
        <w:lastRenderedPageBreak/>
        <w:t>PARTE II</w:t>
      </w:r>
      <w:bookmarkEnd w:id="116"/>
    </w:p>
    <w:p w:rsidR="00CD4C84" w:rsidRDefault="002C0F12" w:rsidP="002C0F12">
      <w:pPr>
        <w:pStyle w:val="Titolo2"/>
        <w:numPr>
          <w:ilvl w:val="0"/>
          <w:numId w:val="0"/>
        </w:numPr>
        <w:jc w:val="center"/>
      </w:pPr>
      <w:bookmarkStart w:id="117" w:name="_Toc507422626"/>
      <w:r>
        <w:t>IL RENDICONTO DELLA GESTIONE DELL’ESERCIZIO 2016</w:t>
      </w:r>
      <w:bookmarkEnd w:id="117"/>
    </w:p>
    <w:p w:rsidR="00CD4C84" w:rsidRDefault="00CD4C84" w:rsidP="00CD4C84"/>
    <w:p w:rsidR="00CD4C84" w:rsidRDefault="00CD4C84" w:rsidP="00CD4C84"/>
    <w:p w:rsidR="00CD4C84" w:rsidRDefault="00CD4C84"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474C78" w:rsidRDefault="00474C78" w:rsidP="00CD4C84"/>
    <w:p w:rsidR="008D61A4" w:rsidRDefault="008D61A4" w:rsidP="00CD4C84">
      <w:pPr>
        <w:sectPr w:rsidR="008D61A4" w:rsidSect="003F0FC0">
          <w:headerReference w:type="default" r:id="rId42"/>
          <w:footerReference w:type="default" r:id="rId43"/>
          <w:type w:val="oddPage"/>
          <w:pgSz w:w="11906" w:h="16838"/>
          <w:pgMar w:top="1418" w:right="1134" w:bottom="1134" w:left="851" w:header="709" w:footer="709" w:gutter="0"/>
          <w:pgNumType w:start="35"/>
          <w:cols w:space="708"/>
          <w:docGrid w:linePitch="360"/>
        </w:sectPr>
      </w:pPr>
    </w:p>
    <w:p w:rsidR="00AA5B6F" w:rsidRDefault="00AA5B6F" w:rsidP="007C335A">
      <w:pPr>
        <w:pStyle w:val="Titolo1"/>
      </w:pPr>
      <w:bookmarkStart w:id="118" w:name="_Toc507422627"/>
      <w:r>
        <w:lastRenderedPageBreak/>
        <w:t>IL RENDICONTO 2016 E GLI ALLEGATI</w:t>
      </w:r>
      <w:bookmarkEnd w:id="118"/>
    </w:p>
    <w:p w:rsidR="00AA5B6F" w:rsidRDefault="00AA5B6F" w:rsidP="00AA5B6F">
      <w:pPr>
        <w:pStyle w:val="CdcTesto"/>
      </w:pPr>
      <w:r>
        <w:t>Il rendiconto per l’esercizio 2016 è stato approvato dalla Giunta regionale con Delibera n. 37/20 del 1° agosto 2017</w:t>
      </w:r>
      <w:r>
        <w:rPr>
          <w:rStyle w:val="Rimandonotaapidipagina"/>
        </w:rPr>
        <w:footnoteReference w:id="74"/>
      </w:r>
      <w:r>
        <w:t xml:space="preserve"> ed è stato trasmesso alla Sezione regionale di controllo</w:t>
      </w:r>
      <w:r w:rsidRPr="002E3A1A">
        <w:t xml:space="preserve"> </w:t>
      </w:r>
      <w:r>
        <w:t>in data 10 agosto 2017 dal Presidente della Regione</w:t>
      </w:r>
      <w:r w:rsidRPr="002E3A1A">
        <w:t xml:space="preserve"> </w:t>
      </w:r>
      <w:r>
        <w:t>unitamente alla propria relazione ai sensi dell’art. 1 comma 3 del D.L. 174/2012.</w:t>
      </w:r>
    </w:p>
    <w:p w:rsidR="00AA5B6F" w:rsidRDefault="00AA5B6F" w:rsidP="00AA5B6F">
      <w:pPr>
        <w:pStyle w:val="CdcTesto"/>
      </w:pPr>
      <w:r>
        <w:t xml:space="preserve">Nella </w:t>
      </w:r>
      <w:r w:rsidRPr="003F72DF">
        <w:rPr>
          <w:b/>
        </w:rPr>
        <w:t>predetta relazione</w:t>
      </w:r>
      <w:r>
        <w:t xml:space="preserve"> </w:t>
      </w:r>
      <w:r w:rsidR="0056062A" w:rsidRPr="00453D0E">
        <w:t>si specifica</w:t>
      </w:r>
      <w:r w:rsidR="0056062A">
        <w:t xml:space="preserve"> </w:t>
      </w:r>
      <w:r>
        <w:t xml:space="preserve">che le risultanze della gestione, sia della competenza, sia dei residui, fanno rilevare aspetti complessivamente positivi con riguardo al miglioramento della capacità di riscossione e di pagamento, conducendo a favorire lo smaltimento dei debiti pregressi e la riduzione di quelli di nuova formazione. </w:t>
      </w:r>
      <w:r w:rsidR="00453D0E">
        <w:t xml:space="preserve">Viene anche segnalato </w:t>
      </w:r>
      <w:r>
        <w:t>il miglioramento della tempistica di pagamento dei debiti commerciali e la consistente riduzione dell’ammontare dei residui perenti, in relazione ai quali richiama l’incremento significativo dell’incidenza dell’accantonamento destinato a garantire la reiscrizione delle perenzioni sul complesso dei debiti stessi.</w:t>
      </w:r>
    </w:p>
    <w:p w:rsidR="00AA5B6F" w:rsidRDefault="0056062A" w:rsidP="00AA5B6F">
      <w:pPr>
        <w:pStyle w:val="CdcTesto"/>
      </w:pPr>
      <w:r>
        <w:t xml:space="preserve">La relazione sottolinea </w:t>
      </w:r>
      <w:r w:rsidR="00AA5B6F">
        <w:t xml:space="preserve">che l’esercizio 2016 è il primo a rappresentare i fatti gestionali anche dal punto di vista economico-patrimoniale, </w:t>
      </w:r>
      <w:r w:rsidRPr="00453D0E">
        <w:t xml:space="preserve">e ciò ha comportato un particolare </w:t>
      </w:r>
      <w:r w:rsidR="00AA5B6F" w:rsidRPr="00453D0E">
        <w:t>impegno</w:t>
      </w:r>
      <w:r w:rsidR="00AA5B6F">
        <w:t xml:space="preserve"> per l’adeguamento del sistema informativo contabile regionale (SIBAR) e per l’introduzione di nuove procedure organizzativo-contabili che hanno inte</w:t>
      </w:r>
      <w:r w:rsidR="000716EA">
        <w:t>ressato gli Assessorati. A tale</w:t>
      </w:r>
      <w:r w:rsidR="00AA5B6F">
        <w:t xml:space="preserve"> proposito riferisce, inoltre, che si è dovuto procedere</w:t>
      </w:r>
      <w:r w:rsidR="00A31729">
        <w:t>:</w:t>
      </w:r>
      <w:r w:rsidR="00AA5B6F">
        <w:t xml:space="preserve"> </w:t>
      </w:r>
      <w:r w:rsidR="00AA5B6F" w:rsidRPr="003F72DF">
        <w:rPr>
          <w:b/>
        </w:rPr>
        <w:t>a)</w:t>
      </w:r>
      <w:r w:rsidR="00AA5B6F">
        <w:t xml:space="preserve"> all’inventariazione straordinaria dell’intero patrimonio mobiliare e immobiliare della Regione da parte della Direzione Gener</w:t>
      </w:r>
      <w:r w:rsidR="003F72DF">
        <w:t>ale degli Enti Locali e Finanze;</w:t>
      </w:r>
      <w:r w:rsidR="00AA5B6F">
        <w:t xml:space="preserve"> </w:t>
      </w:r>
      <w:r w:rsidR="00AA5B6F" w:rsidRPr="003F72DF">
        <w:rPr>
          <w:b/>
        </w:rPr>
        <w:t>b)</w:t>
      </w:r>
      <w:r w:rsidR="00AA5B6F">
        <w:t xml:space="preserve"> al conseguente trattamento dei dati analitici </w:t>
      </w:r>
      <w:r w:rsidR="003F72DF">
        <w:t xml:space="preserve">dei beni all’interno del SIBAR; </w:t>
      </w:r>
      <w:r w:rsidR="00AA5B6F" w:rsidRPr="003F72DF">
        <w:rPr>
          <w:b/>
        </w:rPr>
        <w:t>c)</w:t>
      </w:r>
      <w:r w:rsidR="00AA5B6F">
        <w:t xml:space="preserve"> all’inventariazione delle partecipazioni possedute dalla Regione, da parte della Dire</w:t>
      </w:r>
      <w:r w:rsidR="003F72DF">
        <w:t>zione Generale della Presidenza;</w:t>
      </w:r>
      <w:r w:rsidR="00AA5B6F">
        <w:t xml:space="preserve"> </w:t>
      </w:r>
      <w:r w:rsidR="00AA5B6F" w:rsidRPr="003F72DF">
        <w:rPr>
          <w:b/>
        </w:rPr>
        <w:t>d)</w:t>
      </w:r>
      <w:r w:rsidR="00AA5B6F">
        <w:t xml:space="preserve"> alla determinazione di crediti e debiti anche se non presenti nella contabilità finanziaria.</w:t>
      </w:r>
    </w:p>
    <w:p w:rsidR="00AA5B6F" w:rsidRDefault="00AA5B6F" w:rsidP="00AA5B6F">
      <w:pPr>
        <w:pStyle w:val="CdcTesto"/>
      </w:pPr>
      <w:r>
        <w:t xml:space="preserve">Il rendiconto per l’esercizio 2016 è </w:t>
      </w:r>
      <w:r w:rsidR="0093488F">
        <w:t>sprovvisto de</w:t>
      </w:r>
      <w:r>
        <w:t>lle attestazioni/pareri di competenza dell’Organo di revisione, il cui iter di costituzione è ancora in corso.</w:t>
      </w:r>
    </w:p>
    <w:p w:rsidR="00AA5B6F" w:rsidRDefault="00AA5B6F" w:rsidP="00AA5B6F">
      <w:pPr>
        <w:pStyle w:val="CdcTesto"/>
      </w:pPr>
      <w:r>
        <w:t xml:space="preserve">La Regione ha dichiarato, nella </w:t>
      </w:r>
      <w:r w:rsidRPr="003F72DF">
        <w:rPr>
          <w:b/>
        </w:rPr>
        <w:t>Relazione sulla gestione</w:t>
      </w:r>
      <w:r w:rsidR="003F72DF">
        <w:t xml:space="preserve"> (Allegato 19 al Rendiconto 2016)</w:t>
      </w:r>
      <w:r>
        <w:t>, di aver conformato la propria gestione ai principi contabili generali e applicati del D</w:t>
      </w:r>
      <w:r w:rsidR="00057D68">
        <w:t xml:space="preserve">.Lgs. </w:t>
      </w:r>
      <w:r>
        <w:t>118/2011, secondo quanto disposto dall’art.</w:t>
      </w:r>
      <w:r w:rsidR="003F72DF">
        <w:t xml:space="preserve"> </w:t>
      </w:r>
      <w:r>
        <w:t>3 dello stesso decreto legislativo e di aver utilizzato, per la rendicontazione contabile, gli schemi di rendiconto ivi previsti.</w:t>
      </w:r>
    </w:p>
    <w:p w:rsidR="00AA5B6F" w:rsidRDefault="00AA5B6F" w:rsidP="00AA5B6F">
      <w:pPr>
        <w:sectPr w:rsidR="00AA5B6F" w:rsidSect="006843EE">
          <w:headerReference w:type="default" r:id="rId44"/>
          <w:footerReference w:type="default" r:id="rId45"/>
          <w:type w:val="oddPage"/>
          <w:pgSz w:w="11906" w:h="16838"/>
          <w:pgMar w:top="1418" w:right="1134" w:bottom="1134" w:left="851" w:header="709" w:footer="709" w:gutter="0"/>
          <w:pgNumType w:start="37"/>
          <w:cols w:space="708"/>
          <w:docGrid w:linePitch="360"/>
        </w:sectPr>
      </w:pPr>
    </w:p>
    <w:p w:rsidR="00262C61" w:rsidRDefault="002C0F12" w:rsidP="007C335A">
      <w:pPr>
        <w:pStyle w:val="Titolo1"/>
      </w:pPr>
      <w:bookmarkStart w:id="119" w:name="_Toc507422628"/>
      <w:r>
        <w:lastRenderedPageBreak/>
        <w:t>I RISULTATI DELLA GESTIONE</w:t>
      </w:r>
      <w:bookmarkEnd w:id="119"/>
    </w:p>
    <w:p w:rsidR="006412E3" w:rsidRPr="006412E3" w:rsidRDefault="006412E3" w:rsidP="006412E3">
      <w:pPr>
        <w:pStyle w:val="CdcTesto"/>
        <w:rPr>
          <w:i/>
          <w:sz w:val="20"/>
          <w:szCs w:val="20"/>
        </w:rPr>
      </w:pPr>
      <w:r>
        <w:rPr>
          <w:i/>
          <w:sz w:val="20"/>
          <w:szCs w:val="20"/>
        </w:rPr>
        <w:t>Sommario: 6.1 La vertenza entrate e la ridefinizione degli accantonamenti – 6.2 La gestion</w:t>
      </w:r>
      <w:r w:rsidR="0061030C">
        <w:rPr>
          <w:i/>
          <w:sz w:val="20"/>
          <w:szCs w:val="20"/>
        </w:rPr>
        <w:t>e delle entrate di competenza –- 6.3 </w:t>
      </w:r>
      <w:r>
        <w:rPr>
          <w:i/>
          <w:sz w:val="20"/>
          <w:szCs w:val="20"/>
        </w:rPr>
        <w:t xml:space="preserve">La gestione delle spese di competenza – 6.3.1 L’analisi della spesa per titoli e per fonte – 6.3.2 L’analisi della spesa per Missioni – 6.4 La gestione dei residui – 6.4.1 Il Riaccertamento Ordinario al 31/12/2016 – 6.4.2 </w:t>
      </w:r>
      <w:r w:rsidR="004B7480">
        <w:rPr>
          <w:i/>
          <w:sz w:val="20"/>
          <w:szCs w:val="20"/>
        </w:rPr>
        <w:t xml:space="preserve">L’analisi dei residui attivi e passivi stralciati – 6.4.3 </w:t>
      </w:r>
      <w:r>
        <w:rPr>
          <w:i/>
          <w:sz w:val="20"/>
          <w:szCs w:val="20"/>
        </w:rPr>
        <w:t>Le reimputazioni di crediti e debiti – 6.4.</w:t>
      </w:r>
      <w:r w:rsidR="004B7480">
        <w:rPr>
          <w:i/>
          <w:sz w:val="20"/>
          <w:szCs w:val="20"/>
        </w:rPr>
        <w:t xml:space="preserve">4 I residui attivi </w:t>
      </w:r>
      <w:r>
        <w:rPr>
          <w:i/>
          <w:sz w:val="20"/>
          <w:szCs w:val="20"/>
        </w:rPr>
        <w:t xml:space="preserve">– </w:t>
      </w:r>
      <w:r w:rsidR="0061030C">
        <w:rPr>
          <w:i/>
          <w:sz w:val="20"/>
          <w:szCs w:val="20"/>
        </w:rPr>
        <w:t xml:space="preserve">6.4.4.1 L’analisi dell’anzianità dei residui </w:t>
      </w:r>
      <w:r w:rsidR="004B7480">
        <w:rPr>
          <w:i/>
          <w:sz w:val="20"/>
          <w:szCs w:val="20"/>
        </w:rPr>
        <w:t xml:space="preserve">attivi – 6.4.5 </w:t>
      </w:r>
      <w:r w:rsidR="00CF6AE2">
        <w:rPr>
          <w:i/>
          <w:sz w:val="20"/>
          <w:szCs w:val="20"/>
        </w:rPr>
        <w:t xml:space="preserve">I </w:t>
      </w:r>
      <w:r w:rsidR="004B7480">
        <w:rPr>
          <w:i/>
          <w:sz w:val="20"/>
          <w:szCs w:val="20"/>
        </w:rPr>
        <w:t>residui passivi – 6.4.5.1 L’anzianità dei residui passivi</w:t>
      </w:r>
      <w:r w:rsidR="0061030C">
        <w:rPr>
          <w:i/>
          <w:sz w:val="20"/>
          <w:szCs w:val="20"/>
        </w:rPr>
        <w:t xml:space="preserve"> - </w:t>
      </w:r>
      <w:r>
        <w:rPr>
          <w:i/>
          <w:sz w:val="20"/>
          <w:szCs w:val="20"/>
        </w:rPr>
        <w:t xml:space="preserve">6.5 I residui passivi perenti – 6.5.1 L’analisi delle procedure di smaltimento dei residui perenti – 6.6 </w:t>
      </w:r>
      <w:r w:rsidR="00FA0C74">
        <w:rPr>
          <w:i/>
          <w:sz w:val="20"/>
          <w:szCs w:val="20"/>
        </w:rPr>
        <w:t xml:space="preserve">La rideterminazione del FPV – 6.7 La Gestione di cassa - 6.8 Il risultato di amministrazione al 31/12/2016 – 6.8.1 </w:t>
      </w:r>
      <w:r w:rsidR="004B7480">
        <w:rPr>
          <w:i/>
          <w:sz w:val="20"/>
          <w:szCs w:val="20"/>
        </w:rPr>
        <w:t xml:space="preserve">Mutuo autorizzato a copertura del disavanzo – 6.8.2 </w:t>
      </w:r>
      <w:r w:rsidR="00FA0C74">
        <w:rPr>
          <w:i/>
          <w:sz w:val="20"/>
          <w:szCs w:val="20"/>
        </w:rPr>
        <w:t>Le quote accantonate del risu</w:t>
      </w:r>
      <w:r w:rsidR="004B7480">
        <w:rPr>
          <w:i/>
          <w:sz w:val="20"/>
          <w:szCs w:val="20"/>
        </w:rPr>
        <w:t>ltato di amministrazione – 6.8.2</w:t>
      </w:r>
      <w:r w:rsidR="00FA0C74">
        <w:rPr>
          <w:i/>
          <w:sz w:val="20"/>
          <w:szCs w:val="20"/>
        </w:rPr>
        <w:t>.1 Il Fondo Credi</w:t>
      </w:r>
      <w:r w:rsidR="004B7480">
        <w:rPr>
          <w:i/>
          <w:sz w:val="20"/>
          <w:szCs w:val="20"/>
        </w:rPr>
        <w:t>ti di Dubbia Esigibilità – 6.8.2</w:t>
      </w:r>
      <w:r w:rsidR="00FA0C74">
        <w:rPr>
          <w:i/>
          <w:sz w:val="20"/>
          <w:szCs w:val="20"/>
        </w:rPr>
        <w:t>.2 Il Fondo anticipazioni liqui</w:t>
      </w:r>
      <w:r w:rsidR="004B7480">
        <w:rPr>
          <w:i/>
          <w:sz w:val="20"/>
          <w:szCs w:val="20"/>
        </w:rPr>
        <w:t>dità D.L. 35/2013 e s.m. – 6.8.2</w:t>
      </w:r>
      <w:r w:rsidR="00FA0C74">
        <w:rPr>
          <w:i/>
          <w:sz w:val="20"/>
          <w:szCs w:val="20"/>
        </w:rPr>
        <w:t>.3 Il Fondo a garanzia della reiscriz</w:t>
      </w:r>
      <w:r w:rsidR="004B7480">
        <w:rPr>
          <w:i/>
          <w:sz w:val="20"/>
          <w:szCs w:val="20"/>
        </w:rPr>
        <w:t>ione dei residui perenti – 6.8.2</w:t>
      </w:r>
      <w:r w:rsidR="00FA0C74">
        <w:rPr>
          <w:i/>
          <w:sz w:val="20"/>
          <w:szCs w:val="20"/>
        </w:rPr>
        <w:t xml:space="preserve">.4 Il Fondo per le perdite </w:t>
      </w:r>
      <w:r w:rsidR="004B7480">
        <w:rPr>
          <w:i/>
          <w:sz w:val="20"/>
          <w:szCs w:val="20"/>
        </w:rPr>
        <w:t>delle società partecipate – 6.8.2</w:t>
      </w:r>
      <w:r w:rsidR="00FA0C74">
        <w:rPr>
          <w:i/>
          <w:sz w:val="20"/>
          <w:szCs w:val="20"/>
        </w:rPr>
        <w:t>.5 Il Fondo soppressio</w:t>
      </w:r>
      <w:r w:rsidR="004B7480">
        <w:rPr>
          <w:i/>
          <w:sz w:val="20"/>
          <w:szCs w:val="20"/>
        </w:rPr>
        <w:t>ne dei fondi di garanzia – 6.8.2</w:t>
      </w:r>
      <w:r w:rsidR="00FA0C74">
        <w:rPr>
          <w:i/>
          <w:sz w:val="20"/>
          <w:szCs w:val="20"/>
        </w:rPr>
        <w:t>.6 Altri accantonamenti – 6.8.</w:t>
      </w:r>
      <w:r w:rsidR="004B7480">
        <w:rPr>
          <w:i/>
          <w:sz w:val="20"/>
          <w:szCs w:val="20"/>
        </w:rPr>
        <w:t>3</w:t>
      </w:r>
      <w:r w:rsidR="00FA0C74">
        <w:rPr>
          <w:i/>
          <w:sz w:val="20"/>
          <w:szCs w:val="20"/>
        </w:rPr>
        <w:t xml:space="preserve"> Le quote vincolate del risultato di amministrazione</w:t>
      </w:r>
      <w:r w:rsidR="00416B72">
        <w:rPr>
          <w:i/>
          <w:sz w:val="20"/>
          <w:szCs w:val="20"/>
        </w:rPr>
        <w:t xml:space="preserve"> – 6.9 Esiti della verifica dei crediti e debiti reciproci con i propri enti strumentali e le società controllate e partecipate</w:t>
      </w:r>
    </w:p>
    <w:p w:rsidR="005D0F47" w:rsidRDefault="00B15595" w:rsidP="002C0F12">
      <w:pPr>
        <w:pStyle w:val="Titolo2"/>
      </w:pPr>
      <w:bookmarkStart w:id="120" w:name="_Toc507422629"/>
      <w:r>
        <w:t xml:space="preserve">La vertenza entrate e </w:t>
      </w:r>
      <w:r w:rsidR="008A47A2">
        <w:t>la ridefinizione de</w:t>
      </w:r>
      <w:r>
        <w:t>gli accantonamenti</w:t>
      </w:r>
      <w:bookmarkEnd w:id="120"/>
    </w:p>
    <w:p w:rsidR="006A4C89" w:rsidRDefault="00B15595" w:rsidP="006A4C89">
      <w:pPr>
        <w:pStyle w:val="CdcTesto"/>
      </w:pPr>
      <w:r>
        <w:t>Il decreto legislativo 9 giugno 2016 n. 114 (in vigore dal 12 luglio 2016) ha definitiv</w:t>
      </w:r>
      <w:r w:rsidR="00760E49">
        <w:t>amente</w:t>
      </w:r>
      <w:r>
        <w:t xml:space="preserve"> </w:t>
      </w:r>
      <w:r w:rsidR="00760E49">
        <w:t xml:space="preserve">determinato </w:t>
      </w:r>
      <w:r w:rsidR="000716EA">
        <w:t>l’</w:t>
      </w:r>
      <w:r w:rsidR="002B20A0">
        <w:t>a</w:t>
      </w:r>
      <w:r>
        <w:t>ttribuzione delle quote di gettito delle entrate erariali spettanti alla Regione in attuazione delle rif</w:t>
      </w:r>
      <w:r w:rsidR="002B20A0">
        <w:t>o</w:t>
      </w:r>
      <w:r>
        <w:t>rmate norme statutarie</w:t>
      </w:r>
      <w:r>
        <w:rPr>
          <w:rStyle w:val="Rimandonotaapidipagina"/>
        </w:rPr>
        <w:footnoteReference w:id="75"/>
      </w:r>
      <w:r>
        <w:t>, decorrenti dal 1° gennaio 2010 e ha rimesso a decreti</w:t>
      </w:r>
      <w:r>
        <w:rPr>
          <w:rStyle w:val="Rimandonotaapidipagina"/>
        </w:rPr>
        <w:footnoteReference w:id="76"/>
      </w:r>
      <w:r w:rsidR="00AF4B9A">
        <w:t xml:space="preserve"> del Ministero dell’economia e delle finanze, adottati d’intesa con la Regione, l’individuazione dei tempi, modi e procedure per il riversamento diretto nelle casse regionali del gettito in questione.</w:t>
      </w:r>
      <w:r w:rsidR="006A4C89" w:rsidRPr="006A4C89">
        <w:t xml:space="preserve"> </w:t>
      </w:r>
      <w:r w:rsidR="006A4C89">
        <w:t>Attualmente è in corso di predisposizione da parte degli uffici ministeriali il decreto attuativo che specificherà i criteri di quantificazione della spettanza regionale sui redditi da capitale.</w:t>
      </w:r>
    </w:p>
    <w:p w:rsidR="00AF4B9A" w:rsidRDefault="00AF4B9A" w:rsidP="00B15595">
      <w:pPr>
        <w:pStyle w:val="CdcTesto"/>
      </w:pPr>
      <w:r>
        <w:t>In virtù di accordi già intervenuti, rispettivamente il 24 febbraio 2015 e</w:t>
      </w:r>
      <w:r w:rsidR="002B20A0">
        <w:t xml:space="preserve"> il</w:t>
      </w:r>
      <w:r>
        <w:t xml:space="preserve"> 3 marzo 2016, </w:t>
      </w:r>
      <w:r w:rsidR="00D7680D">
        <w:t xml:space="preserve">è </w:t>
      </w:r>
      <w:r>
        <w:t>stato previsto il riversamento di un primo acconto pari a 300 milioni di euro e che le restanti spettanze</w:t>
      </w:r>
      <w:r w:rsidR="00D7680D">
        <w:t xml:space="preserve"> arretrate</w:t>
      </w:r>
      <w:r>
        <w:t xml:space="preserve"> (dal 2010 al 2015) siano corrisposte in 4 rate a decorrere dal 2016.</w:t>
      </w:r>
    </w:p>
    <w:p w:rsidR="00AF4B9A" w:rsidRDefault="00AF4B9A" w:rsidP="00B15595">
      <w:pPr>
        <w:pStyle w:val="CdcTesto"/>
      </w:pPr>
      <w:r w:rsidRPr="00B530C1">
        <w:t>Co</w:t>
      </w:r>
      <w:r w:rsidR="004A0000" w:rsidRPr="00B530C1">
        <w:t>n</w:t>
      </w:r>
      <w:r w:rsidRPr="00B530C1">
        <w:t>clusivamente per gli anni dal 2010 al 2015 sono quantificati</w:t>
      </w:r>
      <w:r w:rsidR="006A4C89" w:rsidRPr="00B530C1">
        <w:t xml:space="preserve"> arretrati</w:t>
      </w:r>
      <w:r w:rsidRPr="00B530C1">
        <w:t xml:space="preserve"> pari a </w:t>
      </w:r>
      <w:r w:rsidR="00D30429">
        <w:t xml:space="preserve">€ </w:t>
      </w:r>
      <w:r w:rsidRPr="00B530C1">
        <w:t>686.978.787 di cui 300 milioni di euro d’acconto erogati nel 2015, 96.</w:t>
      </w:r>
      <w:r w:rsidR="00D30429">
        <w:t>744.697 euro erogati nel 2016 e</w:t>
      </w:r>
      <w:r w:rsidRPr="00B530C1">
        <w:t xml:space="preserve"> </w:t>
      </w:r>
      <w:r w:rsidR="00D30429">
        <w:t>€</w:t>
      </w:r>
      <w:r w:rsidRPr="00B530C1">
        <w:t xml:space="preserve"> 290.234.090 da </w:t>
      </w:r>
      <w:r w:rsidRPr="00B530C1">
        <w:lastRenderedPageBreak/>
        <w:t>erogare negli anni 2017/2019.</w:t>
      </w:r>
      <w:r w:rsidR="00E60CAE">
        <w:t xml:space="preserve"> </w:t>
      </w:r>
      <w:r w:rsidR="00B530C1" w:rsidRPr="00B530C1">
        <w:t>Per i redditi</w:t>
      </w:r>
      <w:r w:rsidR="00B530C1">
        <w:t xml:space="preserve"> da capitale non si è ancora pervenut</w:t>
      </w:r>
      <w:r w:rsidR="000716EA">
        <w:t xml:space="preserve">i </w:t>
      </w:r>
      <w:r w:rsidR="00B530C1">
        <w:t>all’intesa prevista dall’art. 7 del citato D.Lgs. 114/2016.</w:t>
      </w:r>
    </w:p>
    <w:p w:rsidR="00AF4B9A" w:rsidRDefault="00AF4B9A" w:rsidP="00B15595">
      <w:pPr>
        <w:pStyle w:val="CdcTesto"/>
      </w:pPr>
      <w:r>
        <w:t>Contestualmente al versamento delle somme dovute per il</w:t>
      </w:r>
      <w:r w:rsidR="00B530C1">
        <w:t xml:space="preserve"> </w:t>
      </w:r>
      <w:r>
        <w:t>2014 e per il 2015 (risorse erariali) il MEF ha stabilito che le stesse siano prioritariamente finalizzate alla riduzione dei debiti commerciali della Regione (per i 239 milioni di euro relativi al 2014), a spese in conto capitale e alla riduzione del debito regionale e degli enti locali (per 240 milioni di euro erogati nel 2015 e nel 2016).</w:t>
      </w:r>
      <w:r w:rsidR="00B530C1" w:rsidRPr="00B530C1">
        <w:t xml:space="preserve"> </w:t>
      </w:r>
      <w:r w:rsidR="00B530C1">
        <w:t xml:space="preserve">La </w:t>
      </w:r>
      <w:r w:rsidR="00DC3A5C">
        <w:t xml:space="preserve">situazione a rendiconto 2016 - </w:t>
      </w:r>
      <w:r w:rsidR="00B530C1">
        <w:t>a seguito di alcune rettifiche che si sono rese necessarie</w:t>
      </w:r>
      <w:r w:rsidR="00DC3A5C">
        <w:t xml:space="preserve"> </w:t>
      </w:r>
      <w:r w:rsidR="00B530C1">
        <w:t xml:space="preserve">- espone spettanze accertate a titolo di arretrati (2012/2015) pari a </w:t>
      </w:r>
      <w:r w:rsidR="00DC3A5C">
        <w:t xml:space="preserve">€ </w:t>
      </w:r>
      <w:r w:rsidR="00B530C1">
        <w:t>386.978.</w:t>
      </w:r>
      <w:r w:rsidR="000716EA">
        <w:t xml:space="preserve">787,00, di cui sono stati </w:t>
      </w:r>
      <w:r w:rsidR="00B530C1">
        <w:t xml:space="preserve">riscossi </w:t>
      </w:r>
      <w:r w:rsidR="00DC3A5C">
        <w:t xml:space="preserve">€ </w:t>
      </w:r>
      <w:r w:rsidR="00B530C1">
        <w:t xml:space="preserve">96.744.697,00 e </w:t>
      </w:r>
      <w:r w:rsidR="00DC3A5C">
        <w:t>€ </w:t>
      </w:r>
      <w:r w:rsidR="00B530C1">
        <w:t>290.234.090,00 da riscuotere.</w:t>
      </w:r>
    </w:p>
    <w:p w:rsidR="00AF4B9A" w:rsidRDefault="00AF4B9A" w:rsidP="00B15595">
      <w:pPr>
        <w:pStyle w:val="CdcTesto"/>
      </w:pPr>
      <w:r>
        <w:t>L’effettiva acquisizione da parte della Regione delle spettanze erariali annualmente dovute vie</w:t>
      </w:r>
      <w:r w:rsidR="00261064">
        <w:t>ne, però, incisa dal contestuale</w:t>
      </w:r>
      <w:r>
        <w:t xml:space="preserve"> obbligo di contribuire al raggiungimento degli obiettivi di finanza</w:t>
      </w:r>
      <w:r w:rsidR="000716EA">
        <w:t xml:space="preserve"> pubblica, </w:t>
      </w:r>
      <w:r w:rsidR="00261064">
        <w:t xml:space="preserve">che si realizza attraverso accantonamenti </w:t>
      </w:r>
      <w:r w:rsidR="001C502F">
        <w:t xml:space="preserve">disposti dallo Stato </w:t>
      </w:r>
      <w:r w:rsidR="00261064">
        <w:t>a valere sulle quote di compartecipazione a tributi erariali</w:t>
      </w:r>
      <w:r w:rsidR="00261064">
        <w:rPr>
          <w:rStyle w:val="Rimandonotaapidipagina"/>
        </w:rPr>
        <w:footnoteReference w:id="77"/>
      </w:r>
      <w:r w:rsidR="00261064">
        <w:t>. Il contributo a carico della Sardegna per il 2016</w:t>
      </w:r>
      <w:r w:rsidR="001C502F">
        <w:t>,</w:t>
      </w:r>
      <w:r w:rsidR="00261064">
        <w:t xml:space="preserve"> quantificato in 683,995 milioni di e</w:t>
      </w:r>
      <w:r w:rsidR="00DC3A5C">
        <w:t xml:space="preserve">uro (nota MEF del 16/11/2016 n. </w:t>
      </w:r>
      <w:r w:rsidR="00261064">
        <w:t>88314)</w:t>
      </w:r>
      <w:r w:rsidR="001C502F">
        <w:t>,</w:t>
      </w:r>
      <w:r w:rsidR="00261064">
        <w:t xml:space="preserve"> va a ridurre le de</w:t>
      </w:r>
      <w:r w:rsidR="001C502F">
        <w:t>voluzio</w:t>
      </w:r>
      <w:r w:rsidR="00261064">
        <w:t xml:space="preserve">ni erariali </w:t>
      </w:r>
      <w:r w:rsidR="001C502F">
        <w:t xml:space="preserve">per l’esercizio </w:t>
      </w:r>
      <w:r w:rsidR="00E85530">
        <w:t xml:space="preserve">e le riscossioni </w:t>
      </w:r>
      <w:r w:rsidR="00261064">
        <w:t xml:space="preserve">che </w:t>
      </w:r>
      <w:r w:rsidR="00E85530">
        <w:t xml:space="preserve">sarebbero dovute ammontare </w:t>
      </w:r>
      <w:r w:rsidR="00261064">
        <w:t xml:space="preserve">a </w:t>
      </w:r>
      <w:r w:rsidR="00E85530">
        <w:t xml:space="preserve">€ </w:t>
      </w:r>
      <w:r w:rsidR="00261064">
        <w:t>5.</w:t>
      </w:r>
      <w:r w:rsidR="00E85530">
        <w:t>547</w:t>
      </w:r>
      <w:r w:rsidR="00261064">
        <w:t>.</w:t>
      </w:r>
      <w:r w:rsidR="00E85530">
        <w:t>006</w:t>
      </w:r>
      <w:r w:rsidR="00261064">
        <w:t>.</w:t>
      </w:r>
      <w:r w:rsidR="00E85530">
        <w:t>357</w:t>
      </w:r>
      <w:r w:rsidR="00261064">
        <w:t>,</w:t>
      </w:r>
      <w:r w:rsidR="00E85530">
        <w:t>69</w:t>
      </w:r>
      <w:r w:rsidR="00261064">
        <w:t xml:space="preserve"> </w:t>
      </w:r>
      <w:r w:rsidR="00E85530">
        <w:t xml:space="preserve">si riducono </w:t>
      </w:r>
      <w:r w:rsidR="00261064">
        <w:t xml:space="preserve">a </w:t>
      </w:r>
      <w:r w:rsidR="00E85530">
        <w:t>€ 4.863.010.368,94</w:t>
      </w:r>
      <w:r w:rsidR="00261064">
        <w:t>.</w:t>
      </w:r>
    </w:p>
    <w:p w:rsidR="00261064" w:rsidRDefault="00261064" w:rsidP="00977666">
      <w:pPr>
        <w:pStyle w:val="Didascalia"/>
        <w:spacing w:before="120" w:after="0"/>
        <w:rPr>
          <w:rFonts w:eastAsia="Calibri" w:cs="Arial"/>
          <w:lang w:eastAsia="it-IT"/>
        </w:rPr>
      </w:pPr>
      <w:bookmarkStart w:id="121" w:name="_Toc507422479"/>
      <w:r>
        <w:t xml:space="preserve">Tabella </w:t>
      </w:r>
      <w:r w:rsidR="00B90472">
        <w:fldChar w:fldCharType="begin"/>
      </w:r>
      <w:r w:rsidR="00B90472">
        <w:instrText xml:space="preserve"> SEQ Tabella \* ARABIC </w:instrText>
      </w:r>
      <w:r w:rsidR="00B90472">
        <w:fldChar w:fldCharType="separate"/>
      </w:r>
      <w:r w:rsidR="008616B3">
        <w:rPr>
          <w:noProof/>
        </w:rPr>
        <w:t>11</w:t>
      </w:r>
      <w:r w:rsidR="00B90472">
        <w:rPr>
          <w:noProof/>
        </w:rPr>
        <w:fldChar w:fldCharType="end"/>
      </w:r>
      <w:r>
        <w:t xml:space="preserve"> </w:t>
      </w:r>
      <w:r w:rsidR="00035B87">
        <w:t>–</w:t>
      </w:r>
      <w:r>
        <w:t xml:space="preserve"> </w:t>
      </w:r>
      <w:r w:rsidR="00035B87" w:rsidRPr="000716EA">
        <w:rPr>
          <w:rFonts w:eastAsia="Calibri" w:cs="Arial"/>
          <w:lang w:eastAsia="it-IT"/>
        </w:rPr>
        <w:t xml:space="preserve">Riepilogo accantonamenti </w:t>
      </w:r>
      <w:r w:rsidR="00057D68" w:rsidRPr="000716EA">
        <w:rPr>
          <w:rFonts w:eastAsia="Calibri" w:cs="Arial"/>
          <w:lang w:eastAsia="it-IT"/>
        </w:rPr>
        <w:t xml:space="preserve">Regione </w:t>
      </w:r>
      <w:r w:rsidR="00AC7637" w:rsidRPr="000716EA">
        <w:rPr>
          <w:rFonts w:eastAsia="Calibri" w:cs="Arial"/>
          <w:lang w:eastAsia="it-IT"/>
        </w:rPr>
        <w:t>Sardegna</w:t>
      </w:r>
      <w:bookmarkEnd w:id="121"/>
    </w:p>
    <w:p w:rsidR="00E85530" w:rsidRPr="00E85530" w:rsidRDefault="00E85530" w:rsidP="00E85530">
      <w:pPr>
        <w:spacing w:after="0" w:line="240" w:lineRule="auto"/>
        <w:jc w:val="right"/>
        <w:rPr>
          <w:rFonts w:ascii="Bodoni MT" w:hAnsi="Bodoni MT"/>
          <w:sz w:val="18"/>
          <w:szCs w:val="18"/>
          <w:lang w:eastAsia="it-IT"/>
        </w:rPr>
      </w:pPr>
      <w:r>
        <w:rPr>
          <w:rFonts w:ascii="Bodoni MT" w:hAnsi="Bodoni MT"/>
          <w:sz w:val="18"/>
          <w:szCs w:val="18"/>
          <w:lang w:eastAsia="it-IT"/>
        </w:rPr>
        <w:t>Migliaia di euro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581"/>
        <w:gridCol w:w="654"/>
        <w:gridCol w:w="672"/>
        <w:gridCol w:w="671"/>
        <w:gridCol w:w="671"/>
        <w:gridCol w:w="671"/>
        <w:gridCol w:w="671"/>
        <w:gridCol w:w="671"/>
        <w:gridCol w:w="669"/>
      </w:tblGrid>
      <w:tr w:rsidR="00AC7637" w:rsidRPr="00977666" w:rsidTr="00977666">
        <w:trPr>
          <w:trHeight w:val="67"/>
        </w:trPr>
        <w:tc>
          <w:tcPr>
            <w:tcW w:w="3987" w:type="pct"/>
            <w:gridSpan w:val="6"/>
            <w:shd w:val="clear" w:color="auto" w:fill="0F243E" w:themeFill="text2" w:themeFillShade="80"/>
            <w:vAlign w:val="center"/>
          </w:tcPr>
          <w:p w:rsidR="00AC7637" w:rsidRPr="00977666" w:rsidRDefault="00AC7637" w:rsidP="00AC7637">
            <w:pPr>
              <w:spacing w:after="0" w:line="240" w:lineRule="auto"/>
              <w:jc w:val="center"/>
              <w:rPr>
                <w:rFonts w:ascii="Bodoni MT" w:eastAsia="Times New Roman" w:hAnsi="Bodoni MT" w:cs="Arial"/>
                <w:sz w:val="18"/>
                <w:szCs w:val="18"/>
                <w:lang w:eastAsia="it-IT"/>
              </w:rPr>
            </w:pPr>
          </w:p>
        </w:tc>
        <w:tc>
          <w:tcPr>
            <w:tcW w:w="1013" w:type="pct"/>
            <w:gridSpan w:val="3"/>
            <w:shd w:val="clear" w:color="auto" w:fill="0F243E" w:themeFill="text2" w:themeFillShade="80"/>
            <w:vAlign w:val="center"/>
          </w:tcPr>
          <w:p w:rsidR="00AC7637" w:rsidRPr="00977666" w:rsidRDefault="00AC7637" w:rsidP="00AC7637">
            <w:pPr>
              <w:spacing w:after="0" w:line="240" w:lineRule="auto"/>
              <w:jc w:val="center"/>
              <w:rPr>
                <w:rFonts w:ascii="Bodoni MT" w:eastAsia="Calibri" w:hAnsi="Bodoni MT" w:cs="Arial"/>
                <w:b/>
                <w:sz w:val="18"/>
                <w:szCs w:val="18"/>
                <w:lang w:eastAsia="it-IT"/>
              </w:rPr>
            </w:pPr>
            <w:r w:rsidRPr="00977666">
              <w:rPr>
                <w:rFonts w:ascii="Bodoni MT" w:eastAsia="Calibri" w:hAnsi="Bodoni MT" w:cs="Arial"/>
                <w:b/>
                <w:sz w:val="18"/>
                <w:szCs w:val="18"/>
                <w:lang w:eastAsia="it-IT"/>
              </w:rPr>
              <w:t>IMPORTI PROVVISORI*</w:t>
            </w:r>
          </w:p>
        </w:tc>
      </w:tr>
      <w:tr w:rsidR="00AC7637" w:rsidRPr="00977666" w:rsidTr="00E85530">
        <w:trPr>
          <w:trHeight w:val="279"/>
        </w:trPr>
        <w:tc>
          <w:tcPr>
            <w:tcW w:w="2306" w:type="pct"/>
            <w:shd w:val="clear" w:color="auto" w:fill="0F243E" w:themeFill="text2" w:themeFillShade="80"/>
            <w:vAlign w:val="center"/>
          </w:tcPr>
          <w:p w:rsidR="00035B87" w:rsidRPr="00977666" w:rsidRDefault="00035B87" w:rsidP="00AC7637">
            <w:pPr>
              <w:spacing w:after="0" w:line="240" w:lineRule="auto"/>
              <w:jc w:val="center"/>
              <w:rPr>
                <w:rFonts w:ascii="Bodoni MT" w:eastAsia="Times New Roman" w:hAnsi="Bodoni MT" w:cs="Arial"/>
                <w:color w:val="FFFFFF" w:themeColor="background1"/>
                <w:sz w:val="18"/>
                <w:szCs w:val="18"/>
                <w:lang w:eastAsia="it-IT"/>
              </w:rPr>
            </w:pPr>
          </w:p>
        </w:tc>
        <w:tc>
          <w:tcPr>
            <w:tcW w:w="329"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2012</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2013</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2014</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2015</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2016</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2017</w:t>
            </w:r>
          </w:p>
        </w:tc>
        <w:tc>
          <w:tcPr>
            <w:tcW w:w="338"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2018</w:t>
            </w:r>
          </w:p>
        </w:tc>
        <w:tc>
          <w:tcPr>
            <w:tcW w:w="337" w:type="pct"/>
            <w:shd w:val="clear" w:color="auto" w:fill="0F243E" w:themeFill="text2" w:themeFillShade="80"/>
            <w:vAlign w:val="center"/>
          </w:tcPr>
          <w:p w:rsidR="00035B87" w:rsidRPr="00977666" w:rsidRDefault="00035B87" w:rsidP="00AC7637">
            <w:pPr>
              <w:spacing w:after="0" w:line="240" w:lineRule="auto"/>
              <w:jc w:val="center"/>
              <w:rPr>
                <w:rFonts w:eastAsia="Calibri" w:cstheme="minorHAnsi"/>
                <w:b/>
                <w:color w:val="FFFFFF" w:themeColor="background1"/>
                <w:sz w:val="18"/>
                <w:szCs w:val="18"/>
                <w:lang w:eastAsia="it-IT"/>
              </w:rPr>
            </w:pPr>
            <w:r w:rsidRPr="00977666">
              <w:rPr>
                <w:rFonts w:eastAsia="Calibri" w:cstheme="minorHAnsi"/>
                <w:b/>
                <w:color w:val="FFFFFF" w:themeColor="background1"/>
                <w:sz w:val="18"/>
                <w:szCs w:val="18"/>
                <w:lang w:eastAsia="it-IT"/>
              </w:rPr>
              <w:t>2019</w:t>
            </w:r>
          </w:p>
        </w:tc>
      </w:tr>
      <w:tr w:rsidR="00AC7637" w:rsidRPr="00977666" w:rsidTr="00977666">
        <w:trPr>
          <w:trHeight w:val="401"/>
        </w:trPr>
        <w:tc>
          <w:tcPr>
            <w:tcW w:w="2306" w:type="pct"/>
            <w:shd w:val="clear" w:color="auto" w:fill="95B3D7" w:themeFill="accent1" w:themeFillTint="99"/>
            <w:vAlign w:val="center"/>
          </w:tcPr>
          <w:p w:rsidR="00AC7637" w:rsidRPr="00977666" w:rsidRDefault="000716EA" w:rsidP="00AC7637">
            <w:pPr>
              <w:spacing w:after="0" w:line="240" w:lineRule="auto"/>
              <w:rPr>
                <w:rFonts w:ascii="Bodoni MT" w:eastAsia="Calibri" w:hAnsi="Bodoni MT" w:cs="Arial"/>
                <w:color w:val="FFFFFF" w:themeColor="background1"/>
                <w:sz w:val="18"/>
                <w:szCs w:val="18"/>
                <w:lang w:val="en-US" w:eastAsia="it-IT"/>
              </w:rPr>
            </w:pPr>
            <w:r w:rsidRPr="00977666">
              <w:rPr>
                <w:rFonts w:ascii="Bodoni MT" w:eastAsia="Calibri" w:hAnsi="Bodoni MT" w:cs="Arial"/>
                <w:color w:val="FFFFFF" w:themeColor="background1"/>
                <w:sz w:val="18"/>
                <w:szCs w:val="18"/>
                <w:lang w:val="en-US" w:eastAsia="it-IT"/>
              </w:rPr>
              <w:t>A</w:t>
            </w:r>
            <w:r w:rsidR="00AC7637" w:rsidRPr="00977666">
              <w:rPr>
                <w:rFonts w:ascii="Bodoni MT" w:eastAsia="Calibri" w:hAnsi="Bodoni MT" w:cs="Arial"/>
                <w:color w:val="FFFFFF" w:themeColor="background1"/>
                <w:sz w:val="18"/>
                <w:szCs w:val="18"/>
                <w:lang w:val="en-US" w:eastAsia="it-IT"/>
              </w:rPr>
              <w:t>rt</w:t>
            </w:r>
            <w:r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28 c</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 xml:space="preserve">3 DL201/2011 </w:t>
            </w:r>
            <w:r w:rsidR="00427B63" w:rsidRPr="00977666">
              <w:rPr>
                <w:rFonts w:ascii="Bodoni MT" w:eastAsia="Calibri" w:hAnsi="Bodoni MT" w:cs="Arial"/>
                <w:color w:val="FFFFFF" w:themeColor="background1"/>
                <w:sz w:val="18"/>
                <w:szCs w:val="18"/>
                <w:lang w:val="en-US" w:eastAsia="it-IT"/>
              </w:rPr>
              <w:t>–</w:t>
            </w:r>
            <w:r w:rsidR="00AC7637" w:rsidRPr="00977666">
              <w:rPr>
                <w:rFonts w:ascii="Bodoni MT" w:eastAsia="Calibri" w:hAnsi="Bodoni MT" w:cs="Arial"/>
                <w:color w:val="FFFFFF" w:themeColor="background1"/>
                <w:sz w:val="18"/>
                <w:szCs w:val="18"/>
                <w:lang w:val="en-US" w:eastAsia="it-IT"/>
              </w:rPr>
              <w:t xml:space="preserve"> art</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35 c</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4 D</w:t>
            </w:r>
            <w:r w:rsidR="00427B63" w:rsidRPr="00977666">
              <w:rPr>
                <w:rFonts w:ascii="Bodoni MT" w:eastAsia="Calibri" w:hAnsi="Bodoni MT" w:cs="Arial"/>
                <w:color w:val="FFFFFF" w:themeColor="background1"/>
                <w:sz w:val="18"/>
                <w:szCs w:val="18"/>
                <w:lang w:val="en-US" w:eastAsia="it-IT"/>
              </w:rPr>
              <w:t>.</w:t>
            </w:r>
            <w:r w:rsidR="00AC7637" w:rsidRPr="00977666">
              <w:rPr>
                <w:rFonts w:ascii="Bodoni MT" w:eastAsia="Calibri" w:hAnsi="Bodoni MT" w:cs="Arial"/>
                <w:color w:val="FFFFFF" w:themeColor="background1"/>
                <w:sz w:val="18"/>
                <w:szCs w:val="18"/>
                <w:lang w:val="en-US" w:eastAsia="it-IT"/>
              </w:rPr>
              <w:t>L</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 xml:space="preserve">1/2012 </w:t>
            </w:r>
            <w:r w:rsidRPr="00977666">
              <w:rPr>
                <w:rFonts w:ascii="Bodoni MT" w:eastAsia="Calibri" w:hAnsi="Bodoni MT" w:cs="Arial"/>
                <w:color w:val="FFFFFF" w:themeColor="background1"/>
                <w:sz w:val="18"/>
                <w:szCs w:val="18"/>
                <w:lang w:val="en-US" w:eastAsia="it-IT"/>
              </w:rPr>
              <w:t>–</w:t>
            </w:r>
            <w:r w:rsidR="00AC7637" w:rsidRPr="00977666">
              <w:rPr>
                <w:rFonts w:ascii="Bodoni MT" w:eastAsia="Calibri" w:hAnsi="Bodoni MT" w:cs="Arial"/>
                <w:color w:val="FFFFFF" w:themeColor="background1"/>
                <w:sz w:val="18"/>
                <w:szCs w:val="18"/>
                <w:lang w:val="en-US" w:eastAsia="it-IT"/>
              </w:rPr>
              <w:t xml:space="preserve"> art</w:t>
            </w:r>
            <w:r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4 c</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11 D</w:t>
            </w:r>
            <w:r w:rsidR="00427B63" w:rsidRPr="00977666">
              <w:rPr>
                <w:rFonts w:ascii="Bodoni MT" w:eastAsia="Calibri" w:hAnsi="Bodoni MT" w:cs="Arial"/>
                <w:color w:val="FFFFFF" w:themeColor="background1"/>
                <w:sz w:val="18"/>
                <w:szCs w:val="18"/>
                <w:lang w:val="en-US" w:eastAsia="it-IT"/>
              </w:rPr>
              <w:t>.</w:t>
            </w:r>
            <w:r w:rsidR="00AC7637" w:rsidRPr="00977666">
              <w:rPr>
                <w:rFonts w:ascii="Bodoni MT" w:eastAsia="Calibri" w:hAnsi="Bodoni MT" w:cs="Arial"/>
                <w:color w:val="FFFFFF" w:themeColor="background1"/>
                <w:sz w:val="18"/>
                <w:szCs w:val="18"/>
                <w:lang w:val="en-US" w:eastAsia="it-IT"/>
              </w:rPr>
              <w:t>L</w:t>
            </w:r>
            <w:r w:rsidR="00427B63" w:rsidRPr="00977666">
              <w:rPr>
                <w:rFonts w:ascii="Bodoni MT" w:eastAsia="Calibri" w:hAnsi="Bodoni MT" w:cs="Arial"/>
                <w:color w:val="FFFFFF" w:themeColor="background1"/>
                <w:sz w:val="18"/>
                <w:szCs w:val="18"/>
                <w:lang w:val="en-US" w:eastAsia="it-IT"/>
              </w:rPr>
              <w:t xml:space="preserve">. </w:t>
            </w:r>
            <w:r w:rsidR="00AC7637" w:rsidRPr="00977666">
              <w:rPr>
                <w:rFonts w:ascii="Bodoni MT" w:eastAsia="Calibri" w:hAnsi="Bodoni MT" w:cs="Arial"/>
                <w:color w:val="FFFFFF" w:themeColor="background1"/>
                <w:sz w:val="18"/>
                <w:szCs w:val="18"/>
                <w:lang w:val="en-US" w:eastAsia="it-IT"/>
              </w:rPr>
              <w:t>16/2012</w:t>
            </w:r>
          </w:p>
        </w:tc>
        <w:tc>
          <w:tcPr>
            <w:tcW w:w="329"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160.657</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8"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c>
          <w:tcPr>
            <w:tcW w:w="337" w:type="pct"/>
            <w:shd w:val="clear" w:color="auto" w:fill="auto"/>
            <w:vAlign w:val="center"/>
          </w:tcPr>
          <w:p w:rsidR="00AC7637" w:rsidRPr="00977666" w:rsidRDefault="00AC763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148.529</w:t>
            </w:r>
          </w:p>
        </w:tc>
      </w:tr>
      <w:tr w:rsidR="00AC7637" w:rsidRPr="00977666" w:rsidTr="00E85530">
        <w:trPr>
          <w:trHeight w:val="27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val="en-US" w:eastAsia="it-IT"/>
              </w:rPr>
            </w:pPr>
            <w:r w:rsidRPr="00977666">
              <w:rPr>
                <w:rFonts w:ascii="Bodoni MT" w:eastAsia="Calibri" w:hAnsi="Bodoni MT" w:cs="Arial"/>
                <w:color w:val="FFFFFF" w:themeColor="background1"/>
                <w:sz w:val="18"/>
                <w:szCs w:val="18"/>
                <w:lang w:val="en-US" w:eastAsia="it-IT"/>
              </w:rPr>
              <w:t>A</w:t>
            </w:r>
            <w:r w:rsidR="00035B87" w:rsidRPr="00977666">
              <w:rPr>
                <w:rFonts w:ascii="Bodoni MT" w:eastAsia="Calibri" w:hAnsi="Bodoni MT" w:cs="Arial"/>
                <w:color w:val="FFFFFF" w:themeColor="background1"/>
                <w:sz w:val="18"/>
                <w:szCs w:val="18"/>
                <w:lang w:val="en-US" w:eastAsia="it-IT"/>
              </w:rPr>
              <w:t>rt</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15 c</w:t>
            </w:r>
            <w:r w:rsidR="00DC3A5C"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 xml:space="preserve">22 DL95/2012 </w:t>
            </w:r>
            <w:r w:rsidR="00DC3A5C" w:rsidRPr="00977666">
              <w:rPr>
                <w:rFonts w:ascii="Bodoni MT" w:eastAsia="Calibri" w:hAnsi="Bodoni MT" w:cs="Arial"/>
                <w:color w:val="FFFFFF" w:themeColor="background1"/>
                <w:sz w:val="18"/>
                <w:szCs w:val="18"/>
                <w:lang w:val="en-US" w:eastAsia="it-IT"/>
              </w:rPr>
              <w:t>–</w:t>
            </w:r>
            <w:r w:rsidR="00035B87" w:rsidRPr="00977666">
              <w:rPr>
                <w:rFonts w:ascii="Bodoni MT" w:eastAsia="Calibri" w:hAnsi="Bodoni MT" w:cs="Arial"/>
                <w:color w:val="FFFFFF" w:themeColor="background1"/>
                <w:sz w:val="18"/>
                <w:szCs w:val="18"/>
                <w:lang w:val="en-US" w:eastAsia="it-IT"/>
              </w:rPr>
              <w:t xml:space="preserve"> art</w:t>
            </w:r>
            <w:r w:rsidR="00DC3A5C"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 c132 L</w:t>
            </w:r>
            <w:r w:rsidR="00923BC7"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 xml:space="preserve">228/2012 </w:t>
            </w:r>
            <w:r w:rsidRPr="00977666">
              <w:rPr>
                <w:rFonts w:ascii="Bodoni MT" w:eastAsia="Calibri" w:hAnsi="Bodoni MT" w:cs="Arial"/>
                <w:color w:val="FFFFFF" w:themeColor="background1"/>
                <w:sz w:val="18"/>
                <w:szCs w:val="18"/>
                <w:lang w:val="en-US" w:eastAsia="it-IT"/>
              </w:rPr>
              <w:t>–</w:t>
            </w:r>
            <w:r w:rsidR="00035B87" w:rsidRPr="00977666">
              <w:rPr>
                <w:rFonts w:ascii="Bodoni MT" w:eastAsia="Calibri" w:hAnsi="Bodoni MT" w:cs="Arial"/>
                <w:color w:val="FFFFFF" w:themeColor="background1"/>
                <w:sz w:val="18"/>
                <w:szCs w:val="18"/>
                <w:lang w:val="en-US" w:eastAsia="it-IT"/>
              </w:rPr>
              <w:t xml:space="preserve"> art</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 c</w:t>
            </w:r>
            <w:r w:rsidR="00427B63"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481 L</w:t>
            </w:r>
            <w:r w:rsidR="00427B63"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147/2013</w:t>
            </w:r>
          </w:p>
        </w:tc>
        <w:tc>
          <w:tcPr>
            <w:tcW w:w="329"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24.613</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65.635</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82.774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99.458</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101.754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101.754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101.754</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101.754</w:t>
            </w:r>
          </w:p>
        </w:tc>
      </w:tr>
      <w:tr w:rsidR="00AC7637" w:rsidRPr="00977666" w:rsidTr="00E85530">
        <w:trPr>
          <w:trHeight w:val="27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val="en-US" w:eastAsia="it-IT"/>
              </w:rPr>
            </w:pPr>
            <w:r w:rsidRPr="00977666">
              <w:rPr>
                <w:rFonts w:ascii="Bodoni MT" w:eastAsia="Calibri" w:hAnsi="Bodoni MT" w:cs="Arial"/>
                <w:color w:val="FFFFFF" w:themeColor="background1"/>
                <w:sz w:val="18"/>
                <w:szCs w:val="18"/>
                <w:lang w:val="en-US" w:eastAsia="it-IT"/>
              </w:rPr>
              <w:t>A</w:t>
            </w:r>
            <w:r w:rsidR="00035B87" w:rsidRPr="00977666">
              <w:rPr>
                <w:rFonts w:ascii="Bodoni MT" w:eastAsia="Calibri" w:hAnsi="Bodoni MT" w:cs="Arial"/>
                <w:color w:val="FFFFFF" w:themeColor="background1"/>
                <w:sz w:val="18"/>
                <w:szCs w:val="18"/>
                <w:lang w:val="en-US" w:eastAsia="it-IT"/>
              </w:rPr>
              <w:t>rt</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16 c</w:t>
            </w:r>
            <w:r w:rsidR="00E85530"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3 D</w:t>
            </w:r>
            <w:r w:rsidR="00427B63" w:rsidRPr="00977666">
              <w:rPr>
                <w:rFonts w:ascii="Bodoni MT" w:eastAsia="Calibri" w:hAnsi="Bodoni MT" w:cs="Arial"/>
                <w:color w:val="FFFFFF" w:themeColor="background1"/>
                <w:sz w:val="18"/>
                <w:szCs w:val="18"/>
                <w:lang w:val="en-US" w:eastAsia="it-IT"/>
              </w:rPr>
              <w:t>.</w:t>
            </w:r>
            <w:r w:rsidR="00035B87" w:rsidRPr="00977666">
              <w:rPr>
                <w:rFonts w:ascii="Bodoni MT" w:eastAsia="Calibri" w:hAnsi="Bodoni MT" w:cs="Arial"/>
                <w:color w:val="FFFFFF" w:themeColor="background1"/>
                <w:sz w:val="18"/>
                <w:szCs w:val="18"/>
                <w:lang w:val="en-US" w:eastAsia="it-IT"/>
              </w:rPr>
              <w:t>L</w:t>
            </w:r>
            <w:r w:rsidR="00427B63"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95/2012</w:t>
            </w:r>
          </w:p>
        </w:tc>
        <w:tc>
          <w:tcPr>
            <w:tcW w:w="329"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83.376</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217.378</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271.723</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285.309</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285.309</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285.309</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285.309</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val="en-US" w:eastAsia="it-IT"/>
              </w:rPr>
            </w:pPr>
            <w:r w:rsidRPr="00977666">
              <w:rPr>
                <w:rFonts w:eastAsia="Calibri" w:cstheme="minorHAnsi"/>
                <w:sz w:val="18"/>
                <w:szCs w:val="18"/>
                <w:lang w:val="en-US" w:eastAsia="it-IT"/>
              </w:rPr>
              <w:t>285.309</w:t>
            </w:r>
          </w:p>
        </w:tc>
      </w:tr>
      <w:tr w:rsidR="00AC7637" w:rsidRPr="00977666" w:rsidTr="00E85530">
        <w:trPr>
          <w:trHeight w:val="27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eastAsia="it-IT"/>
              </w:rPr>
            </w:pPr>
            <w:r w:rsidRPr="00977666">
              <w:rPr>
                <w:rFonts w:ascii="Bodoni MT" w:eastAsia="Calibri" w:hAnsi="Bodoni MT" w:cs="Arial"/>
                <w:color w:val="FFFFFF" w:themeColor="background1"/>
                <w:sz w:val="18"/>
                <w:szCs w:val="18"/>
                <w:lang w:val="en-US" w:eastAsia="it-IT"/>
              </w:rPr>
              <w:t>A</w:t>
            </w:r>
            <w:r w:rsidR="00035B87" w:rsidRPr="00977666">
              <w:rPr>
                <w:rFonts w:ascii="Bodoni MT" w:eastAsia="Calibri" w:hAnsi="Bodoni MT" w:cs="Arial"/>
                <w:color w:val="FFFFFF" w:themeColor="background1"/>
                <w:sz w:val="18"/>
                <w:szCs w:val="18"/>
                <w:lang w:val="en-US" w:eastAsia="it-IT"/>
              </w:rPr>
              <w:t>rt</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1 c</w:t>
            </w:r>
            <w:r w:rsidR="00DC3A5C"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526 L</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 xml:space="preserve">147/2013 (legge stabilità 2014) </w:t>
            </w:r>
            <w:r w:rsidRPr="00977666">
              <w:rPr>
                <w:rFonts w:ascii="Bodoni MT" w:eastAsia="Calibri" w:hAnsi="Bodoni MT" w:cs="Arial"/>
                <w:color w:val="FFFFFF" w:themeColor="background1"/>
                <w:sz w:val="18"/>
                <w:szCs w:val="18"/>
                <w:lang w:val="en-US" w:eastAsia="it-IT"/>
              </w:rPr>
              <w:t>–</w:t>
            </w:r>
            <w:r w:rsidR="00035B87" w:rsidRPr="00977666">
              <w:rPr>
                <w:rFonts w:ascii="Bodoni MT" w:eastAsia="Calibri" w:hAnsi="Bodoni MT" w:cs="Arial"/>
                <w:color w:val="FFFFFF" w:themeColor="background1"/>
                <w:sz w:val="18"/>
                <w:szCs w:val="18"/>
                <w:lang w:val="en-US" w:eastAsia="it-IT"/>
              </w:rPr>
              <w:t xml:space="preserve"> art</w:t>
            </w:r>
            <w:r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val="en-US" w:eastAsia="it-IT"/>
              </w:rPr>
              <w:t>46 c</w:t>
            </w:r>
            <w:r w:rsidR="00DC3A5C" w:rsidRPr="00977666">
              <w:rPr>
                <w:rFonts w:ascii="Bodoni MT" w:eastAsia="Calibri" w:hAnsi="Bodoni MT" w:cs="Arial"/>
                <w:color w:val="FFFFFF" w:themeColor="background1"/>
                <w:sz w:val="18"/>
                <w:szCs w:val="18"/>
                <w:lang w:val="en-US" w:eastAsia="it-IT"/>
              </w:rPr>
              <w:t xml:space="preserve">. </w:t>
            </w:r>
            <w:r w:rsidR="00035B87" w:rsidRPr="00977666">
              <w:rPr>
                <w:rFonts w:ascii="Bodoni MT" w:eastAsia="Calibri" w:hAnsi="Bodoni MT" w:cs="Arial"/>
                <w:color w:val="FFFFFF" w:themeColor="background1"/>
                <w:sz w:val="18"/>
                <w:szCs w:val="18"/>
                <w:lang w:eastAsia="it-IT"/>
              </w:rPr>
              <w:t>3 D</w:t>
            </w:r>
            <w:r w:rsidRPr="00977666">
              <w:rPr>
                <w:rFonts w:ascii="Bodoni MT" w:eastAsia="Calibri" w:hAnsi="Bodoni MT" w:cs="Arial"/>
                <w:color w:val="FFFFFF" w:themeColor="background1"/>
                <w:sz w:val="18"/>
                <w:szCs w:val="18"/>
                <w:lang w:eastAsia="it-IT"/>
              </w:rPr>
              <w:t>.</w:t>
            </w:r>
            <w:r w:rsidR="00035B87" w:rsidRPr="00977666">
              <w:rPr>
                <w:rFonts w:ascii="Bodoni MT" w:eastAsia="Calibri" w:hAnsi="Bodoni MT" w:cs="Arial"/>
                <w:color w:val="FFFFFF" w:themeColor="background1"/>
                <w:sz w:val="18"/>
                <w:szCs w:val="18"/>
                <w:lang w:eastAsia="it-IT"/>
              </w:rPr>
              <w:t>L</w:t>
            </w:r>
            <w:r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66/2014**</w:t>
            </w:r>
          </w:p>
        </w:tc>
        <w:tc>
          <w:tcPr>
            <w:tcW w:w="329"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75.392</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51.404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51.404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51.404</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r>
      <w:tr w:rsidR="00AC7637" w:rsidRPr="00977666" w:rsidTr="00E85530">
        <w:trPr>
          <w:trHeight w:val="383"/>
        </w:trPr>
        <w:tc>
          <w:tcPr>
            <w:tcW w:w="2306" w:type="pct"/>
            <w:shd w:val="clear" w:color="auto" w:fill="95B3D7" w:themeFill="accent1" w:themeFillTint="99"/>
            <w:vAlign w:val="center"/>
          </w:tcPr>
          <w:p w:rsidR="00035B87" w:rsidRPr="00977666" w:rsidRDefault="00E85530" w:rsidP="00AC7637">
            <w:pPr>
              <w:spacing w:after="0" w:line="240" w:lineRule="auto"/>
              <w:rPr>
                <w:rFonts w:ascii="Bodoni MT" w:eastAsia="Calibri" w:hAnsi="Bodoni MT" w:cs="Arial"/>
                <w:b/>
                <w:color w:val="FFFFFF" w:themeColor="background1"/>
                <w:sz w:val="18"/>
                <w:szCs w:val="18"/>
                <w:lang w:eastAsia="it-IT"/>
              </w:rPr>
            </w:pPr>
            <w:r w:rsidRPr="00977666">
              <w:rPr>
                <w:rFonts w:ascii="Bodoni MT" w:eastAsia="Calibri" w:hAnsi="Bodoni MT" w:cs="Arial"/>
                <w:b/>
                <w:color w:val="FFFFFF" w:themeColor="background1"/>
                <w:sz w:val="18"/>
                <w:szCs w:val="18"/>
                <w:lang w:eastAsia="it-IT"/>
              </w:rPr>
              <w:t xml:space="preserve">TOTALE ACCANTONAMENTI VIGENTI CON L'ACCORDO LUGLIO </w:t>
            </w:r>
            <w:r w:rsidR="00035B87" w:rsidRPr="00977666">
              <w:rPr>
                <w:rFonts w:ascii="Bodoni MT" w:eastAsia="Calibri" w:hAnsi="Bodoni MT" w:cs="Arial"/>
                <w:b/>
                <w:color w:val="FFFFFF" w:themeColor="background1"/>
                <w:sz w:val="18"/>
                <w:szCs w:val="18"/>
                <w:lang w:eastAsia="it-IT"/>
              </w:rPr>
              <w:t>2014</w:t>
            </w:r>
          </w:p>
        </w:tc>
        <w:tc>
          <w:tcPr>
            <w:tcW w:w="329"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268.646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431.542</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578.418</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584.701</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586.996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586.996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535.592</w:t>
            </w:r>
          </w:p>
        </w:tc>
        <w:tc>
          <w:tcPr>
            <w:tcW w:w="337"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535.592</w:t>
            </w:r>
          </w:p>
        </w:tc>
      </w:tr>
      <w:tr w:rsidR="00AC7637" w:rsidRPr="00977666" w:rsidTr="00977666">
        <w:trPr>
          <w:trHeight w:val="15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eastAsia="it-IT"/>
              </w:rPr>
            </w:pPr>
            <w:r w:rsidRPr="00977666">
              <w:rPr>
                <w:rFonts w:ascii="Bodoni MT" w:eastAsia="Calibri" w:hAnsi="Bodoni MT" w:cs="Arial"/>
                <w:color w:val="FFFFFF" w:themeColor="background1"/>
                <w:sz w:val="18"/>
                <w:szCs w:val="18"/>
                <w:lang w:eastAsia="it-IT"/>
              </w:rPr>
              <w:t>A</w:t>
            </w:r>
            <w:r w:rsidR="00035B87" w:rsidRPr="00977666">
              <w:rPr>
                <w:rFonts w:ascii="Bodoni MT" w:eastAsia="Calibri" w:hAnsi="Bodoni MT" w:cs="Arial"/>
                <w:color w:val="FFFFFF" w:themeColor="background1"/>
                <w:sz w:val="18"/>
                <w:szCs w:val="18"/>
                <w:lang w:eastAsia="it-IT"/>
              </w:rPr>
              <w:t>rt</w:t>
            </w:r>
            <w:r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 c</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416 L</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190/2014***</w:t>
            </w:r>
          </w:p>
        </w:tc>
        <w:tc>
          <w:tcPr>
            <w:tcW w:w="329"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51.404</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r>
      <w:tr w:rsidR="00AC7637" w:rsidRPr="00977666" w:rsidTr="00E85530">
        <w:trPr>
          <w:trHeight w:val="27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eastAsia="it-IT"/>
              </w:rPr>
            </w:pPr>
            <w:r w:rsidRPr="00977666">
              <w:rPr>
                <w:rFonts w:ascii="Bodoni MT" w:eastAsia="Calibri" w:hAnsi="Bodoni MT" w:cs="Arial"/>
                <w:color w:val="FFFFFF" w:themeColor="background1"/>
                <w:sz w:val="18"/>
                <w:szCs w:val="18"/>
                <w:lang w:eastAsia="it-IT"/>
              </w:rPr>
              <w:t>A</w:t>
            </w:r>
            <w:r w:rsidR="00035B87" w:rsidRPr="00977666">
              <w:rPr>
                <w:rFonts w:ascii="Bodoni MT" w:eastAsia="Calibri" w:hAnsi="Bodoni MT" w:cs="Arial"/>
                <w:color w:val="FFFFFF" w:themeColor="background1"/>
                <w:sz w:val="18"/>
                <w:szCs w:val="18"/>
                <w:lang w:eastAsia="it-IT"/>
              </w:rPr>
              <w:t>rt</w:t>
            </w:r>
            <w:r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 c</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400 L</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190/2014 (legge di stabilità 2015)</w:t>
            </w:r>
          </w:p>
        </w:tc>
        <w:tc>
          <w:tcPr>
            <w:tcW w:w="329"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97.000</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97.000</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97.000</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97.000</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r>
      <w:tr w:rsidR="00AC7637" w:rsidRPr="00977666" w:rsidTr="00977666">
        <w:trPr>
          <w:trHeight w:val="256"/>
        </w:trPr>
        <w:tc>
          <w:tcPr>
            <w:tcW w:w="2306" w:type="pct"/>
            <w:shd w:val="clear" w:color="auto" w:fill="95B3D7" w:themeFill="accent1" w:themeFillTint="99"/>
            <w:vAlign w:val="center"/>
          </w:tcPr>
          <w:p w:rsidR="00035B87" w:rsidRPr="00977666" w:rsidRDefault="00E85530" w:rsidP="00AC7637">
            <w:pPr>
              <w:spacing w:after="0" w:line="240" w:lineRule="auto"/>
              <w:rPr>
                <w:rFonts w:ascii="Bodoni MT" w:eastAsia="Calibri" w:hAnsi="Bodoni MT" w:cs="Arial"/>
                <w:b/>
                <w:color w:val="FFFFFF" w:themeColor="background1"/>
                <w:sz w:val="18"/>
                <w:szCs w:val="18"/>
                <w:lang w:eastAsia="it-IT"/>
              </w:rPr>
            </w:pPr>
            <w:r w:rsidRPr="00977666">
              <w:rPr>
                <w:rFonts w:ascii="Bodoni MT" w:eastAsia="Calibri" w:hAnsi="Bodoni MT" w:cs="Arial"/>
                <w:b/>
                <w:color w:val="FFFFFF" w:themeColor="background1"/>
                <w:sz w:val="18"/>
                <w:szCs w:val="18"/>
                <w:lang w:eastAsia="it-IT"/>
              </w:rPr>
              <w:t>TOTALE ACCANTONAMENTI PRE-LEGGE STABILITÀ 2016</w:t>
            </w:r>
          </w:p>
        </w:tc>
        <w:tc>
          <w:tcPr>
            <w:tcW w:w="329"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268.646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431.542</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578.418</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681.701</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683.996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683.996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683.996</w:t>
            </w:r>
          </w:p>
        </w:tc>
        <w:tc>
          <w:tcPr>
            <w:tcW w:w="337"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535.592</w:t>
            </w:r>
          </w:p>
        </w:tc>
      </w:tr>
      <w:tr w:rsidR="00AC7637" w:rsidRPr="00977666" w:rsidTr="00E85530">
        <w:trPr>
          <w:trHeight w:val="279"/>
        </w:trPr>
        <w:tc>
          <w:tcPr>
            <w:tcW w:w="2306" w:type="pct"/>
            <w:shd w:val="clear" w:color="auto" w:fill="95B3D7" w:themeFill="accent1" w:themeFillTint="99"/>
            <w:vAlign w:val="center"/>
          </w:tcPr>
          <w:p w:rsidR="00035B87" w:rsidRPr="00977666" w:rsidRDefault="00FA0C74" w:rsidP="00AC7637">
            <w:pPr>
              <w:spacing w:after="0" w:line="240" w:lineRule="auto"/>
              <w:rPr>
                <w:rFonts w:ascii="Bodoni MT" w:eastAsia="Calibri" w:hAnsi="Bodoni MT" w:cs="Arial"/>
                <w:color w:val="FFFFFF" w:themeColor="background1"/>
                <w:sz w:val="18"/>
                <w:szCs w:val="18"/>
                <w:lang w:eastAsia="it-IT"/>
              </w:rPr>
            </w:pPr>
            <w:r w:rsidRPr="00977666">
              <w:rPr>
                <w:rFonts w:ascii="Bodoni MT" w:eastAsia="Calibri" w:hAnsi="Bodoni MT" w:cs="Arial"/>
                <w:color w:val="FFFFFF" w:themeColor="background1"/>
                <w:sz w:val="18"/>
                <w:szCs w:val="18"/>
                <w:lang w:eastAsia="it-IT"/>
              </w:rPr>
              <w:t xml:space="preserve">Art. 1 </w:t>
            </w:r>
            <w:r w:rsidR="00035B87" w:rsidRPr="00977666">
              <w:rPr>
                <w:rFonts w:ascii="Bodoni MT" w:eastAsia="Calibri" w:hAnsi="Bodoni MT" w:cs="Arial"/>
                <w:color w:val="FFFFFF" w:themeColor="background1"/>
                <w:sz w:val="18"/>
                <w:szCs w:val="18"/>
                <w:lang w:eastAsia="it-IT"/>
              </w:rPr>
              <w:t xml:space="preserve">c680 L208/2015 (legge di stabilità 2016) </w:t>
            </w:r>
            <w:r w:rsidR="00DC3A5C" w:rsidRPr="00977666">
              <w:rPr>
                <w:rFonts w:ascii="Bodoni MT" w:eastAsia="Calibri" w:hAnsi="Bodoni MT" w:cs="Arial"/>
                <w:color w:val="FFFFFF" w:themeColor="background1"/>
                <w:sz w:val="18"/>
                <w:szCs w:val="18"/>
                <w:lang w:eastAsia="it-IT"/>
              </w:rPr>
              <w:t>–</w:t>
            </w:r>
            <w:r w:rsidR="00035B87" w:rsidRPr="00977666">
              <w:rPr>
                <w:rFonts w:ascii="Bodoni MT" w:eastAsia="Calibri" w:hAnsi="Bodoni MT" w:cs="Arial"/>
                <w:color w:val="FFFFFF" w:themeColor="background1"/>
                <w:sz w:val="18"/>
                <w:szCs w:val="18"/>
                <w:lang w:eastAsia="it-IT"/>
              </w:rPr>
              <w:t xml:space="preserve"> art</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 c</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528 L</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232/2016****</w:t>
            </w:r>
          </w:p>
        </w:tc>
        <w:tc>
          <w:tcPr>
            <w:tcW w:w="329"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95.958</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137.083</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r>
      <w:tr w:rsidR="00AC7637" w:rsidRPr="00977666" w:rsidTr="00E85530">
        <w:trPr>
          <w:trHeight w:val="279"/>
        </w:trPr>
        <w:tc>
          <w:tcPr>
            <w:tcW w:w="2306" w:type="pct"/>
            <w:shd w:val="clear" w:color="auto" w:fill="95B3D7" w:themeFill="accent1" w:themeFillTint="99"/>
            <w:vAlign w:val="center"/>
          </w:tcPr>
          <w:p w:rsidR="00035B87" w:rsidRPr="00977666" w:rsidRDefault="000716EA" w:rsidP="00AC7637">
            <w:pPr>
              <w:spacing w:after="0" w:line="240" w:lineRule="auto"/>
              <w:rPr>
                <w:rFonts w:ascii="Bodoni MT" w:eastAsia="Calibri" w:hAnsi="Bodoni MT" w:cs="Arial"/>
                <w:color w:val="FFFFFF" w:themeColor="background1"/>
                <w:sz w:val="18"/>
                <w:szCs w:val="18"/>
                <w:lang w:eastAsia="it-IT"/>
              </w:rPr>
            </w:pPr>
            <w:r w:rsidRPr="00977666">
              <w:rPr>
                <w:rFonts w:ascii="Bodoni MT" w:eastAsia="Calibri" w:hAnsi="Bodoni MT" w:cs="Arial"/>
                <w:color w:val="FFFFFF" w:themeColor="background1"/>
                <w:sz w:val="18"/>
                <w:szCs w:val="18"/>
                <w:lang w:eastAsia="it-IT"/>
              </w:rPr>
              <w:t>A</w:t>
            </w:r>
            <w:r w:rsidR="00035B87" w:rsidRPr="00977666">
              <w:rPr>
                <w:rFonts w:ascii="Bodoni MT" w:eastAsia="Calibri" w:hAnsi="Bodoni MT" w:cs="Arial"/>
                <w:color w:val="FFFFFF" w:themeColor="background1"/>
                <w:sz w:val="18"/>
                <w:szCs w:val="18"/>
                <w:lang w:eastAsia="it-IT"/>
              </w:rPr>
              <w:t>rt</w:t>
            </w:r>
            <w:r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1 c</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392 L</w:t>
            </w:r>
            <w:r w:rsidR="00DC3A5C" w:rsidRPr="00977666">
              <w:rPr>
                <w:rFonts w:ascii="Bodoni MT" w:eastAsia="Calibri" w:hAnsi="Bodoni MT" w:cs="Arial"/>
                <w:color w:val="FFFFFF" w:themeColor="background1"/>
                <w:sz w:val="18"/>
                <w:szCs w:val="18"/>
                <w:lang w:eastAsia="it-IT"/>
              </w:rPr>
              <w:t xml:space="preserve">. </w:t>
            </w:r>
            <w:r w:rsidR="00035B87" w:rsidRPr="00977666">
              <w:rPr>
                <w:rFonts w:ascii="Bodoni MT" w:eastAsia="Calibri" w:hAnsi="Bodoni MT" w:cs="Arial"/>
                <w:color w:val="FFFFFF" w:themeColor="background1"/>
                <w:sz w:val="18"/>
                <w:szCs w:val="18"/>
                <w:lang w:eastAsia="it-IT"/>
              </w:rPr>
              <w:t>232/2016 (legge di bilancio 2017)****</w:t>
            </w:r>
          </w:p>
        </w:tc>
        <w:tc>
          <w:tcPr>
            <w:tcW w:w="329"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Times New Roman" w:cstheme="minorHAnsi"/>
                <w:sz w:val="18"/>
                <w:szCs w:val="18"/>
                <w:lang w:eastAsia="it-IT"/>
              </w:rPr>
            </w:pP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1.727</w:t>
            </w:r>
          </w:p>
        </w:tc>
        <w:tc>
          <w:tcPr>
            <w:tcW w:w="338"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27.362</w:t>
            </w:r>
          </w:p>
        </w:tc>
        <w:tc>
          <w:tcPr>
            <w:tcW w:w="337" w:type="pct"/>
            <w:shd w:val="clear" w:color="auto" w:fill="auto"/>
            <w:vAlign w:val="center"/>
          </w:tcPr>
          <w:p w:rsidR="00035B87" w:rsidRPr="00977666" w:rsidRDefault="00035B87" w:rsidP="00AC7637">
            <w:pPr>
              <w:spacing w:after="0" w:line="240" w:lineRule="auto"/>
              <w:jc w:val="center"/>
              <w:rPr>
                <w:rFonts w:eastAsia="Calibri" w:cstheme="minorHAnsi"/>
                <w:sz w:val="18"/>
                <w:szCs w:val="18"/>
                <w:lang w:eastAsia="it-IT"/>
              </w:rPr>
            </w:pPr>
            <w:r w:rsidRPr="00977666">
              <w:rPr>
                <w:rFonts w:eastAsia="Calibri" w:cstheme="minorHAnsi"/>
                <w:sz w:val="18"/>
                <w:szCs w:val="18"/>
                <w:lang w:eastAsia="it-IT"/>
              </w:rPr>
              <w:t>81.921</w:t>
            </w:r>
          </w:p>
        </w:tc>
      </w:tr>
      <w:tr w:rsidR="00AC7637" w:rsidRPr="00977666" w:rsidTr="00E85530">
        <w:trPr>
          <w:trHeight w:val="383"/>
        </w:trPr>
        <w:tc>
          <w:tcPr>
            <w:tcW w:w="2306" w:type="pct"/>
            <w:shd w:val="clear" w:color="auto" w:fill="95B3D7" w:themeFill="accent1" w:themeFillTint="99"/>
            <w:vAlign w:val="center"/>
          </w:tcPr>
          <w:p w:rsidR="00035B87" w:rsidRPr="00977666" w:rsidRDefault="00035B87" w:rsidP="00AC7637">
            <w:pPr>
              <w:spacing w:after="0" w:line="240" w:lineRule="auto"/>
              <w:rPr>
                <w:rFonts w:ascii="Bodoni MT" w:eastAsia="Calibri" w:hAnsi="Bodoni MT" w:cs="Arial"/>
                <w:b/>
                <w:color w:val="FFFFFF" w:themeColor="background1"/>
                <w:sz w:val="18"/>
                <w:szCs w:val="18"/>
                <w:lang w:eastAsia="it-IT"/>
              </w:rPr>
            </w:pPr>
            <w:r w:rsidRPr="00977666">
              <w:rPr>
                <w:rFonts w:ascii="Bodoni MT" w:eastAsia="Calibri" w:hAnsi="Bodoni MT" w:cs="Arial"/>
                <w:b/>
                <w:color w:val="FFFFFF" w:themeColor="background1"/>
                <w:sz w:val="18"/>
                <w:szCs w:val="18"/>
                <w:lang w:eastAsia="it-IT"/>
              </w:rPr>
              <w:t>Totale accantonamenti post-legge stabilità 2016 e legge bilancio 2017</w:t>
            </w:r>
          </w:p>
        </w:tc>
        <w:tc>
          <w:tcPr>
            <w:tcW w:w="329"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268.646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431.542</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578.418</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681.701</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683.996</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781.681</w:t>
            </w:r>
          </w:p>
        </w:tc>
        <w:tc>
          <w:tcPr>
            <w:tcW w:w="338"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848.441</w:t>
            </w:r>
          </w:p>
        </w:tc>
        <w:tc>
          <w:tcPr>
            <w:tcW w:w="337" w:type="pct"/>
            <w:shd w:val="clear" w:color="auto" w:fill="FFFFFF" w:themeFill="background1"/>
            <w:vAlign w:val="center"/>
          </w:tcPr>
          <w:p w:rsidR="00035B87" w:rsidRPr="00977666" w:rsidRDefault="00035B87" w:rsidP="00AC7637">
            <w:pPr>
              <w:spacing w:after="0" w:line="240" w:lineRule="auto"/>
              <w:jc w:val="center"/>
              <w:rPr>
                <w:rFonts w:eastAsia="Calibri" w:cstheme="minorHAnsi"/>
                <w:b/>
                <w:sz w:val="18"/>
                <w:szCs w:val="18"/>
                <w:lang w:eastAsia="it-IT"/>
              </w:rPr>
            </w:pPr>
            <w:r w:rsidRPr="00977666">
              <w:rPr>
                <w:rFonts w:eastAsia="Calibri" w:cstheme="minorHAnsi"/>
                <w:b/>
                <w:sz w:val="18"/>
                <w:szCs w:val="18"/>
                <w:lang w:eastAsia="it-IT"/>
              </w:rPr>
              <w:t>617.513</w:t>
            </w:r>
          </w:p>
        </w:tc>
      </w:tr>
    </w:tbl>
    <w:p w:rsidR="00AC7637" w:rsidRPr="00AC7637" w:rsidRDefault="00AC7637" w:rsidP="00AC7637">
      <w:pPr>
        <w:spacing w:after="0" w:line="240" w:lineRule="auto"/>
        <w:jc w:val="both"/>
        <w:rPr>
          <w:rFonts w:ascii="Bodoni MT" w:hAnsi="Bodoni MT"/>
          <w:sz w:val="18"/>
          <w:szCs w:val="18"/>
        </w:rPr>
      </w:pPr>
      <w:r w:rsidRPr="00AC7637">
        <w:rPr>
          <w:rFonts w:ascii="Bodoni MT" w:hAnsi="Bodoni MT"/>
          <w:sz w:val="18"/>
          <w:szCs w:val="18"/>
        </w:rPr>
        <w:t>* L'importo definitivo viene annualmente comunicato dal MEF con apposita nota; l'accantonamento di cui all'art</w:t>
      </w:r>
      <w:r w:rsidR="00427B63">
        <w:rPr>
          <w:rFonts w:ascii="Bodoni MT" w:hAnsi="Bodoni MT"/>
          <w:sz w:val="18"/>
          <w:szCs w:val="18"/>
        </w:rPr>
        <w:t>.</w:t>
      </w:r>
      <w:r w:rsidRPr="00AC7637">
        <w:rPr>
          <w:rFonts w:ascii="Bodoni MT" w:hAnsi="Bodoni MT"/>
          <w:sz w:val="18"/>
          <w:szCs w:val="18"/>
        </w:rPr>
        <w:t xml:space="preserve"> 16 c</w:t>
      </w:r>
      <w:r w:rsidR="00E85530">
        <w:rPr>
          <w:rFonts w:ascii="Bodoni MT" w:hAnsi="Bodoni MT"/>
          <w:sz w:val="18"/>
          <w:szCs w:val="18"/>
        </w:rPr>
        <w:t xml:space="preserve">. </w:t>
      </w:r>
      <w:r w:rsidRPr="00AC7637">
        <w:rPr>
          <w:rFonts w:ascii="Bodoni MT" w:hAnsi="Bodoni MT"/>
          <w:sz w:val="18"/>
          <w:szCs w:val="18"/>
        </w:rPr>
        <w:t>3 D</w:t>
      </w:r>
      <w:r w:rsidR="00427B63">
        <w:rPr>
          <w:rFonts w:ascii="Bodoni MT" w:hAnsi="Bodoni MT"/>
          <w:sz w:val="18"/>
          <w:szCs w:val="18"/>
        </w:rPr>
        <w:t>.</w:t>
      </w:r>
      <w:r w:rsidRPr="00AC7637">
        <w:rPr>
          <w:rFonts w:ascii="Bodoni MT" w:hAnsi="Bodoni MT"/>
          <w:sz w:val="18"/>
          <w:szCs w:val="18"/>
        </w:rPr>
        <w:t>L</w:t>
      </w:r>
      <w:r w:rsidR="00427B63">
        <w:rPr>
          <w:rFonts w:ascii="Bodoni MT" w:hAnsi="Bodoni MT"/>
          <w:sz w:val="18"/>
          <w:szCs w:val="18"/>
        </w:rPr>
        <w:t>.</w:t>
      </w:r>
      <w:r w:rsidRPr="00AC7637">
        <w:rPr>
          <w:rFonts w:ascii="Bodoni MT" w:hAnsi="Bodoni MT"/>
          <w:sz w:val="18"/>
          <w:szCs w:val="18"/>
        </w:rPr>
        <w:t xml:space="preserve"> 95 è determinato sulla base di decreto MEF annuale </w:t>
      </w:r>
    </w:p>
    <w:p w:rsidR="000716EA" w:rsidRDefault="00AC7637" w:rsidP="00AC7637">
      <w:pPr>
        <w:spacing w:after="0" w:line="240" w:lineRule="auto"/>
        <w:jc w:val="both"/>
        <w:rPr>
          <w:rFonts w:ascii="Bodoni MT" w:hAnsi="Bodoni MT"/>
          <w:sz w:val="18"/>
          <w:szCs w:val="18"/>
        </w:rPr>
      </w:pPr>
      <w:r w:rsidRPr="00AC7637">
        <w:rPr>
          <w:rFonts w:ascii="Bodoni MT" w:hAnsi="Bodoni MT"/>
          <w:sz w:val="18"/>
          <w:szCs w:val="18"/>
        </w:rPr>
        <w:t>** Il D</w:t>
      </w:r>
      <w:r w:rsidR="00427B63">
        <w:rPr>
          <w:rFonts w:ascii="Bodoni MT" w:hAnsi="Bodoni MT"/>
          <w:sz w:val="18"/>
          <w:szCs w:val="18"/>
        </w:rPr>
        <w:t>.</w:t>
      </w:r>
      <w:r w:rsidRPr="00AC7637">
        <w:rPr>
          <w:rFonts w:ascii="Bodoni MT" w:hAnsi="Bodoni MT"/>
          <w:sz w:val="18"/>
          <w:szCs w:val="18"/>
        </w:rPr>
        <w:t>L</w:t>
      </w:r>
      <w:r w:rsidR="00427B63">
        <w:rPr>
          <w:rFonts w:ascii="Bodoni MT" w:hAnsi="Bodoni MT"/>
          <w:sz w:val="18"/>
          <w:szCs w:val="18"/>
        </w:rPr>
        <w:t>.</w:t>
      </w:r>
      <w:r w:rsidRPr="00AC7637">
        <w:rPr>
          <w:rFonts w:ascii="Bodoni MT" w:hAnsi="Bodoni MT"/>
          <w:sz w:val="18"/>
          <w:szCs w:val="18"/>
        </w:rPr>
        <w:t xml:space="preserve"> 66 (24.4.16) ridetermina il contributo 2014 della L</w:t>
      </w:r>
      <w:r w:rsidR="00427B63">
        <w:rPr>
          <w:rFonts w:ascii="Bodoni MT" w:hAnsi="Bodoni MT"/>
          <w:sz w:val="18"/>
          <w:szCs w:val="18"/>
        </w:rPr>
        <w:t xml:space="preserve">. </w:t>
      </w:r>
      <w:r w:rsidRPr="00AC7637">
        <w:rPr>
          <w:rFonts w:ascii="Bodoni MT" w:hAnsi="Bodoni MT"/>
          <w:sz w:val="18"/>
          <w:szCs w:val="18"/>
        </w:rPr>
        <w:t xml:space="preserve">147 e lo introduce per il 2015-17 </w:t>
      </w:r>
    </w:p>
    <w:p w:rsidR="00AC7637" w:rsidRPr="00AC7637" w:rsidRDefault="00AC7637" w:rsidP="00AC7637">
      <w:pPr>
        <w:spacing w:after="0" w:line="240" w:lineRule="auto"/>
        <w:jc w:val="both"/>
        <w:rPr>
          <w:rFonts w:ascii="Bodoni MT" w:hAnsi="Bodoni MT"/>
          <w:sz w:val="18"/>
          <w:szCs w:val="18"/>
        </w:rPr>
      </w:pPr>
      <w:r w:rsidRPr="00AC7637">
        <w:rPr>
          <w:rFonts w:ascii="Bodoni MT" w:hAnsi="Bodoni MT"/>
          <w:sz w:val="18"/>
          <w:szCs w:val="18"/>
        </w:rPr>
        <w:t>*** La L</w:t>
      </w:r>
      <w:r w:rsidR="00427B63">
        <w:rPr>
          <w:rFonts w:ascii="Bodoni MT" w:hAnsi="Bodoni MT"/>
          <w:sz w:val="18"/>
          <w:szCs w:val="18"/>
        </w:rPr>
        <w:t>.</w:t>
      </w:r>
      <w:r w:rsidRPr="00AC7637">
        <w:rPr>
          <w:rFonts w:ascii="Bodoni MT" w:hAnsi="Bodoni MT"/>
          <w:sz w:val="18"/>
          <w:szCs w:val="18"/>
        </w:rPr>
        <w:t xml:space="preserve"> 190 (23.12.16) proroga al 2018 l'accantonamento ex art</w:t>
      </w:r>
      <w:r w:rsidR="00427B63">
        <w:rPr>
          <w:rFonts w:ascii="Bodoni MT" w:hAnsi="Bodoni MT"/>
          <w:sz w:val="18"/>
          <w:szCs w:val="18"/>
        </w:rPr>
        <w:t xml:space="preserve">. </w:t>
      </w:r>
      <w:r w:rsidRPr="00AC7637">
        <w:rPr>
          <w:rFonts w:ascii="Bodoni MT" w:hAnsi="Bodoni MT"/>
          <w:sz w:val="18"/>
          <w:szCs w:val="18"/>
        </w:rPr>
        <w:t>1 c</w:t>
      </w:r>
      <w:r w:rsidR="00E85530">
        <w:rPr>
          <w:rFonts w:ascii="Bodoni MT" w:hAnsi="Bodoni MT"/>
          <w:sz w:val="18"/>
          <w:szCs w:val="18"/>
        </w:rPr>
        <w:t xml:space="preserve">. </w:t>
      </w:r>
      <w:r w:rsidRPr="00AC7637">
        <w:rPr>
          <w:rFonts w:ascii="Bodoni MT" w:hAnsi="Bodoni MT"/>
          <w:sz w:val="18"/>
          <w:szCs w:val="18"/>
        </w:rPr>
        <w:t>526 L</w:t>
      </w:r>
      <w:r w:rsidR="00427B63">
        <w:rPr>
          <w:rFonts w:ascii="Bodoni MT" w:hAnsi="Bodoni MT"/>
          <w:sz w:val="18"/>
          <w:szCs w:val="18"/>
        </w:rPr>
        <w:t xml:space="preserve">. </w:t>
      </w:r>
      <w:r w:rsidRPr="00AC7637">
        <w:rPr>
          <w:rFonts w:ascii="Bodoni MT" w:hAnsi="Bodoni MT"/>
          <w:sz w:val="18"/>
          <w:szCs w:val="18"/>
        </w:rPr>
        <w:t>147/2013</w:t>
      </w:r>
    </w:p>
    <w:p w:rsidR="00AC7637" w:rsidRDefault="00AC7637" w:rsidP="00AC7637">
      <w:pPr>
        <w:spacing w:after="0" w:line="240" w:lineRule="auto"/>
        <w:jc w:val="both"/>
        <w:rPr>
          <w:rFonts w:ascii="Bodoni MT" w:hAnsi="Bodoni MT"/>
          <w:sz w:val="18"/>
          <w:szCs w:val="18"/>
        </w:rPr>
      </w:pPr>
      <w:r w:rsidRPr="00AC7637">
        <w:rPr>
          <w:rFonts w:ascii="Bodoni MT" w:hAnsi="Bodoni MT"/>
          <w:sz w:val="18"/>
          <w:szCs w:val="18"/>
        </w:rPr>
        <w:t>**** Proposta governo del 31.1.17</w:t>
      </w:r>
    </w:p>
    <w:p w:rsidR="00AC7637" w:rsidRDefault="00AC7637" w:rsidP="00AC7637">
      <w:pPr>
        <w:pStyle w:val="CdcTesto"/>
        <w:spacing w:before="360"/>
      </w:pPr>
      <w:r>
        <w:lastRenderedPageBreak/>
        <w:t>La penalizzazione finanziaria venutasi a determinare ha costituito oggetto di contenzioso davanti alla Corte costituzionale</w:t>
      </w:r>
      <w:r>
        <w:rPr>
          <w:rStyle w:val="Rimandonotaapidipagina"/>
        </w:rPr>
        <w:footnoteReference w:id="78"/>
      </w:r>
      <w:r>
        <w:t xml:space="preserve">, </w:t>
      </w:r>
      <w:r w:rsidR="00F20F99">
        <w:t>in quanto</w:t>
      </w:r>
      <w:r w:rsidR="008E27D2">
        <w:t xml:space="preserve"> sia</w:t>
      </w:r>
      <w:r>
        <w:t xml:space="preserve"> la Sardegna</w:t>
      </w:r>
      <w:r w:rsidR="008E27D2">
        <w:t>, sia altre Regioni a statuto speciale e ordinario</w:t>
      </w:r>
      <w:r w:rsidR="00E860E7">
        <w:t>,</w:t>
      </w:r>
      <w:r>
        <w:t xml:space="preserve"> ha</w:t>
      </w:r>
      <w:r w:rsidR="008E27D2">
        <w:t>nno</w:t>
      </w:r>
      <w:r>
        <w:t xml:space="preserve"> impugnato le leggi di stabilità nazionale del 2013, del 2014 e del 2016</w:t>
      </w:r>
      <w:r w:rsidR="001C502F">
        <w:t>, riportando esiti negativi</w:t>
      </w:r>
      <w:r>
        <w:t xml:space="preserve">. </w:t>
      </w:r>
      <w:r w:rsidR="008E27D2">
        <w:t>La</w:t>
      </w:r>
      <w:r>
        <w:t xml:space="preserve"> Regione</w:t>
      </w:r>
      <w:r w:rsidR="008E27D2">
        <w:t xml:space="preserve"> precisa </w:t>
      </w:r>
      <w:r>
        <w:t>che “</w:t>
      </w:r>
      <w:r w:rsidRPr="00E5612E">
        <w:rPr>
          <w:i/>
        </w:rPr>
        <w:t>complessivamente dal 2012 al 2016, sommando tutti gli accantonamenti, l</w:t>
      </w:r>
      <w:r w:rsidR="00E5612E" w:rsidRPr="00E5612E">
        <w:rPr>
          <w:i/>
        </w:rPr>
        <w:t>a Regione ha garantito allo Stato un contributo di finanza pubblica di 2,6 miliardi di euro, risorse spettanti statutariamente alla Sardegna come quote erariali che sono state sottratte al bilancio regionale</w:t>
      </w:r>
      <w:r w:rsidR="00E5612E">
        <w:t>”</w:t>
      </w:r>
      <w:r w:rsidR="00453D0E">
        <w:rPr>
          <w:rStyle w:val="Rimandonotaapidipagina"/>
        </w:rPr>
        <w:footnoteReference w:id="79"/>
      </w:r>
      <w:r w:rsidR="00E5612E" w:rsidRPr="00453D0E">
        <w:t>.</w:t>
      </w:r>
    </w:p>
    <w:p w:rsidR="001812B1" w:rsidRDefault="000716EA" w:rsidP="000716EA">
      <w:pPr>
        <w:pStyle w:val="CdcTesto"/>
      </w:pPr>
      <w:r>
        <w:t xml:space="preserve">E’ </w:t>
      </w:r>
      <w:r w:rsidR="004C021E">
        <w:t xml:space="preserve">da considerare che il </w:t>
      </w:r>
      <w:r w:rsidR="004C021E" w:rsidRPr="00EB6AD4">
        <w:rPr>
          <w:b/>
        </w:rPr>
        <w:t>MEF ha intrapreso un lavoro di riconciliazione</w:t>
      </w:r>
      <w:r w:rsidR="004C021E">
        <w:t xml:space="preserve"> tra i residui passivi </w:t>
      </w:r>
      <w:r w:rsidR="00D62DB1">
        <w:t>(compresi i perenti</w:t>
      </w:r>
      <w:r w:rsidR="00EB6AD4">
        <w:t xml:space="preserve">) </w:t>
      </w:r>
      <w:r w:rsidR="004C021E">
        <w:t xml:space="preserve">risultanti dalle scritture contabili dello Stato </w:t>
      </w:r>
      <w:r w:rsidR="00EB6AD4">
        <w:t>e i correlati residui attivi iscritti nei bilanci delle Regioni, domandando a tal fine le necessarie informazioni alla Regione, ovvero i residui attivi nei confronti dello Stato presenti nel conto consuntivo 2016 che saranno oggetto di verifica e confronto con gli Uffici centrali d</w:t>
      </w:r>
      <w:r w:rsidR="00D62DB1">
        <w:t>i bilancio presso i Ministeri (</w:t>
      </w:r>
      <w:r w:rsidR="00EB6AD4">
        <w:t xml:space="preserve">nota 77637 del 26 aprile 2017 del Ragioniere Generale dello Stato). In tale occasione il MEF segnala che tale attività di riconciliazione risulta di preminente interesse </w:t>
      </w:r>
      <w:r w:rsidR="000C5640">
        <w:t xml:space="preserve">per la Regione consentendole </w:t>
      </w:r>
      <w:r w:rsidR="00EB6AD4">
        <w:t>la corretta programmazione delle risorse finanziarie certe e da acquisire</w:t>
      </w:r>
      <w:r w:rsidR="000C5640">
        <w:t xml:space="preserve"> anche in termini di cassa. Inoltre si riconosce che tra le possibili </w:t>
      </w:r>
      <w:r>
        <w:t>cause dei ritardati pagamenti (</w:t>
      </w:r>
      <w:r w:rsidR="000C5640">
        <w:t>debiti commerciali) potrebbe esservi quella connessa ai trasferimenti di risorse finanziarie tra i diversi livelli di governo; si riconosce, altresì, che tale attività di riconciliazione presenta problematiche derivanti dall’applicazione di differenti configurazioni del princ</w:t>
      </w:r>
      <w:r w:rsidR="00D62DB1">
        <w:t xml:space="preserve">ipio di competenza finanziaria </w:t>
      </w:r>
      <w:r w:rsidR="000C5640">
        <w:t>da parte dello Stato e delle Regioni</w:t>
      </w:r>
      <w:r w:rsidR="00BB5A72">
        <w:t>,</w:t>
      </w:r>
      <w:r w:rsidR="000C5640">
        <w:t xml:space="preserve"> tali da poter causare divergenze tra crediti iscritti nei rendiconti regionali e debiti deri</w:t>
      </w:r>
      <w:r>
        <w:t xml:space="preserve">vanti dalle scritture statali. </w:t>
      </w:r>
      <w:r w:rsidR="000C5640">
        <w:t xml:space="preserve">La Regione Sardegna, in conseguenza, ha promosso la raccolta dei </w:t>
      </w:r>
      <w:r w:rsidR="00E860E7">
        <w:t xml:space="preserve">propri </w:t>
      </w:r>
      <w:r w:rsidR="000C5640">
        <w:t>dati presso le Direzioni generali tenute a provvedere entro il 7 ottobre 2017</w:t>
      </w:r>
      <w:r w:rsidR="00E860E7">
        <w:t>, da trasmettere al MEF.</w:t>
      </w:r>
      <w:r w:rsidR="00A41FCD">
        <w:t xml:space="preserve"> </w:t>
      </w:r>
      <w:r w:rsidR="00A41FCD" w:rsidRPr="002C597C">
        <w:rPr>
          <w:b/>
        </w:rPr>
        <w:t>Le risultanze vengono riferite al paragrafo 11.2.</w:t>
      </w:r>
    </w:p>
    <w:p w:rsidR="004C021E" w:rsidRDefault="001812B1" w:rsidP="000716EA">
      <w:pPr>
        <w:pStyle w:val="CdcTesto"/>
      </w:pPr>
      <w:r>
        <w:t>Infine, con riguardo all’impugnativa per incostituzionalità di alcune parti della legge regionale 28</w:t>
      </w:r>
      <w:r w:rsidR="000716EA">
        <w:t> ottobre 2016 n. 25, recante l’istituzione dell’</w:t>
      </w:r>
      <w:r w:rsidR="0093488F">
        <w:rPr>
          <w:b/>
        </w:rPr>
        <w:t>Agenzia sarda</w:t>
      </w:r>
      <w:r w:rsidRPr="001812B1">
        <w:rPr>
          <w:b/>
        </w:rPr>
        <w:t xml:space="preserve"> delle entrate</w:t>
      </w:r>
      <w:r>
        <w:t xml:space="preserve"> (ASE), si segnala la sentenza della Corte costituzionale n. 245/2017</w:t>
      </w:r>
      <w:r w:rsidR="000716EA">
        <w:t>.</w:t>
      </w:r>
      <w:r w:rsidR="00AB23DE">
        <w:t xml:space="preserve"> Premettendo che la disciplina legislativa stata</w:t>
      </w:r>
      <w:r w:rsidR="000716EA">
        <w:t>le in tema di tesoreria unica (</w:t>
      </w:r>
      <w:r w:rsidR="00AB23DE">
        <w:t>legge n. 720 del 1984)</w:t>
      </w:r>
      <w:r w:rsidR="000C5640">
        <w:t xml:space="preserve"> </w:t>
      </w:r>
      <w:r w:rsidR="00AB23DE">
        <w:t>prevede che le entrate di spettanza regionale provenienti dallo Stato</w:t>
      </w:r>
      <w:r w:rsidR="000716EA">
        <w:t xml:space="preserve"> </w:t>
      </w:r>
      <w:r w:rsidR="00AB23DE">
        <w:t>siano versate presso conti speciali infruttiferi</w:t>
      </w:r>
      <w:r w:rsidR="000C5640">
        <w:t xml:space="preserve"> </w:t>
      </w:r>
      <w:r w:rsidR="00AB23DE">
        <w:t>intestati alle Regioni e gestiti dalla Banca d’Italia, la Corte costituzionale ritiene</w:t>
      </w:r>
      <w:r w:rsidR="00E860E7">
        <w:t xml:space="preserve"> che</w:t>
      </w:r>
      <w:r w:rsidR="00AB23DE">
        <w:t xml:space="preserve"> </w:t>
      </w:r>
      <w:r w:rsidR="00AB23DE" w:rsidRPr="00AB23DE">
        <w:rPr>
          <w:i/>
        </w:rPr>
        <w:t>la previsione dell’afflusso diretto all’ASE delle entrate spettanti alla Regione autonoma Sardegna, ai sensi dell’art. 8 dello statuto di autonomia, è perciò in contrasto con tale disciplina.</w:t>
      </w:r>
      <w:r w:rsidR="00AB23DE">
        <w:rPr>
          <w:i/>
        </w:rPr>
        <w:t>.</w:t>
      </w:r>
      <w:r w:rsidR="000C5640" w:rsidRPr="00AB23DE">
        <w:rPr>
          <w:i/>
        </w:rPr>
        <w:t xml:space="preserve"> </w:t>
      </w:r>
      <w:r w:rsidR="00AB23DE">
        <w:rPr>
          <w:i/>
        </w:rPr>
        <w:t>…Solo le entrate proprie delle Regioni</w:t>
      </w:r>
      <w:r w:rsidR="0064159B">
        <w:rPr>
          <w:i/>
        </w:rPr>
        <w:t xml:space="preserve">, tributarie ed </w:t>
      </w:r>
      <w:r w:rsidR="0064159B">
        <w:rPr>
          <w:i/>
        </w:rPr>
        <w:lastRenderedPageBreak/>
        <w:t xml:space="preserve">extratributarie sono escluse dal riversamento nella tesoreria erariale, per affluire direttamente sui conti dei singoli tesorieri </w:t>
      </w:r>
      <w:r w:rsidR="00E860E7">
        <w:rPr>
          <w:i/>
        </w:rPr>
        <w:t>regionali, tenuti</w:t>
      </w:r>
      <w:r w:rsidR="0064159B">
        <w:rPr>
          <w:i/>
        </w:rPr>
        <w:t xml:space="preserve"> da istituti bancari diversi dalla Banca d’Italia. </w:t>
      </w:r>
      <w:r w:rsidR="0064159B">
        <w:t>Viene così dichiarato incostituzionale il comma 5 dell’art. 1 e, in via conseguenziale, il comma 3 dell’art. 9</w:t>
      </w:r>
      <w:r w:rsidR="0064159B" w:rsidRPr="0064159B">
        <w:t xml:space="preserve"> </w:t>
      </w:r>
      <w:r w:rsidR="0064159B">
        <w:t>della citata L.R. n. 25 del 2016, mentre vengono respinte tutte le restanti censure.</w:t>
      </w:r>
    </w:p>
    <w:p w:rsidR="002C0F12" w:rsidRPr="002C0F12" w:rsidRDefault="002C0F12" w:rsidP="002C0F12">
      <w:pPr>
        <w:pStyle w:val="Titolo2"/>
      </w:pPr>
      <w:bookmarkStart w:id="122" w:name="_Toc507422630"/>
      <w:r>
        <w:t>La gestione delle entrate di competenza</w:t>
      </w:r>
      <w:bookmarkEnd w:id="122"/>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Le entrate sono classificate, come previsto dall’art. 15 del D</w:t>
      </w:r>
      <w:r w:rsidR="005B7C05">
        <w:rPr>
          <w:rFonts w:ascii="Bodoni MT" w:eastAsiaTheme="minorEastAsia" w:hAnsi="Bodoni MT" w:cs="Bodoni MT"/>
          <w:color w:val="000000"/>
          <w:sz w:val="24"/>
          <w:szCs w:val="24"/>
        </w:rPr>
        <w:t>.</w:t>
      </w:r>
      <w:r w:rsidR="005B7C05" w:rsidRPr="005D660C">
        <w:rPr>
          <w:rFonts w:ascii="Bodoni MT" w:eastAsiaTheme="minorEastAsia" w:hAnsi="Bodoni MT" w:cs="Bodoni MT"/>
          <w:color w:val="000000"/>
          <w:sz w:val="24"/>
          <w:szCs w:val="24"/>
        </w:rPr>
        <w:t>Lgs</w:t>
      </w:r>
      <w:r w:rsidR="005B7C05">
        <w:rPr>
          <w:rFonts w:ascii="Bodoni MT" w:eastAsiaTheme="minorEastAsia" w:hAnsi="Bodoni MT" w:cs="Bodoni MT"/>
          <w:color w:val="000000"/>
          <w:sz w:val="24"/>
          <w:szCs w:val="24"/>
        </w:rPr>
        <w:t>.</w:t>
      </w:r>
      <w:r w:rsidR="005B7C05" w:rsidRPr="005D660C">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118/2011, in Titoli, secondo la fonte della loro provenienza, e in Tipologie, definite in base alla loro natura, nell’ambito di ciascuna fonte di provenienza, ai fini dell’approvazione in termini di unità di voto. Le tipologie si ripartiscono in categorie, capitoli e articoli secondo il rispettivo oggetto.</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Dalle risultanze della gestione delle entrate di competenza dell’esercizio 2016 - riepilogate nella </w:t>
      </w:r>
      <w:r w:rsidRPr="00E860E7">
        <w:rPr>
          <w:rFonts w:ascii="Bodoni MT" w:eastAsiaTheme="minorEastAsia" w:hAnsi="Bodoni MT" w:cs="Bodoni MT"/>
          <w:color w:val="000000"/>
          <w:sz w:val="24"/>
          <w:szCs w:val="24"/>
        </w:rPr>
        <w:t>tabella n.</w:t>
      </w:r>
      <w:r w:rsidR="00E860E7">
        <w:rPr>
          <w:rFonts w:ascii="Bodoni MT" w:eastAsiaTheme="minorEastAsia" w:hAnsi="Bodoni MT" w:cs="Bodoni MT"/>
          <w:color w:val="000000"/>
          <w:sz w:val="24"/>
          <w:szCs w:val="24"/>
        </w:rPr>
        <w:t xml:space="preserve"> 12 </w:t>
      </w:r>
      <w:r w:rsidRPr="005D660C">
        <w:rPr>
          <w:rFonts w:ascii="Bodoni MT" w:eastAsiaTheme="minorEastAsia" w:hAnsi="Bodoni MT" w:cs="Bodoni MT"/>
          <w:color w:val="000000"/>
          <w:sz w:val="24"/>
          <w:szCs w:val="24"/>
        </w:rPr>
        <w:t xml:space="preserve">– si riscontra che, a fronte di previsioni definitive per 10.062,12 </w:t>
      </w:r>
      <w:r w:rsidR="00D62DB1">
        <w:rPr>
          <w:rFonts w:ascii="Bodoni MT" w:eastAsiaTheme="minorEastAsia" w:hAnsi="Bodoni MT" w:cs="Bodoni MT"/>
          <w:color w:val="000000"/>
          <w:sz w:val="24"/>
          <w:szCs w:val="24"/>
        </w:rPr>
        <w:t>milioni</w:t>
      </w:r>
      <w:r w:rsidRPr="005D660C">
        <w:rPr>
          <w:rFonts w:ascii="Bodoni MT" w:eastAsiaTheme="minorEastAsia" w:hAnsi="Bodoni MT" w:cs="Bodoni MT"/>
          <w:color w:val="000000"/>
          <w:sz w:val="24"/>
          <w:szCs w:val="24"/>
        </w:rPr>
        <w:t xml:space="preserve"> di euro (escluso l'avanzo di amministrazione dell'esercizio precedente e il Fondo pluriennale vincolato di parte corrente e di parte capitale), </w:t>
      </w:r>
      <w:r w:rsidRPr="00E860E7">
        <w:rPr>
          <w:rFonts w:ascii="Bodoni MT" w:eastAsiaTheme="minorEastAsia" w:hAnsi="Bodoni MT" w:cs="Bodoni MT"/>
          <w:b/>
          <w:color w:val="000000"/>
          <w:sz w:val="24"/>
          <w:szCs w:val="24"/>
        </w:rPr>
        <w:t xml:space="preserve">sono state accertate entrate per 8.936,60 </w:t>
      </w:r>
      <w:r w:rsidR="00D62DB1">
        <w:rPr>
          <w:rFonts w:ascii="Bodoni MT" w:eastAsiaTheme="minorEastAsia" w:hAnsi="Bodoni MT" w:cs="Bodoni MT"/>
          <w:b/>
          <w:color w:val="000000"/>
          <w:sz w:val="24"/>
          <w:szCs w:val="24"/>
        </w:rPr>
        <w:t>milioni</w:t>
      </w:r>
      <w:r w:rsidRPr="00E860E7">
        <w:rPr>
          <w:rFonts w:ascii="Bodoni MT" w:eastAsiaTheme="minorEastAsia" w:hAnsi="Bodoni MT" w:cs="Bodoni MT"/>
          <w:b/>
          <w:color w:val="000000"/>
          <w:sz w:val="24"/>
          <w:szCs w:val="24"/>
        </w:rPr>
        <w:t xml:space="preserve"> di euro</w:t>
      </w:r>
      <w:r w:rsidRPr="005D660C">
        <w:rPr>
          <w:rFonts w:ascii="Bodoni MT" w:eastAsiaTheme="minorEastAsia" w:hAnsi="Bodoni MT" w:cs="Bodoni MT"/>
          <w:color w:val="000000"/>
          <w:sz w:val="24"/>
          <w:szCs w:val="24"/>
        </w:rPr>
        <w:t xml:space="preserve"> che corrispondono </w:t>
      </w:r>
      <w:r w:rsidRPr="00E860E7">
        <w:rPr>
          <w:rFonts w:ascii="Bodoni MT" w:eastAsiaTheme="minorEastAsia" w:hAnsi="Bodoni MT" w:cs="Bodoni MT"/>
          <w:b/>
          <w:color w:val="000000"/>
          <w:sz w:val="24"/>
          <w:szCs w:val="24"/>
        </w:rPr>
        <w:t>all’88,8% delle previsioni</w:t>
      </w:r>
      <w:r w:rsidRPr="005D660C">
        <w:rPr>
          <w:rFonts w:ascii="Bodoni MT" w:eastAsiaTheme="minorEastAsia" w:hAnsi="Bodoni MT" w:cs="Bodoni MT"/>
          <w:color w:val="000000"/>
          <w:sz w:val="24"/>
          <w:szCs w:val="24"/>
        </w:rPr>
        <w:t xml:space="preserve">. </w:t>
      </w:r>
    </w:p>
    <w:p w:rsidR="005D660C" w:rsidRPr="005D660C" w:rsidRDefault="005D660C" w:rsidP="000716EA">
      <w:pPr>
        <w:pStyle w:val="CdcTesto"/>
      </w:pPr>
      <w:r w:rsidRPr="005D660C">
        <w:t xml:space="preserve">Le </w:t>
      </w:r>
      <w:r w:rsidRPr="00E860E7">
        <w:rPr>
          <w:b/>
        </w:rPr>
        <w:t xml:space="preserve">riscossioni in conto competenza sono pari a 7.524,89 </w:t>
      </w:r>
      <w:r w:rsidR="00922051" w:rsidRPr="00922051">
        <w:rPr>
          <w:b/>
        </w:rPr>
        <w:t>milioni</w:t>
      </w:r>
      <w:r w:rsidR="00922051" w:rsidRPr="001228FE">
        <w:t xml:space="preserve"> </w:t>
      </w:r>
      <w:r w:rsidRPr="00E860E7">
        <w:rPr>
          <w:b/>
        </w:rPr>
        <w:t>di euro</w:t>
      </w:r>
      <w:r w:rsidRPr="005D660C">
        <w:t xml:space="preserve"> e corrispondono </w:t>
      </w:r>
      <w:r w:rsidRPr="00E860E7">
        <w:rPr>
          <w:b/>
        </w:rPr>
        <w:t>all’84,2% degli accertamenti</w:t>
      </w:r>
      <w:r w:rsidRPr="005D660C">
        <w:t>.</w:t>
      </w:r>
    </w:p>
    <w:p w:rsidR="005D660C" w:rsidRPr="005D660C" w:rsidRDefault="005D660C" w:rsidP="000716EA">
      <w:pPr>
        <w:pStyle w:val="CdcTesto"/>
      </w:pPr>
      <w:r w:rsidRPr="005D660C">
        <w:t xml:space="preserve">I </w:t>
      </w:r>
      <w:r w:rsidRPr="00E860E7">
        <w:rPr>
          <w:b/>
        </w:rPr>
        <w:t>residui attivi</w:t>
      </w:r>
      <w:r w:rsidRPr="005D660C">
        <w:t xml:space="preserve"> che si sono generati nell’esercizio 2016 ammontano a </w:t>
      </w:r>
      <w:r w:rsidRPr="00E860E7">
        <w:rPr>
          <w:b/>
        </w:rPr>
        <w:t xml:space="preserve">1.411,71 </w:t>
      </w:r>
      <w:r w:rsidR="00D62DB1">
        <w:rPr>
          <w:b/>
        </w:rPr>
        <w:t>milioni</w:t>
      </w:r>
      <w:r w:rsidR="00D62DB1" w:rsidRPr="00E860E7">
        <w:rPr>
          <w:b/>
        </w:rPr>
        <w:t xml:space="preserve"> </w:t>
      </w:r>
      <w:r w:rsidRPr="00E860E7">
        <w:rPr>
          <w:b/>
        </w:rPr>
        <w:t>di euro</w:t>
      </w:r>
      <w:r w:rsidR="00E860E7">
        <w:t xml:space="preserve">, e sono </w:t>
      </w:r>
      <w:r w:rsidRPr="005D660C">
        <w:t>pari al 15,8% delle entrate accertate.</w:t>
      </w:r>
    </w:p>
    <w:p w:rsidR="005D660C" w:rsidRPr="005D660C" w:rsidRDefault="005D660C" w:rsidP="000716EA">
      <w:pPr>
        <w:pStyle w:val="CdcTesto"/>
      </w:pPr>
      <w:r w:rsidRPr="005D660C">
        <w:t xml:space="preserve">Le </w:t>
      </w:r>
      <w:r w:rsidRPr="00E860E7">
        <w:rPr>
          <w:b/>
        </w:rPr>
        <w:t>minori entrate</w:t>
      </w:r>
      <w:r w:rsidRPr="005D660C">
        <w:t xml:space="preserve"> sono state pari a </w:t>
      </w:r>
      <w:r w:rsidRPr="00E860E7">
        <w:rPr>
          <w:b/>
        </w:rPr>
        <w:t xml:space="preserve">1.125,524 </w:t>
      </w:r>
      <w:r w:rsidR="00D62DB1">
        <w:rPr>
          <w:b/>
        </w:rPr>
        <w:t>milioni</w:t>
      </w:r>
      <w:r w:rsidR="00D62DB1" w:rsidRPr="00E860E7">
        <w:rPr>
          <w:b/>
        </w:rPr>
        <w:t xml:space="preserve"> </w:t>
      </w:r>
      <w:r w:rsidRPr="00E860E7">
        <w:rPr>
          <w:b/>
        </w:rPr>
        <w:t>di euro</w:t>
      </w:r>
      <w:r w:rsidRPr="005D660C">
        <w:t xml:space="preserve"> e corrispondono al 10,88% delle previsioni finali.</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z w:val="24"/>
          <w:szCs w:val="24"/>
        </w:rPr>
      </w:pPr>
      <w:r w:rsidRPr="005D660C">
        <w:rPr>
          <w:rFonts w:ascii="Bodoni MT" w:eastAsiaTheme="minorEastAsia" w:hAnsi="Bodoni MT" w:cs="Bodoni MT"/>
          <w:color w:val="000000"/>
          <w:sz w:val="24"/>
          <w:szCs w:val="24"/>
        </w:rPr>
        <w:t xml:space="preserve">Il confronto con l’esercizio 2015 evidenzia una diminuzione delle previsioni definitive (-0,45% sul totale dei titoli). Tale dato assume particolare rilievo se si considera che </w:t>
      </w:r>
      <w:r w:rsidRPr="00E860E7">
        <w:rPr>
          <w:rFonts w:ascii="Bodoni MT" w:eastAsiaTheme="minorEastAsia" w:hAnsi="Bodoni MT" w:cs="Bodoni MT"/>
          <w:b/>
          <w:color w:val="000000"/>
          <w:sz w:val="24"/>
          <w:szCs w:val="24"/>
        </w:rPr>
        <w:t>all’esercizio 2016 sono stati reimputati complessivamente crediti pari a € 867.886.993,48</w:t>
      </w:r>
      <w:r w:rsidRPr="005D660C">
        <w:rPr>
          <w:rFonts w:ascii="Bodoni MT" w:eastAsiaTheme="minorEastAsia" w:hAnsi="Bodoni MT" w:cs="Bodoni MT"/>
          <w:color w:val="000000"/>
          <w:sz w:val="24"/>
          <w:szCs w:val="24"/>
        </w:rPr>
        <w:t xml:space="preserve"> (di cui € 357.052.189,2 da riaccertamento straordinario, €</w:t>
      </w:r>
      <w:r w:rsidR="00E860E7">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336.506.154 provenienti dalla competenza 2015 per reimputazioni da riaccertamento straordinario e € 174.328.649,32 dalla competen</w:t>
      </w:r>
      <w:r w:rsidRPr="005D660C">
        <w:rPr>
          <w:rFonts w:ascii="Bodoni MT" w:eastAsia="Verdana" w:hAnsi="Bodoni MT" w:cs="Bodoni MT"/>
          <w:color w:val="000000"/>
          <w:sz w:val="24"/>
          <w:szCs w:val="24"/>
        </w:rPr>
        <w:t xml:space="preserve">za pura 2015). </w:t>
      </w:r>
      <w:r w:rsidRPr="00E860E7">
        <w:rPr>
          <w:rFonts w:ascii="Bodoni MT" w:eastAsia="Verdana" w:hAnsi="Bodoni MT" w:cs="Bodoni MT"/>
          <w:b/>
          <w:color w:val="000000"/>
          <w:sz w:val="24"/>
          <w:szCs w:val="24"/>
        </w:rPr>
        <w:t>Il totale delle reimputazioni rappresenta ben l’8,63% delle previsioni finali delle entrate</w:t>
      </w:r>
      <w:r w:rsidRPr="005D660C">
        <w:rPr>
          <w:rFonts w:ascii="Bodoni MT" w:eastAsia="Verdana" w:hAnsi="Bodoni MT" w:cs="Bodoni MT"/>
          <w:color w:val="000000"/>
          <w:sz w:val="24"/>
          <w:szCs w:val="24"/>
        </w:rPr>
        <w:t xml:space="preserve"> (esclusi l’Avanzo di amministrazione applicato e il FPV).</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z w:val="24"/>
          <w:szCs w:val="24"/>
        </w:rPr>
      </w:pPr>
      <w:r w:rsidRPr="00E860E7">
        <w:rPr>
          <w:rFonts w:ascii="Bodoni MT" w:eastAsia="Verdana" w:hAnsi="Bodoni MT" w:cs="Bodoni MT"/>
          <w:color w:val="000000"/>
          <w:sz w:val="24"/>
          <w:szCs w:val="24"/>
        </w:rPr>
        <w:t>Quanto sopra descritto conferma l’andamento già osservato in sede di parifica del rendiconto 2015, con riferimento ad una non corretta individuazione degli esercizi di esigibilità degli accertamenti reimputati in sede di riaccertamento straordinario.</w:t>
      </w:r>
      <w:r w:rsidRPr="005D660C">
        <w:rPr>
          <w:rFonts w:ascii="Bodoni MT" w:eastAsia="Verdana" w:hAnsi="Bodoni MT" w:cs="Bodoni MT"/>
          <w:color w:val="000000"/>
          <w:sz w:val="24"/>
          <w:szCs w:val="24"/>
        </w:rPr>
        <w:t xml:space="preserve"> </w:t>
      </w:r>
    </w:p>
    <w:p w:rsidR="00E860E7" w:rsidRDefault="005D660C" w:rsidP="00E860E7">
      <w:pPr>
        <w:pStyle w:val="CdcTesto"/>
        <w:rPr>
          <w:rFonts w:eastAsia="Verdana"/>
        </w:rPr>
      </w:pPr>
      <w:r w:rsidRPr="005D660C">
        <w:rPr>
          <w:rFonts w:eastAsia="Verdana"/>
        </w:rPr>
        <w:lastRenderedPageBreak/>
        <w:t xml:space="preserve">A fronte di minori previsioni definitive, tuttavia nel 2016 si registrano maggiori accertamenti per 1.192,028 </w:t>
      </w:r>
      <w:r w:rsidR="00D62DB1" w:rsidRPr="00D62DB1">
        <w:t>milioni</w:t>
      </w:r>
      <w:r w:rsidR="00D62DB1" w:rsidRPr="00E860E7">
        <w:rPr>
          <w:b/>
        </w:rPr>
        <w:t xml:space="preserve"> </w:t>
      </w:r>
      <w:r w:rsidRPr="005D660C">
        <w:rPr>
          <w:rFonts w:eastAsia="Verdana"/>
        </w:rPr>
        <w:t>di euro e maggiori risco</w:t>
      </w:r>
      <w:r w:rsidR="00E860E7">
        <w:rPr>
          <w:rFonts w:eastAsia="Verdana"/>
        </w:rPr>
        <w:t xml:space="preserve">ssioni per 540,27 </w:t>
      </w:r>
      <w:r w:rsidR="00D62DB1" w:rsidRPr="00D62DB1">
        <w:t>milioni</w:t>
      </w:r>
      <w:r w:rsidR="00D62DB1" w:rsidRPr="00E860E7">
        <w:rPr>
          <w:b/>
        </w:rPr>
        <w:t xml:space="preserve"> </w:t>
      </w:r>
      <w:r w:rsidR="00E860E7">
        <w:rPr>
          <w:rFonts w:eastAsia="Verdana"/>
        </w:rPr>
        <w:t xml:space="preserve">di euro. </w:t>
      </w:r>
      <w:r w:rsidRPr="005D660C">
        <w:rPr>
          <w:rFonts w:eastAsia="Verdana"/>
        </w:rPr>
        <w:t xml:space="preserve">Nel miglioramento della capacità di accertamento incide, però, la consistenza delle entrate già accertate provenienti da esercizi precedenti (si ribadisce che ben 868 </w:t>
      </w:r>
      <w:r w:rsidR="00922051" w:rsidRPr="001228FE">
        <w:t xml:space="preserve">milioni </w:t>
      </w:r>
      <w:r w:rsidRPr="005D660C">
        <w:rPr>
          <w:rFonts w:eastAsia="Verdana"/>
        </w:rPr>
        <w:t xml:space="preserve">di euro circa derivano da reimputazioni, per definizione entrate assistite da </w:t>
      </w:r>
      <w:r w:rsidR="005B7C05">
        <w:rPr>
          <w:rFonts w:eastAsia="Verdana"/>
        </w:rPr>
        <w:t>obbligazioni giuridicamente già perfezionate</w:t>
      </w:r>
      <w:r w:rsidRPr="005D660C">
        <w:rPr>
          <w:rFonts w:eastAsia="Verdana"/>
        </w:rPr>
        <w:t xml:space="preserve">). </w:t>
      </w:r>
    </w:p>
    <w:p w:rsidR="005D660C" w:rsidRDefault="005D660C" w:rsidP="00E860E7">
      <w:pPr>
        <w:pStyle w:val="CdcTesto"/>
        <w:rPr>
          <w:rFonts w:eastAsia="Verdana"/>
          <w:color w:val="auto"/>
        </w:rPr>
      </w:pPr>
      <w:r w:rsidRPr="005D660C">
        <w:rPr>
          <w:rFonts w:eastAsia="Verdana"/>
        </w:rPr>
        <w:t xml:space="preserve">Si deve comunque osservare che, in sede di riaccertamento ordinario 2016, le </w:t>
      </w:r>
      <w:r w:rsidRPr="002C597C">
        <w:rPr>
          <w:rFonts w:eastAsia="Verdana"/>
          <w:b/>
        </w:rPr>
        <w:t>reimputazioni</w:t>
      </w:r>
      <w:r w:rsidRPr="005D660C">
        <w:rPr>
          <w:rFonts w:eastAsia="Verdana"/>
        </w:rPr>
        <w:t xml:space="preserve"> </w:t>
      </w:r>
      <w:r w:rsidR="00E860E7">
        <w:rPr>
          <w:rFonts w:eastAsia="Verdana"/>
        </w:rPr>
        <w:t>all’</w:t>
      </w:r>
      <w:r w:rsidRPr="005D660C">
        <w:rPr>
          <w:rFonts w:eastAsia="Verdana"/>
        </w:rPr>
        <w:t>esercizi</w:t>
      </w:r>
      <w:r w:rsidR="00E860E7">
        <w:rPr>
          <w:rFonts w:eastAsia="Verdana"/>
        </w:rPr>
        <w:t>o successivo</w:t>
      </w:r>
      <w:r w:rsidRPr="005D660C">
        <w:rPr>
          <w:rFonts w:eastAsia="Verdana"/>
        </w:rPr>
        <w:t xml:space="preserve"> e seguenti hanno riguardato solo crediti provenienti dalla competenza 2016: pertanto se ne deve far discendere che tutti i crediti reimputati dall’esercizio precedente sono scaduti nell’esercizio, ma le scritture disponibili non consentono di risalire a notizie in ordine alla effettiva conclusione delle operazioni </w:t>
      </w:r>
      <w:r w:rsidRPr="00E860E7">
        <w:rPr>
          <w:rFonts w:eastAsia="Verdana"/>
          <w:color w:val="auto"/>
        </w:rPr>
        <w:t>di acquisizione delle entrate in argomento a mezzo delle relative riscossioni.</w:t>
      </w:r>
    </w:p>
    <w:p w:rsidR="00D62DB1" w:rsidRDefault="002C597C" w:rsidP="00E860E7">
      <w:pPr>
        <w:pStyle w:val="CdcTesto"/>
        <w:rPr>
          <w:rFonts w:eastAsia="Verdana"/>
          <w:color w:val="auto"/>
        </w:rPr>
      </w:pPr>
      <w:r>
        <w:rPr>
          <w:rFonts w:eastAsia="Verdana"/>
          <w:color w:val="auto"/>
        </w:rPr>
        <w:t>Dalle notizie in ultimo pervenute</w:t>
      </w:r>
      <w:r>
        <w:rPr>
          <w:rStyle w:val="Rimandonotaapidipagina"/>
          <w:rFonts w:eastAsia="Verdana"/>
          <w:color w:val="auto"/>
        </w:rPr>
        <w:footnoteReference w:id="80"/>
      </w:r>
      <w:r>
        <w:rPr>
          <w:rFonts w:eastAsia="Verdana"/>
          <w:color w:val="auto"/>
        </w:rPr>
        <w:t xml:space="preserve"> risulta che nel 2016 sono stati riscossi € 131.165.513,93 su € 510.834.804,16</w:t>
      </w:r>
      <w:r w:rsidR="00330CF3">
        <w:rPr>
          <w:rFonts w:eastAsia="Verdana"/>
          <w:color w:val="auto"/>
        </w:rPr>
        <w:t xml:space="preserve"> di residui attivi reimputati (</w:t>
      </w:r>
      <w:r>
        <w:rPr>
          <w:rFonts w:eastAsia="Verdana"/>
          <w:color w:val="auto"/>
        </w:rPr>
        <w:t>di cui 336,506 milioni di euro provenienti dal riaccertamento straordinario).</w:t>
      </w:r>
    </w:p>
    <w:p w:rsidR="005D660C" w:rsidRPr="005D660C" w:rsidRDefault="005D660C" w:rsidP="005D660C">
      <w:pPr>
        <w:keepNext/>
        <w:spacing w:before="240" w:after="120" w:line="240" w:lineRule="auto"/>
        <w:jc w:val="center"/>
        <w:rPr>
          <w:rFonts w:ascii="Bodoni MT" w:eastAsiaTheme="minorEastAsia" w:hAnsi="Bodoni MT"/>
          <w:b/>
          <w:bCs/>
        </w:rPr>
      </w:pPr>
      <w:r w:rsidRPr="005D660C">
        <w:rPr>
          <w:rFonts w:ascii="Bodoni MT" w:eastAsiaTheme="minorEastAsia" w:hAnsi="Bodoni MT"/>
          <w:b/>
          <w:bCs/>
        </w:rPr>
        <w:br w:type="page"/>
      </w:r>
    </w:p>
    <w:p w:rsidR="005D660C" w:rsidRPr="005D660C" w:rsidRDefault="005D660C" w:rsidP="005D660C">
      <w:pPr>
        <w:pStyle w:val="Didascalia"/>
        <w:rPr>
          <w:rFonts w:eastAsia="Verdana"/>
          <w:spacing w:val="-3"/>
          <w:sz w:val="24"/>
          <w:szCs w:val="24"/>
        </w:rPr>
      </w:pPr>
      <w:bookmarkStart w:id="123" w:name="_Toc499040960"/>
      <w:bookmarkStart w:id="124" w:name="_Toc507422480"/>
      <w:r>
        <w:lastRenderedPageBreak/>
        <w:t xml:space="preserve">Tabella </w:t>
      </w:r>
      <w:r w:rsidR="00B90472">
        <w:fldChar w:fldCharType="begin"/>
      </w:r>
      <w:r w:rsidR="00B90472">
        <w:instrText xml:space="preserve"> SEQ Tabella \* ARABIC </w:instrText>
      </w:r>
      <w:r w:rsidR="00B90472">
        <w:fldChar w:fldCharType="separate"/>
      </w:r>
      <w:r w:rsidR="008616B3">
        <w:rPr>
          <w:noProof/>
        </w:rPr>
        <w:t>12</w:t>
      </w:r>
      <w:r w:rsidR="00B90472">
        <w:rPr>
          <w:noProof/>
        </w:rPr>
        <w:fldChar w:fldCharType="end"/>
      </w:r>
      <w:r w:rsidRPr="005D660C">
        <w:t xml:space="preserve"> - </w:t>
      </w:r>
      <w:r w:rsidRPr="005D660C">
        <w:rPr>
          <w:rFonts w:eastAsia="Verdana"/>
          <w:spacing w:val="-3"/>
          <w:sz w:val="24"/>
          <w:szCs w:val="24"/>
        </w:rPr>
        <w:t>Entrate Esercizi 2015/2016 – Gestione di competenza</w:t>
      </w:r>
      <w:bookmarkEnd w:id="123"/>
      <w:bookmarkEnd w:id="124"/>
    </w:p>
    <w:tbl>
      <w:tblPr>
        <w:tblW w:w="50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5"/>
        <w:gridCol w:w="3452"/>
        <w:gridCol w:w="1461"/>
        <w:gridCol w:w="1447"/>
        <w:gridCol w:w="1439"/>
        <w:gridCol w:w="1484"/>
      </w:tblGrid>
      <w:tr w:rsidR="005D660C" w:rsidRPr="005D660C" w:rsidTr="00C341BD">
        <w:trPr>
          <w:trHeight w:val="20"/>
          <w:jc w:val="center"/>
        </w:trPr>
        <w:tc>
          <w:tcPr>
            <w:tcW w:w="471" w:type="pct"/>
            <w:shd w:val="clear" w:color="auto" w:fill="0F243E" w:themeFill="text2" w:themeFillShade="80"/>
            <w:noWrap/>
            <w:vAlign w:val="bottom"/>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 </w:t>
            </w:r>
          </w:p>
        </w:tc>
        <w:tc>
          <w:tcPr>
            <w:tcW w:w="1684" w:type="pct"/>
            <w:shd w:val="clear" w:color="auto" w:fill="0F243E" w:themeFill="text2" w:themeFillShade="80"/>
            <w:noWrap/>
            <w:vAlign w:val="bottom"/>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 </w:t>
            </w:r>
          </w:p>
        </w:tc>
        <w:tc>
          <w:tcPr>
            <w:tcW w:w="713" w:type="pct"/>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2015</w:t>
            </w:r>
          </w:p>
        </w:tc>
        <w:tc>
          <w:tcPr>
            <w:tcW w:w="706" w:type="pct"/>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2016</w:t>
            </w:r>
          </w:p>
        </w:tc>
        <w:tc>
          <w:tcPr>
            <w:tcW w:w="702"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Var. % 2016/2015</w:t>
            </w:r>
          </w:p>
        </w:tc>
        <w:tc>
          <w:tcPr>
            <w:tcW w:w="725"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 sul Totale Titoli</w:t>
            </w:r>
            <w:r w:rsidRPr="005D660C">
              <w:rPr>
                <w:rFonts w:ascii="Bodoni MT" w:eastAsia="Times New Roman" w:hAnsi="Bodoni MT" w:cs="Arial"/>
                <w:b/>
                <w:bCs/>
                <w:color w:val="FFFFFF"/>
                <w:sz w:val="16"/>
                <w:szCs w:val="16"/>
                <w:lang w:eastAsia="it-IT"/>
              </w:rPr>
              <w:br/>
              <w:t>2016</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I</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xml:space="preserve">Prev. Finali </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6.825.956.901,22</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7.104.006.640,11</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4,07%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70,60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 (al netto re-imputazioni)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6.550.380.739,36</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6.967.200.640,11</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6,36%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75,78</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6.630.398.187,77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6.973.199.419,32</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5,17%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78,03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-195.558.713,45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-130.807.220,79</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-33,11%</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11,62</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6.319.478.933,54</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6.445.686.481,58</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2,00%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85,66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6.319.478.933,54</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6.445.686.481,58</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2,00%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85,66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310.919.254,23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527.512.937,74</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69,66%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37,37</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II</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 (al netto FPV)</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523.486.120,28</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417.001.826,16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-20,34%</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4,14</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xml:space="preserve">Prev. </w:t>
            </w:r>
            <w:r w:rsidR="00E60CAE">
              <w:rPr>
                <w:rFonts w:ascii="Bodoni MT" w:eastAsia="Times New Roman" w:hAnsi="Bodoni MT" w:cs="Arial"/>
                <w:color w:val="FFFFFF" w:themeColor="background1"/>
                <w:sz w:val="16"/>
                <w:szCs w:val="16"/>
                <w:lang w:eastAsia="it-IT"/>
              </w:rPr>
              <w:t>finali (al netto re-imputazioni</w:t>
            </w:r>
            <w:r w:rsidRPr="005D660C">
              <w:rPr>
                <w:rFonts w:ascii="Bodoni MT" w:eastAsia="Times New Roman" w:hAnsi="Bodoni MT" w:cs="Arial"/>
                <w:color w:val="FFFFFF" w:themeColor="background1"/>
                <w:sz w:val="16"/>
                <w:szCs w:val="16"/>
                <w:lang w:eastAsia="it-IT"/>
              </w:rPr>
              <w:t>)</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464.736.517,25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395.177.187,36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-14,97%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4,30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302.579.132,75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300.345.906,84</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-0,74%</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3,36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-220.906.987,53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-116.655.919,32</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-47,19%</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10,36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243.912.997,99</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221.907.003,28</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-9,02%</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2,95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243.912.997,99</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221.907.003,28</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-9,02%</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2,95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58.666.134,76</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78.438.903,56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33,70%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5,56</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III</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 (al netto FPV)</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177.233.169,23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103.204.417,47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-41,77%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xml:space="preserve">Prev. </w:t>
            </w:r>
            <w:r w:rsidR="00E60CAE">
              <w:rPr>
                <w:rFonts w:ascii="Bodoni MT" w:eastAsia="Times New Roman" w:hAnsi="Bodoni MT" w:cs="Arial"/>
                <w:color w:val="FFFFFF" w:themeColor="background1"/>
                <w:sz w:val="16"/>
                <w:szCs w:val="16"/>
                <w:lang w:eastAsia="it-IT"/>
              </w:rPr>
              <w:t>finali (al netto re-imputazioni</w:t>
            </w:r>
            <w:r w:rsidRPr="005D660C">
              <w:rPr>
                <w:rFonts w:ascii="Bodoni MT" w:eastAsia="Times New Roman" w:hAnsi="Bodoni MT" w:cs="Arial"/>
                <w:color w:val="FFFFFF" w:themeColor="background1"/>
                <w:sz w:val="16"/>
                <w:szCs w:val="16"/>
                <w:lang w:eastAsia="it-IT"/>
              </w:rPr>
              <w:t>)</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177.233.169,23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98.095.445,07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-44,65%</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1,07</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185.099.454,18</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76.151.112,76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-58,86%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0,85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7.866.284,95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-27.053.304,71</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-443,91%</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2,40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109.140.037,82</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61.041.418,29</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-44,07%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0,81</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109.140.037,82</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61.041.418,29</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-44,07%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0,81</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75.959.416,36</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15.109.694,47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-80,11%</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1,07</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IV</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 (escluso il FPV)</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1.618.948.502,87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1.062.494.140,93</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-34,37%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10,56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 (al netto re-imputazioni e FPV)</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795.042.627,43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358.346.758,65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-54,93%</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3,90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431.603.355,95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898.727.848,16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108,23%</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10,06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vAlign w:val="center"/>
            <w:hideMark/>
          </w:tcPr>
          <w:p w:rsidR="005D660C" w:rsidRPr="005D660C" w:rsidRDefault="00E860E7" w:rsidP="00E5612E">
            <w:pPr>
              <w:spacing w:after="0" w:line="240" w:lineRule="auto"/>
              <w:jc w:val="right"/>
              <w:rPr>
                <w:rFonts w:ascii="Bodoni MT" w:eastAsia="Times New Roman" w:hAnsi="Bodoni MT" w:cs="Arial"/>
                <w:sz w:val="16"/>
                <w:szCs w:val="16"/>
                <w:lang w:eastAsia="it-IT"/>
              </w:rPr>
            </w:pPr>
            <w:r>
              <w:rPr>
                <w:rFonts w:ascii="Bodoni MT" w:eastAsia="Times New Roman" w:hAnsi="Bodoni MT" w:cs="Arial"/>
                <w:sz w:val="16"/>
                <w:szCs w:val="16"/>
                <w:lang w:eastAsia="it-IT"/>
              </w:rPr>
              <w:t>-</w:t>
            </w:r>
            <w:r w:rsidR="005D660C" w:rsidRPr="005D660C">
              <w:rPr>
                <w:rFonts w:ascii="Bodoni MT" w:eastAsia="Times New Roman" w:hAnsi="Bodoni MT" w:cs="Arial"/>
                <w:sz w:val="16"/>
                <w:szCs w:val="16"/>
                <w:lang w:eastAsia="it-IT"/>
              </w:rPr>
              <w:t>1.187.345.146,92</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-163.766.292,77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-86,21%</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14,55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117.594.688,85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108.099.351,27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-8,07%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1,44</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117.594.688,85</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108.099.351,27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-8,07%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1,44</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vAlign w:val="center"/>
            <w:hideMark/>
          </w:tcPr>
          <w:p w:rsidR="005D660C" w:rsidRPr="005D660C" w:rsidRDefault="005D660C" w:rsidP="00E5612E">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314.008.667,10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790.628.496,89</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151,79%</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56,00</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V</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220.000,00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411.492.418,81</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186942,01%</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4,09</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1.990.708,87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191.663.551,26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9527,90%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2,08</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1.770.708,87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-219.828.867,55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-12514,74%</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-2,46</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1.990.708,87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191.663.551,26</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9527,90%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-17,03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191.663.551,26</w:t>
            </w:r>
          </w:p>
        </w:tc>
        <w:tc>
          <w:tcPr>
            <w:tcW w:w="702" w:type="pct"/>
            <w:shd w:val="clear" w:color="000000" w:fill="FFFFFF"/>
            <w:noWrap/>
          </w:tcPr>
          <w:p w:rsidR="005D660C" w:rsidRPr="005D660C" w:rsidRDefault="00D62DB1" w:rsidP="005D660C">
            <w:pPr>
              <w:spacing w:after="0" w:line="240" w:lineRule="auto"/>
              <w:jc w:val="right"/>
              <w:rPr>
                <w:rFonts w:ascii="Bodoni MT" w:eastAsia="Times New Roman" w:hAnsi="Bodoni MT" w:cs="Arial"/>
                <w:sz w:val="16"/>
                <w:szCs w:val="16"/>
                <w:lang w:eastAsia="it-IT"/>
              </w:rPr>
            </w:pPr>
            <w:r>
              <w:rPr>
                <w:rFonts w:ascii="Bodoni MT" w:eastAsia="Times New Roman" w:hAnsi="Bodoni MT" w:cs="Arial"/>
                <w:sz w:val="16"/>
                <w:szCs w:val="16"/>
                <w:lang w:eastAsia="it-IT"/>
              </w:rPr>
              <w:t>0,00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2,55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2" w:type="pct"/>
            <w:shd w:val="clear" w:color="000000" w:fill="FFFFFF"/>
            <w:noWrap/>
          </w:tcPr>
          <w:p w:rsidR="005D660C" w:rsidRPr="005D660C" w:rsidRDefault="00D62DB1" w:rsidP="005D660C">
            <w:pPr>
              <w:spacing w:after="0" w:line="240" w:lineRule="auto"/>
              <w:jc w:val="right"/>
              <w:rPr>
                <w:rFonts w:ascii="Bodoni MT" w:eastAsia="Times New Roman" w:hAnsi="Bodoni MT" w:cs="Arial"/>
                <w:sz w:val="16"/>
                <w:szCs w:val="16"/>
                <w:lang w:eastAsia="it-IT"/>
              </w:rPr>
            </w:pPr>
            <w:r>
              <w:rPr>
                <w:rFonts w:ascii="Bodoni MT" w:eastAsia="Times New Roman" w:hAnsi="Bodoni MT" w:cs="Arial"/>
                <w:sz w:val="16"/>
                <w:szCs w:val="16"/>
                <w:lang w:eastAsia="it-IT"/>
              </w:rPr>
              <w:t>0,00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VI</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782.165.365,99</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808.180.000,00</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3,33%</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8,03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60.449.276,00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370.587.400,05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513,06%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4,03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-721.716.089,99</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-437.592.599,95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-39,37%</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-4,90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60.449.276,00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370.587.400,05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513,06%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-32,93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 </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370.587.400,05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#DIV/0!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4,92</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#DIV/0!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r>
      <w:tr w:rsidR="005D660C" w:rsidRPr="005D660C" w:rsidTr="00C341BD">
        <w:trPr>
          <w:trHeight w:val="20"/>
          <w:jc w:val="center"/>
        </w:trPr>
        <w:tc>
          <w:tcPr>
            <w:tcW w:w="471" w:type="pct"/>
            <w:vMerge w:val="restart"/>
            <w:shd w:val="clear" w:color="auto" w:fill="95B3D7" w:themeFill="accent1" w:themeFillTint="99"/>
            <w:noWrap/>
            <w:textDirection w:val="btLr"/>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Titolo IX</w:t>
            </w: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Prev. finali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179.731.698,33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155.745.712,37</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-13,35%</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1,55</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Accertamenti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132.451.427,30</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125.925.178,12</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-4,93%</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1,37</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Magg./Min. entr.</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-47.280.271,03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-29.820.534,25</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-36,93%</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-0,33</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Riscossioni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132.072.014,37</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125.924.980,11</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-4,65%</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-11,19</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Versamenti</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 </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125.903.382,73</w:t>
            </w:r>
          </w:p>
        </w:tc>
        <w:tc>
          <w:tcPr>
            <w:tcW w:w="702" w:type="pct"/>
            <w:shd w:val="clear" w:color="000000" w:fill="FFFFFF"/>
            <w:noWrap/>
            <w:hideMark/>
          </w:tcPr>
          <w:p w:rsidR="005D660C" w:rsidRPr="005D660C" w:rsidRDefault="00D62DB1" w:rsidP="005D660C">
            <w:pPr>
              <w:spacing w:after="0" w:line="240" w:lineRule="auto"/>
              <w:jc w:val="right"/>
              <w:rPr>
                <w:rFonts w:ascii="Bodoni MT" w:eastAsia="Times New Roman" w:hAnsi="Bodoni MT" w:cs="Arial"/>
                <w:sz w:val="16"/>
                <w:szCs w:val="16"/>
                <w:lang w:eastAsia="it-IT"/>
              </w:rPr>
            </w:pPr>
            <w:r>
              <w:rPr>
                <w:rFonts w:ascii="Bodoni MT" w:eastAsia="Times New Roman" w:hAnsi="Bodoni MT" w:cs="Arial"/>
                <w:sz w:val="16"/>
                <w:szCs w:val="16"/>
                <w:lang w:eastAsia="it-IT"/>
              </w:rPr>
              <w:t>0,00</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1,67</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Residui comp.</w:t>
            </w:r>
          </w:p>
        </w:tc>
        <w:tc>
          <w:tcPr>
            <w:tcW w:w="713"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379.412,93</w:t>
            </w:r>
          </w:p>
        </w:tc>
        <w:tc>
          <w:tcPr>
            <w:tcW w:w="706"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21.795,39</w:t>
            </w:r>
          </w:p>
        </w:tc>
        <w:tc>
          <w:tcPr>
            <w:tcW w:w="702"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-94,26%</w:t>
            </w:r>
          </w:p>
        </w:tc>
        <w:tc>
          <w:tcPr>
            <w:tcW w:w="725" w:type="pct"/>
            <w:shd w:val="clear" w:color="000000" w:fill="FFFFFF"/>
            <w:noWrap/>
            <w:hideMark/>
          </w:tcPr>
          <w:p w:rsidR="005D660C" w:rsidRPr="005D660C" w:rsidRDefault="005D660C"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r>
      <w:tr w:rsidR="005D660C" w:rsidRPr="005D660C" w:rsidTr="00C341BD">
        <w:trPr>
          <w:trHeight w:val="20"/>
          <w:jc w:val="center"/>
        </w:trPr>
        <w:tc>
          <w:tcPr>
            <w:tcW w:w="471" w:type="pct"/>
            <w:vMerge w:val="restart"/>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Totale Titoli</w:t>
            </w:r>
          </w:p>
        </w:tc>
        <w:tc>
          <w:tcPr>
            <w:tcW w:w="1684" w:type="pct"/>
            <w:shd w:val="clear" w:color="auto" w:fill="95B3D7" w:themeFill="accent1" w:themeFillTint="99"/>
            <w:vAlign w:val="center"/>
            <w:hideMark/>
          </w:tcPr>
          <w:p w:rsidR="005D660C" w:rsidRPr="005D660C" w:rsidRDefault="00E60CAE" w:rsidP="00E860E7">
            <w:pPr>
              <w:spacing w:after="0" w:line="240" w:lineRule="auto"/>
              <w:rPr>
                <w:rFonts w:ascii="Bodoni MT" w:eastAsia="Times New Roman" w:hAnsi="Bodoni MT" w:cs="Arial"/>
                <w:color w:val="FFFFFF"/>
                <w:sz w:val="16"/>
                <w:szCs w:val="16"/>
                <w:lang w:eastAsia="it-IT"/>
              </w:rPr>
            </w:pPr>
            <w:r>
              <w:rPr>
                <w:rFonts w:ascii="Bodoni MT" w:eastAsia="Times New Roman" w:hAnsi="Bodoni MT" w:cs="Arial"/>
                <w:color w:val="FFFFFF"/>
                <w:sz w:val="16"/>
                <w:szCs w:val="16"/>
                <w:lang w:eastAsia="it-IT"/>
              </w:rPr>
              <w:t>Prev. Finali (escluso il FPV</w:t>
            </w:r>
            <w:r w:rsidR="005D660C" w:rsidRPr="005D660C">
              <w:rPr>
                <w:rFonts w:ascii="Bodoni MT" w:eastAsia="Times New Roman" w:hAnsi="Bodoni MT" w:cs="Arial"/>
                <w:color w:val="FFFFFF"/>
                <w:sz w:val="16"/>
                <w:szCs w:val="16"/>
                <w:lang w:eastAsia="it-IT"/>
              </w:rPr>
              <w:t>)</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10.107.741.757,92</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10.062.125.155,85</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-0,45%</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color w:val="FFFFFF"/>
                <w:sz w:val="16"/>
                <w:szCs w:val="16"/>
                <w:lang w:eastAsia="it-IT"/>
              </w:rPr>
            </w:pPr>
            <w:r w:rsidRPr="005D660C">
              <w:rPr>
                <w:rFonts w:ascii="Bodoni MT" w:eastAsia="Times New Roman" w:hAnsi="Bodoni MT" w:cs="Arial"/>
                <w:color w:val="FFFFFF"/>
                <w:sz w:val="16"/>
                <w:szCs w:val="16"/>
                <w:lang w:eastAsia="it-IT"/>
              </w:rPr>
              <w:t>Prev. finali</w:t>
            </w:r>
            <w:r w:rsidR="00474C78">
              <w:rPr>
                <w:rFonts w:ascii="Bodoni MT" w:eastAsia="Times New Roman" w:hAnsi="Bodoni MT" w:cs="Arial"/>
                <w:color w:val="FFFFFF"/>
                <w:sz w:val="16"/>
                <w:szCs w:val="16"/>
                <w:lang w:eastAsia="it-IT"/>
              </w:rPr>
              <w:t xml:space="preserve"> (al netto re-imputazioni e FPV</w:t>
            </w:r>
            <w:r w:rsidRPr="005D660C">
              <w:rPr>
                <w:rFonts w:ascii="Bodoni MT" w:eastAsia="Times New Roman" w:hAnsi="Bodoni MT" w:cs="Arial"/>
                <w:color w:val="FFFFFF"/>
                <w:sz w:val="16"/>
                <w:szCs w:val="16"/>
                <w:lang w:eastAsia="it-IT"/>
              </w:rPr>
              <w:t>)</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8.949.510.117,59</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9.194.238.162,37</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2,73%</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Accertamenti</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7.744.571.542,82</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8.936.600.416,51</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15,39%</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Magg./Min. entr.</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-2.363.170.215,10</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-1.125.524.739,34</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-52,37%</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Riscossioni</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6.984.638.657,44</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7.524.910.185,84</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7,74%</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Versamenti*</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 </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7.524.888.588,46</w:t>
            </w:r>
          </w:p>
        </w:tc>
        <w:tc>
          <w:tcPr>
            <w:tcW w:w="702" w:type="pct"/>
            <w:shd w:val="clear" w:color="auto" w:fill="FFFFFF" w:themeFill="background1"/>
            <w:noWrap/>
            <w:hideMark/>
          </w:tcPr>
          <w:p w:rsidR="005D660C" w:rsidRPr="005D660C" w:rsidRDefault="00D62DB1" w:rsidP="005D660C">
            <w:pPr>
              <w:spacing w:after="0" w:line="240" w:lineRule="auto"/>
              <w:jc w:val="right"/>
              <w:rPr>
                <w:rFonts w:ascii="Bodoni MT" w:eastAsia="Times New Roman" w:hAnsi="Bodoni MT" w:cs="Arial"/>
                <w:bCs/>
                <w:sz w:val="16"/>
                <w:szCs w:val="16"/>
                <w:lang w:eastAsia="it-IT"/>
              </w:rPr>
            </w:pPr>
            <w:r>
              <w:rPr>
                <w:rFonts w:ascii="Bodoni MT" w:eastAsia="Times New Roman" w:hAnsi="Bodoni MT" w:cs="Arial"/>
                <w:bCs/>
                <w:sz w:val="16"/>
                <w:szCs w:val="16"/>
                <w:lang w:eastAsia="it-IT"/>
              </w:rPr>
              <w:t>0,00</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5D660C" w:rsidRPr="005D660C" w:rsidTr="00C341BD">
        <w:trPr>
          <w:trHeight w:val="20"/>
          <w:jc w:val="center"/>
        </w:trPr>
        <w:tc>
          <w:tcPr>
            <w:tcW w:w="471" w:type="pct"/>
            <w:vMerge/>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5D660C" w:rsidRPr="005D660C" w:rsidRDefault="005D660C" w:rsidP="00E860E7">
            <w:pPr>
              <w:spacing w:after="0" w:line="240" w:lineRule="auto"/>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Residui comp.</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759.932.885,38</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1.411.711.828,05</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85,77%</w:t>
            </w:r>
          </w:p>
        </w:tc>
        <w:tc>
          <w:tcPr>
            <w:tcW w:w="725"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r w:rsidRPr="005D660C">
              <w:rPr>
                <w:rFonts w:ascii="Bodoni MT" w:eastAsia="Times New Roman" w:hAnsi="Bodoni MT" w:cs="Arial"/>
                <w:bCs/>
                <w:sz w:val="16"/>
                <w:szCs w:val="16"/>
                <w:lang w:eastAsia="it-IT"/>
              </w:rPr>
              <w:t>100,00</w:t>
            </w:r>
          </w:p>
        </w:tc>
      </w:tr>
      <w:tr w:rsidR="00C341BD" w:rsidRPr="005D660C" w:rsidTr="00C341BD">
        <w:trPr>
          <w:trHeight w:val="20"/>
          <w:jc w:val="center"/>
        </w:trPr>
        <w:tc>
          <w:tcPr>
            <w:tcW w:w="471" w:type="pct"/>
            <w:vMerge w:val="restart"/>
            <w:shd w:val="clear" w:color="auto" w:fill="95B3D7" w:themeFill="accent1" w:themeFillTint="99"/>
            <w:textDirection w:val="btLr"/>
            <w:vAlign w:val="center"/>
            <w:hideMark/>
          </w:tcPr>
          <w:p w:rsidR="00C341BD" w:rsidRPr="005D660C" w:rsidRDefault="00C341BD" w:rsidP="00C341BD">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FPV</w:t>
            </w:r>
          </w:p>
        </w:tc>
        <w:tc>
          <w:tcPr>
            <w:tcW w:w="1684" w:type="pct"/>
            <w:shd w:val="clear" w:color="auto" w:fill="95B3D7" w:themeFill="accent1" w:themeFillTint="99"/>
            <w:vAlign w:val="center"/>
            <w:hideMark/>
          </w:tcPr>
          <w:p w:rsidR="00C341BD" w:rsidRPr="005D660C" w:rsidRDefault="00C341BD"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Avanzo di Amministrazione</w:t>
            </w:r>
          </w:p>
        </w:tc>
        <w:tc>
          <w:tcPr>
            <w:tcW w:w="713"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207.745.681,79</w:t>
            </w:r>
          </w:p>
        </w:tc>
        <w:tc>
          <w:tcPr>
            <w:tcW w:w="706"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282.056.568,12</w:t>
            </w:r>
          </w:p>
        </w:tc>
        <w:tc>
          <w:tcPr>
            <w:tcW w:w="702"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35,77%</w:t>
            </w:r>
          </w:p>
        </w:tc>
        <w:tc>
          <w:tcPr>
            <w:tcW w:w="725" w:type="pct"/>
            <w:shd w:val="clear" w:color="auto" w:fill="FFFFFF" w:themeFill="background1"/>
            <w:noWrap/>
            <w:vAlign w:val="bottom"/>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p>
        </w:tc>
      </w:tr>
      <w:tr w:rsidR="00C341BD" w:rsidRPr="005D660C" w:rsidTr="00C341BD">
        <w:trPr>
          <w:trHeight w:val="20"/>
          <w:jc w:val="center"/>
        </w:trPr>
        <w:tc>
          <w:tcPr>
            <w:tcW w:w="471" w:type="pct"/>
            <w:vMerge/>
            <w:shd w:val="clear" w:color="auto" w:fill="95B3D7" w:themeFill="accent1" w:themeFillTint="99"/>
            <w:textDirection w:val="btLr"/>
            <w:vAlign w:val="center"/>
            <w:hideMark/>
          </w:tcPr>
          <w:p w:rsidR="00C341BD" w:rsidRPr="005D660C" w:rsidRDefault="00C341BD" w:rsidP="005D660C">
            <w:pPr>
              <w:spacing w:after="0" w:line="240" w:lineRule="auto"/>
              <w:jc w:val="center"/>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C341BD" w:rsidRPr="005D660C" w:rsidRDefault="00C341BD"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per Spese Correnti</w:t>
            </w:r>
          </w:p>
        </w:tc>
        <w:tc>
          <w:tcPr>
            <w:tcW w:w="713"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0,00</w:t>
            </w:r>
          </w:p>
        </w:tc>
        <w:tc>
          <w:tcPr>
            <w:tcW w:w="706"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56.502.635,51</w:t>
            </w:r>
          </w:p>
        </w:tc>
        <w:tc>
          <w:tcPr>
            <w:tcW w:w="702"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 </w:t>
            </w:r>
          </w:p>
        </w:tc>
        <w:tc>
          <w:tcPr>
            <w:tcW w:w="725" w:type="pct"/>
            <w:shd w:val="clear" w:color="auto" w:fill="FFFFFF" w:themeFill="background1"/>
            <w:noWrap/>
            <w:vAlign w:val="bottom"/>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p>
        </w:tc>
      </w:tr>
      <w:tr w:rsidR="00C341BD" w:rsidRPr="005D660C" w:rsidTr="00C341BD">
        <w:trPr>
          <w:trHeight w:val="20"/>
          <w:jc w:val="center"/>
        </w:trPr>
        <w:tc>
          <w:tcPr>
            <w:tcW w:w="471" w:type="pct"/>
            <w:vMerge/>
            <w:shd w:val="clear" w:color="auto" w:fill="95B3D7" w:themeFill="accent1" w:themeFillTint="99"/>
            <w:vAlign w:val="center"/>
            <w:hideMark/>
          </w:tcPr>
          <w:p w:rsidR="00C341BD" w:rsidRPr="005D660C" w:rsidRDefault="00C341BD" w:rsidP="005D660C">
            <w:pPr>
              <w:spacing w:after="0" w:line="240" w:lineRule="auto"/>
              <w:rPr>
                <w:rFonts w:ascii="Bodoni MT" w:eastAsia="Times New Roman" w:hAnsi="Bodoni MT" w:cs="Arial"/>
                <w:b/>
                <w:bCs/>
                <w:color w:val="FFFFFF"/>
                <w:sz w:val="16"/>
                <w:szCs w:val="16"/>
                <w:lang w:eastAsia="it-IT"/>
              </w:rPr>
            </w:pPr>
          </w:p>
        </w:tc>
        <w:tc>
          <w:tcPr>
            <w:tcW w:w="1684" w:type="pct"/>
            <w:shd w:val="clear" w:color="auto" w:fill="95B3D7" w:themeFill="accent1" w:themeFillTint="99"/>
            <w:vAlign w:val="center"/>
            <w:hideMark/>
          </w:tcPr>
          <w:p w:rsidR="00C341BD" w:rsidRPr="005D660C" w:rsidRDefault="00C341BD" w:rsidP="00E860E7">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per Spese Capitale</w:t>
            </w:r>
          </w:p>
        </w:tc>
        <w:tc>
          <w:tcPr>
            <w:tcW w:w="713"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493.932.135,05</w:t>
            </w:r>
          </w:p>
        </w:tc>
        <w:tc>
          <w:tcPr>
            <w:tcW w:w="706"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288.479.700,14</w:t>
            </w:r>
          </w:p>
        </w:tc>
        <w:tc>
          <w:tcPr>
            <w:tcW w:w="702" w:type="pct"/>
            <w:shd w:val="clear" w:color="auto" w:fill="FFFFFF" w:themeFill="background1"/>
            <w:noWrap/>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-41,60%</w:t>
            </w:r>
          </w:p>
        </w:tc>
        <w:tc>
          <w:tcPr>
            <w:tcW w:w="725" w:type="pct"/>
            <w:shd w:val="clear" w:color="auto" w:fill="FFFFFF" w:themeFill="background1"/>
            <w:noWrap/>
            <w:vAlign w:val="bottom"/>
            <w:hideMark/>
          </w:tcPr>
          <w:p w:rsidR="00C341BD" w:rsidRPr="005D660C" w:rsidRDefault="00C341BD" w:rsidP="005D660C">
            <w:pPr>
              <w:spacing w:after="0" w:line="240" w:lineRule="auto"/>
              <w:jc w:val="right"/>
              <w:rPr>
                <w:rFonts w:ascii="Bodoni MT" w:eastAsia="Times New Roman" w:hAnsi="Bodoni MT" w:cs="Arial"/>
                <w:sz w:val="16"/>
                <w:szCs w:val="16"/>
                <w:lang w:eastAsia="it-IT"/>
              </w:rPr>
            </w:pPr>
          </w:p>
        </w:tc>
      </w:tr>
      <w:tr w:rsidR="005D660C" w:rsidRPr="005D660C" w:rsidTr="00C341BD">
        <w:trPr>
          <w:trHeight w:val="20"/>
          <w:jc w:val="center"/>
        </w:trPr>
        <w:tc>
          <w:tcPr>
            <w:tcW w:w="2154" w:type="pct"/>
            <w:gridSpan w:val="2"/>
            <w:shd w:val="clear" w:color="auto" w:fill="95B3D7" w:themeFill="accent1" w:themeFillTint="99"/>
            <w:vAlign w:val="center"/>
            <w:hideMark/>
          </w:tcPr>
          <w:p w:rsidR="005D660C" w:rsidRPr="005D660C" w:rsidRDefault="005D660C" w:rsidP="00E860E7">
            <w:pPr>
              <w:spacing w:after="0" w:line="240" w:lineRule="auto"/>
              <w:jc w:val="center"/>
              <w:rPr>
                <w:rFonts w:ascii="Bodoni MT" w:eastAsia="Times New Roman" w:hAnsi="Bodoni MT" w:cs="Arial"/>
                <w:b/>
                <w:bCs/>
                <w:color w:val="FFFFFF"/>
                <w:sz w:val="16"/>
                <w:szCs w:val="16"/>
                <w:lang w:eastAsia="it-IT"/>
              </w:rPr>
            </w:pPr>
            <w:r w:rsidRPr="005D660C">
              <w:rPr>
                <w:rFonts w:ascii="Bodoni MT" w:eastAsia="Times New Roman" w:hAnsi="Bodoni MT" w:cs="Arial"/>
                <w:b/>
                <w:bCs/>
                <w:color w:val="FFFFFF"/>
                <w:sz w:val="16"/>
                <w:szCs w:val="16"/>
                <w:lang w:eastAsia="it-IT"/>
              </w:rPr>
              <w:t>Totale Generale dell'Entrata</w:t>
            </w:r>
          </w:p>
        </w:tc>
        <w:tc>
          <w:tcPr>
            <w:tcW w:w="713"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10.809.419.574,76</w:t>
            </w:r>
          </w:p>
        </w:tc>
        <w:tc>
          <w:tcPr>
            <w:tcW w:w="706"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10.689.164.059,62</w:t>
            </w:r>
          </w:p>
        </w:tc>
        <w:tc>
          <w:tcPr>
            <w:tcW w:w="702" w:type="pct"/>
            <w:shd w:val="clear" w:color="auto" w:fill="FFFFFF" w:themeFill="background1"/>
            <w:noWrap/>
            <w:hideMark/>
          </w:tcPr>
          <w:p w:rsidR="005D660C" w:rsidRPr="005D660C" w:rsidRDefault="005D660C" w:rsidP="005D660C">
            <w:pPr>
              <w:spacing w:after="0" w:line="240" w:lineRule="auto"/>
              <w:jc w:val="right"/>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-1,11%</w:t>
            </w:r>
          </w:p>
        </w:tc>
        <w:tc>
          <w:tcPr>
            <w:tcW w:w="725" w:type="pct"/>
            <w:shd w:val="clear" w:color="auto" w:fill="FFFFFF" w:themeFill="background1"/>
            <w:noWrap/>
            <w:vAlign w:val="bottom"/>
            <w:hideMark/>
          </w:tcPr>
          <w:p w:rsidR="005D660C" w:rsidRPr="005D660C" w:rsidRDefault="005D660C" w:rsidP="005D660C">
            <w:pPr>
              <w:spacing w:after="0" w:line="240" w:lineRule="auto"/>
              <w:jc w:val="right"/>
              <w:rPr>
                <w:rFonts w:ascii="Bodoni MT" w:eastAsia="Times New Roman" w:hAnsi="Bodoni MT" w:cs="Arial"/>
                <w:bCs/>
                <w:sz w:val="16"/>
                <w:szCs w:val="16"/>
                <w:lang w:eastAsia="it-IT"/>
              </w:rPr>
            </w:pPr>
          </w:p>
        </w:tc>
      </w:tr>
    </w:tbl>
    <w:p w:rsidR="005D660C" w:rsidRPr="005D660C" w:rsidRDefault="005D660C" w:rsidP="00E60CAE">
      <w:pPr>
        <w:autoSpaceDE w:val="0"/>
        <w:autoSpaceDN w:val="0"/>
        <w:adjustRightInd w:val="0"/>
        <w:spacing w:after="120" w:line="360" w:lineRule="auto"/>
        <w:textAlignment w:val="center"/>
        <w:rPr>
          <w:rFonts w:ascii="Bodoni MT" w:eastAsia="Verdana" w:hAnsi="Bodoni MT" w:cs="Bodoni MT"/>
          <w:color w:val="000000"/>
          <w:sz w:val="18"/>
          <w:szCs w:val="18"/>
        </w:rPr>
      </w:pPr>
      <w:r w:rsidRPr="005D660C">
        <w:rPr>
          <w:rFonts w:ascii="Bodoni MT" w:eastAsia="Verdana" w:hAnsi="Bodoni MT" w:cs="Bodoni MT"/>
          <w:color w:val="000000"/>
          <w:sz w:val="18"/>
          <w:szCs w:val="18"/>
        </w:rPr>
        <w:t>*Nel rendiconto 2016 il dato relativo alle riscossioni si r</w:t>
      </w:r>
      <w:r w:rsidR="00E5612E">
        <w:rPr>
          <w:rFonts w:ascii="Bodoni MT" w:eastAsia="Verdana" w:hAnsi="Bodoni MT" w:cs="Bodoni MT"/>
          <w:color w:val="000000"/>
          <w:sz w:val="18"/>
          <w:szCs w:val="18"/>
        </w:rPr>
        <w:t>iferisce ai versamenti disposti</w:t>
      </w:r>
    </w:p>
    <w:p w:rsidR="005D660C" w:rsidRPr="005D660C" w:rsidRDefault="005D660C" w:rsidP="00E60CAE">
      <w:pPr>
        <w:autoSpaceDE w:val="0"/>
        <w:autoSpaceDN w:val="0"/>
        <w:adjustRightInd w:val="0"/>
        <w:spacing w:before="360" w:after="120" w:line="360" w:lineRule="auto"/>
        <w:jc w:val="both"/>
        <w:textAlignment w:val="center"/>
        <w:rPr>
          <w:rFonts w:ascii="Bodoni MT" w:eastAsia="Verdana" w:hAnsi="Bodoni MT" w:cs="Bodoni MT"/>
          <w:color w:val="000000"/>
          <w:sz w:val="24"/>
          <w:szCs w:val="24"/>
        </w:rPr>
      </w:pPr>
      <w:r w:rsidRPr="005D660C">
        <w:rPr>
          <w:rFonts w:ascii="Bodoni MT" w:eastAsia="Verdana" w:hAnsi="Bodoni MT" w:cs="Bodoni MT"/>
          <w:color w:val="000000"/>
          <w:sz w:val="24"/>
          <w:szCs w:val="24"/>
        </w:rPr>
        <w:t>Il 70,6% delle previsioni finali dei Titoli - al netto del FPV - pari a € 7.104.006.640,11 si riferisce al Titolo I “</w:t>
      </w:r>
      <w:r w:rsidRPr="005D660C">
        <w:rPr>
          <w:rFonts w:ascii="Bodoni MT" w:eastAsia="Verdana" w:hAnsi="Bodoni MT" w:cs="Bodoni MT"/>
          <w:i/>
          <w:color w:val="000000"/>
          <w:sz w:val="24"/>
          <w:szCs w:val="24"/>
        </w:rPr>
        <w:t>Entrate correnti di natura tributaria, contributiva e perequativa</w:t>
      </w:r>
      <w:r w:rsidRPr="005D660C">
        <w:rPr>
          <w:rFonts w:ascii="Bodoni MT" w:eastAsia="Verdana" w:hAnsi="Bodoni MT" w:cs="Bodoni MT"/>
          <w:color w:val="000000"/>
          <w:sz w:val="24"/>
          <w:szCs w:val="24"/>
        </w:rPr>
        <w:t xml:space="preserve">”. Al netto delle reimputazioni, le previsioni si riducono a € 6.967.200.640,11, con un incremento rispetto alle </w:t>
      </w:r>
      <w:r w:rsidRPr="005D660C">
        <w:rPr>
          <w:rFonts w:ascii="Bodoni MT" w:eastAsia="Verdana" w:hAnsi="Bodoni MT" w:cs="Bodoni MT"/>
          <w:color w:val="000000"/>
          <w:sz w:val="24"/>
          <w:szCs w:val="24"/>
        </w:rPr>
        <w:lastRenderedPageBreak/>
        <w:t>corrispondenti previsioni 2015 del 6,36%. Gli accertamenti ammontano a €</w:t>
      </w:r>
      <w:r w:rsidR="000716EA">
        <w:rPr>
          <w:rFonts w:ascii="Bodoni MT" w:eastAsia="Verdana" w:hAnsi="Bodoni MT" w:cs="Bodoni MT"/>
          <w:color w:val="000000"/>
          <w:sz w:val="24"/>
          <w:szCs w:val="24"/>
        </w:rPr>
        <w:t xml:space="preserve"> </w:t>
      </w:r>
      <w:r w:rsidRPr="005D660C">
        <w:rPr>
          <w:rFonts w:ascii="Bodoni MT" w:eastAsia="Verdana" w:hAnsi="Bodoni MT" w:cs="Bodoni MT"/>
          <w:color w:val="000000"/>
          <w:sz w:val="24"/>
          <w:szCs w:val="24"/>
        </w:rPr>
        <w:t xml:space="preserve">6.973.199.419,32 pari al 78,03% del totale degli accertamenti (dei Titoli), e le riscossioni a € 6.445.686.481,58, pari al 85,66% del totale delle riscossioni. </w:t>
      </w:r>
      <w:r w:rsidRPr="00B7211A">
        <w:rPr>
          <w:rFonts w:ascii="Bodoni MT" w:eastAsia="Verdana" w:hAnsi="Bodoni MT" w:cs="Bodoni MT"/>
          <w:b/>
          <w:color w:val="000000"/>
          <w:sz w:val="24"/>
          <w:szCs w:val="24"/>
        </w:rPr>
        <w:t>Rispetto all’esercizio precedente, si nota un leggero miglioramento sia nella capacità di accertamento, sia in quella di riscossione</w:t>
      </w:r>
      <w:r w:rsidRPr="005D660C">
        <w:rPr>
          <w:rFonts w:ascii="Bodoni MT" w:eastAsia="Verdan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z w:val="24"/>
          <w:szCs w:val="24"/>
        </w:rPr>
      </w:pPr>
      <w:r w:rsidRPr="005D660C">
        <w:rPr>
          <w:rFonts w:ascii="Bodoni MT" w:eastAsia="Verdana" w:hAnsi="Bodoni MT" w:cs="Bodoni MT"/>
          <w:color w:val="000000"/>
          <w:sz w:val="24"/>
          <w:szCs w:val="24"/>
        </w:rPr>
        <w:t xml:space="preserve">Le previsioni finali del </w:t>
      </w:r>
      <w:r w:rsidRPr="00B7211A">
        <w:rPr>
          <w:rFonts w:ascii="Bodoni MT" w:eastAsia="Verdana" w:hAnsi="Bodoni MT" w:cs="Bodoni MT"/>
          <w:b/>
          <w:color w:val="000000"/>
          <w:sz w:val="24"/>
          <w:szCs w:val="24"/>
        </w:rPr>
        <w:t>Titolo II “</w:t>
      </w:r>
      <w:r w:rsidRPr="00B7211A">
        <w:rPr>
          <w:rFonts w:ascii="Bodoni MT" w:eastAsia="Verdana" w:hAnsi="Bodoni MT" w:cs="Bodoni MT"/>
          <w:b/>
          <w:i/>
          <w:color w:val="000000"/>
          <w:sz w:val="24"/>
          <w:szCs w:val="24"/>
        </w:rPr>
        <w:t>Trasferimenti correnti</w:t>
      </w:r>
      <w:r w:rsidRPr="00B7211A">
        <w:rPr>
          <w:rFonts w:ascii="Bodoni MT" w:eastAsia="Verdana" w:hAnsi="Bodoni MT" w:cs="Bodoni MT"/>
          <w:b/>
          <w:color w:val="000000"/>
          <w:sz w:val="24"/>
          <w:szCs w:val="24"/>
        </w:rPr>
        <w:t>”</w:t>
      </w:r>
      <w:r w:rsidRPr="005D660C">
        <w:rPr>
          <w:rFonts w:ascii="Bodoni MT" w:eastAsia="Verdana" w:hAnsi="Bodoni MT" w:cs="Bodoni MT"/>
          <w:color w:val="000000"/>
          <w:sz w:val="24"/>
          <w:szCs w:val="24"/>
        </w:rPr>
        <w:t xml:space="preserve"> rappresentano il 4,14% del totale (dei titoli), mentre i relativi accertamenti ammontano a €</w:t>
      </w:r>
      <w:r w:rsidR="00CD4C84">
        <w:rPr>
          <w:rFonts w:ascii="Bodoni MT" w:eastAsia="Verdana" w:hAnsi="Bodoni MT" w:cs="Bodoni MT"/>
          <w:color w:val="000000"/>
          <w:sz w:val="24"/>
          <w:szCs w:val="24"/>
        </w:rPr>
        <w:t xml:space="preserve"> </w:t>
      </w:r>
      <w:r w:rsidRPr="005D660C">
        <w:rPr>
          <w:rFonts w:ascii="Bodoni MT" w:eastAsia="Verdana" w:hAnsi="Bodoni MT" w:cs="Bodoni MT"/>
          <w:color w:val="000000"/>
          <w:sz w:val="24"/>
          <w:szCs w:val="24"/>
        </w:rPr>
        <w:t>300.345.906,84 (72% delle previsioni), discostandosi in modo poco significativo da quelli del 2015, e incidono per il 3,36% sugli accertamenti totali dell’esercizio. Malgrado l’elevata capacità di accertamento del T</w:t>
      </w:r>
      <w:r w:rsidR="00CD4C84">
        <w:rPr>
          <w:rFonts w:ascii="Bodoni MT" w:eastAsia="Verdana" w:hAnsi="Bodoni MT" w:cs="Bodoni MT"/>
          <w:color w:val="000000"/>
          <w:sz w:val="24"/>
          <w:szCs w:val="24"/>
        </w:rPr>
        <w:t>itolo, le riscossioni, pari a € </w:t>
      </w:r>
      <w:r w:rsidRPr="005D660C">
        <w:rPr>
          <w:rFonts w:ascii="Bodoni MT" w:eastAsia="Verdana" w:hAnsi="Bodoni MT" w:cs="Bodoni MT"/>
          <w:color w:val="000000"/>
          <w:sz w:val="24"/>
          <w:szCs w:val="24"/>
        </w:rPr>
        <w:t>221.907.003,28, rappresentano solo il 53,2% delle previsioni e registrano anche una diminuzione del 9% rispetto a quelle del 2015.</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z w:val="24"/>
          <w:szCs w:val="24"/>
        </w:rPr>
      </w:pPr>
      <w:r w:rsidRPr="005D660C">
        <w:rPr>
          <w:rFonts w:ascii="Bodoni MT" w:eastAsia="Verdana" w:hAnsi="Bodoni MT" w:cs="Bodoni MT"/>
          <w:color w:val="000000"/>
          <w:sz w:val="24"/>
          <w:szCs w:val="24"/>
        </w:rPr>
        <w:t xml:space="preserve">Sulle previsioni finali del </w:t>
      </w:r>
      <w:r w:rsidRPr="00B7211A">
        <w:rPr>
          <w:rFonts w:ascii="Bodoni MT" w:eastAsia="Verdana" w:hAnsi="Bodoni MT" w:cs="Bodoni MT"/>
          <w:b/>
          <w:color w:val="000000"/>
          <w:sz w:val="24"/>
          <w:szCs w:val="24"/>
        </w:rPr>
        <w:t>Titolo III “</w:t>
      </w:r>
      <w:r w:rsidRPr="00B7211A">
        <w:rPr>
          <w:rFonts w:ascii="Bodoni MT" w:eastAsia="Verdana" w:hAnsi="Bodoni MT" w:cs="Bodoni MT"/>
          <w:b/>
          <w:i/>
          <w:color w:val="000000"/>
          <w:sz w:val="24"/>
          <w:szCs w:val="24"/>
        </w:rPr>
        <w:t>Entrate extratributarie</w:t>
      </w:r>
      <w:r w:rsidRPr="00B7211A">
        <w:rPr>
          <w:rFonts w:ascii="Bodoni MT" w:eastAsia="Verdana" w:hAnsi="Bodoni MT" w:cs="Bodoni MT"/>
          <w:b/>
          <w:color w:val="000000"/>
          <w:sz w:val="24"/>
          <w:szCs w:val="24"/>
        </w:rPr>
        <w:t>”</w:t>
      </w:r>
      <w:r w:rsidRPr="005D660C">
        <w:rPr>
          <w:rFonts w:ascii="Bodoni MT" w:eastAsia="Verdana" w:hAnsi="Bodoni MT" w:cs="Bodoni MT"/>
          <w:color w:val="000000"/>
          <w:sz w:val="24"/>
          <w:szCs w:val="24"/>
        </w:rPr>
        <w:t xml:space="preserve">, sono state accertate </w:t>
      </w:r>
      <w:r w:rsidR="00A77528">
        <w:rPr>
          <w:rFonts w:ascii="Bodoni MT" w:eastAsia="Verdana" w:hAnsi="Bodoni MT" w:cs="Bodoni MT"/>
          <w:color w:val="000000"/>
          <w:sz w:val="24"/>
          <w:szCs w:val="24"/>
        </w:rPr>
        <w:t>entrate per 76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eastAsia="Verdana" w:hAnsi="Bodoni MT" w:cs="Bodoni MT"/>
          <w:color w:val="000000"/>
          <w:sz w:val="24"/>
          <w:szCs w:val="24"/>
        </w:rPr>
        <w:t xml:space="preserve">di euro (circa il 74% delle previsioni) mentre le riscossioni sono state di 61 </w:t>
      </w:r>
      <w:r w:rsidR="00984CB9">
        <w:rPr>
          <w:rFonts w:ascii="Bodoni MT" w:eastAsia="Verdana" w:hAnsi="Bodoni MT" w:cs="Bodoni MT"/>
          <w:color w:val="000000"/>
          <w:sz w:val="24"/>
          <w:szCs w:val="24"/>
        </w:rPr>
        <w:t>milioni</w:t>
      </w:r>
      <w:r w:rsidRPr="005D660C">
        <w:rPr>
          <w:rFonts w:ascii="Bodoni MT" w:eastAsia="Verdana" w:hAnsi="Bodoni MT" w:cs="Bodoni MT"/>
          <w:color w:val="000000"/>
          <w:sz w:val="24"/>
          <w:szCs w:val="24"/>
        </w:rPr>
        <w:t xml:space="preserve"> di euro circa (80% degli accertamenti). Rispetto al 2015 gli accertamenti sono diminuiti del 59% circa e le riscossioni del 44%.</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z w:val="24"/>
          <w:szCs w:val="24"/>
        </w:rPr>
      </w:pPr>
      <w:r w:rsidRPr="00B7211A">
        <w:rPr>
          <w:rFonts w:ascii="Bodoni MT" w:eastAsia="Verdana" w:hAnsi="Bodoni MT" w:cs="Bodoni MT"/>
          <w:b/>
          <w:color w:val="000000"/>
          <w:sz w:val="24"/>
          <w:szCs w:val="24"/>
        </w:rPr>
        <w:t>La seconda fonte di finanziamento del bilancio regionale è costituita dalle entrate del Titolo IV “</w:t>
      </w:r>
      <w:r w:rsidRPr="00B7211A">
        <w:rPr>
          <w:rFonts w:ascii="Bodoni MT" w:eastAsia="Verdana" w:hAnsi="Bodoni MT" w:cs="Bodoni MT"/>
          <w:b/>
          <w:i/>
          <w:color w:val="000000"/>
          <w:sz w:val="24"/>
          <w:szCs w:val="24"/>
        </w:rPr>
        <w:t>Entrate in conto capitale</w:t>
      </w:r>
      <w:r w:rsidRPr="00B7211A">
        <w:rPr>
          <w:rFonts w:ascii="Bodoni MT" w:eastAsia="Verdana" w:hAnsi="Bodoni MT" w:cs="Bodoni MT"/>
          <w:b/>
          <w:color w:val="000000"/>
          <w:sz w:val="24"/>
          <w:szCs w:val="24"/>
        </w:rPr>
        <w:t>”</w:t>
      </w:r>
      <w:r w:rsidRPr="005D660C">
        <w:rPr>
          <w:rFonts w:ascii="Bodoni MT" w:eastAsia="Verdana" w:hAnsi="Bodoni MT" w:cs="Bodoni MT"/>
          <w:color w:val="000000"/>
          <w:sz w:val="24"/>
          <w:szCs w:val="24"/>
        </w:rPr>
        <w:t xml:space="preserve"> dove, a fr</w:t>
      </w:r>
      <w:r w:rsidR="00B7211A">
        <w:rPr>
          <w:rFonts w:ascii="Bodoni MT" w:eastAsia="Verdana" w:hAnsi="Bodoni MT" w:cs="Bodoni MT"/>
          <w:color w:val="000000"/>
          <w:sz w:val="24"/>
          <w:szCs w:val="24"/>
        </w:rPr>
        <w:t>onte di previsioni finali di 1.062</w:t>
      </w:r>
      <w:r w:rsidRPr="005D660C">
        <w:rPr>
          <w:rFonts w:ascii="Bodoni MT" w:eastAsia="Verdana" w:hAnsi="Bodoni MT" w:cs="Bodoni MT"/>
          <w:color w:val="000000"/>
          <w:sz w:val="24"/>
          <w:szCs w:val="24"/>
        </w:rPr>
        <w:t>,</w:t>
      </w:r>
      <w:r w:rsidR="00B7211A">
        <w:rPr>
          <w:rFonts w:ascii="Bodoni MT" w:eastAsia="Verdana" w:hAnsi="Bodoni MT" w:cs="Bodoni MT"/>
          <w:color w:val="000000"/>
          <w:sz w:val="24"/>
          <w:szCs w:val="24"/>
        </w:rPr>
        <w:t>49</w:t>
      </w:r>
      <w:r w:rsidRPr="005D660C">
        <w:rPr>
          <w:rFonts w:ascii="Bodoni MT" w:eastAsia="Verdana" w:hAnsi="Bodoni MT" w:cs="Bodoni MT"/>
          <w:color w:val="000000"/>
          <w:sz w:val="24"/>
          <w:szCs w:val="24"/>
        </w:rPr>
        <w:t xml:space="preserve"> </w:t>
      </w:r>
      <w:r w:rsidR="00984CB9">
        <w:rPr>
          <w:rFonts w:ascii="Bodoni MT" w:eastAsia="Verdana" w:hAnsi="Bodoni MT" w:cs="Bodoni MT"/>
          <w:color w:val="000000"/>
          <w:sz w:val="24"/>
          <w:szCs w:val="24"/>
        </w:rPr>
        <w:t>milioni</w:t>
      </w:r>
      <w:r w:rsidRPr="005D660C">
        <w:rPr>
          <w:rFonts w:ascii="Bodoni MT" w:eastAsia="Verdana" w:hAnsi="Bodoni MT" w:cs="Bodoni MT"/>
          <w:color w:val="000000"/>
          <w:sz w:val="24"/>
          <w:szCs w:val="24"/>
        </w:rPr>
        <w:t xml:space="preserve"> di euro, sono stati assunti accertamenti per </w:t>
      </w:r>
      <w:r w:rsidR="00B7211A">
        <w:rPr>
          <w:rFonts w:ascii="Bodoni MT" w:eastAsia="Verdana" w:hAnsi="Bodoni MT" w:cs="Bodoni MT"/>
          <w:color w:val="000000"/>
          <w:sz w:val="24"/>
          <w:szCs w:val="24"/>
        </w:rPr>
        <w:t>898,73</w:t>
      </w:r>
      <w:r w:rsidRPr="005D660C">
        <w:rPr>
          <w:rFonts w:ascii="Bodoni MT" w:eastAsia="Verdana" w:hAnsi="Bodoni MT" w:cs="Bodoni MT"/>
          <w:color w:val="000000"/>
          <w:sz w:val="24"/>
          <w:szCs w:val="24"/>
        </w:rPr>
        <w:t xml:space="preserve"> </w:t>
      </w:r>
      <w:r w:rsidR="00D62DB1">
        <w:rPr>
          <w:rFonts w:ascii="Bodoni MT" w:eastAsia="Verdana" w:hAnsi="Bodoni MT" w:cs="Bodoni MT"/>
          <w:color w:val="000000"/>
          <w:sz w:val="24"/>
          <w:szCs w:val="24"/>
        </w:rPr>
        <w:t>milioni</w:t>
      </w:r>
      <w:r w:rsidRPr="005D660C">
        <w:rPr>
          <w:rFonts w:ascii="Bodoni MT" w:eastAsia="Verdana" w:hAnsi="Bodoni MT" w:cs="Bodoni MT"/>
          <w:color w:val="000000"/>
          <w:sz w:val="24"/>
          <w:szCs w:val="24"/>
        </w:rPr>
        <w:t xml:space="preserve"> di euro (pari </w:t>
      </w:r>
      <w:r w:rsidR="00B7211A">
        <w:rPr>
          <w:rFonts w:ascii="Bodoni MT" w:eastAsia="Verdana" w:hAnsi="Bodoni MT" w:cs="Bodoni MT"/>
          <w:color w:val="000000"/>
          <w:sz w:val="24"/>
          <w:szCs w:val="24"/>
        </w:rPr>
        <w:t xml:space="preserve">al </w:t>
      </w:r>
      <w:r w:rsidR="00984CB9">
        <w:rPr>
          <w:rFonts w:ascii="Bodoni MT" w:eastAsia="Verdana" w:hAnsi="Bodoni MT" w:cs="Bodoni MT"/>
          <w:color w:val="000000"/>
          <w:sz w:val="24"/>
          <w:szCs w:val="24"/>
        </w:rPr>
        <w:t>84,6%</w:t>
      </w:r>
      <w:r w:rsidR="00E34145">
        <w:rPr>
          <w:rFonts w:ascii="Bodoni MT" w:eastAsia="Verdana" w:hAnsi="Bodoni MT" w:cs="Bodoni MT"/>
          <w:color w:val="000000"/>
          <w:sz w:val="24"/>
          <w:szCs w:val="24"/>
        </w:rPr>
        <w:t xml:space="preserve"> </w:t>
      </w:r>
      <w:r w:rsidRPr="005D660C">
        <w:rPr>
          <w:rFonts w:ascii="Bodoni MT" w:eastAsia="Verdana" w:hAnsi="Bodoni MT" w:cs="Bodoni MT"/>
          <w:color w:val="000000"/>
          <w:sz w:val="24"/>
          <w:szCs w:val="24"/>
        </w:rPr>
        <w:t>delle previsioni), corrispondenti al 10,06% del totale degli accertamenti. Il confronto con l’esercizio precedente evidenzia, a fronte di minori previsioni (-34,37%), una migliore capacità di accertamento mentre risultano inferiori, anche in valore assoluto, le riscossioni. La difficoltà di riscuotere tali entrate è attribuibile alla loro natura, essendo costituite prevalentemente da contributi “</w:t>
      </w:r>
      <w:r w:rsidRPr="005D660C">
        <w:rPr>
          <w:rFonts w:ascii="Bodoni MT" w:eastAsia="Verdana" w:hAnsi="Bodoni MT" w:cs="Bodoni MT"/>
          <w:i/>
          <w:color w:val="000000"/>
          <w:sz w:val="24"/>
          <w:szCs w:val="24"/>
        </w:rPr>
        <w:t>a rendicontazione</w:t>
      </w:r>
      <w:r w:rsidRPr="005D660C">
        <w:rPr>
          <w:rFonts w:ascii="Bodoni MT" w:eastAsia="Verdana" w:hAnsi="Bodoni MT" w:cs="Bodoni MT"/>
          <w:color w:val="000000"/>
          <w:sz w:val="24"/>
          <w:szCs w:val="24"/>
        </w:rPr>
        <w:t>”</w:t>
      </w:r>
      <w:r w:rsidRPr="005D660C">
        <w:rPr>
          <w:rFonts w:ascii="Bodoni MT" w:eastAsia="Verdana" w:hAnsi="Bodoni MT" w:cs="Bodoni MT"/>
          <w:color w:val="000000"/>
          <w:spacing w:val="-3"/>
          <w:sz w:val="24"/>
          <w:szCs w:val="24"/>
          <w:vertAlign w:val="superscript"/>
        </w:rPr>
        <w:footnoteReference w:id="81"/>
      </w:r>
      <w:r w:rsidRPr="005D660C">
        <w:rPr>
          <w:rFonts w:ascii="Bodoni MT" w:eastAsia="Verdan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Verdana" w:hAnsi="Bodoni MT" w:cs="Bodoni MT"/>
          <w:color w:val="000000"/>
          <w:spacing w:val="-3"/>
          <w:sz w:val="24"/>
          <w:szCs w:val="24"/>
        </w:rPr>
      </w:pPr>
      <w:r w:rsidRPr="005D660C">
        <w:rPr>
          <w:rFonts w:ascii="Bodoni MT" w:eastAsia="Verdana" w:hAnsi="Bodoni MT" w:cs="Bodoni MT"/>
          <w:color w:val="000000"/>
          <w:spacing w:val="-3"/>
          <w:sz w:val="24"/>
          <w:szCs w:val="24"/>
        </w:rPr>
        <w:t xml:space="preserve">Per quanto riguarda il </w:t>
      </w:r>
      <w:r w:rsidRPr="00B7211A">
        <w:rPr>
          <w:rFonts w:ascii="Bodoni MT" w:eastAsia="Verdana" w:hAnsi="Bodoni MT" w:cs="Bodoni MT"/>
          <w:b/>
          <w:color w:val="000000"/>
          <w:spacing w:val="-3"/>
          <w:sz w:val="24"/>
          <w:szCs w:val="24"/>
        </w:rPr>
        <w:t>Titolo V “</w:t>
      </w:r>
      <w:r w:rsidRPr="00B7211A">
        <w:rPr>
          <w:rFonts w:ascii="Bodoni MT" w:eastAsia="Verdana" w:hAnsi="Bodoni MT" w:cs="Bodoni MT"/>
          <w:b/>
          <w:i/>
          <w:color w:val="000000"/>
          <w:spacing w:val="-3"/>
          <w:sz w:val="24"/>
          <w:szCs w:val="24"/>
        </w:rPr>
        <w:t>Entrate da riduzione di attività finanziarie</w:t>
      </w:r>
      <w:r w:rsidRPr="00B7211A">
        <w:rPr>
          <w:rFonts w:ascii="Bodoni MT" w:eastAsia="Verdana" w:hAnsi="Bodoni MT" w:cs="Bodoni MT"/>
          <w:b/>
          <w:color w:val="000000"/>
          <w:spacing w:val="-3"/>
          <w:sz w:val="24"/>
          <w:szCs w:val="24"/>
        </w:rPr>
        <w:t>”</w:t>
      </w:r>
      <w:r w:rsidRPr="005D660C">
        <w:rPr>
          <w:rFonts w:ascii="Bodoni MT" w:eastAsia="Verdana" w:hAnsi="Bodoni MT" w:cs="Bodoni MT"/>
          <w:color w:val="000000"/>
          <w:spacing w:val="-3"/>
          <w:sz w:val="24"/>
          <w:szCs w:val="24"/>
        </w:rPr>
        <w:t xml:space="preserve"> le cui previsioni pari a</w:t>
      </w:r>
      <w:r w:rsidR="00984CB9">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 xml:space="preserve">411,492 </w:t>
      </w:r>
      <w:r w:rsidR="00984CB9">
        <w:rPr>
          <w:rFonts w:ascii="Bodoni MT" w:eastAsia="Verdana" w:hAnsi="Bodoni MT" w:cs="Bodoni MT"/>
          <w:color w:val="000000"/>
          <w:spacing w:val="-3"/>
          <w:sz w:val="24"/>
          <w:szCs w:val="24"/>
        </w:rPr>
        <w:t>milioni di euro</w:t>
      </w:r>
      <w:r w:rsidRPr="005D660C">
        <w:rPr>
          <w:rFonts w:ascii="Bodoni MT" w:eastAsia="Verdana" w:hAnsi="Bodoni MT" w:cs="Bodoni MT"/>
          <w:color w:val="000000"/>
          <w:spacing w:val="-3"/>
          <w:sz w:val="24"/>
          <w:szCs w:val="24"/>
        </w:rPr>
        <w:t xml:space="preserve"> costituiscono il 4,09% del totale, gli accertamenti, totalmente riscossi, sono stati di soli 191,663 </w:t>
      </w:r>
      <w:r w:rsidR="00D62DB1">
        <w:rPr>
          <w:rFonts w:ascii="Bodoni MT" w:eastAsia="Verdana" w:hAnsi="Bodoni MT" w:cs="Bodoni MT"/>
          <w:color w:val="000000"/>
          <w:spacing w:val="-3"/>
          <w:sz w:val="24"/>
          <w:szCs w:val="24"/>
        </w:rPr>
        <w:t>m</w:t>
      </w:r>
      <w:r w:rsidR="00D62DB1">
        <w:rPr>
          <w:rFonts w:ascii="Bodoni MT" w:eastAsia="Verdana" w:hAnsi="Bodoni MT" w:cs="Bodoni MT"/>
          <w:color w:val="000000"/>
          <w:sz w:val="24"/>
          <w:szCs w:val="24"/>
        </w:rPr>
        <w:t>ilioni</w:t>
      </w:r>
      <w:r w:rsidRPr="005D660C">
        <w:rPr>
          <w:rFonts w:ascii="Bodoni MT" w:eastAsia="Verdana" w:hAnsi="Bodoni MT" w:cs="Bodoni MT"/>
          <w:color w:val="000000"/>
          <w:spacing w:val="-3"/>
          <w:sz w:val="24"/>
          <w:szCs w:val="24"/>
        </w:rPr>
        <w:t xml:space="preserve"> di euro (46,57% delle previsioni). Dai dati inseriti nel Sistema informativo regionale, risulta che trattasi principalmente di prelievi da conti di tesoreria (diversi dalla Tesoreria unica) e da depositi bancari</w:t>
      </w:r>
      <w:r w:rsidR="00DE34E9">
        <w:rPr>
          <w:rStyle w:val="Rimandonotaapidipagina"/>
          <w:rFonts w:ascii="Bodoni MT" w:eastAsia="Verdana" w:hAnsi="Bodoni MT" w:cs="Bodoni MT"/>
          <w:color w:val="000000"/>
          <w:spacing w:val="-3"/>
          <w:sz w:val="24"/>
          <w:szCs w:val="24"/>
        </w:rPr>
        <w:footnoteReference w:id="82"/>
      </w:r>
      <w:r w:rsidRPr="005D660C">
        <w:rPr>
          <w:rFonts w:ascii="Bodoni MT" w:eastAsia="Verdana" w:hAnsi="Bodoni MT" w:cs="Bodoni MT"/>
          <w:color w:val="000000"/>
          <w:spacing w:val="-3"/>
          <w:sz w:val="24"/>
          <w:szCs w:val="24"/>
        </w:rPr>
        <w:t>.</w:t>
      </w:r>
      <w:r w:rsidR="00625F30">
        <w:rPr>
          <w:rFonts w:ascii="Bodoni MT" w:eastAsia="Verdana" w:hAnsi="Bodoni MT" w:cs="Bodoni MT"/>
          <w:color w:val="000000"/>
          <w:spacing w:val="-3"/>
          <w:sz w:val="24"/>
          <w:szCs w:val="24"/>
        </w:rPr>
        <w:t xml:space="preserve"> </w:t>
      </w:r>
    </w:p>
    <w:p w:rsidR="00B7211A" w:rsidRDefault="005D660C" w:rsidP="005D660C">
      <w:pPr>
        <w:autoSpaceDE w:val="0"/>
        <w:autoSpaceDN w:val="0"/>
        <w:adjustRightInd w:val="0"/>
        <w:spacing w:after="120" w:line="360" w:lineRule="auto"/>
        <w:jc w:val="both"/>
        <w:textAlignment w:val="center"/>
        <w:rPr>
          <w:rFonts w:ascii="Bodoni MT" w:eastAsia="Verdana" w:hAnsi="Bodoni MT" w:cs="Bodoni MT"/>
          <w:color w:val="000000"/>
          <w:spacing w:val="-3"/>
          <w:sz w:val="24"/>
          <w:szCs w:val="24"/>
        </w:rPr>
      </w:pPr>
      <w:r w:rsidRPr="005D660C">
        <w:rPr>
          <w:rFonts w:ascii="Bodoni MT" w:eastAsia="Verdana" w:hAnsi="Bodoni MT" w:cs="Bodoni MT"/>
          <w:color w:val="000000"/>
          <w:spacing w:val="-3"/>
          <w:sz w:val="24"/>
          <w:szCs w:val="24"/>
        </w:rPr>
        <w:t xml:space="preserve">Le previsioni finali del </w:t>
      </w:r>
      <w:r w:rsidRPr="00B7211A">
        <w:rPr>
          <w:rFonts w:ascii="Bodoni MT" w:eastAsia="Verdana" w:hAnsi="Bodoni MT" w:cs="Bodoni MT"/>
          <w:b/>
          <w:color w:val="000000"/>
          <w:spacing w:val="-3"/>
          <w:sz w:val="24"/>
          <w:szCs w:val="24"/>
        </w:rPr>
        <w:t>Titolo VI “</w:t>
      </w:r>
      <w:r w:rsidRPr="00B7211A">
        <w:rPr>
          <w:rFonts w:ascii="Bodoni MT" w:eastAsia="Verdana" w:hAnsi="Bodoni MT" w:cs="Bodoni MT"/>
          <w:b/>
          <w:i/>
          <w:color w:val="000000"/>
          <w:spacing w:val="-3"/>
          <w:sz w:val="24"/>
          <w:szCs w:val="24"/>
        </w:rPr>
        <w:t>Accensione di prestiti</w:t>
      </w:r>
      <w:r w:rsidRPr="00B7211A">
        <w:rPr>
          <w:rFonts w:ascii="Bodoni MT" w:eastAsia="Verdana" w:hAnsi="Bodoni MT" w:cs="Bodoni MT"/>
          <w:b/>
          <w:color w:val="000000"/>
          <w:spacing w:val="-3"/>
          <w:sz w:val="24"/>
          <w:szCs w:val="24"/>
        </w:rPr>
        <w:t>”</w:t>
      </w:r>
      <w:r w:rsidRPr="005D660C">
        <w:rPr>
          <w:rFonts w:ascii="Bodoni MT" w:eastAsia="Verdana" w:hAnsi="Bodoni MT" w:cs="Bodoni MT"/>
          <w:color w:val="000000"/>
          <w:spacing w:val="-3"/>
          <w:sz w:val="24"/>
          <w:szCs w:val="24"/>
        </w:rPr>
        <w:t xml:space="preserve"> risultano piuttosto consistenti, rappresenta</w:t>
      </w:r>
      <w:r w:rsidR="00625F30">
        <w:rPr>
          <w:rFonts w:ascii="Bodoni MT" w:eastAsia="Verdana" w:hAnsi="Bodoni MT" w:cs="Bodoni MT"/>
          <w:color w:val="000000"/>
          <w:spacing w:val="-3"/>
          <w:sz w:val="24"/>
          <w:szCs w:val="24"/>
        </w:rPr>
        <w:t xml:space="preserve">ndo l’8,03% del totale Titoli. </w:t>
      </w:r>
      <w:r w:rsidR="00625F30" w:rsidRPr="005B7C05">
        <w:rPr>
          <w:rFonts w:ascii="Bodoni MT" w:eastAsia="Verdana" w:hAnsi="Bodoni MT" w:cs="Bodoni MT"/>
          <w:color w:val="000000"/>
          <w:spacing w:val="-3"/>
          <w:sz w:val="24"/>
          <w:szCs w:val="24"/>
        </w:rPr>
        <w:t>Sulla base di t</w:t>
      </w:r>
      <w:r w:rsidRPr="005B7C05">
        <w:rPr>
          <w:rFonts w:ascii="Bodoni MT" w:eastAsia="Verdana" w:hAnsi="Bodoni MT" w:cs="Bodoni MT"/>
          <w:color w:val="000000"/>
          <w:spacing w:val="-3"/>
          <w:sz w:val="24"/>
          <w:szCs w:val="24"/>
        </w:rPr>
        <w:t>ali</w:t>
      </w:r>
      <w:r w:rsidRPr="005D660C">
        <w:rPr>
          <w:rFonts w:ascii="Bodoni MT" w:eastAsia="Verdana" w:hAnsi="Bodoni MT" w:cs="Bodoni MT"/>
          <w:color w:val="000000"/>
          <w:spacing w:val="-3"/>
          <w:sz w:val="24"/>
          <w:szCs w:val="24"/>
        </w:rPr>
        <w:t xml:space="preserve"> previsioni, finalizzate a garantire </w:t>
      </w:r>
      <w:r w:rsidRPr="005D660C">
        <w:rPr>
          <w:rFonts w:ascii="Bodoni MT" w:eastAsia="Verdana" w:hAnsi="Bodoni MT" w:cs="Bodoni MT"/>
          <w:color w:val="000000"/>
          <w:spacing w:val="-3"/>
          <w:sz w:val="24"/>
          <w:szCs w:val="24"/>
        </w:rPr>
        <w:lastRenderedPageBreak/>
        <w:t>l’equilibrio di bilancio</w:t>
      </w:r>
      <w:r w:rsidRPr="005D660C">
        <w:rPr>
          <w:rFonts w:ascii="Bodoni MT" w:eastAsia="Verdana" w:hAnsi="Bodoni MT" w:cs="Bodoni MT"/>
          <w:color w:val="000000"/>
          <w:spacing w:val="-3"/>
          <w:sz w:val="24"/>
          <w:szCs w:val="24"/>
          <w:vertAlign w:val="superscript"/>
        </w:rPr>
        <w:footnoteReference w:id="83"/>
      </w:r>
      <w:r w:rsidRPr="005D660C">
        <w:rPr>
          <w:rFonts w:ascii="Bodoni MT" w:eastAsia="Verdana" w:hAnsi="Bodoni MT" w:cs="Bodoni MT"/>
          <w:color w:val="000000"/>
          <w:spacing w:val="-3"/>
          <w:sz w:val="24"/>
          <w:szCs w:val="24"/>
        </w:rPr>
        <w:t xml:space="preserve"> </w:t>
      </w:r>
      <w:r w:rsidR="00625F30" w:rsidRPr="005B7C05">
        <w:rPr>
          <w:rFonts w:ascii="Bodoni MT" w:eastAsia="Verdana" w:hAnsi="Bodoni MT" w:cs="Bodoni MT"/>
          <w:color w:val="000000"/>
          <w:spacing w:val="-3"/>
          <w:sz w:val="24"/>
          <w:szCs w:val="24"/>
        </w:rPr>
        <w:t>viene</w:t>
      </w:r>
      <w:r w:rsidR="00625F30">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autorizzat</w:t>
      </w:r>
      <w:r w:rsidR="00625F30">
        <w:rPr>
          <w:rFonts w:ascii="Bodoni MT" w:eastAsia="Verdana" w:hAnsi="Bodoni MT" w:cs="Bodoni MT"/>
          <w:color w:val="000000"/>
          <w:spacing w:val="-3"/>
          <w:sz w:val="24"/>
          <w:szCs w:val="24"/>
        </w:rPr>
        <w:t>a</w:t>
      </w:r>
      <w:r w:rsidRPr="005D660C">
        <w:rPr>
          <w:rFonts w:ascii="Bodoni MT" w:eastAsia="Verdana" w:hAnsi="Bodoni MT" w:cs="Bodoni MT"/>
          <w:color w:val="000000"/>
          <w:spacing w:val="-3"/>
          <w:sz w:val="24"/>
          <w:szCs w:val="24"/>
        </w:rPr>
        <w:t xml:space="preserve"> la contrazione di mutui per un importo pari a 808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eastAsia="Verdana" w:hAnsi="Bodoni MT" w:cs="Bodoni MT"/>
          <w:color w:val="000000"/>
          <w:spacing w:val="-3"/>
          <w:sz w:val="24"/>
          <w:szCs w:val="24"/>
        </w:rPr>
        <w:t xml:space="preserve">di euro circa. I mutui effettivamente contratti sono stati di 370,587 </w:t>
      </w:r>
      <w:r w:rsidR="00D62DB1">
        <w:rPr>
          <w:rFonts w:ascii="Bodoni MT" w:eastAsia="Verdana" w:hAnsi="Bodoni MT" w:cs="Bodoni MT"/>
          <w:color w:val="000000"/>
          <w:spacing w:val="-3"/>
          <w:sz w:val="24"/>
          <w:szCs w:val="24"/>
        </w:rPr>
        <w:t>m</w:t>
      </w:r>
      <w:r w:rsidR="00D62DB1">
        <w:rPr>
          <w:rFonts w:ascii="Bodoni MT" w:eastAsia="Verdana" w:hAnsi="Bodoni MT" w:cs="Bodoni MT"/>
          <w:color w:val="000000"/>
          <w:sz w:val="24"/>
          <w:szCs w:val="24"/>
        </w:rPr>
        <w:t>ilioni</w:t>
      </w:r>
      <w:r w:rsidR="00D62DB1" w:rsidRPr="005D660C">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 xml:space="preserve">di euro. </w:t>
      </w:r>
    </w:p>
    <w:p w:rsidR="00B7211A" w:rsidRDefault="005D660C" w:rsidP="005D660C">
      <w:pPr>
        <w:autoSpaceDE w:val="0"/>
        <w:autoSpaceDN w:val="0"/>
        <w:adjustRightInd w:val="0"/>
        <w:spacing w:after="120" w:line="360" w:lineRule="auto"/>
        <w:jc w:val="both"/>
        <w:textAlignment w:val="center"/>
        <w:rPr>
          <w:rFonts w:ascii="Bodoni MT" w:eastAsia="Verdana" w:hAnsi="Bodoni MT" w:cs="Bodoni MT"/>
          <w:color w:val="000000"/>
          <w:spacing w:val="-3"/>
          <w:sz w:val="24"/>
          <w:szCs w:val="24"/>
        </w:rPr>
      </w:pPr>
      <w:r w:rsidRPr="005D660C">
        <w:rPr>
          <w:rFonts w:ascii="Bodoni MT" w:eastAsia="Verdana" w:hAnsi="Bodoni MT" w:cs="Bodoni MT"/>
          <w:color w:val="000000"/>
          <w:spacing w:val="-3"/>
          <w:sz w:val="24"/>
          <w:szCs w:val="24"/>
        </w:rPr>
        <w:t>Gli accertamenti hanno riguardato la contrazione del mutuo per debito autorizzato e non contratto</w:t>
      </w:r>
      <w:r w:rsidR="00984CB9">
        <w:rPr>
          <w:rFonts w:ascii="Bodoni MT" w:eastAsia="Verdana" w:hAnsi="Bodoni MT" w:cs="Bodoni MT"/>
          <w:color w:val="000000"/>
          <w:spacing w:val="-3"/>
          <w:sz w:val="24"/>
          <w:szCs w:val="24"/>
        </w:rPr>
        <w:t>, a erogazione multipla</w:t>
      </w:r>
      <w:r w:rsidRPr="005D660C">
        <w:rPr>
          <w:rFonts w:ascii="Bodoni MT" w:eastAsia="Verdana" w:hAnsi="Bodoni MT" w:cs="Bodoni MT"/>
          <w:color w:val="000000"/>
          <w:spacing w:val="-3"/>
          <w:sz w:val="24"/>
          <w:szCs w:val="24"/>
        </w:rPr>
        <w:t xml:space="preserve"> (104 </w:t>
      </w:r>
      <w:r w:rsidR="00D62DB1">
        <w:rPr>
          <w:rFonts w:ascii="Bodoni MT" w:eastAsia="Verdana" w:hAnsi="Bodoni MT" w:cs="Bodoni MT"/>
          <w:color w:val="000000"/>
          <w:spacing w:val="-3"/>
          <w:sz w:val="24"/>
          <w:szCs w:val="24"/>
        </w:rPr>
        <w:t>m</w:t>
      </w:r>
      <w:r w:rsidR="00D62DB1">
        <w:rPr>
          <w:rFonts w:ascii="Bodoni MT" w:eastAsia="Verdana" w:hAnsi="Bodoni MT" w:cs="Bodoni MT"/>
          <w:color w:val="000000"/>
          <w:sz w:val="24"/>
          <w:szCs w:val="24"/>
        </w:rPr>
        <w:t>ilioni</w:t>
      </w:r>
      <w:r w:rsidR="00D62DB1" w:rsidRPr="005D660C">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 xml:space="preserve">di euro), la contrazione </w:t>
      </w:r>
      <w:r w:rsidR="00252901">
        <w:rPr>
          <w:rFonts w:ascii="Bodoni MT" w:eastAsia="Verdana" w:hAnsi="Bodoni MT" w:cs="Bodoni MT"/>
          <w:color w:val="000000"/>
          <w:spacing w:val="-3"/>
          <w:sz w:val="24"/>
          <w:szCs w:val="24"/>
        </w:rPr>
        <w:t>dell’</w:t>
      </w:r>
      <w:r w:rsidRPr="005D660C">
        <w:rPr>
          <w:rFonts w:ascii="Bodoni MT" w:eastAsia="Verdana" w:hAnsi="Bodoni MT" w:cs="Bodoni MT"/>
          <w:color w:val="000000"/>
          <w:spacing w:val="-3"/>
          <w:sz w:val="24"/>
          <w:szCs w:val="24"/>
        </w:rPr>
        <w:t xml:space="preserve">anticipazione di liquidità (215,657 </w:t>
      </w:r>
      <w:r w:rsidR="00D62DB1">
        <w:rPr>
          <w:rFonts w:ascii="Bodoni MT" w:eastAsia="Verdana" w:hAnsi="Bodoni MT" w:cs="Bodoni MT"/>
          <w:color w:val="000000"/>
          <w:spacing w:val="-3"/>
          <w:sz w:val="24"/>
          <w:szCs w:val="24"/>
        </w:rPr>
        <w:t>m</w:t>
      </w:r>
      <w:r w:rsidR="00D62DB1">
        <w:rPr>
          <w:rFonts w:ascii="Bodoni MT" w:eastAsia="Verdana" w:hAnsi="Bodoni MT" w:cs="Bodoni MT"/>
          <w:color w:val="000000"/>
          <w:sz w:val="24"/>
          <w:szCs w:val="24"/>
        </w:rPr>
        <w:t>ilioni</w:t>
      </w:r>
      <w:r w:rsidR="00D62DB1" w:rsidRPr="005D660C">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 xml:space="preserve">di euro) e sono stati influenzati dall’andamento dei cronoprogrammi degli investimenti del mutuo infrastrutture assunto nell’esercizio precedente. </w:t>
      </w:r>
    </w:p>
    <w:p w:rsidR="00252901" w:rsidRDefault="00252901" w:rsidP="005D660C">
      <w:pPr>
        <w:autoSpaceDE w:val="0"/>
        <w:autoSpaceDN w:val="0"/>
        <w:adjustRightInd w:val="0"/>
        <w:spacing w:after="120" w:line="360" w:lineRule="auto"/>
        <w:jc w:val="both"/>
        <w:textAlignment w:val="center"/>
        <w:rPr>
          <w:rFonts w:ascii="Bodoni MT" w:eastAsia="Verdana" w:hAnsi="Bodoni MT" w:cs="Bodoni MT"/>
          <w:color w:val="000000"/>
          <w:spacing w:val="-3"/>
          <w:sz w:val="24"/>
          <w:szCs w:val="24"/>
        </w:rPr>
      </w:pPr>
      <w:r>
        <w:rPr>
          <w:rFonts w:ascii="Bodoni MT" w:eastAsia="Verdana" w:hAnsi="Bodoni MT" w:cs="Bodoni MT"/>
          <w:color w:val="000000"/>
          <w:spacing w:val="-3"/>
          <w:sz w:val="24"/>
          <w:szCs w:val="24"/>
        </w:rPr>
        <w:t>Ovviamente le entrate di tale titolo, contribuiscono a migliorare la gestione di cassa. Nel proseguo della relazione si riferirà in merito all’utilizzo di tali risorse nel rispetto delle vigenti norme sulla materia.</w:t>
      </w:r>
    </w:p>
    <w:p w:rsidR="00625F30" w:rsidRDefault="005D660C" w:rsidP="005D660C">
      <w:pPr>
        <w:autoSpaceDE w:val="0"/>
        <w:autoSpaceDN w:val="0"/>
        <w:adjustRightInd w:val="0"/>
        <w:spacing w:after="120" w:line="360" w:lineRule="auto"/>
        <w:jc w:val="both"/>
        <w:textAlignment w:val="center"/>
        <w:rPr>
          <w:rFonts w:ascii="Bodoni MT" w:eastAsia="Verdana" w:hAnsi="Bodoni MT" w:cs="Bodoni MT"/>
          <w:color w:val="000000"/>
          <w:spacing w:val="-3"/>
          <w:sz w:val="24"/>
          <w:szCs w:val="24"/>
        </w:rPr>
      </w:pPr>
      <w:r w:rsidRPr="005D660C">
        <w:rPr>
          <w:rFonts w:ascii="Bodoni MT" w:eastAsia="Verdana" w:hAnsi="Bodoni MT" w:cs="Bodoni MT"/>
          <w:color w:val="000000"/>
          <w:spacing w:val="-3"/>
          <w:sz w:val="24"/>
          <w:szCs w:val="24"/>
        </w:rPr>
        <w:t>Le previsioni che non si sono tradotte in accertamenti</w:t>
      </w:r>
      <w:r w:rsidR="00B7211A">
        <w:rPr>
          <w:rFonts w:ascii="Bodoni MT" w:eastAsia="Verdana" w:hAnsi="Bodoni MT" w:cs="Bodoni MT"/>
          <w:color w:val="000000"/>
          <w:spacing w:val="-3"/>
          <w:sz w:val="24"/>
          <w:szCs w:val="24"/>
        </w:rPr>
        <w:t>, costituiscono minori entrate. A tale proposito</w:t>
      </w:r>
      <w:r w:rsidR="00321CED">
        <w:rPr>
          <w:rFonts w:ascii="Bodoni MT" w:eastAsia="Verdana" w:hAnsi="Bodoni MT" w:cs="Bodoni MT"/>
          <w:color w:val="000000"/>
          <w:spacing w:val="-3"/>
          <w:sz w:val="24"/>
          <w:szCs w:val="24"/>
        </w:rPr>
        <w:t>,</w:t>
      </w:r>
      <w:r w:rsidR="00B7211A">
        <w:rPr>
          <w:rFonts w:ascii="Bodoni MT" w:eastAsia="Verdana" w:hAnsi="Bodoni MT" w:cs="Bodoni MT"/>
          <w:color w:val="000000"/>
          <w:spacing w:val="-3"/>
          <w:sz w:val="24"/>
          <w:szCs w:val="24"/>
        </w:rPr>
        <w:t xml:space="preserve"> </w:t>
      </w:r>
      <w:r w:rsidRPr="005D660C">
        <w:rPr>
          <w:rFonts w:ascii="Bodoni MT" w:eastAsia="Verdana" w:hAnsi="Bodoni MT" w:cs="Bodoni MT"/>
          <w:color w:val="000000"/>
          <w:spacing w:val="-3"/>
          <w:sz w:val="24"/>
          <w:szCs w:val="24"/>
        </w:rPr>
        <w:t xml:space="preserve">come anche evidenziato nel Rapporto di gestione </w:t>
      </w:r>
      <w:r w:rsidR="00321CED">
        <w:rPr>
          <w:rFonts w:ascii="Bodoni MT" w:eastAsia="Verdana" w:hAnsi="Bodoni MT" w:cs="Bodoni MT"/>
          <w:color w:val="000000"/>
          <w:spacing w:val="-3"/>
          <w:sz w:val="24"/>
          <w:szCs w:val="24"/>
        </w:rPr>
        <w:t xml:space="preserve">anno 2016 </w:t>
      </w:r>
      <w:r w:rsidRPr="005D660C">
        <w:rPr>
          <w:rFonts w:ascii="Bodoni MT" w:eastAsia="Verdana" w:hAnsi="Bodoni MT" w:cs="Bodoni MT"/>
          <w:color w:val="000000"/>
          <w:spacing w:val="-3"/>
          <w:sz w:val="24"/>
          <w:szCs w:val="24"/>
        </w:rPr>
        <w:t xml:space="preserve">dell’Ufficio di controllo interno della Regione, </w:t>
      </w:r>
      <w:r w:rsidR="00321CED">
        <w:rPr>
          <w:rFonts w:ascii="Bodoni MT" w:eastAsia="Verdana" w:hAnsi="Bodoni MT" w:cs="Bodoni MT"/>
          <w:color w:val="000000"/>
          <w:spacing w:val="-3"/>
          <w:sz w:val="24"/>
          <w:szCs w:val="24"/>
        </w:rPr>
        <w:t xml:space="preserve">tali economie di entrate </w:t>
      </w:r>
      <w:r w:rsidRPr="005D660C">
        <w:rPr>
          <w:rFonts w:ascii="Bodoni MT" w:eastAsia="Verdana" w:hAnsi="Bodoni MT" w:cs="Bodoni MT"/>
          <w:color w:val="000000"/>
          <w:spacing w:val="-3"/>
          <w:sz w:val="24"/>
          <w:szCs w:val="24"/>
        </w:rPr>
        <w:t>evitano la formazione di nuovi residui attivi “</w:t>
      </w:r>
      <w:r w:rsidRPr="005D660C">
        <w:rPr>
          <w:rFonts w:ascii="Bodoni MT" w:eastAsia="Verdana" w:hAnsi="Bodoni MT" w:cs="Bodoni MT"/>
          <w:i/>
          <w:color w:val="000000"/>
          <w:spacing w:val="-3"/>
          <w:sz w:val="24"/>
          <w:szCs w:val="24"/>
        </w:rPr>
        <w:t>non veritieri</w:t>
      </w:r>
      <w:r w:rsidRPr="005D660C">
        <w:rPr>
          <w:rFonts w:ascii="Bodoni MT" w:eastAsia="Verdana" w:hAnsi="Bodoni MT" w:cs="Bodoni MT"/>
          <w:color w:val="000000"/>
          <w:spacing w:val="-3"/>
          <w:sz w:val="24"/>
          <w:szCs w:val="24"/>
        </w:rPr>
        <w:t>”</w:t>
      </w:r>
      <w:r w:rsidRPr="005D660C">
        <w:rPr>
          <w:rFonts w:ascii="Bodoni MT" w:eastAsia="Verdana" w:hAnsi="Bodoni MT" w:cs="Bodoni MT"/>
          <w:color w:val="000000"/>
          <w:spacing w:val="-3"/>
          <w:sz w:val="24"/>
          <w:szCs w:val="24"/>
          <w:vertAlign w:val="superscript"/>
        </w:rPr>
        <w:footnoteReference w:id="84"/>
      </w:r>
      <w:r w:rsidRPr="005D660C">
        <w:rPr>
          <w:rFonts w:ascii="Bodoni MT" w:eastAsia="Verdana" w:hAnsi="Bodoni MT" w:cs="Bodoni MT"/>
          <w:color w:val="000000"/>
          <w:spacing w:val="-3"/>
          <w:sz w:val="24"/>
          <w:szCs w:val="24"/>
        </w:rPr>
        <w:t>.</w:t>
      </w:r>
    </w:p>
    <w:p w:rsidR="005D660C" w:rsidRPr="005D660C" w:rsidRDefault="005D660C" w:rsidP="00E860E7">
      <w:pPr>
        <w:pStyle w:val="CdcTesto"/>
        <w:rPr>
          <w:rFonts w:eastAsia="Verdana"/>
        </w:rPr>
      </w:pPr>
      <w:r w:rsidRPr="005D660C">
        <w:rPr>
          <w:rFonts w:eastAsia="Verdana"/>
        </w:rPr>
        <w:t xml:space="preserve">Il </w:t>
      </w:r>
      <w:r w:rsidRPr="00321CED">
        <w:rPr>
          <w:rFonts w:eastAsia="Verdana"/>
          <w:b/>
        </w:rPr>
        <w:t>Titolo IX “</w:t>
      </w:r>
      <w:r w:rsidRPr="00321CED">
        <w:rPr>
          <w:rFonts w:eastAsia="Verdana"/>
          <w:b/>
          <w:i/>
        </w:rPr>
        <w:t>Entrate per conto terzi e partite di giro</w:t>
      </w:r>
      <w:r w:rsidRPr="00321CED">
        <w:rPr>
          <w:rFonts w:eastAsia="Verdana"/>
          <w:b/>
        </w:rPr>
        <w:t>”</w:t>
      </w:r>
      <w:r w:rsidRPr="005D660C">
        <w:rPr>
          <w:rFonts w:eastAsia="Verdana"/>
        </w:rPr>
        <w:t xml:space="preserve"> ha visto, a fronte di previsioni finali di 155,746 </w:t>
      </w:r>
      <w:r w:rsidR="00D62DB1">
        <w:rPr>
          <w:rFonts w:eastAsia="Verdana"/>
          <w:spacing w:val="-3"/>
        </w:rPr>
        <w:t>m</w:t>
      </w:r>
      <w:r w:rsidR="00D62DB1">
        <w:rPr>
          <w:rFonts w:eastAsia="Verdana"/>
        </w:rPr>
        <w:t>ilioni</w:t>
      </w:r>
      <w:r w:rsidR="00D62DB1" w:rsidRPr="005D660C">
        <w:rPr>
          <w:rFonts w:eastAsia="Verdana"/>
          <w:spacing w:val="-3"/>
        </w:rPr>
        <w:t xml:space="preserve"> </w:t>
      </w:r>
      <w:r w:rsidRPr="005D660C">
        <w:rPr>
          <w:rFonts w:eastAsia="Verdana"/>
        </w:rPr>
        <w:t xml:space="preserve">di euro, accertamenti di 126 </w:t>
      </w:r>
      <w:r w:rsidR="00D62DB1">
        <w:rPr>
          <w:rFonts w:eastAsia="Verdana"/>
          <w:spacing w:val="-3"/>
        </w:rPr>
        <w:t>m</w:t>
      </w:r>
      <w:r w:rsidR="00D62DB1">
        <w:rPr>
          <w:rFonts w:eastAsia="Verdana"/>
        </w:rPr>
        <w:t>ilioni</w:t>
      </w:r>
      <w:r w:rsidR="00D62DB1" w:rsidRPr="005D660C">
        <w:rPr>
          <w:rFonts w:eastAsia="Verdana"/>
          <w:spacing w:val="-3"/>
        </w:rPr>
        <w:t xml:space="preserve"> </w:t>
      </w:r>
      <w:r w:rsidRPr="005D660C">
        <w:rPr>
          <w:rFonts w:eastAsia="Verdana"/>
        </w:rPr>
        <w:t>di euro e riscossioni di importo pressoché identico.</w:t>
      </w:r>
    </w:p>
    <w:p w:rsidR="005D660C" w:rsidRPr="005D660C" w:rsidRDefault="005D660C" w:rsidP="00E860E7">
      <w:pPr>
        <w:pStyle w:val="CdcTesto"/>
        <w:rPr>
          <w:rFonts w:eastAsia="Verdana"/>
        </w:rPr>
      </w:pPr>
      <w:r w:rsidRPr="005D660C">
        <w:rPr>
          <w:rFonts w:eastAsia="Verdana"/>
        </w:rPr>
        <w:t xml:space="preserve">I </w:t>
      </w:r>
      <w:r w:rsidRPr="00321CED">
        <w:rPr>
          <w:rFonts w:eastAsia="Verdana"/>
          <w:b/>
        </w:rPr>
        <w:t>residui attivi della competenza</w:t>
      </w:r>
      <w:r w:rsidRPr="005D660C">
        <w:rPr>
          <w:rFonts w:eastAsia="Verdana"/>
        </w:rPr>
        <w:t xml:space="preserve">, pari a 1.411,712 </w:t>
      </w:r>
      <w:r w:rsidR="00D62DB1">
        <w:rPr>
          <w:rFonts w:eastAsia="Verdana"/>
          <w:spacing w:val="-3"/>
        </w:rPr>
        <w:t>m</w:t>
      </w:r>
      <w:r w:rsidR="00D62DB1">
        <w:rPr>
          <w:rFonts w:eastAsia="Verdana"/>
        </w:rPr>
        <w:t>ilioni</w:t>
      </w:r>
      <w:r w:rsidR="00D62DB1" w:rsidRPr="005D660C">
        <w:rPr>
          <w:rFonts w:eastAsia="Verdana"/>
          <w:spacing w:val="-3"/>
        </w:rPr>
        <w:t xml:space="preserve"> </w:t>
      </w:r>
      <w:r w:rsidRPr="005D660C">
        <w:rPr>
          <w:rFonts w:eastAsia="Verdana"/>
        </w:rPr>
        <w:t xml:space="preserve">di euro, </w:t>
      </w:r>
      <w:r w:rsidRPr="00321CED">
        <w:rPr>
          <w:rFonts w:eastAsia="Verdana"/>
          <w:b/>
        </w:rPr>
        <w:t>sono aumentati dell’86%</w:t>
      </w:r>
      <w:r w:rsidRPr="005D660C">
        <w:rPr>
          <w:rFonts w:eastAsia="Verdana"/>
        </w:rPr>
        <w:t xml:space="preserve"> circa rispetto al 2015, denotando una decisa sofferenza nella fase di riscossione, più evidente nel Titolo I e nel Titolo IV dove si sono accumulati residui rispettivamente per 527,512 </w:t>
      </w:r>
      <w:r w:rsidR="00D62DB1">
        <w:rPr>
          <w:rFonts w:eastAsia="Verdana"/>
          <w:spacing w:val="-3"/>
        </w:rPr>
        <w:t>m</w:t>
      </w:r>
      <w:r w:rsidR="00D62DB1">
        <w:rPr>
          <w:rFonts w:eastAsia="Verdana"/>
        </w:rPr>
        <w:t>ilioni</w:t>
      </w:r>
      <w:r w:rsidR="00D62DB1" w:rsidRPr="005D660C">
        <w:rPr>
          <w:rFonts w:eastAsia="Verdana"/>
          <w:spacing w:val="-3"/>
        </w:rPr>
        <w:t xml:space="preserve"> </w:t>
      </w:r>
      <w:r w:rsidRPr="005D660C">
        <w:rPr>
          <w:rFonts w:eastAsia="Verdana"/>
        </w:rPr>
        <w:t xml:space="preserve">di euro e per 790,628 </w:t>
      </w:r>
      <w:r w:rsidR="00984CB9">
        <w:rPr>
          <w:rFonts w:eastAsia="Verdana"/>
        </w:rPr>
        <w:t>milioni</w:t>
      </w:r>
      <w:r w:rsidRPr="005D660C">
        <w:rPr>
          <w:rFonts w:eastAsia="Verdana"/>
        </w:rPr>
        <w:t xml:space="preserve"> di euro. La circostanza della formazione di così cospicui residui attivi della competenza, come già evidenziato in sede di parifica per l’esercizio 2015, evidenzia criticità nelle attività amministrative di determinazione dell’esercizio di esigibilità di tali crediti e sulla relativa imputazione di bilancio.</w:t>
      </w:r>
    </w:p>
    <w:p w:rsidR="00625F30" w:rsidRDefault="002163CC" w:rsidP="00E860E7">
      <w:pPr>
        <w:pStyle w:val="CdcTesto"/>
        <w:rPr>
          <w:rFonts w:eastAsia="Verdana"/>
        </w:rPr>
      </w:pPr>
      <w:r>
        <w:rPr>
          <w:rFonts w:eastAsia="Verdana"/>
        </w:rPr>
        <w:t xml:space="preserve">Si tenga conto del fatto che </w:t>
      </w:r>
      <w:r w:rsidR="00625F30" w:rsidRPr="002163CC">
        <w:rPr>
          <w:rFonts w:eastAsia="Verdana"/>
        </w:rPr>
        <w:t>la corretta applicazione dei nuovi principi di imputazione delle entrate che condizionano l’accertamento alla effettiva esigibilità</w:t>
      </w:r>
      <w:r>
        <w:rPr>
          <w:rFonts w:eastAsia="Verdana"/>
        </w:rPr>
        <w:t>, comporta che</w:t>
      </w:r>
      <w:r w:rsidR="00625F30" w:rsidRPr="002163CC">
        <w:rPr>
          <w:rFonts w:eastAsia="Verdana"/>
        </w:rPr>
        <w:t xml:space="preserve"> la formazione di residui dalla competenza dovrebbe divenire</w:t>
      </w:r>
      <w:r>
        <w:rPr>
          <w:rFonts w:eastAsia="Verdana"/>
        </w:rPr>
        <w:t xml:space="preserve"> </w:t>
      </w:r>
      <w:r w:rsidR="00625F30" w:rsidRPr="002163CC">
        <w:rPr>
          <w:rFonts w:eastAsia="Verdana"/>
        </w:rPr>
        <w:t>marginale.</w:t>
      </w:r>
    </w:p>
    <w:p w:rsidR="005D660C" w:rsidRDefault="005D660C" w:rsidP="00E860E7">
      <w:pPr>
        <w:pStyle w:val="CdcTesto"/>
        <w:rPr>
          <w:rFonts w:eastAsia="Verdana"/>
        </w:rPr>
      </w:pPr>
      <w:r w:rsidRPr="005D660C">
        <w:rPr>
          <w:rFonts w:eastAsia="Verdana"/>
        </w:rPr>
        <w:t xml:space="preserve">L’analisi delle entrate per fonte di provenienza mostra che l’86% circa delle previsioni e degli accertamenti si riferisce ad entrate regionali, l’11,7% circa è costituita da entrate di derivazione statale e circa il 2,12% riguarda fondi comunitari. Le riscossioni mostrano una flessione delle </w:t>
      </w:r>
      <w:r w:rsidRPr="005D660C">
        <w:rPr>
          <w:rFonts w:eastAsia="Verdana"/>
        </w:rPr>
        <w:lastRenderedPageBreak/>
        <w:t>entrate di origine statale (3,19%) e comunitaria (0,99%), derivante dalla natura di tali entrate, la cui acquisizione è quasi sempre subordinata alla rendicontazione della correlata spesa. La gestione delle entrate per fonte è illustrata nella seguente tabella e nei grafici successivi.</w:t>
      </w:r>
      <w:r w:rsidR="00321CED">
        <w:rPr>
          <w:rFonts w:eastAsia="Verdana"/>
        </w:rPr>
        <w:t xml:space="preserve"> Si segnale la bassa incidenza dell’entrate di fonte comunitaria, analogamente all’esercizio precedente, in controtendenza con i documenti di programmazione (DEFR).</w:t>
      </w:r>
    </w:p>
    <w:p w:rsidR="005D660C" w:rsidRPr="005D660C" w:rsidRDefault="005D660C" w:rsidP="00321CED">
      <w:pPr>
        <w:pStyle w:val="Didascalia"/>
        <w:spacing w:before="120"/>
        <w:rPr>
          <w:rFonts w:eastAsia="Verdana"/>
          <w:spacing w:val="-3"/>
          <w:sz w:val="24"/>
          <w:szCs w:val="24"/>
        </w:rPr>
      </w:pPr>
      <w:bookmarkStart w:id="125" w:name="_Toc499040961"/>
      <w:bookmarkStart w:id="126" w:name="_Toc507422481"/>
      <w:r>
        <w:t xml:space="preserve">Tabella </w:t>
      </w:r>
      <w:r w:rsidR="00B90472">
        <w:fldChar w:fldCharType="begin"/>
      </w:r>
      <w:r w:rsidR="00B90472">
        <w:instrText xml:space="preserve"> SEQ Tabella </w:instrText>
      </w:r>
      <w:r w:rsidR="00B90472">
        <w:instrText xml:space="preserve">\* ARABIC </w:instrText>
      </w:r>
      <w:r w:rsidR="00B90472">
        <w:fldChar w:fldCharType="separate"/>
      </w:r>
      <w:r w:rsidR="008616B3">
        <w:rPr>
          <w:noProof/>
        </w:rPr>
        <w:t>13</w:t>
      </w:r>
      <w:r w:rsidR="00B90472">
        <w:rPr>
          <w:noProof/>
        </w:rPr>
        <w:fldChar w:fldCharType="end"/>
      </w:r>
      <w:r w:rsidRPr="005D660C">
        <w:t xml:space="preserve"> – Entrate per titoli e fonte – Competenza 2016</w:t>
      </w:r>
      <w:bookmarkEnd w:id="125"/>
      <w:bookmarkEnd w:id="126"/>
    </w:p>
    <w:tbl>
      <w:tblPr>
        <w:tblW w:w="5000" w:type="pct"/>
        <w:jc w:val="center"/>
        <w:tblCellMar>
          <w:left w:w="70" w:type="dxa"/>
          <w:right w:w="70" w:type="dxa"/>
        </w:tblCellMar>
        <w:tblLook w:val="04A0" w:firstRow="1" w:lastRow="0" w:firstColumn="1" w:lastColumn="0" w:noHBand="0" w:noVBand="1"/>
      </w:tblPr>
      <w:tblGrid>
        <w:gridCol w:w="1253"/>
        <w:gridCol w:w="942"/>
        <w:gridCol w:w="1934"/>
        <w:gridCol w:w="1803"/>
        <w:gridCol w:w="2326"/>
        <w:gridCol w:w="1803"/>
      </w:tblGrid>
      <w:tr w:rsidR="005D660C" w:rsidRPr="005D660C" w:rsidTr="00321CED">
        <w:trPr>
          <w:trHeight w:val="281"/>
          <w:jc w:val="center"/>
        </w:trPr>
        <w:tc>
          <w:tcPr>
            <w:tcW w:w="623" w:type="pct"/>
            <w:tcBorders>
              <w:top w:val="single" w:sz="4" w:space="0" w:color="auto"/>
              <w:left w:val="single" w:sz="4" w:space="0" w:color="auto"/>
              <w:bottom w:val="single" w:sz="4" w:space="0" w:color="auto"/>
              <w:right w:val="single" w:sz="4" w:space="0" w:color="auto"/>
            </w:tcBorders>
            <w:shd w:val="clear" w:color="auto" w:fill="17365D" w:themeFill="text2" w:themeFillShade="BF"/>
            <w:noWrap/>
            <w:vAlign w:val="center"/>
            <w:hideMark/>
          </w:tcPr>
          <w:p w:rsidR="005D660C" w:rsidRPr="005D660C" w:rsidRDefault="005D660C" w:rsidP="005D660C">
            <w:pPr>
              <w:spacing w:after="0" w:line="240" w:lineRule="auto"/>
              <w:jc w:val="center"/>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 </w:t>
            </w:r>
          </w:p>
        </w:tc>
        <w:tc>
          <w:tcPr>
            <w:tcW w:w="468"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rsidR="005D660C" w:rsidRPr="005D660C" w:rsidRDefault="005D660C" w:rsidP="005D660C">
            <w:pPr>
              <w:spacing w:after="0" w:line="240" w:lineRule="auto"/>
              <w:jc w:val="center"/>
              <w:rPr>
                <w:rFonts w:ascii="Bodoni MT" w:eastAsia="Times New Roman" w:hAnsi="Bodoni MT" w:cs="Arial"/>
                <w:sz w:val="16"/>
                <w:szCs w:val="16"/>
                <w:lang w:eastAsia="it-IT"/>
              </w:rPr>
            </w:pPr>
            <w:r w:rsidRPr="005D660C">
              <w:rPr>
                <w:rFonts w:ascii="Bodoni MT" w:eastAsia="Times New Roman" w:hAnsi="Bodoni MT" w:cs="Arial"/>
                <w:sz w:val="16"/>
                <w:szCs w:val="16"/>
                <w:lang w:eastAsia="it-IT"/>
              </w:rPr>
              <w:t>Fonte</w:t>
            </w:r>
          </w:p>
        </w:tc>
        <w:tc>
          <w:tcPr>
            <w:tcW w:w="961"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rsidR="005D660C" w:rsidRPr="005D660C" w:rsidRDefault="005D660C" w:rsidP="005D660C">
            <w:pPr>
              <w:spacing w:after="0" w:line="240" w:lineRule="auto"/>
              <w:jc w:val="center"/>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Previsioni finali</w:t>
            </w:r>
          </w:p>
        </w:tc>
        <w:tc>
          <w:tcPr>
            <w:tcW w:w="896"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rsidR="005D660C" w:rsidRPr="005D660C" w:rsidRDefault="005D660C" w:rsidP="005D660C">
            <w:pPr>
              <w:spacing w:after="0" w:line="240" w:lineRule="auto"/>
              <w:jc w:val="center"/>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Accertamenti</w:t>
            </w:r>
          </w:p>
        </w:tc>
        <w:tc>
          <w:tcPr>
            <w:tcW w:w="1156"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rsidR="00E60CAE" w:rsidRDefault="005D660C" w:rsidP="005D660C">
            <w:pPr>
              <w:spacing w:after="0" w:line="240" w:lineRule="auto"/>
              <w:jc w:val="center"/>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 xml:space="preserve">Riscossioni </w:t>
            </w:r>
          </w:p>
          <w:p w:rsidR="005D660C" w:rsidRPr="005D660C" w:rsidRDefault="005D660C" w:rsidP="005D660C">
            <w:pPr>
              <w:spacing w:after="0" w:line="240" w:lineRule="auto"/>
              <w:jc w:val="center"/>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(Versamenti disposti)</w:t>
            </w:r>
          </w:p>
        </w:tc>
        <w:tc>
          <w:tcPr>
            <w:tcW w:w="896"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rsidR="005D660C" w:rsidRPr="005D660C" w:rsidRDefault="005D660C" w:rsidP="005D660C">
            <w:pPr>
              <w:spacing w:after="0" w:line="240" w:lineRule="auto"/>
              <w:jc w:val="center"/>
              <w:rPr>
                <w:rFonts w:ascii="Bodoni MT" w:eastAsia="Times New Roman" w:hAnsi="Bodoni MT" w:cs="Arial"/>
                <w:b/>
                <w:bCs/>
                <w:sz w:val="16"/>
                <w:szCs w:val="16"/>
                <w:lang w:eastAsia="it-IT"/>
              </w:rPr>
            </w:pPr>
            <w:r w:rsidRPr="005D660C">
              <w:rPr>
                <w:rFonts w:ascii="Bodoni MT" w:eastAsia="Times New Roman" w:hAnsi="Bodoni MT" w:cs="Arial"/>
                <w:b/>
                <w:bCs/>
                <w:sz w:val="16"/>
                <w:szCs w:val="16"/>
                <w:lang w:eastAsia="it-IT"/>
              </w:rPr>
              <w:t>Residui competenza</w:t>
            </w:r>
          </w:p>
        </w:tc>
      </w:tr>
      <w:tr w:rsidR="005D660C" w:rsidRPr="005D660C" w:rsidTr="005D660C">
        <w:trPr>
          <w:trHeight w:val="285"/>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I</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7.104.006.640,11</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6.973.199.419,32</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6.445.686.481,58</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527.512.937,74</w:t>
            </w:r>
          </w:p>
        </w:tc>
      </w:tr>
      <w:tr w:rsidR="005D660C" w:rsidRPr="005D660C" w:rsidTr="005D660C">
        <w:trPr>
          <w:trHeight w:val="213"/>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59"/>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2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7.104.006.640,11</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6.973.199.419,32</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6.445.686.481,58</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527.512.937,74</w:t>
            </w:r>
          </w:p>
        </w:tc>
      </w:tr>
      <w:tr w:rsidR="005D660C" w:rsidRPr="005D660C" w:rsidTr="00321CED">
        <w:trPr>
          <w:trHeight w:val="145"/>
          <w:jc w:val="center"/>
        </w:trPr>
        <w:tc>
          <w:tcPr>
            <w:tcW w:w="623" w:type="pct"/>
            <w:tcBorders>
              <w:top w:val="nil"/>
              <w:left w:val="single" w:sz="4" w:space="0" w:color="auto"/>
              <w:bottom w:val="single" w:sz="4" w:space="0" w:color="auto"/>
              <w:right w:val="single" w:sz="4" w:space="0" w:color="auto"/>
            </w:tcBorders>
            <w:shd w:val="clear" w:color="auto" w:fill="17365D" w:themeFill="text2" w:themeFillShade="BF"/>
            <w:noWrap/>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127"/>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II</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55.034.128,63</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1.470.476,47</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1.470.476,47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01"/>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290.685.587,39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212.870.930,19</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163.019.952,39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49.850.977,80</w:t>
            </w:r>
          </w:p>
        </w:tc>
      </w:tr>
      <w:tr w:rsidR="005D660C" w:rsidRPr="005D660C" w:rsidTr="005D660C">
        <w:trPr>
          <w:trHeight w:val="28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127.604.736,55</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86.004.500,18</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57.416.574,42</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28.587.925,76</w:t>
            </w:r>
          </w:p>
        </w:tc>
      </w:tr>
      <w:tr w:rsidR="005D660C" w:rsidRPr="005D660C" w:rsidTr="005D660C">
        <w:trPr>
          <w:trHeight w:val="21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473.324.452,57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300.345.906,84</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221.907.003,28</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78.438.903,56</w:t>
            </w:r>
          </w:p>
        </w:tc>
      </w:tr>
      <w:tr w:rsidR="005D660C" w:rsidRPr="005D660C" w:rsidTr="005D660C">
        <w:trPr>
          <w:trHeight w:val="70"/>
          <w:jc w:val="center"/>
        </w:trPr>
        <w:tc>
          <w:tcPr>
            <w:tcW w:w="623" w:type="pct"/>
            <w:tcBorders>
              <w:top w:val="nil"/>
              <w:left w:val="single" w:sz="4" w:space="0" w:color="auto"/>
              <w:bottom w:val="single" w:sz="4" w:space="0" w:color="auto"/>
              <w:right w:val="single" w:sz="4" w:space="0" w:color="auto"/>
            </w:tcBorders>
            <w:shd w:val="clear" w:color="auto" w:fill="17365D" w:themeFill="text2" w:themeFillShade="BF"/>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115"/>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III</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103.416.645,85</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76.151.112,76</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61.041.418,29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15.109.694,47</w:t>
            </w:r>
          </w:p>
        </w:tc>
      </w:tr>
      <w:tr w:rsidR="005D660C" w:rsidRPr="005D660C" w:rsidTr="005D660C">
        <w:trPr>
          <w:trHeight w:val="12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121"/>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4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103.416.645,85</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76.151.112,76</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61.041.418,29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15.109.694,47</w:t>
            </w:r>
          </w:p>
        </w:tc>
      </w:tr>
      <w:tr w:rsidR="005D660C" w:rsidRPr="005D660C" w:rsidTr="005D660C">
        <w:trPr>
          <w:trHeight w:val="163"/>
          <w:jc w:val="center"/>
        </w:trPr>
        <w:tc>
          <w:tcPr>
            <w:tcW w:w="623" w:type="pct"/>
            <w:tcBorders>
              <w:top w:val="nil"/>
              <w:left w:val="single" w:sz="4" w:space="0" w:color="auto"/>
              <w:bottom w:val="single" w:sz="4" w:space="0" w:color="auto"/>
              <w:right w:val="single" w:sz="4" w:space="0" w:color="auto"/>
            </w:tcBorders>
            <w:shd w:val="clear" w:color="auto" w:fill="17365D" w:themeFill="text2" w:themeFillShade="BF"/>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270"/>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IV</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281.510.270,20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26.170.153,04</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21.893.858,84</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4.276.294,20</w:t>
            </w:r>
          </w:p>
        </w:tc>
      </w:tr>
      <w:tr w:rsidR="005D660C" w:rsidRPr="005D660C" w:rsidTr="005D660C">
        <w:trPr>
          <w:trHeight w:val="7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969.074.517,49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813.154.016,71</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73.078.687,36</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740.075.329,35</w:t>
            </w:r>
          </w:p>
        </w:tc>
      </w:tr>
      <w:tr w:rsidR="005D660C" w:rsidRPr="005D660C" w:rsidTr="005D660C">
        <w:trPr>
          <w:trHeight w:val="209"/>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100.356.834,10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59.403.678,41</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13.126.805,07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46.276.873,34</w:t>
            </w:r>
          </w:p>
        </w:tc>
      </w:tr>
      <w:tr w:rsidR="005D660C" w:rsidRPr="005D660C" w:rsidTr="005D660C">
        <w:trPr>
          <w:trHeight w:val="22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1.350.941.621,79</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898.727.848,16</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108.099.351,27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790.628.496,89</w:t>
            </w:r>
          </w:p>
        </w:tc>
      </w:tr>
      <w:tr w:rsidR="005D660C" w:rsidRPr="005D660C" w:rsidTr="005D660C">
        <w:trPr>
          <w:trHeight w:val="70"/>
          <w:jc w:val="center"/>
        </w:trPr>
        <w:tc>
          <w:tcPr>
            <w:tcW w:w="623" w:type="pct"/>
            <w:tcBorders>
              <w:top w:val="nil"/>
              <w:left w:val="single" w:sz="4" w:space="0" w:color="auto"/>
              <w:bottom w:val="single" w:sz="4" w:space="0" w:color="auto"/>
              <w:right w:val="single" w:sz="4" w:space="0" w:color="auto"/>
            </w:tcBorders>
            <w:shd w:val="clear" w:color="auto" w:fill="17365D" w:themeFill="text2" w:themeFillShade="BF"/>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175"/>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V</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411.492.418,81</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191.663.551,26</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191.663.551,26</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19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4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13"/>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411.492.418,81</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191.663.551,26</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191.663.551,26</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0,00</w:t>
            </w:r>
          </w:p>
        </w:tc>
      </w:tr>
      <w:tr w:rsidR="005D660C" w:rsidRPr="005D660C" w:rsidTr="005D660C">
        <w:trPr>
          <w:trHeight w:val="90"/>
          <w:jc w:val="center"/>
        </w:trPr>
        <w:tc>
          <w:tcPr>
            <w:tcW w:w="623" w:type="pct"/>
            <w:tcBorders>
              <w:top w:val="nil"/>
              <w:left w:val="single" w:sz="4" w:space="0" w:color="auto"/>
              <w:bottom w:val="single" w:sz="4" w:space="0" w:color="auto"/>
              <w:right w:val="single" w:sz="4" w:space="0" w:color="auto"/>
            </w:tcBorders>
            <w:shd w:val="clear" w:color="auto" w:fill="17365D" w:themeFill="text2" w:themeFillShade="BF"/>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225"/>
          <w:jc w:val="center"/>
        </w:trPr>
        <w:tc>
          <w:tcPr>
            <w:tcW w:w="623" w:type="pct"/>
            <w:vMerge w:val="restart"/>
            <w:tcBorders>
              <w:top w:val="nil"/>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VI</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808.180.000,00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370.587.400,05</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370.587.400,05</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2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25"/>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40"/>
          <w:jc w:val="center"/>
        </w:trPr>
        <w:tc>
          <w:tcPr>
            <w:tcW w:w="623" w:type="pct"/>
            <w:vMerge/>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808.180.000,00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370.587.400,05</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370.587.400,05</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0,00</w:t>
            </w:r>
          </w:p>
        </w:tc>
      </w:tr>
      <w:tr w:rsidR="005D660C" w:rsidRPr="005D660C" w:rsidTr="005D660C">
        <w:trPr>
          <w:trHeight w:val="135"/>
          <w:jc w:val="center"/>
        </w:trPr>
        <w:tc>
          <w:tcPr>
            <w:tcW w:w="623" w:type="pct"/>
            <w:tcBorders>
              <w:top w:val="nil"/>
              <w:left w:val="single" w:sz="4" w:space="0" w:color="auto"/>
              <w:bottom w:val="nil"/>
              <w:right w:val="single" w:sz="4" w:space="0" w:color="auto"/>
            </w:tcBorders>
            <w:shd w:val="clear" w:color="auto" w:fill="17365D" w:themeFill="text2" w:themeFillShade="BF"/>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255"/>
          <w:jc w:val="center"/>
        </w:trPr>
        <w:tc>
          <w:tcPr>
            <w:tcW w:w="623" w:type="pct"/>
            <w:vMerge w:val="restart"/>
            <w:tcBorders>
              <w:top w:val="single" w:sz="4" w:space="0" w:color="auto"/>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IX</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155.745.712,37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125.925.178,12</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125.903.382,73</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198,01</w:t>
            </w:r>
          </w:p>
        </w:tc>
      </w:tr>
      <w:tr w:rsidR="005D660C" w:rsidRPr="005D660C" w:rsidTr="005D660C">
        <w:trPr>
          <w:trHeight w:val="225"/>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10"/>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175"/>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155.745.712,37</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125.925.178,12</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125.903.382,73</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198,01</w:t>
            </w:r>
          </w:p>
        </w:tc>
      </w:tr>
      <w:tr w:rsidR="005D660C" w:rsidRPr="005D660C" w:rsidTr="005D660C">
        <w:trPr>
          <w:trHeight w:val="135"/>
          <w:jc w:val="center"/>
        </w:trPr>
        <w:tc>
          <w:tcPr>
            <w:tcW w:w="623" w:type="pct"/>
            <w:tcBorders>
              <w:top w:val="nil"/>
              <w:left w:val="single" w:sz="4" w:space="0" w:color="auto"/>
              <w:bottom w:val="nil"/>
              <w:right w:val="single" w:sz="4" w:space="0" w:color="auto"/>
            </w:tcBorders>
            <w:shd w:val="clear" w:color="auto" w:fill="17365D" w:themeFill="text2" w:themeFillShade="BF"/>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 </w:t>
            </w:r>
          </w:p>
        </w:tc>
        <w:tc>
          <w:tcPr>
            <w:tcW w:w="468"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 </w:t>
            </w:r>
          </w:p>
        </w:tc>
        <w:tc>
          <w:tcPr>
            <w:tcW w:w="961"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115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c>
          <w:tcPr>
            <w:tcW w:w="896" w:type="pct"/>
            <w:tcBorders>
              <w:top w:val="nil"/>
              <w:left w:val="nil"/>
              <w:bottom w:val="single" w:sz="4" w:space="0" w:color="auto"/>
              <w:right w:val="single" w:sz="4" w:space="0" w:color="auto"/>
            </w:tcBorders>
            <w:shd w:val="clear" w:color="auto" w:fill="17365D" w:themeFill="text2" w:themeFillShade="BF"/>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 </w:t>
            </w:r>
          </w:p>
        </w:tc>
      </w:tr>
      <w:tr w:rsidR="005D660C" w:rsidRPr="005D660C" w:rsidTr="005D660C">
        <w:trPr>
          <w:trHeight w:val="70"/>
          <w:jc w:val="center"/>
        </w:trPr>
        <w:tc>
          <w:tcPr>
            <w:tcW w:w="623" w:type="pct"/>
            <w:vMerge w:val="restart"/>
            <w:tcBorders>
              <w:top w:val="single" w:sz="4" w:space="0" w:color="auto"/>
              <w:left w:val="single" w:sz="4" w:space="0" w:color="auto"/>
              <w:bottom w:val="single" w:sz="4" w:space="0" w:color="000000"/>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Titolo 0</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282.056.568,12</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210"/>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188"/>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color w:val="FFFFFF" w:themeColor="background1"/>
                <w:sz w:val="16"/>
                <w:szCs w:val="16"/>
                <w:lang w:eastAsia="it-IT"/>
              </w:rPr>
            </w:pPr>
            <w:r w:rsidRPr="005D660C">
              <w:rPr>
                <w:rFonts w:ascii="Bodoni MT" w:eastAsia="Times New Roman" w:hAnsi="Bodoni MT" w:cs="Arial"/>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sz w:val="16"/>
                <w:szCs w:val="16"/>
                <w:lang w:eastAsia="it-IT"/>
              </w:rPr>
            </w:pPr>
            <w:r w:rsidRPr="005D660C">
              <w:rPr>
                <w:rFonts w:ascii="Calibri" w:eastAsia="Times New Roman" w:hAnsi="Calibri" w:cs="Calibri"/>
                <w:sz w:val="16"/>
                <w:szCs w:val="16"/>
                <w:lang w:eastAsia="it-IT"/>
              </w:rPr>
              <w:t>0,00</w:t>
            </w:r>
          </w:p>
        </w:tc>
      </w:tr>
      <w:tr w:rsidR="005D660C" w:rsidRPr="005D660C" w:rsidTr="005D660C">
        <w:trPr>
          <w:trHeight w:val="133"/>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282.056.568,12</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0,00</w:t>
            </w:r>
          </w:p>
        </w:tc>
        <w:tc>
          <w:tcPr>
            <w:tcW w:w="115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0,00</w:t>
            </w:r>
          </w:p>
        </w:tc>
        <w:tc>
          <w:tcPr>
            <w:tcW w:w="896" w:type="pct"/>
            <w:tcBorders>
              <w:top w:val="nil"/>
              <w:left w:val="nil"/>
              <w:bottom w:val="single" w:sz="4" w:space="0" w:color="auto"/>
              <w:right w:val="single" w:sz="4" w:space="0" w:color="auto"/>
            </w:tcBorders>
            <w:shd w:val="clear" w:color="auto" w:fill="auto"/>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0,00</w:t>
            </w:r>
          </w:p>
        </w:tc>
      </w:tr>
      <w:tr w:rsidR="005D660C" w:rsidRPr="005D660C" w:rsidTr="005D660C">
        <w:trPr>
          <w:trHeight w:val="140"/>
          <w:jc w:val="center"/>
        </w:trPr>
        <w:tc>
          <w:tcPr>
            <w:tcW w:w="623" w:type="pct"/>
            <w:vMerge w:val="restart"/>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 generale</w:t>
            </w: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FR</w:t>
            </w:r>
          </w:p>
        </w:tc>
        <w:tc>
          <w:tcPr>
            <w:tcW w:w="961"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9.201.442.384,09</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7.765.167.291,02</w:t>
            </w:r>
          </w:p>
        </w:tc>
        <w:tc>
          <w:tcPr>
            <w:tcW w:w="115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7.218.246.569,22</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546.899.124,42</w:t>
            </w:r>
          </w:p>
        </w:tc>
      </w:tr>
      <w:tr w:rsidR="005D660C" w:rsidRPr="005D660C" w:rsidTr="005D660C">
        <w:trPr>
          <w:trHeight w:val="227"/>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AS</w:t>
            </w:r>
          </w:p>
        </w:tc>
        <w:tc>
          <w:tcPr>
            <w:tcW w:w="961"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1.259.760.104,88</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1.026.024.946,90</w:t>
            </w:r>
          </w:p>
        </w:tc>
        <w:tc>
          <w:tcPr>
            <w:tcW w:w="115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236.098.639,75</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789.926.307,15</w:t>
            </w:r>
          </w:p>
        </w:tc>
      </w:tr>
      <w:tr w:rsidR="005D660C" w:rsidRPr="005D660C" w:rsidTr="005D660C">
        <w:trPr>
          <w:trHeight w:val="132"/>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UE</w:t>
            </w:r>
          </w:p>
        </w:tc>
        <w:tc>
          <w:tcPr>
            <w:tcW w:w="961"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227.961.570,65</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145.408.178,59</w:t>
            </w:r>
          </w:p>
        </w:tc>
        <w:tc>
          <w:tcPr>
            <w:tcW w:w="115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70.543.379,49</w:t>
            </w:r>
          </w:p>
        </w:tc>
        <w:tc>
          <w:tcPr>
            <w:tcW w:w="896" w:type="pct"/>
            <w:tcBorders>
              <w:top w:val="nil"/>
              <w:left w:val="nil"/>
              <w:bottom w:val="single" w:sz="4" w:space="0" w:color="auto"/>
              <w:right w:val="single" w:sz="4" w:space="0" w:color="auto"/>
            </w:tcBorders>
            <w:shd w:val="clear" w:color="auto" w:fill="FFFFFF" w:themeFill="background1"/>
            <w:noWrap/>
            <w:hideMark/>
          </w:tcPr>
          <w:p w:rsidR="005D660C" w:rsidRPr="005D660C" w:rsidRDefault="005D660C" w:rsidP="005D660C">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74.864.799,10</w:t>
            </w:r>
          </w:p>
        </w:tc>
      </w:tr>
      <w:tr w:rsidR="005D660C" w:rsidRPr="005D660C" w:rsidTr="00321CED">
        <w:trPr>
          <w:trHeight w:val="81"/>
          <w:jc w:val="center"/>
        </w:trPr>
        <w:tc>
          <w:tcPr>
            <w:tcW w:w="623"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6"/>
                <w:szCs w:val="16"/>
                <w:lang w:eastAsia="it-IT"/>
              </w:rPr>
            </w:pPr>
          </w:p>
        </w:tc>
        <w:tc>
          <w:tcPr>
            <w:tcW w:w="468" w:type="pct"/>
            <w:tcBorders>
              <w:top w:val="nil"/>
              <w:left w:val="nil"/>
              <w:bottom w:val="single" w:sz="4" w:space="0" w:color="auto"/>
              <w:right w:val="single" w:sz="4" w:space="0" w:color="auto"/>
            </w:tcBorders>
            <w:shd w:val="clear" w:color="auto" w:fill="95B3D7" w:themeFill="accent1" w:themeFillTint="99"/>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6"/>
                <w:szCs w:val="16"/>
                <w:lang w:eastAsia="it-IT"/>
              </w:rPr>
            </w:pPr>
            <w:r w:rsidRPr="005D660C">
              <w:rPr>
                <w:rFonts w:ascii="Bodoni MT" w:eastAsia="Times New Roman" w:hAnsi="Bodoni MT" w:cs="Arial"/>
                <w:b/>
                <w:bCs/>
                <w:color w:val="FFFFFF" w:themeColor="background1"/>
                <w:sz w:val="16"/>
                <w:szCs w:val="16"/>
                <w:lang w:eastAsia="it-IT"/>
              </w:rPr>
              <w:t>Totale</w:t>
            </w:r>
          </w:p>
        </w:tc>
        <w:tc>
          <w:tcPr>
            <w:tcW w:w="961" w:type="pct"/>
            <w:tcBorders>
              <w:top w:val="nil"/>
              <w:left w:val="nil"/>
              <w:bottom w:val="single" w:sz="4" w:space="0" w:color="auto"/>
              <w:right w:val="single" w:sz="4" w:space="0" w:color="auto"/>
            </w:tcBorders>
            <w:shd w:val="clear" w:color="auto" w:fill="FFFFFF" w:themeFill="background1"/>
            <w:vAlign w:val="center"/>
            <w:hideMark/>
          </w:tcPr>
          <w:p w:rsidR="005D660C" w:rsidRPr="005D660C" w:rsidRDefault="005D660C" w:rsidP="00321CED">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10.689.164.059,62</w:t>
            </w:r>
          </w:p>
        </w:tc>
        <w:tc>
          <w:tcPr>
            <w:tcW w:w="896" w:type="pct"/>
            <w:tcBorders>
              <w:top w:val="nil"/>
              <w:left w:val="nil"/>
              <w:bottom w:val="single" w:sz="4" w:space="0" w:color="auto"/>
              <w:right w:val="single" w:sz="4" w:space="0" w:color="auto"/>
            </w:tcBorders>
            <w:shd w:val="clear" w:color="auto" w:fill="FFFFFF" w:themeFill="background1"/>
            <w:vAlign w:val="center"/>
            <w:hideMark/>
          </w:tcPr>
          <w:p w:rsidR="005D660C" w:rsidRPr="005D660C" w:rsidRDefault="005D660C" w:rsidP="00321CED">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8.936.600.416,51</w:t>
            </w:r>
          </w:p>
        </w:tc>
        <w:tc>
          <w:tcPr>
            <w:tcW w:w="1156" w:type="pct"/>
            <w:tcBorders>
              <w:top w:val="nil"/>
              <w:left w:val="nil"/>
              <w:bottom w:val="single" w:sz="4" w:space="0" w:color="auto"/>
              <w:right w:val="single" w:sz="4" w:space="0" w:color="auto"/>
            </w:tcBorders>
            <w:shd w:val="clear" w:color="auto" w:fill="FFFFFF" w:themeFill="background1"/>
            <w:vAlign w:val="center"/>
            <w:hideMark/>
          </w:tcPr>
          <w:p w:rsidR="005D660C" w:rsidRPr="005D660C" w:rsidRDefault="005D660C" w:rsidP="00321CED">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7.524.888.588,46</w:t>
            </w:r>
          </w:p>
        </w:tc>
        <w:tc>
          <w:tcPr>
            <w:tcW w:w="896" w:type="pct"/>
            <w:tcBorders>
              <w:top w:val="nil"/>
              <w:left w:val="nil"/>
              <w:bottom w:val="single" w:sz="4" w:space="0" w:color="auto"/>
              <w:right w:val="single" w:sz="4" w:space="0" w:color="auto"/>
            </w:tcBorders>
            <w:shd w:val="clear" w:color="auto" w:fill="FFFFFF" w:themeFill="background1"/>
            <w:vAlign w:val="center"/>
            <w:hideMark/>
          </w:tcPr>
          <w:p w:rsidR="005D660C" w:rsidRPr="005D660C" w:rsidRDefault="005D660C" w:rsidP="00321CED">
            <w:pPr>
              <w:spacing w:after="0" w:line="240" w:lineRule="auto"/>
              <w:jc w:val="right"/>
              <w:rPr>
                <w:rFonts w:ascii="Calibri" w:eastAsia="Times New Roman" w:hAnsi="Calibri" w:cs="Calibri"/>
                <w:b/>
                <w:bCs/>
                <w:sz w:val="16"/>
                <w:szCs w:val="16"/>
                <w:lang w:eastAsia="it-IT"/>
              </w:rPr>
            </w:pPr>
            <w:r w:rsidRPr="005D660C">
              <w:rPr>
                <w:rFonts w:ascii="Calibri" w:eastAsia="Times New Roman" w:hAnsi="Calibri" w:cs="Calibri"/>
                <w:b/>
                <w:bCs/>
                <w:sz w:val="16"/>
                <w:szCs w:val="16"/>
                <w:lang w:eastAsia="it-IT"/>
              </w:rPr>
              <w:t>1.411.690.230,67</w:t>
            </w:r>
          </w:p>
        </w:tc>
      </w:tr>
    </w:tbl>
    <w:p w:rsidR="005D660C" w:rsidRPr="000716EA" w:rsidRDefault="005D660C" w:rsidP="005D660C">
      <w:pPr>
        <w:rPr>
          <w:rFonts w:ascii="Bodoni MT" w:hAnsi="Bodoni MT"/>
          <w:sz w:val="20"/>
          <w:szCs w:val="20"/>
        </w:rPr>
      </w:pPr>
      <w:r w:rsidRPr="000716EA">
        <w:rPr>
          <w:rFonts w:ascii="Bodoni MT" w:hAnsi="Bodoni MT"/>
          <w:sz w:val="20"/>
          <w:szCs w:val="20"/>
        </w:rPr>
        <w:t>Fonte: Elaborazione Corte dei conti</w:t>
      </w:r>
    </w:p>
    <w:p w:rsidR="00402259" w:rsidRDefault="00402259" w:rsidP="005D660C">
      <w:pPr>
        <w:pStyle w:val="Didascalia"/>
      </w:pPr>
      <w:bookmarkStart w:id="127" w:name="_Toc499040992"/>
      <w:r>
        <w:br w:type="page"/>
      </w:r>
    </w:p>
    <w:p w:rsidR="005D660C" w:rsidRPr="005D660C" w:rsidRDefault="005D660C" w:rsidP="005D660C">
      <w:pPr>
        <w:pStyle w:val="Didascalia"/>
      </w:pPr>
      <w:bookmarkStart w:id="128" w:name="_Toc507422711"/>
      <w:r>
        <w:lastRenderedPageBreak/>
        <w:t xml:space="preserve">Grafico </w:t>
      </w:r>
      <w:r w:rsidR="00B90472">
        <w:fldChar w:fldCharType="begin"/>
      </w:r>
      <w:r w:rsidR="00B90472">
        <w:instrText xml:space="preserve"> SEQ Grafico \* ARABIC </w:instrText>
      </w:r>
      <w:r w:rsidR="00B90472">
        <w:fldChar w:fldCharType="separate"/>
      </w:r>
      <w:r w:rsidR="008616B3">
        <w:rPr>
          <w:noProof/>
        </w:rPr>
        <w:t>8</w:t>
      </w:r>
      <w:r w:rsidR="00B90472">
        <w:rPr>
          <w:noProof/>
        </w:rPr>
        <w:fldChar w:fldCharType="end"/>
      </w:r>
      <w:r w:rsidRPr="005D660C">
        <w:t xml:space="preserve"> - Entrate per fonte – Previsioni finali 2016</w:t>
      </w:r>
      <w:bookmarkEnd w:id="127"/>
      <w:bookmarkEnd w:id="128"/>
    </w:p>
    <w:p w:rsidR="005D660C" w:rsidRPr="005D660C" w:rsidRDefault="005D660C" w:rsidP="005D660C">
      <w:pPr>
        <w:jc w:val="center"/>
        <w:rPr>
          <w:b/>
        </w:rPr>
      </w:pPr>
      <w:r w:rsidRPr="005D660C">
        <w:rPr>
          <w:b/>
          <w:noProof/>
          <w:lang w:eastAsia="it-IT"/>
        </w:rPr>
        <w:drawing>
          <wp:inline distT="0" distB="0" distL="0" distR="0" wp14:anchorId="3035548F" wp14:editId="08F9C0DA">
            <wp:extent cx="2828925" cy="1219200"/>
            <wp:effectExtent l="0" t="0" r="9525" b="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219200"/>
                    </a:xfrm>
                    <a:prstGeom prst="rect">
                      <a:avLst/>
                    </a:prstGeom>
                    <a:noFill/>
                  </pic:spPr>
                </pic:pic>
              </a:graphicData>
            </a:graphic>
          </wp:inline>
        </w:drawing>
      </w:r>
    </w:p>
    <w:p w:rsidR="005D660C" w:rsidRPr="005D660C" w:rsidRDefault="005D660C" w:rsidP="005D660C">
      <w:pPr>
        <w:jc w:val="both"/>
      </w:pPr>
    </w:p>
    <w:p w:rsidR="005D660C" w:rsidRPr="005D660C" w:rsidRDefault="005D660C" w:rsidP="005D660C">
      <w:pPr>
        <w:pStyle w:val="Didascalia"/>
      </w:pPr>
      <w:bookmarkStart w:id="129" w:name="_Toc499040993"/>
      <w:bookmarkStart w:id="130" w:name="_Toc507422712"/>
      <w:r>
        <w:t xml:space="preserve">Grafico </w:t>
      </w:r>
      <w:r w:rsidR="00B90472">
        <w:fldChar w:fldCharType="begin"/>
      </w:r>
      <w:r w:rsidR="00B90472">
        <w:instrText xml:space="preserve"> SEQ Grafico \* ARABIC </w:instrText>
      </w:r>
      <w:r w:rsidR="00B90472">
        <w:fldChar w:fldCharType="separate"/>
      </w:r>
      <w:r w:rsidR="008616B3">
        <w:rPr>
          <w:noProof/>
        </w:rPr>
        <w:t>9</w:t>
      </w:r>
      <w:r w:rsidR="00B90472">
        <w:rPr>
          <w:noProof/>
        </w:rPr>
        <w:fldChar w:fldCharType="end"/>
      </w:r>
      <w:r w:rsidRPr="005D660C">
        <w:t xml:space="preserve"> - Entrate per fonte – Accertamenti di competenza 2016</w:t>
      </w:r>
      <w:bookmarkEnd w:id="129"/>
      <w:bookmarkEnd w:id="130"/>
    </w:p>
    <w:p w:rsidR="005D660C" w:rsidRPr="005D660C" w:rsidRDefault="005D660C" w:rsidP="005D660C">
      <w:pPr>
        <w:jc w:val="center"/>
      </w:pPr>
      <w:r w:rsidRPr="005D660C">
        <w:rPr>
          <w:noProof/>
          <w:lang w:eastAsia="it-IT"/>
        </w:rPr>
        <w:drawing>
          <wp:inline distT="0" distB="0" distL="0" distR="0" wp14:anchorId="706828EF" wp14:editId="66F74C70">
            <wp:extent cx="2798445" cy="1408430"/>
            <wp:effectExtent l="0" t="0" r="1905" b="127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8445" cy="1408430"/>
                    </a:xfrm>
                    <a:prstGeom prst="rect">
                      <a:avLst/>
                    </a:prstGeom>
                    <a:noFill/>
                  </pic:spPr>
                </pic:pic>
              </a:graphicData>
            </a:graphic>
          </wp:inline>
        </w:drawing>
      </w:r>
    </w:p>
    <w:p w:rsidR="005D660C" w:rsidRPr="005D660C" w:rsidRDefault="005D660C" w:rsidP="005D660C">
      <w:pPr>
        <w:jc w:val="center"/>
      </w:pPr>
    </w:p>
    <w:p w:rsidR="005D660C" w:rsidRPr="005D660C" w:rsidRDefault="005D660C" w:rsidP="005D660C">
      <w:pPr>
        <w:pStyle w:val="Didascalia"/>
      </w:pPr>
      <w:bookmarkStart w:id="131" w:name="_Toc499040994"/>
      <w:bookmarkStart w:id="132" w:name="_Toc507422713"/>
      <w:r>
        <w:t xml:space="preserve">Grafico </w:t>
      </w:r>
      <w:r w:rsidR="00B90472">
        <w:fldChar w:fldCharType="begin"/>
      </w:r>
      <w:r w:rsidR="00B90472">
        <w:instrText xml:space="preserve"> SEQ Grafico \* ARABIC </w:instrText>
      </w:r>
      <w:r w:rsidR="00B90472">
        <w:fldChar w:fldCharType="separate"/>
      </w:r>
      <w:r w:rsidR="008616B3">
        <w:rPr>
          <w:noProof/>
        </w:rPr>
        <w:t>10</w:t>
      </w:r>
      <w:r w:rsidR="00B90472">
        <w:rPr>
          <w:noProof/>
        </w:rPr>
        <w:fldChar w:fldCharType="end"/>
      </w:r>
      <w:r w:rsidRPr="005D660C">
        <w:t xml:space="preserve"> - Entrate per fonte – Riscossioni di competenza 2016</w:t>
      </w:r>
      <w:bookmarkEnd w:id="131"/>
      <w:bookmarkEnd w:id="132"/>
    </w:p>
    <w:p w:rsidR="005D660C" w:rsidRDefault="005D660C" w:rsidP="005D660C">
      <w:pPr>
        <w:jc w:val="center"/>
      </w:pPr>
      <w:r w:rsidRPr="005D660C">
        <w:rPr>
          <w:noProof/>
          <w:lang w:eastAsia="it-IT"/>
        </w:rPr>
        <w:drawing>
          <wp:inline distT="0" distB="0" distL="0" distR="0" wp14:anchorId="383C4904" wp14:editId="7BCA009B">
            <wp:extent cx="2822575" cy="1402080"/>
            <wp:effectExtent l="0" t="0" r="0" b="762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2575" cy="1402080"/>
                    </a:xfrm>
                    <a:prstGeom prst="rect">
                      <a:avLst/>
                    </a:prstGeom>
                    <a:noFill/>
                  </pic:spPr>
                </pic:pic>
              </a:graphicData>
            </a:graphic>
          </wp:inline>
        </w:drawing>
      </w:r>
    </w:p>
    <w:p w:rsidR="00262C61" w:rsidRPr="005D660C" w:rsidRDefault="00AD43CE" w:rsidP="00AD43CE">
      <w:pPr>
        <w:pStyle w:val="Titolo2"/>
      </w:pPr>
      <w:bookmarkStart w:id="133" w:name="_Toc507422631"/>
      <w:r>
        <w:t>La gestione delle spese di competenza</w:t>
      </w:r>
      <w:bookmarkEnd w:id="133"/>
    </w:p>
    <w:p w:rsidR="005D660C" w:rsidRDefault="005D660C" w:rsidP="00FA0C74">
      <w:pPr>
        <w:pStyle w:val="CdcTesto"/>
        <w:rPr>
          <w:i/>
        </w:rPr>
      </w:pPr>
      <w:r w:rsidRPr="005D660C">
        <w:t>Le spese sono state classificate, come previsto dal D.Lgs</w:t>
      </w:r>
      <w:r>
        <w:t>.</w:t>
      </w:r>
      <w:r w:rsidRPr="005D660C">
        <w:t xml:space="preserve"> 118/2011</w:t>
      </w:r>
      <w:r w:rsidRPr="005D660C">
        <w:rPr>
          <w:vertAlign w:val="superscript"/>
        </w:rPr>
        <w:footnoteReference w:id="85"/>
      </w:r>
      <w:r w:rsidRPr="005D660C">
        <w:t>, in MISSIONI, che rappresentano le funzioni principali e gli obiettivi strategici perseguiti, e Programmi, che rappresentano gli aggregati omogenei di attività volte a perseguire gli obiettivi definiti nell’ambito delle missioni. I programmi, a loro volta, si articolano in titoli e, ai fini della gestione, sono ripartiti in macroaggregati, secondo la natura economica della spesa. I Macroaggregati si suddividono in capitoli e in articoli.</w:t>
      </w:r>
      <w:r w:rsidR="00117A69">
        <w:t xml:space="preserve"> “</w:t>
      </w:r>
      <w:r w:rsidR="00117A69">
        <w:rPr>
          <w:i/>
        </w:rPr>
        <w:t xml:space="preserve">E’ </w:t>
      </w:r>
      <w:r w:rsidR="00064BC1">
        <w:rPr>
          <w:i/>
        </w:rPr>
        <w:t>attraverso l’esplicitazione del programma di azioni sulla singola area di intervento</w:t>
      </w:r>
      <w:r w:rsidR="00E34145">
        <w:rPr>
          <w:i/>
        </w:rPr>
        <w:t>,</w:t>
      </w:r>
      <w:r w:rsidR="00064BC1">
        <w:rPr>
          <w:i/>
        </w:rPr>
        <w:t xml:space="preserve"> ovvero di un maggior dettaglio della finalità della spesa in relazione alle attività, alle risorse e </w:t>
      </w:r>
      <w:r w:rsidR="00064BC1">
        <w:rPr>
          <w:i/>
        </w:rPr>
        <w:lastRenderedPageBreak/>
        <w:t>alle autorizzazioni di spesa sottostanti raggruppate in modo omogeneo, che deve essere evidenziato, in maniera</w:t>
      </w:r>
      <w:r w:rsidR="00E34145">
        <w:rPr>
          <w:i/>
        </w:rPr>
        <w:t xml:space="preserve"> trasparente</w:t>
      </w:r>
      <w:r w:rsidR="00064BC1">
        <w:rPr>
          <w:i/>
        </w:rPr>
        <w:t xml:space="preserve"> cosa viene effettivamente fatto, con quali risorse, per quali scopi, con quali risultati.</w:t>
      </w:r>
    </w:p>
    <w:p w:rsidR="00064BC1" w:rsidRPr="00117A69" w:rsidRDefault="00064BC1" w:rsidP="00FA0C74">
      <w:pPr>
        <w:pStyle w:val="CdcTesto"/>
        <w:rPr>
          <w:i/>
        </w:rPr>
      </w:pPr>
      <w:r>
        <w:rPr>
          <w:i/>
        </w:rPr>
        <w:t>La combinazione della classificazione della spesa per programmi con strumenti d’informazione strutturata sui risultati consentirà una migliore decisione sulla allocazione delle risorse, cioè sull’aumento o sulla riduzione delle risorse spese nel perseguimento degli obiettivi delle varie politiche pubbliche”</w:t>
      </w:r>
      <w:r w:rsidR="002163CC">
        <w:rPr>
          <w:rStyle w:val="Rimandonotaapidipagina"/>
          <w:i/>
        </w:rPr>
        <w:footnoteReference w:id="86"/>
      </w:r>
      <w:r w:rsidRPr="002163CC">
        <w:t>.</w:t>
      </w:r>
    </w:p>
    <w:p w:rsidR="00064BC1" w:rsidRDefault="005D660C" w:rsidP="00FA0C74">
      <w:pPr>
        <w:pStyle w:val="CdcTesto"/>
      </w:pPr>
      <w:r w:rsidRPr="005D660C">
        <w:t xml:space="preserve">L’analisi della gestione delle spese mostra che, a fronte di previsioni definitive di € 10.010.106.472,88 (al netto del FPV e al lordo delle reimputazioni), sono stati assunti impegni per € 8.148.137.354,95 (pari all’81,40% delle previsioni) e effettuati pagamenti per € 7.074.527.371,30 (pari all’86,82% degli impegni). </w:t>
      </w:r>
    </w:p>
    <w:p w:rsidR="005D660C" w:rsidRPr="005D660C" w:rsidRDefault="005D660C" w:rsidP="00FA0C74">
      <w:pPr>
        <w:pStyle w:val="CdcTesto"/>
      </w:pPr>
      <w:r w:rsidRPr="005D660C">
        <w:t xml:space="preserve">Va sottolineato che le reimputazioni, derivanti dal riaccertamento straordinario e dal riaccertamento ordinario dei residui 2015, hanno inciso significativamente sulle previsioni finali dell’esercizio. Infatti le </w:t>
      </w:r>
      <w:r w:rsidRPr="00064BC1">
        <w:rPr>
          <w:b/>
        </w:rPr>
        <w:t xml:space="preserve">reimputazioni complessive ammontano a € </w:t>
      </w:r>
      <w:r w:rsidRPr="00064BC1">
        <w:rPr>
          <w:rFonts w:eastAsia="Times New Roman" w:cs="Calibri"/>
          <w:b/>
          <w:lang w:eastAsia="it-IT"/>
        </w:rPr>
        <w:t xml:space="preserve">970.007.815,94 </w:t>
      </w:r>
      <w:r w:rsidRPr="005D660C">
        <w:rPr>
          <w:rFonts w:eastAsia="Times New Roman" w:cs="Calibri"/>
          <w:lang w:eastAsia="it-IT"/>
        </w:rPr>
        <w:t>(</w:t>
      </w:r>
      <w:r w:rsidRPr="00064BC1">
        <w:rPr>
          <w:rFonts w:eastAsia="Times New Roman" w:cs="Calibri"/>
          <w:b/>
          <w:lang w:eastAsia="it-IT"/>
        </w:rPr>
        <w:t>pari al 10,24%</w:t>
      </w:r>
      <w:r w:rsidRPr="005D660C">
        <w:rPr>
          <w:rFonts w:eastAsia="Times New Roman" w:cs="Calibri"/>
          <w:lang w:eastAsia="it-IT"/>
        </w:rPr>
        <w:t xml:space="preserve"> delle previsioni finali dei Titoli al netto del FPV e del disavanzo di amministrazione)</w:t>
      </w:r>
      <w:r w:rsidRPr="005D660C">
        <w:t>, così suddivise.</w:t>
      </w:r>
    </w:p>
    <w:p w:rsidR="005D660C" w:rsidRPr="005D660C" w:rsidRDefault="005D660C" w:rsidP="005D660C">
      <w:pPr>
        <w:pStyle w:val="Didascalia"/>
        <w:rPr>
          <w:sz w:val="24"/>
          <w:szCs w:val="24"/>
        </w:rPr>
      </w:pPr>
      <w:bookmarkStart w:id="134" w:name="_Toc499040962"/>
      <w:bookmarkStart w:id="135" w:name="_Toc507422482"/>
      <w:r>
        <w:t xml:space="preserve">Tabella </w:t>
      </w:r>
      <w:r w:rsidR="00B90472">
        <w:fldChar w:fldCharType="begin"/>
      </w:r>
      <w:r w:rsidR="00B90472">
        <w:instrText xml:space="preserve"> SEQ Tabella \* ARABIC </w:instrText>
      </w:r>
      <w:r w:rsidR="00B90472">
        <w:fldChar w:fldCharType="separate"/>
      </w:r>
      <w:r w:rsidR="008616B3">
        <w:rPr>
          <w:noProof/>
        </w:rPr>
        <w:t>14</w:t>
      </w:r>
      <w:r w:rsidR="00B90472">
        <w:rPr>
          <w:noProof/>
        </w:rPr>
        <w:fldChar w:fldCharType="end"/>
      </w:r>
      <w:r w:rsidRPr="005D660C">
        <w:t xml:space="preserve"> - </w:t>
      </w:r>
      <w:r w:rsidRPr="005D660C">
        <w:rPr>
          <w:sz w:val="24"/>
          <w:szCs w:val="24"/>
        </w:rPr>
        <w:t>Reimputazioni debiti che non hanno generato FPV</w:t>
      </w:r>
      <w:bookmarkEnd w:id="134"/>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1"/>
        <w:gridCol w:w="2761"/>
        <w:gridCol w:w="2503"/>
        <w:gridCol w:w="2036"/>
      </w:tblGrid>
      <w:tr w:rsidR="005D660C" w:rsidRPr="005D660C" w:rsidTr="00A77528">
        <w:trPr>
          <w:trHeight w:val="285"/>
          <w:jc w:val="center"/>
        </w:trPr>
        <w:tc>
          <w:tcPr>
            <w:tcW w:w="1372"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 xml:space="preserve">Reimputazioni </w:t>
            </w:r>
          </w:p>
        </w:tc>
        <w:tc>
          <w:tcPr>
            <w:tcW w:w="1372"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Parte corrente</w:t>
            </w:r>
          </w:p>
        </w:tc>
        <w:tc>
          <w:tcPr>
            <w:tcW w:w="1244"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C/capitale</w:t>
            </w:r>
          </w:p>
        </w:tc>
        <w:tc>
          <w:tcPr>
            <w:tcW w:w="1013"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Totale</w:t>
            </w:r>
          </w:p>
        </w:tc>
      </w:tr>
      <w:tr w:rsidR="005D660C" w:rsidRPr="00C341BD" w:rsidTr="00A77528">
        <w:trPr>
          <w:trHeight w:val="285"/>
          <w:jc w:val="center"/>
        </w:trPr>
        <w:tc>
          <w:tcPr>
            <w:tcW w:w="1372" w:type="pct"/>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Da riacc. ordinario 2015</w:t>
            </w:r>
          </w:p>
        </w:tc>
        <w:tc>
          <w:tcPr>
            <w:tcW w:w="1372"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45.148.064,74</w:t>
            </w:r>
          </w:p>
        </w:tc>
        <w:tc>
          <w:tcPr>
            <w:tcW w:w="1244"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369.283.194,26</w:t>
            </w:r>
          </w:p>
        </w:tc>
        <w:tc>
          <w:tcPr>
            <w:tcW w:w="1013"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414.431.259,00</w:t>
            </w:r>
          </w:p>
        </w:tc>
      </w:tr>
      <w:tr w:rsidR="005D660C" w:rsidRPr="00C341BD" w:rsidTr="00A77528">
        <w:trPr>
          <w:trHeight w:val="285"/>
          <w:jc w:val="center"/>
        </w:trPr>
        <w:tc>
          <w:tcPr>
            <w:tcW w:w="1372" w:type="pct"/>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Da riacc. straordinario</w:t>
            </w:r>
          </w:p>
        </w:tc>
        <w:tc>
          <w:tcPr>
            <w:tcW w:w="1372"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44.284.095,26</w:t>
            </w:r>
          </w:p>
        </w:tc>
        <w:tc>
          <w:tcPr>
            <w:tcW w:w="1244"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511.292.461,68</w:t>
            </w:r>
          </w:p>
        </w:tc>
        <w:tc>
          <w:tcPr>
            <w:tcW w:w="1013"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555.576.556,94</w:t>
            </w:r>
          </w:p>
        </w:tc>
      </w:tr>
      <w:tr w:rsidR="005D660C" w:rsidRPr="00C341BD" w:rsidTr="00A77528">
        <w:trPr>
          <w:trHeight w:val="285"/>
          <w:jc w:val="center"/>
        </w:trPr>
        <w:tc>
          <w:tcPr>
            <w:tcW w:w="1372" w:type="pct"/>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Totale</w:t>
            </w:r>
          </w:p>
        </w:tc>
        <w:tc>
          <w:tcPr>
            <w:tcW w:w="1372"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89.432.160,00</w:t>
            </w:r>
          </w:p>
        </w:tc>
        <w:tc>
          <w:tcPr>
            <w:tcW w:w="1244"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880.575.655,94</w:t>
            </w:r>
          </w:p>
        </w:tc>
        <w:tc>
          <w:tcPr>
            <w:tcW w:w="1013" w:type="pct"/>
            <w:shd w:val="clear" w:color="auto" w:fill="auto"/>
            <w:noWrap/>
            <w:vAlign w:val="center"/>
            <w:hideMark/>
          </w:tcPr>
          <w:p w:rsidR="005D660C" w:rsidRPr="00C341BD" w:rsidRDefault="005D660C" w:rsidP="005D660C">
            <w:pPr>
              <w:spacing w:after="0" w:line="240" w:lineRule="auto"/>
              <w:jc w:val="center"/>
              <w:rPr>
                <w:rFonts w:ascii="Calibri" w:eastAsia="Times New Roman" w:hAnsi="Calibri" w:cs="Calibri"/>
                <w:sz w:val="18"/>
                <w:szCs w:val="18"/>
                <w:lang w:eastAsia="it-IT"/>
              </w:rPr>
            </w:pPr>
            <w:r w:rsidRPr="00C341BD">
              <w:rPr>
                <w:rFonts w:ascii="Calibri" w:eastAsia="Times New Roman" w:hAnsi="Calibri" w:cs="Calibri"/>
                <w:sz w:val="18"/>
                <w:szCs w:val="18"/>
                <w:lang w:eastAsia="it-IT"/>
              </w:rPr>
              <w:t>970.007.815,94</w:t>
            </w:r>
          </w:p>
        </w:tc>
      </w:tr>
    </w:tbl>
    <w:p w:rsidR="005D660C" w:rsidRPr="002163CC" w:rsidRDefault="005D660C" w:rsidP="00E60CAE">
      <w:pPr>
        <w:pStyle w:val="CdcTesto"/>
        <w:spacing w:before="360"/>
      </w:pPr>
      <w:r w:rsidRPr="005D660C">
        <w:t xml:space="preserve">Inoltre, come già evidenziato nella </w:t>
      </w:r>
      <w:r w:rsidRPr="00064BC1">
        <w:t xml:space="preserve">tabella </w:t>
      </w:r>
      <w:r w:rsidR="00064BC1">
        <w:t>n. 2</w:t>
      </w:r>
      <w:r w:rsidRPr="005D660C">
        <w:t xml:space="preserve"> le reimputazioni da riaccertamento ordinario 2015 derivano per €</w:t>
      </w:r>
      <w:r w:rsidR="000716EA">
        <w:t xml:space="preserve"> </w:t>
      </w:r>
      <w:r w:rsidRPr="005D660C">
        <w:t>326.605.365,31 dal riaccertamento straordinario,</w:t>
      </w:r>
      <w:r w:rsidR="000716EA">
        <w:t xml:space="preserve"> evidenziando ancora una volta </w:t>
      </w:r>
      <w:r w:rsidR="007205C2" w:rsidRPr="002163CC">
        <w:t>aspetti</w:t>
      </w:r>
      <w:r w:rsidRPr="002163CC">
        <w:t xml:space="preserve"> critici</w:t>
      </w:r>
      <w:r w:rsidR="007205C2" w:rsidRPr="002163CC">
        <w:t xml:space="preserve"> e difficol</w:t>
      </w:r>
      <w:r w:rsidRPr="002163CC">
        <w:t xml:space="preserve">tà che hanno caratterizzato </w:t>
      </w:r>
      <w:r w:rsidR="007205C2" w:rsidRPr="002163CC">
        <w:t>il passaggio al nuovo ordinamento contabile</w:t>
      </w:r>
      <w:r w:rsidRPr="002163CC">
        <w:t>,</w:t>
      </w:r>
      <w:r w:rsidRPr="005D660C">
        <w:t xml:space="preserve"> in parte vanificando gli effetti positivi attesi in conseguenza della corretta individuazione degli esercizi di esigibilità delle </w:t>
      </w:r>
      <w:r w:rsidR="00CD4C84">
        <w:t xml:space="preserve">obbligazioni e della correlata </w:t>
      </w:r>
      <w:r w:rsidRPr="005D660C">
        <w:t xml:space="preserve">imputazione agli esercizi interessati </w:t>
      </w:r>
      <w:r w:rsidRPr="00064BC1">
        <w:t xml:space="preserve">(in aderenza al principio di competenza finanziaria propria dell’armonizzazione che postula l’avvicinamento della fase di scadenza e di pagamento al fine della </w:t>
      </w:r>
      <w:r w:rsidRPr="002163CC">
        <w:t xml:space="preserve">diminuzione nella formazione di residui).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2163CC">
        <w:rPr>
          <w:rStyle w:val="CdcTestoCarattere"/>
        </w:rPr>
        <w:t xml:space="preserve">Con riguardo, peraltro, all’analisi </w:t>
      </w:r>
      <w:r w:rsidR="00F268EF" w:rsidRPr="002163CC">
        <w:rPr>
          <w:rStyle w:val="CdcTestoCarattere"/>
        </w:rPr>
        <w:t>dei margini di flessibilità</w:t>
      </w:r>
      <w:r w:rsidR="00F268EF">
        <w:rPr>
          <w:rStyle w:val="CdcTestoCarattere"/>
        </w:rPr>
        <w:t xml:space="preserve"> </w:t>
      </w:r>
      <w:r w:rsidRPr="00FA0C74">
        <w:rPr>
          <w:rStyle w:val="CdcTestoCarattere"/>
        </w:rPr>
        <w:t xml:space="preserve">della manovra di spesa del 2016, si deve sottolineare che nel bilancio di previsione (e poi nel bilancio assestato), </w:t>
      </w:r>
      <w:r w:rsidRPr="00064BC1">
        <w:rPr>
          <w:rStyle w:val="CdcTestoCarattere"/>
          <w:b/>
        </w:rPr>
        <w:t>risultavano “già impegnati” ben € 2.039.270.808,54</w:t>
      </w:r>
      <w:r w:rsidR="00EF1D29">
        <w:rPr>
          <w:rStyle w:val="CdcTestoCarattere"/>
          <w:b/>
        </w:rPr>
        <w:t xml:space="preserve"> </w:t>
      </w:r>
      <w:r w:rsidR="00EF1D29">
        <w:rPr>
          <w:rStyle w:val="CdcTestoCarattere"/>
        </w:rPr>
        <w:t>(di cui 781 milioni per gli impegni assunti in esercizio provvisorio)</w:t>
      </w:r>
      <w:r w:rsidRPr="00FA0C74">
        <w:rPr>
          <w:rStyle w:val="CdcTestoCarattere"/>
        </w:rPr>
        <w:t xml:space="preserve">. Si deve </w:t>
      </w:r>
      <w:r w:rsidRPr="00FA0C74">
        <w:rPr>
          <w:rStyle w:val="CdcTestoCarattere"/>
        </w:rPr>
        <w:lastRenderedPageBreak/>
        <w:t>osservare, infatti, che tali impegni, incidendo per il</w:t>
      </w:r>
      <w:r w:rsidRPr="005D660C">
        <w:rPr>
          <w:rFonts w:ascii="Bodoni MT" w:eastAsiaTheme="minorEastAsia" w:hAnsi="Bodoni MT" w:cs="Bodoni MT"/>
          <w:color w:val="000000"/>
          <w:sz w:val="24"/>
          <w:szCs w:val="24"/>
        </w:rPr>
        <w:t xml:space="preserve"> 21,53% sulle previsioni finali di spesa (al netto del FPV e del disavanzo di amministrazione) riducono sensibilment</w:t>
      </w:r>
      <w:r w:rsidR="00EF1D29">
        <w:rPr>
          <w:rFonts w:ascii="Bodoni MT" w:eastAsiaTheme="minorEastAsia" w:hAnsi="Bodoni MT" w:cs="Bodoni MT"/>
          <w:color w:val="000000"/>
          <w:sz w:val="24"/>
          <w:szCs w:val="24"/>
        </w:rPr>
        <w:t>e la manovrabilità del bilancio, poiché trattasi prevalentemente di spese obbligatorie.</w:t>
      </w:r>
    </w:p>
    <w:p w:rsidR="005D660C" w:rsidRPr="005D660C" w:rsidRDefault="005D660C" w:rsidP="00FA0C74">
      <w:pPr>
        <w:pStyle w:val="CdcTesto"/>
      </w:pPr>
      <w:r w:rsidRPr="005D660C">
        <w:t>Al riguardo, l’Amministrazione regionale</w:t>
      </w:r>
      <w:r w:rsidRPr="005D660C">
        <w:rPr>
          <w:vertAlign w:val="superscript"/>
        </w:rPr>
        <w:footnoteReference w:id="87"/>
      </w:r>
      <w:r w:rsidRPr="005D660C">
        <w:t>, a seguito di specifica richiesta istruttoria</w:t>
      </w:r>
      <w:r w:rsidRPr="005D660C">
        <w:rPr>
          <w:vertAlign w:val="superscript"/>
        </w:rPr>
        <w:footnoteReference w:id="88"/>
      </w:r>
      <w:r w:rsidRPr="005D660C">
        <w:t>, ha fornito la scomposizione di tale voce come di seguito illustrato.</w:t>
      </w:r>
    </w:p>
    <w:p w:rsidR="005D660C" w:rsidRPr="005D660C" w:rsidRDefault="005D660C" w:rsidP="005D660C">
      <w:pPr>
        <w:pStyle w:val="Didascalia"/>
        <w:rPr>
          <w:sz w:val="24"/>
          <w:szCs w:val="24"/>
        </w:rPr>
      </w:pPr>
      <w:bookmarkStart w:id="136" w:name="_Toc499040963"/>
      <w:bookmarkStart w:id="137" w:name="_Toc507422483"/>
      <w:r>
        <w:t xml:space="preserve">Tabella </w:t>
      </w:r>
      <w:r w:rsidR="00B90472">
        <w:fldChar w:fldCharType="begin"/>
      </w:r>
      <w:r w:rsidR="00B90472">
        <w:instrText xml:space="preserve"> SEQ Tabella \* ARABIC </w:instrText>
      </w:r>
      <w:r w:rsidR="00B90472">
        <w:fldChar w:fldCharType="separate"/>
      </w:r>
      <w:r w:rsidR="008616B3">
        <w:rPr>
          <w:noProof/>
        </w:rPr>
        <w:t>15</w:t>
      </w:r>
      <w:r w:rsidR="00B90472">
        <w:rPr>
          <w:noProof/>
        </w:rPr>
        <w:fldChar w:fldCharType="end"/>
      </w:r>
      <w:r w:rsidRPr="005D660C">
        <w:t xml:space="preserve"> - </w:t>
      </w:r>
      <w:r w:rsidRPr="005D660C">
        <w:rPr>
          <w:sz w:val="24"/>
          <w:szCs w:val="24"/>
        </w:rPr>
        <w:t>Bilanc</w:t>
      </w:r>
      <w:r w:rsidR="00DC7B0E">
        <w:rPr>
          <w:sz w:val="24"/>
          <w:szCs w:val="24"/>
        </w:rPr>
        <w:t>io di previsione 2016 - Spesa -</w:t>
      </w:r>
      <w:r w:rsidRPr="005D660C">
        <w:rPr>
          <w:sz w:val="24"/>
          <w:szCs w:val="24"/>
        </w:rPr>
        <w:t xml:space="preserve"> Scomposizione voce </w:t>
      </w:r>
      <w:r w:rsidRPr="005D660C">
        <w:rPr>
          <w:i/>
          <w:sz w:val="24"/>
          <w:szCs w:val="24"/>
        </w:rPr>
        <w:t>“di cui già impegnato”</w:t>
      </w:r>
      <w:bookmarkEnd w:id="136"/>
      <w:bookmarkEnd w:id="137"/>
    </w:p>
    <w:tbl>
      <w:tblPr>
        <w:tblStyle w:val="TableGrid2"/>
        <w:tblW w:w="9679" w:type="dxa"/>
        <w:jc w:val="center"/>
        <w:tblInd w:w="0" w:type="dxa"/>
        <w:tblCellMar>
          <w:left w:w="64" w:type="dxa"/>
          <w:right w:w="2" w:type="dxa"/>
        </w:tblCellMar>
        <w:tblLook w:val="04A0" w:firstRow="1" w:lastRow="0" w:firstColumn="1" w:lastColumn="0" w:noHBand="0" w:noVBand="1"/>
      </w:tblPr>
      <w:tblGrid>
        <w:gridCol w:w="1235"/>
        <w:gridCol w:w="1005"/>
        <w:gridCol w:w="1006"/>
        <w:gridCol w:w="1003"/>
        <w:gridCol w:w="1085"/>
        <w:gridCol w:w="1084"/>
        <w:gridCol w:w="792"/>
        <w:gridCol w:w="1089"/>
        <w:gridCol w:w="1380"/>
      </w:tblGrid>
      <w:tr w:rsidR="005D660C" w:rsidRPr="005D660C" w:rsidTr="00C3636C">
        <w:trPr>
          <w:trHeight w:val="20"/>
          <w:jc w:val="center"/>
        </w:trPr>
        <w:tc>
          <w:tcPr>
            <w:tcW w:w="9679" w:type="dxa"/>
            <w:gridSpan w:val="9"/>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jc w:val="center"/>
              <w:rPr>
                <w:rFonts w:ascii="Bodoni MT" w:hAnsi="Bodoni MT"/>
              </w:rPr>
            </w:pPr>
            <w:r w:rsidRPr="005D660C">
              <w:rPr>
                <w:rFonts w:ascii="Bodoni MT" w:hAnsi="Bodoni MT"/>
                <w:sz w:val="16"/>
              </w:rPr>
              <w:t>SCOMPOSIZIONE</w:t>
            </w:r>
          </w:p>
        </w:tc>
      </w:tr>
      <w:tr w:rsidR="005D660C" w:rsidRPr="005D660C" w:rsidTr="00C3636C">
        <w:trPr>
          <w:trHeight w:val="20"/>
          <w:jc w:val="center"/>
        </w:trPr>
        <w:tc>
          <w:tcPr>
            <w:tcW w:w="1235"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1"/>
              <w:jc w:val="center"/>
              <w:rPr>
                <w:rFonts w:ascii="Bodoni MT" w:hAnsi="Bodoni MT"/>
                <w:sz w:val="18"/>
                <w:szCs w:val="18"/>
              </w:rPr>
            </w:pPr>
            <w:r w:rsidRPr="005D660C">
              <w:rPr>
                <w:rFonts w:ascii="Bodoni MT" w:hAnsi="Bodoni MT"/>
                <w:sz w:val="18"/>
                <w:szCs w:val="18"/>
              </w:rPr>
              <w:t>Dl CUI GIA’</w:t>
            </w:r>
          </w:p>
          <w:p w:rsidR="005D660C" w:rsidRPr="005D660C" w:rsidRDefault="005D660C" w:rsidP="005D660C">
            <w:pPr>
              <w:ind w:right="61"/>
              <w:jc w:val="center"/>
              <w:rPr>
                <w:rFonts w:ascii="Bodoni MT" w:hAnsi="Bodoni MT"/>
                <w:sz w:val="18"/>
                <w:szCs w:val="18"/>
              </w:rPr>
            </w:pPr>
            <w:r w:rsidRPr="005D660C">
              <w:rPr>
                <w:rFonts w:ascii="Bodoni MT" w:hAnsi="Bodoni MT"/>
                <w:sz w:val="18"/>
                <w:szCs w:val="18"/>
              </w:rPr>
              <w:t>IMPEGNATO</w:t>
            </w:r>
          </w:p>
        </w:tc>
        <w:tc>
          <w:tcPr>
            <w:tcW w:w="1005"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7"/>
              <w:jc w:val="center"/>
              <w:rPr>
                <w:rFonts w:ascii="Bodoni MT" w:hAnsi="Bodoni MT"/>
                <w:sz w:val="18"/>
                <w:szCs w:val="18"/>
              </w:rPr>
            </w:pPr>
            <w:r w:rsidRPr="005D660C">
              <w:rPr>
                <w:rFonts w:ascii="Bodoni MT" w:hAnsi="Bodoni MT"/>
                <w:sz w:val="18"/>
                <w:szCs w:val="18"/>
              </w:rPr>
              <w:t>FPVI</w:t>
            </w:r>
          </w:p>
        </w:tc>
        <w:tc>
          <w:tcPr>
            <w:tcW w:w="1006"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4"/>
              <w:jc w:val="center"/>
              <w:rPr>
                <w:rFonts w:ascii="Bodoni MT" w:hAnsi="Bodoni MT"/>
                <w:sz w:val="18"/>
                <w:szCs w:val="18"/>
              </w:rPr>
            </w:pPr>
            <w:r w:rsidRPr="005D660C">
              <w:rPr>
                <w:rFonts w:ascii="Bodoni MT" w:hAnsi="Bodoni MT"/>
                <w:sz w:val="18"/>
                <w:szCs w:val="18"/>
              </w:rPr>
              <w:t>FPVIR</w:t>
            </w:r>
          </w:p>
        </w:tc>
        <w:tc>
          <w:tcPr>
            <w:tcW w:w="1003"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4"/>
              <w:jc w:val="center"/>
              <w:rPr>
                <w:rFonts w:ascii="Bodoni MT" w:hAnsi="Bodoni MT"/>
                <w:sz w:val="18"/>
                <w:szCs w:val="18"/>
              </w:rPr>
            </w:pPr>
            <w:r w:rsidRPr="005D660C">
              <w:rPr>
                <w:rFonts w:ascii="Bodoni MT" w:hAnsi="Bodoni MT"/>
                <w:sz w:val="18"/>
                <w:szCs w:val="18"/>
              </w:rPr>
              <w:t>FPVI RA</w:t>
            </w:r>
          </w:p>
        </w:tc>
        <w:tc>
          <w:tcPr>
            <w:tcW w:w="1085"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5"/>
              <w:jc w:val="center"/>
              <w:rPr>
                <w:rFonts w:ascii="Bodoni MT" w:hAnsi="Bodoni MT"/>
                <w:sz w:val="18"/>
                <w:szCs w:val="18"/>
              </w:rPr>
            </w:pPr>
            <w:r w:rsidRPr="005D660C">
              <w:rPr>
                <w:rFonts w:ascii="Bodoni MT" w:eastAsia="Times New Roman" w:hAnsi="Bodoni MT" w:cs="Times New Roman"/>
                <w:sz w:val="18"/>
                <w:szCs w:val="18"/>
              </w:rPr>
              <w:t>FpV2</w:t>
            </w:r>
          </w:p>
        </w:tc>
        <w:tc>
          <w:tcPr>
            <w:tcW w:w="1084"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2"/>
              <w:jc w:val="center"/>
              <w:rPr>
                <w:rFonts w:ascii="Bodoni MT" w:hAnsi="Bodoni MT"/>
                <w:sz w:val="18"/>
                <w:szCs w:val="18"/>
              </w:rPr>
            </w:pPr>
            <w:r w:rsidRPr="005D660C">
              <w:rPr>
                <w:rFonts w:ascii="Bodoni MT" w:eastAsia="Times New Roman" w:hAnsi="Bodoni MT" w:cs="Times New Roman"/>
                <w:sz w:val="18"/>
                <w:szCs w:val="18"/>
              </w:rPr>
              <w:t>FPV2R</w:t>
            </w:r>
          </w:p>
        </w:tc>
        <w:tc>
          <w:tcPr>
            <w:tcW w:w="792"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2"/>
              <w:jc w:val="center"/>
              <w:rPr>
                <w:rFonts w:ascii="Bodoni MT" w:hAnsi="Bodoni MT"/>
                <w:sz w:val="18"/>
                <w:szCs w:val="18"/>
              </w:rPr>
            </w:pPr>
            <w:r w:rsidRPr="005D660C">
              <w:rPr>
                <w:rFonts w:ascii="Bodoni MT" w:eastAsia="Times New Roman" w:hAnsi="Bodoni MT" w:cs="Times New Roman"/>
                <w:sz w:val="18"/>
                <w:szCs w:val="18"/>
              </w:rPr>
              <w:t>Fpv2RA</w:t>
            </w:r>
          </w:p>
        </w:tc>
        <w:tc>
          <w:tcPr>
            <w:tcW w:w="1089"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57"/>
              <w:jc w:val="center"/>
              <w:rPr>
                <w:rFonts w:ascii="Bodoni MT" w:hAnsi="Bodoni MT"/>
                <w:sz w:val="18"/>
                <w:szCs w:val="18"/>
              </w:rPr>
            </w:pPr>
            <w:r w:rsidRPr="005D660C">
              <w:rPr>
                <w:rFonts w:ascii="Bodoni MT" w:hAnsi="Bodoni MT"/>
                <w:sz w:val="18"/>
                <w:szCs w:val="18"/>
              </w:rPr>
              <w:t>FpV2RR</w:t>
            </w:r>
          </w:p>
        </w:tc>
        <w:tc>
          <w:tcPr>
            <w:tcW w:w="1380" w:type="dxa"/>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5D660C" w:rsidRPr="005D660C" w:rsidRDefault="005D660C" w:rsidP="005D660C">
            <w:pPr>
              <w:ind w:right="66"/>
              <w:jc w:val="center"/>
              <w:rPr>
                <w:rFonts w:ascii="Bodoni MT" w:hAnsi="Bodoni MT"/>
                <w:sz w:val="18"/>
                <w:szCs w:val="18"/>
              </w:rPr>
            </w:pPr>
            <w:r w:rsidRPr="005D660C">
              <w:rPr>
                <w:rFonts w:ascii="Bodoni MT" w:hAnsi="Bodoni MT"/>
                <w:sz w:val="18"/>
                <w:szCs w:val="18"/>
              </w:rPr>
              <w:t>IMPEGNI Dl</w:t>
            </w:r>
          </w:p>
          <w:p w:rsidR="005D660C" w:rsidRPr="005D660C" w:rsidRDefault="005D660C" w:rsidP="005D660C">
            <w:pPr>
              <w:ind w:right="71"/>
              <w:jc w:val="center"/>
              <w:rPr>
                <w:rFonts w:ascii="Bodoni MT" w:hAnsi="Bodoni MT"/>
                <w:sz w:val="18"/>
                <w:szCs w:val="18"/>
              </w:rPr>
            </w:pPr>
            <w:r w:rsidRPr="005D660C">
              <w:rPr>
                <w:rFonts w:ascii="Bodoni MT" w:hAnsi="Bodoni MT"/>
                <w:sz w:val="18"/>
                <w:szCs w:val="18"/>
              </w:rPr>
              <w:t>COMPETENZA</w:t>
            </w:r>
          </w:p>
        </w:tc>
      </w:tr>
      <w:tr w:rsidR="005D660C" w:rsidRPr="005D660C" w:rsidTr="00C3636C">
        <w:trPr>
          <w:trHeight w:val="20"/>
          <w:jc w:val="center"/>
        </w:trPr>
        <w:tc>
          <w:tcPr>
            <w:tcW w:w="1235"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jc w:val="center"/>
              <w:rPr>
                <w:rFonts w:cstheme="minorHAnsi"/>
                <w:sz w:val="16"/>
                <w:szCs w:val="16"/>
              </w:rPr>
            </w:pPr>
            <w:r w:rsidRPr="005D660C">
              <w:rPr>
                <w:rFonts w:eastAsia="Times New Roman" w:cstheme="minorHAnsi"/>
                <w:sz w:val="16"/>
                <w:szCs w:val="16"/>
              </w:rPr>
              <w:t>2.039.270.808,54</w:t>
            </w:r>
          </w:p>
        </w:tc>
        <w:tc>
          <w:tcPr>
            <w:tcW w:w="1005"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7"/>
              <w:jc w:val="center"/>
              <w:rPr>
                <w:rFonts w:cstheme="minorHAnsi"/>
                <w:sz w:val="16"/>
                <w:szCs w:val="16"/>
              </w:rPr>
            </w:pPr>
            <w:r w:rsidRPr="005D660C">
              <w:rPr>
                <w:rFonts w:eastAsia="Times New Roman" w:cstheme="minorHAnsi"/>
                <w:sz w:val="16"/>
                <w:szCs w:val="16"/>
              </w:rPr>
              <w:t>39.457.030,17</w:t>
            </w:r>
          </w:p>
        </w:tc>
        <w:tc>
          <w:tcPr>
            <w:tcW w:w="1006"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8"/>
              <w:jc w:val="center"/>
              <w:rPr>
                <w:rFonts w:cstheme="minorHAnsi"/>
                <w:sz w:val="16"/>
                <w:szCs w:val="16"/>
              </w:rPr>
            </w:pPr>
            <w:r w:rsidRPr="005D660C">
              <w:rPr>
                <w:rFonts w:eastAsia="Times New Roman" w:cstheme="minorHAnsi"/>
                <w:sz w:val="16"/>
                <w:szCs w:val="16"/>
              </w:rPr>
              <w:t>54.056.342,94</w:t>
            </w:r>
          </w:p>
        </w:tc>
        <w:tc>
          <w:tcPr>
            <w:tcW w:w="1003"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5"/>
              <w:jc w:val="center"/>
              <w:rPr>
                <w:rFonts w:cstheme="minorHAnsi"/>
                <w:sz w:val="16"/>
                <w:szCs w:val="16"/>
              </w:rPr>
            </w:pPr>
            <w:r w:rsidRPr="005D660C">
              <w:rPr>
                <w:rFonts w:eastAsia="Times New Roman" w:cstheme="minorHAnsi"/>
                <w:sz w:val="16"/>
                <w:szCs w:val="16"/>
              </w:rPr>
              <w:t>12.482.254,60</w:t>
            </w:r>
          </w:p>
        </w:tc>
        <w:tc>
          <w:tcPr>
            <w:tcW w:w="1085"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right="87"/>
              <w:jc w:val="center"/>
              <w:rPr>
                <w:rFonts w:cstheme="minorHAnsi"/>
                <w:sz w:val="16"/>
                <w:szCs w:val="16"/>
              </w:rPr>
            </w:pPr>
            <w:r w:rsidRPr="005D660C">
              <w:rPr>
                <w:rFonts w:eastAsia="Times New Roman" w:cstheme="minorHAnsi"/>
                <w:sz w:val="16"/>
                <w:szCs w:val="16"/>
              </w:rPr>
              <w:t>43.591.412,59</w:t>
            </w:r>
          </w:p>
        </w:tc>
        <w:tc>
          <w:tcPr>
            <w:tcW w:w="1084"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5"/>
              <w:jc w:val="center"/>
              <w:rPr>
                <w:rFonts w:cstheme="minorHAnsi"/>
                <w:sz w:val="16"/>
                <w:szCs w:val="16"/>
              </w:rPr>
            </w:pPr>
            <w:r w:rsidRPr="005D660C">
              <w:rPr>
                <w:rFonts w:eastAsia="Times New Roman" w:cstheme="minorHAnsi"/>
                <w:sz w:val="16"/>
                <w:szCs w:val="16"/>
              </w:rPr>
              <w:t>661.095.835,69</w:t>
            </w:r>
          </w:p>
        </w:tc>
        <w:tc>
          <w:tcPr>
            <w:tcW w:w="792"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jc w:val="center"/>
              <w:rPr>
                <w:rFonts w:cstheme="minorHAnsi"/>
                <w:sz w:val="16"/>
                <w:szCs w:val="16"/>
              </w:rPr>
            </w:pPr>
          </w:p>
        </w:tc>
        <w:tc>
          <w:tcPr>
            <w:tcW w:w="1089"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10"/>
              <w:jc w:val="center"/>
              <w:rPr>
                <w:rFonts w:cstheme="minorHAnsi"/>
                <w:sz w:val="16"/>
                <w:szCs w:val="16"/>
              </w:rPr>
            </w:pPr>
            <w:r w:rsidRPr="005D660C">
              <w:rPr>
                <w:rFonts w:eastAsia="Times New Roman" w:cstheme="minorHAnsi"/>
                <w:sz w:val="16"/>
                <w:szCs w:val="16"/>
              </w:rPr>
              <w:t>154.054.528,14</w:t>
            </w:r>
          </w:p>
        </w:tc>
        <w:tc>
          <w:tcPr>
            <w:tcW w:w="1380" w:type="dxa"/>
            <w:tcBorders>
              <w:top w:val="single" w:sz="2" w:space="0" w:color="000000"/>
              <w:left w:val="single" w:sz="2" w:space="0" w:color="000000"/>
              <w:bottom w:val="single" w:sz="2" w:space="0" w:color="000000"/>
              <w:right w:val="single" w:sz="2" w:space="0" w:color="000000"/>
            </w:tcBorders>
            <w:vAlign w:val="center"/>
          </w:tcPr>
          <w:p w:rsidR="005D660C" w:rsidRPr="005D660C" w:rsidRDefault="005D660C" w:rsidP="005D660C">
            <w:pPr>
              <w:ind w:left="5"/>
              <w:jc w:val="center"/>
              <w:rPr>
                <w:rFonts w:cstheme="minorHAnsi"/>
                <w:sz w:val="16"/>
                <w:szCs w:val="16"/>
              </w:rPr>
            </w:pPr>
            <w:r w:rsidRPr="005D660C">
              <w:rPr>
                <w:rFonts w:eastAsia="Times New Roman" w:cstheme="minorHAnsi"/>
                <w:sz w:val="16"/>
                <w:szCs w:val="16"/>
              </w:rPr>
              <w:t>1.074.533.404,41</w:t>
            </w:r>
          </w:p>
        </w:tc>
      </w:tr>
    </w:tbl>
    <w:p w:rsidR="005D660C" w:rsidRPr="005D660C" w:rsidRDefault="005D660C" w:rsidP="005D660C">
      <w:pPr>
        <w:autoSpaceDE w:val="0"/>
        <w:autoSpaceDN w:val="0"/>
        <w:adjustRightInd w:val="0"/>
        <w:spacing w:before="360" w:after="120" w:line="360" w:lineRule="auto"/>
        <w:jc w:val="both"/>
        <w:textAlignment w:val="center"/>
        <w:rPr>
          <w:rFonts w:ascii="Bodoni MT" w:eastAsiaTheme="minorEastAsia" w:hAnsi="Bodoni MT" w:cs="Bodoni MT"/>
          <w:i/>
          <w:color w:val="000000"/>
          <w:sz w:val="24"/>
          <w:szCs w:val="24"/>
        </w:rPr>
      </w:pPr>
      <w:r w:rsidRPr="005D660C">
        <w:rPr>
          <w:rFonts w:ascii="Bodoni MT" w:eastAsiaTheme="minorEastAsia" w:hAnsi="Bodoni MT" w:cs="Bodoni MT"/>
          <w:color w:val="000000"/>
          <w:sz w:val="24"/>
          <w:szCs w:val="24"/>
        </w:rPr>
        <w:t xml:space="preserve">“La </w:t>
      </w:r>
      <w:r w:rsidRPr="005D660C">
        <w:rPr>
          <w:rFonts w:ascii="Bodoni MT" w:eastAsiaTheme="minorEastAsia" w:hAnsi="Bodoni MT" w:cs="Bodoni MT"/>
          <w:i/>
          <w:color w:val="000000"/>
          <w:sz w:val="24"/>
          <w:szCs w:val="24"/>
        </w:rPr>
        <w:t>colonna denominata FPVI: rappresenta gli impegni di parte corrente assunti in esercizi precedenti e reimputati al 2016 con copertura da FPV di parte corrente generato nel 2015 a seguito della modifica dei cronoprogrammi degli impegni stessi.</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sidRPr="005D660C">
        <w:rPr>
          <w:rFonts w:ascii="Bodoni MT" w:eastAsiaTheme="minorEastAsia" w:hAnsi="Bodoni MT" w:cs="Bodoni MT"/>
          <w:i/>
          <w:color w:val="000000"/>
          <w:sz w:val="24"/>
          <w:szCs w:val="24"/>
        </w:rPr>
        <w:t>La colonna denominata FPVIR: rappresenta gli impegni di parte corrente oggetto del riaccertamento straordinario dei residui, reimputati al 2016 in sede di riaccertamento straordinario con contestuale reimputazione al 2016 di pari accertamenti di entrata corrente (pertanto senza generare FPV)</w:t>
      </w:r>
      <w:r w:rsidR="00C341BD">
        <w:rPr>
          <w:rFonts w:ascii="Bodoni MT" w:eastAsiaTheme="minorEastAsia" w:hAnsi="Bodoni MT" w:cs="Bodoni MT"/>
          <w:i/>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sidRPr="005D660C">
        <w:rPr>
          <w:rFonts w:ascii="Bodoni MT" w:eastAsiaTheme="minorEastAsia" w:hAnsi="Bodoni MT" w:cs="Bodoni MT"/>
          <w:i/>
          <w:color w:val="000000"/>
          <w:sz w:val="24"/>
          <w:szCs w:val="24"/>
        </w:rPr>
        <w:t>La colonna denominata FPVI RA: rappresenta gli impegni di parte corrente, già oggetto del riaccertamento straordinario con remputazione al 2015 e contestuale reimputazione di pari</w:t>
      </w:r>
      <w:r w:rsidRPr="005D660C">
        <w:rPr>
          <w:rFonts w:ascii="Bodoni MT" w:eastAsia="Times New Roman" w:hAnsi="Bodoni MT" w:cs="Times New Roman"/>
          <w:i/>
          <w:color w:val="000000"/>
          <w:sz w:val="24"/>
          <w:szCs w:val="24"/>
        </w:rPr>
        <w:t xml:space="preserve"> accertamenti di entrata corrente al 2015, reimputati al 2016 con copertura da FPV parte corrente, generato nel 2015 a seguito della modifica del cronoprogramma degli stessi impegni.</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sidRPr="005D660C">
        <w:rPr>
          <w:rFonts w:ascii="Bodoni MT" w:eastAsia="Times New Roman" w:hAnsi="Bodoni MT" w:cs="Times New Roman"/>
          <w:i/>
          <w:color w:val="000000"/>
          <w:sz w:val="24"/>
          <w:szCs w:val="24"/>
        </w:rPr>
        <w:t>La colonna denominata FPV2: rappresenta gli impegni di parte capitale assunti in esercizi precedenti e reimputati al 2016 con copertura da FPV parte capitale (FPV generato nel 2015 a seguito della modifica del cronoprogramma degli stessi impegni).</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sidRPr="005D660C">
        <w:rPr>
          <w:rFonts w:ascii="Bodoni MT" w:eastAsia="Times New Roman" w:hAnsi="Bodoni MT" w:cs="Bodoni MT"/>
          <w:i/>
          <w:color w:val="000000"/>
          <w:sz w:val="24"/>
          <w:szCs w:val="24"/>
        </w:rPr>
        <w:t>La colonna denominata FPV2R: rappresenta gli impegni di parte capitale oggetto del riaccertamento straordinario dei residui, reimputati al 2016 in sede di riaccertamento straordinario con contestuale reimpuazione al 2016 di pari accertamenti di entrata (pertanto senza generare FPV).</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imes New Roman" w:hAnsi="Bodoni MT" w:cs="Bodoni MT"/>
          <w:i/>
          <w:color w:val="000000"/>
          <w:sz w:val="24"/>
          <w:szCs w:val="24"/>
        </w:rPr>
        <w:t>La colonna denominata FPV2RA, valorizzata a zero: rappresenta gli impegni di parte capitale, già oggetto del riaccertamento straordinario con remputazione al 2015 e contestuale re</w:t>
      </w:r>
      <w:r w:rsidRPr="005D660C">
        <w:rPr>
          <w:rFonts w:ascii="Bodoni MT" w:eastAsia="Times New Roman" w:hAnsi="Bodoni MT" w:cs="Bodoni MT"/>
          <w:color w:val="000000"/>
          <w:sz w:val="24"/>
          <w:szCs w:val="24"/>
        </w:rPr>
        <w:t xml:space="preserve"> imputazione di pari accertamenti di entrata al 2015, reimputati al 2016 con copertura da FPV parte capitale, generato </w:t>
      </w:r>
      <w:r w:rsidRPr="005D660C">
        <w:rPr>
          <w:rFonts w:ascii="Bodoni MT" w:eastAsia="Times New Roman" w:hAnsi="Bodoni MT" w:cs="Bodoni MT"/>
          <w:color w:val="000000"/>
          <w:sz w:val="24"/>
          <w:szCs w:val="24"/>
        </w:rPr>
        <w:lastRenderedPageBreak/>
        <w:t>nel 2015 a seguito della modifica del cronoprogramma degli stessi impegni. Tale tipologia di impegni non risulta sussistere, ed è quindi pari a zero.</w:t>
      </w:r>
    </w:p>
    <w:p w:rsidR="005D660C" w:rsidRPr="005D660C" w:rsidRDefault="005D660C" w:rsidP="00DC7B0E">
      <w:pPr>
        <w:spacing w:after="120" w:line="360" w:lineRule="auto"/>
        <w:ind w:left="11" w:firstLine="6"/>
        <w:jc w:val="both"/>
        <w:rPr>
          <w:rFonts w:ascii="Bodoni MT" w:hAnsi="Bodoni MT"/>
          <w:i/>
          <w:sz w:val="24"/>
          <w:szCs w:val="24"/>
        </w:rPr>
      </w:pPr>
      <w:r w:rsidRPr="005D660C">
        <w:rPr>
          <w:rFonts w:ascii="Bodoni MT" w:eastAsia="Times New Roman" w:hAnsi="Bodoni MT" w:cs="Times New Roman"/>
          <w:i/>
          <w:sz w:val="24"/>
          <w:szCs w:val="24"/>
        </w:rPr>
        <w:t>La colonna denominata FPV2RR: rappresenta gli impegni di parte capitale, già oggetto del riaccertamento straordinario con re imputazione al 2016, coperti da FPV parte capitale generato in sede di riaccertamento straordinario.</w:t>
      </w:r>
    </w:p>
    <w:p w:rsidR="005D660C" w:rsidRDefault="005D660C" w:rsidP="005D660C">
      <w:pPr>
        <w:spacing w:after="40" w:line="360" w:lineRule="auto"/>
        <w:ind w:left="11" w:right="-2" w:firstLine="6"/>
        <w:jc w:val="both"/>
        <w:rPr>
          <w:rFonts w:ascii="Bodoni MT" w:eastAsia="Times New Roman" w:hAnsi="Bodoni MT" w:cs="Times New Roman"/>
          <w:i/>
          <w:sz w:val="24"/>
          <w:szCs w:val="24"/>
        </w:rPr>
      </w:pPr>
      <w:r w:rsidRPr="005D660C">
        <w:rPr>
          <w:rFonts w:ascii="Bodoni MT" w:eastAsia="Times New Roman" w:hAnsi="Bodoni MT" w:cs="Times New Roman"/>
          <w:i/>
          <w:sz w:val="24"/>
          <w:szCs w:val="24"/>
        </w:rPr>
        <w:t>Per quanto concerne l'ultima colonna, denominata impegnato di competenza, essa rap</w:t>
      </w:r>
      <w:r w:rsidR="0032512C">
        <w:rPr>
          <w:rFonts w:ascii="Bodoni MT" w:eastAsia="Times New Roman" w:hAnsi="Bodoni MT" w:cs="Times New Roman"/>
          <w:i/>
          <w:sz w:val="24"/>
          <w:szCs w:val="24"/>
        </w:rPr>
        <w:t>presenta, in quota parte pari a</w:t>
      </w:r>
      <w:r w:rsidRPr="005D660C">
        <w:rPr>
          <w:rFonts w:ascii="Bodoni MT" w:eastAsia="Times New Roman" w:hAnsi="Bodoni MT" w:cs="Times New Roman"/>
          <w:i/>
          <w:sz w:val="24"/>
          <w:szCs w:val="24"/>
        </w:rPr>
        <w:t xml:space="preserve"> </w:t>
      </w:r>
      <w:r w:rsidR="0032512C">
        <w:rPr>
          <w:rFonts w:ascii="Bodoni MT" w:eastAsia="Times New Roman" w:hAnsi="Bodoni MT" w:cs="Times New Roman"/>
          <w:i/>
          <w:sz w:val="24"/>
          <w:szCs w:val="24"/>
        </w:rPr>
        <w:t>€</w:t>
      </w:r>
      <w:r w:rsidRPr="005D660C">
        <w:rPr>
          <w:rFonts w:ascii="Bodoni MT" w:eastAsia="Times New Roman" w:hAnsi="Bodoni MT" w:cs="Times New Roman"/>
          <w:i/>
          <w:sz w:val="24"/>
          <w:szCs w:val="24"/>
        </w:rPr>
        <w:t xml:space="preserve"> 293.446.197,72, gli impegni pluriennali assunti negli esercizi precedenti con imputazione nel 2016 </w:t>
      </w:r>
      <w:r w:rsidR="00DC7B0E">
        <w:rPr>
          <w:rFonts w:ascii="Bodoni MT" w:eastAsia="Times New Roman" w:hAnsi="Bodoni MT" w:cs="Times New Roman"/>
          <w:i/>
          <w:sz w:val="24"/>
          <w:szCs w:val="24"/>
        </w:rPr>
        <w:t>-</w:t>
      </w:r>
      <w:r w:rsidRPr="005D660C">
        <w:rPr>
          <w:rFonts w:ascii="Bodoni MT" w:eastAsia="Times New Roman" w:hAnsi="Bodoni MT" w:cs="Times New Roman"/>
          <w:i/>
          <w:sz w:val="24"/>
          <w:szCs w:val="24"/>
        </w:rPr>
        <w:t xml:space="preserve"> di cui </w:t>
      </w:r>
      <w:r w:rsidR="0032512C">
        <w:rPr>
          <w:rFonts w:ascii="Bodoni MT" w:eastAsia="Times New Roman" w:hAnsi="Bodoni MT" w:cs="Times New Roman"/>
          <w:i/>
          <w:sz w:val="24"/>
          <w:szCs w:val="24"/>
        </w:rPr>
        <w:t>€</w:t>
      </w:r>
      <w:r w:rsidRPr="005D660C">
        <w:rPr>
          <w:rFonts w:ascii="Bodoni MT" w:eastAsia="Times New Roman" w:hAnsi="Bodoni MT" w:cs="Times New Roman"/>
          <w:i/>
          <w:sz w:val="24"/>
          <w:szCs w:val="24"/>
        </w:rPr>
        <w:t xml:space="preserve"> 68.444.450,38 sono impegni di parte capitale con </w:t>
      </w:r>
      <w:r w:rsidR="00CC57CD">
        <w:rPr>
          <w:rFonts w:ascii="Bodoni MT" w:eastAsia="Times New Roman" w:hAnsi="Bodoni MT" w:cs="Times New Roman"/>
          <w:i/>
          <w:sz w:val="24"/>
          <w:szCs w:val="24"/>
        </w:rPr>
        <w:t>copertura da margine corrente e</w:t>
      </w:r>
      <w:r w:rsidRPr="005D660C">
        <w:rPr>
          <w:rFonts w:ascii="Bodoni MT" w:eastAsia="Times New Roman" w:hAnsi="Bodoni MT" w:cs="Times New Roman"/>
          <w:i/>
          <w:sz w:val="24"/>
          <w:szCs w:val="24"/>
        </w:rPr>
        <w:t xml:space="preserve"> </w:t>
      </w:r>
      <w:r w:rsidR="00B7211A">
        <w:rPr>
          <w:rFonts w:ascii="Bodoni MT" w:eastAsia="Times New Roman" w:hAnsi="Bodoni MT" w:cs="Times New Roman"/>
          <w:i/>
          <w:sz w:val="24"/>
          <w:szCs w:val="24"/>
        </w:rPr>
        <w:t>€ </w:t>
      </w:r>
      <w:r w:rsidRPr="005D660C">
        <w:rPr>
          <w:rFonts w:ascii="Bodoni MT" w:eastAsia="Times New Roman" w:hAnsi="Bodoni MT" w:cs="Times New Roman"/>
          <w:i/>
          <w:sz w:val="24"/>
          <w:szCs w:val="24"/>
        </w:rPr>
        <w:t xml:space="preserve">225.001.747,34 sono impegni assunti su capitoli vincolati con accertamenti di entrata vincolata - e, per la restante parte, è composta dagli impegni assunti nel 2016 </w:t>
      </w:r>
      <w:r w:rsidR="00DC7B0E">
        <w:rPr>
          <w:rFonts w:ascii="Bodoni MT" w:eastAsia="Times New Roman" w:hAnsi="Bodoni MT" w:cs="Times New Roman"/>
          <w:i/>
          <w:sz w:val="24"/>
          <w:szCs w:val="24"/>
        </w:rPr>
        <w:t>-</w:t>
      </w:r>
      <w:r w:rsidRPr="005D660C">
        <w:rPr>
          <w:rFonts w:ascii="Bodoni MT" w:eastAsia="Times New Roman" w:hAnsi="Bodoni MT" w:cs="Times New Roman"/>
          <w:i/>
          <w:sz w:val="24"/>
          <w:szCs w:val="24"/>
        </w:rPr>
        <w:t xml:space="preserve"> nel corso dell'esercizio provvisorio, prima dell'approvazione del bilancio 2016 - con imputazione nel medesimo esercizio 2016. La tabella che segue riepiloga la suddetta scomposizione”.</w:t>
      </w:r>
    </w:p>
    <w:p w:rsidR="005D660C" w:rsidRPr="005D660C" w:rsidRDefault="005D660C" w:rsidP="005D660C">
      <w:pPr>
        <w:pStyle w:val="Didascalia"/>
        <w:rPr>
          <w:sz w:val="24"/>
          <w:szCs w:val="24"/>
        </w:rPr>
      </w:pPr>
      <w:bookmarkStart w:id="138" w:name="_Toc499040964"/>
      <w:bookmarkStart w:id="139" w:name="_Toc507422484"/>
      <w:r>
        <w:t xml:space="preserve">Tabella </w:t>
      </w:r>
      <w:r w:rsidR="00B90472">
        <w:fldChar w:fldCharType="begin"/>
      </w:r>
      <w:r w:rsidR="00B90472">
        <w:instrText xml:space="preserve"> SEQ Tabella \* ARABIC </w:instrText>
      </w:r>
      <w:r w:rsidR="00B90472">
        <w:fldChar w:fldCharType="separate"/>
      </w:r>
      <w:r w:rsidR="008616B3">
        <w:rPr>
          <w:noProof/>
        </w:rPr>
        <w:t>16</w:t>
      </w:r>
      <w:r w:rsidR="00B90472">
        <w:rPr>
          <w:noProof/>
        </w:rPr>
        <w:fldChar w:fldCharType="end"/>
      </w:r>
      <w:r w:rsidRPr="005D660C">
        <w:t xml:space="preserve"> – </w:t>
      </w:r>
      <w:bookmarkEnd w:id="138"/>
      <w:r w:rsidR="00064BC1">
        <w:t>Scomposizione impegni di competenza</w:t>
      </w:r>
      <w:bookmarkEnd w:id="139"/>
      <w:r w:rsidRPr="005D660C">
        <w:t xml:space="preserve"> </w:t>
      </w:r>
    </w:p>
    <w:tbl>
      <w:tblPr>
        <w:tblStyle w:val="TableGrid2"/>
        <w:tblW w:w="5000" w:type="pct"/>
        <w:jc w:val="center"/>
        <w:tblInd w:w="0" w:type="dxa"/>
        <w:tblCellMar>
          <w:top w:w="69" w:type="dxa"/>
          <w:left w:w="118" w:type="dxa"/>
          <w:right w:w="115" w:type="dxa"/>
        </w:tblCellMar>
        <w:tblLook w:val="04A0" w:firstRow="1" w:lastRow="0" w:firstColumn="1" w:lastColumn="0" w:noHBand="0" w:noVBand="1"/>
      </w:tblPr>
      <w:tblGrid>
        <w:gridCol w:w="7077"/>
        <w:gridCol w:w="3077"/>
      </w:tblGrid>
      <w:tr w:rsidR="005D660C" w:rsidRPr="00D30429" w:rsidTr="00C341BD">
        <w:trPr>
          <w:trHeight w:val="254"/>
          <w:jc w:val="center"/>
        </w:trPr>
        <w:tc>
          <w:tcPr>
            <w:tcW w:w="3485"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5D660C" w:rsidRPr="00DC7B0E" w:rsidRDefault="005D660C" w:rsidP="00C341BD">
            <w:pPr>
              <w:rPr>
                <w:rFonts w:ascii="Bodoni MT" w:hAnsi="Bodoni MT"/>
                <w:b/>
                <w:color w:val="FFFFFF" w:themeColor="background1"/>
              </w:rPr>
            </w:pPr>
            <w:r w:rsidRPr="00DC7B0E">
              <w:rPr>
                <w:rFonts w:ascii="Bodoni MT" w:eastAsia="Times New Roman" w:hAnsi="Bodoni MT" w:cs="Times New Roman"/>
                <w:b/>
                <w:color w:val="FFFFFF" w:themeColor="background1"/>
                <w:sz w:val="20"/>
              </w:rPr>
              <w:t>lmpegnato pluriennale sulla competenza</w:t>
            </w:r>
          </w:p>
        </w:tc>
        <w:tc>
          <w:tcPr>
            <w:tcW w:w="1515" w:type="pct"/>
            <w:tcBorders>
              <w:top w:val="single" w:sz="2" w:space="0" w:color="000000"/>
              <w:left w:val="single" w:sz="2" w:space="0" w:color="000000"/>
              <w:bottom w:val="single" w:sz="2" w:space="0" w:color="000000"/>
              <w:right w:val="single" w:sz="2" w:space="0" w:color="000000"/>
            </w:tcBorders>
            <w:vAlign w:val="center"/>
          </w:tcPr>
          <w:p w:rsidR="005D660C" w:rsidRPr="00D30429" w:rsidRDefault="005D660C" w:rsidP="002163CC">
            <w:pPr>
              <w:jc w:val="right"/>
              <w:rPr>
                <w:rFonts w:cstheme="minorHAnsi"/>
              </w:rPr>
            </w:pPr>
            <w:r w:rsidRPr="00D30429">
              <w:rPr>
                <w:rFonts w:eastAsia="Times New Roman" w:cstheme="minorHAnsi"/>
                <w:sz w:val="18"/>
              </w:rPr>
              <w:t>293.446.197,72</w:t>
            </w:r>
          </w:p>
        </w:tc>
      </w:tr>
      <w:tr w:rsidR="005D660C" w:rsidRPr="005D660C" w:rsidTr="00C341BD">
        <w:trPr>
          <w:trHeight w:val="250"/>
          <w:jc w:val="center"/>
        </w:trPr>
        <w:tc>
          <w:tcPr>
            <w:tcW w:w="3485"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5D660C" w:rsidRPr="00DC7B0E" w:rsidRDefault="005D660C" w:rsidP="00C341BD">
            <w:pPr>
              <w:rPr>
                <w:rFonts w:ascii="Bodoni MT" w:hAnsi="Bodoni MT"/>
                <w:color w:val="FFFFFF" w:themeColor="background1"/>
              </w:rPr>
            </w:pPr>
            <w:r w:rsidRPr="00DC7B0E">
              <w:rPr>
                <w:rFonts w:ascii="Bodoni MT" w:eastAsia="Times New Roman" w:hAnsi="Bodoni MT" w:cs="Times New Roman"/>
                <w:color w:val="FFFFFF" w:themeColor="background1"/>
                <w:sz w:val="18"/>
              </w:rPr>
              <w:t>di cui margine corrente</w:t>
            </w:r>
          </w:p>
        </w:tc>
        <w:tc>
          <w:tcPr>
            <w:tcW w:w="1515" w:type="pct"/>
            <w:tcBorders>
              <w:top w:val="single" w:sz="2" w:space="0" w:color="000000"/>
              <w:left w:val="single" w:sz="2" w:space="0" w:color="000000"/>
              <w:bottom w:val="single" w:sz="2" w:space="0" w:color="000000"/>
              <w:right w:val="single" w:sz="2" w:space="0" w:color="000000"/>
            </w:tcBorders>
            <w:vAlign w:val="center"/>
          </w:tcPr>
          <w:p w:rsidR="005D660C" w:rsidRPr="00DC7B0E" w:rsidRDefault="005D660C" w:rsidP="002163CC">
            <w:pPr>
              <w:ind w:left="96"/>
              <w:jc w:val="right"/>
              <w:rPr>
                <w:rFonts w:cstheme="minorHAnsi"/>
              </w:rPr>
            </w:pPr>
            <w:r w:rsidRPr="00DC7B0E">
              <w:rPr>
                <w:rFonts w:eastAsia="Times New Roman" w:cstheme="minorHAnsi"/>
                <w:sz w:val="18"/>
              </w:rPr>
              <w:t>68.444.450, 38</w:t>
            </w:r>
          </w:p>
        </w:tc>
      </w:tr>
      <w:tr w:rsidR="005D660C" w:rsidRPr="005D660C" w:rsidTr="00C341BD">
        <w:trPr>
          <w:trHeight w:val="247"/>
          <w:jc w:val="center"/>
        </w:trPr>
        <w:tc>
          <w:tcPr>
            <w:tcW w:w="3485"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5D660C" w:rsidRPr="00DC7B0E" w:rsidRDefault="005D660C" w:rsidP="00C341BD">
            <w:pPr>
              <w:rPr>
                <w:rFonts w:ascii="Bodoni MT" w:hAnsi="Bodoni MT"/>
                <w:color w:val="FFFFFF" w:themeColor="background1"/>
              </w:rPr>
            </w:pPr>
            <w:r w:rsidRPr="00DC7B0E">
              <w:rPr>
                <w:rFonts w:ascii="Bodoni MT" w:eastAsia="Times New Roman" w:hAnsi="Bodoni MT" w:cs="Times New Roman"/>
                <w:color w:val="FFFFFF" w:themeColor="background1"/>
                <w:sz w:val="18"/>
              </w:rPr>
              <w:t>di cui vincolati</w:t>
            </w:r>
          </w:p>
        </w:tc>
        <w:tc>
          <w:tcPr>
            <w:tcW w:w="1515" w:type="pct"/>
            <w:tcBorders>
              <w:top w:val="single" w:sz="2" w:space="0" w:color="000000"/>
              <w:left w:val="single" w:sz="2" w:space="0" w:color="000000"/>
              <w:bottom w:val="single" w:sz="2" w:space="0" w:color="000000"/>
              <w:right w:val="single" w:sz="2" w:space="0" w:color="000000"/>
            </w:tcBorders>
            <w:vAlign w:val="center"/>
          </w:tcPr>
          <w:p w:rsidR="005D660C" w:rsidRPr="00DC7B0E" w:rsidRDefault="005D660C" w:rsidP="002163CC">
            <w:pPr>
              <w:jc w:val="right"/>
              <w:rPr>
                <w:rFonts w:cstheme="minorHAnsi"/>
              </w:rPr>
            </w:pPr>
            <w:r w:rsidRPr="00DC7B0E">
              <w:rPr>
                <w:rFonts w:eastAsia="Times New Roman" w:cstheme="minorHAnsi"/>
                <w:sz w:val="18"/>
              </w:rPr>
              <w:t>225.001.747,34</w:t>
            </w:r>
          </w:p>
        </w:tc>
      </w:tr>
      <w:tr w:rsidR="005D660C" w:rsidRPr="00D30429" w:rsidTr="00D30429">
        <w:trPr>
          <w:trHeight w:val="250"/>
          <w:jc w:val="center"/>
        </w:trPr>
        <w:tc>
          <w:tcPr>
            <w:tcW w:w="3485"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5D660C" w:rsidRPr="00DC7B0E" w:rsidRDefault="005D660C" w:rsidP="00D30429">
            <w:pPr>
              <w:rPr>
                <w:rFonts w:ascii="Bodoni MT" w:hAnsi="Bodoni MT"/>
                <w:b/>
                <w:color w:val="FFFFFF" w:themeColor="background1"/>
              </w:rPr>
            </w:pPr>
            <w:r w:rsidRPr="00DC7B0E">
              <w:rPr>
                <w:rFonts w:ascii="Bodoni MT" w:eastAsia="Times New Roman" w:hAnsi="Bodoni MT" w:cs="Times New Roman"/>
                <w:b/>
                <w:color w:val="FFFFFF" w:themeColor="background1"/>
                <w:sz w:val="20"/>
              </w:rPr>
              <w:t>lmpegni sulla competenza assunti nel 2016</w:t>
            </w:r>
          </w:p>
        </w:tc>
        <w:tc>
          <w:tcPr>
            <w:tcW w:w="1515" w:type="pct"/>
            <w:tcBorders>
              <w:top w:val="single" w:sz="2" w:space="0" w:color="000000"/>
              <w:left w:val="single" w:sz="2" w:space="0" w:color="000000"/>
              <w:bottom w:val="single" w:sz="2" w:space="0" w:color="000000"/>
              <w:right w:val="single" w:sz="2" w:space="0" w:color="000000"/>
            </w:tcBorders>
            <w:vAlign w:val="center"/>
          </w:tcPr>
          <w:p w:rsidR="005D660C" w:rsidRPr="00D30429" w:rsidRDefault="005D660C" w:rsidP="002163CC">
            <w:pPr>
              <w:jc w:val="right"/>
              <w:rPr>
                <w:rFonts w:cstheme="minorHAnsi"/>
              </w:rPr>
            </w:pPr>
            <w:r w:rsidRPr="00D30429">
              <w:rPr>
                <w:rFonts w:eastAsia="Times New Roman" w:cstheme="minorHAnsi"/>
                <w:sz w:val="18"/>
              </w:rPr>
              <w:t>781.087.206,69</w:t>
            </w:r>
          </w:p>
        </w:tc>
      </w:tr>
      <w:tr w:rsidR="005D660C" w:rsidRPr="005D660C" w:rsidTr="00C341BD">
        <w:trPr>
          <w:trHeight w:val="259"/>
          <w:jc w:val="center"/>
        </w:trPr>
        <w:tc>
          <w:tcPr>
            <w:tcW w:w="3485"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5D660C" w:rsidRPr="00DC7B0E" w:rsidRDefault="005D660C" w:rsidP="00C341BD">
            <w:pPr>
              <w:rPr>
                <w:rFonts w:ascii="Bodoni MT" w:hAnsi="Bodoni MT"/>
                <w:b/>
                <w:color w:val="FFFFFF" w:themeColor="background1"/>
              </w:rPr>
            </w:pPr>
            <w:r w:rsidRPr="00DC7B0E">
              <w:rPr>
                <w:rFonts w:ascii="Bodoni MT" w:hAnsi="Bodoni MT"/>
                <w:b/>
                <w:color w:val="FFFFFF" w:themeColor="background1"/>
              </w:rPr>
              <w:t>Totale</w:t>
            </w:r>
          </w:p>
        </w:tc>
        <w:tc>
          <w:tcPr>
            <w:tcW w:w="1515" w:type="pct"/>
            <w:tcBorders>
              <w:top w:val="single" w:sz="2" w:space="0" w:color="000000"/>
              <w:left w:val="single" w:sz="2" w:space="0" w:color="000000"/>
              <w:bottom w:val="single" w:sz="2" w:space="0" w:color="000000"/>
              <w:right w:val="single" w:sz="2" w:space="0" w:color="000000"/>
            </w:tcBorders>
            <w:vAlign w:val="center"/>
          </w:tcPr>
          <w:p w:rsidR="005D660C" w:rsidRPr="00DC7B0E" w:rsidRDefault="005D660C" w:rsidP="002163CC">
            <w:pPr>
              <w:ind w:right="19"/>
              <w:jc w:val="right"/>
              <w:rPr>
                <w:rFonts w:cstheme="minorHAnsi"/>
              </w:rPr>
            </w:pPr>
            <w:r w:rsidRPr="00DC7B0E">
              <w:rPr>
                <w:rFonts w:eastAsia="Times New Roman" w:cstheme="minorHAnsi"/>
                <w:sz w:val="18"/>
              </w:rPr>
              <w:t>1.074.533.404,41</w:t>
            </w:r>
          </w:p>
        </w:tc>
      </w:tr>
    </w:tbl>
    <w:p w:rsidR="005D660C" w:rsidRPr="005D660C" w:rsidRDefault="005D660C" w:rsidP="002163CC">
      <w:pPr>
        <w:autoSpaceDE w:val="0"/>
        <w:autoSpaceDN w:val="0"/>
        <w:adjustRightInd w:val="0"/>
        <w:spacing w:before="360"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La differenza tra le previsioni finali </w:t>
      </w:r>
      <w:r w:rsidR="00064BC1">
        <w:rPr>
          <w:rFonts w:ascii="Bodoni MT" w:eastAsiaTheme="minorEastAsia" w:hAnsi="Bodoni MT" w:cs="Bodoni MT"/>
          <w:color w:val="000000"/>
          <w:sz w:val="24"/>
          <w:szCs w:val="24"/>
        </w:rPr>
        <w:t>e gli impegni ammonta a € 1.861.969.117,93, di cui € </w:t>
      </w:r>
      <w:r w:rsidRPr="005D660C">
        <w:rPr>
          <w:rFonts w:ascii="Bodoni MT" w:eastAsiaTheme="minorEastAsia" w:hAnsi="Bodoni MT" w:cs="Bodoni MT"/>
          <w:color w:val="000000"/>
          <w:sz w:val="24"/>
          <w:szCs w:val="24"/>
        </w:rPr>
        <w:t>1.</w:t>
      </w:r>
      <w:r w:rsidR="00064BC1">
        <w:rPr>
          <w:rFonts w:ascii="Bodoni MT" w:eastAsiaTheme="minorEastAsia" w:hAnsi="Bodoni MT" w:cs="Bodoni MT"/>
          <w:color w:val="000000"/>
          <w:sz w:val="24"/>
          <w:szCs w:val="24"/>
        </w:rPr>
        <w:t>324.707.117,93</w:t>
      </w:r>
      <w:r w:rsidRPr="005D660C">
        <w:rPr>
          <w:rFonts w:ascii="Bodoni MT" w:eastAsiaTheme="minorEastAsia" w:hAnsi="Bodoni MT" w:cs="Bodoni MT"/>
          <w:color w:val="000000"/>
          <w:sz w:val="24"/>
          <w:szCs w:val="24"/>
        </w:rPr>
        <w:t xml:space="preserve"> di minori impegni (economie) e € 537.262.000,00 per copertura del disavanzo applicato al bilancio 2016.</w:t>
      </w:r>
      <w:r w:rsidR="00F268EF">
        <w:rPr>
          <w:rFonts w:ascii="Bodoni MT" w:eastAsiaTheme="minorEastAsia" w:hAnsi="Bodoni MT" w:cs="Bodoni MT"/>
          <w:color w:val="000000"/>
          <w:sz w:val="24"/>
          <w:szCs w:val="24"/>
        </w:rPr>
        <w:t xml:space="preserve"> </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b/>
          <w:color w:val="000000"/>
          <w:sz w:val="24"/>
          <w:szCs w:val="24"/>
        </w:rPr>
      </w:pPr>
      <w:r w:rsidRPr="00064BC1">
        <w:rPr>
          <w:rFonts w:ascii="Bodoni MT" w:eastAsiaTheme="minorEastAsia" w:hAnsi="Bodoni MT" w:cs="Bodoni MT"/>
          <w:b/>
          <w:color w:val="000000"/>
          <w:sz w:val="24"/>
          <w:szCs w:val="24"/>
        </w:rPr>
        <w:t xml:space="preserve">I residui della competenza ammontano </w:t>
      </w:r>
      <w:r w:rsidR="00A77528">
        <w:rPr>
          <w:rFonts w:ascii="Bodoni MT" w:eastAsiaTheme="minorEastAsia" w:hAnsi="Bodoni MT" w:cs="Bodoni MT"/>
          <w:b/>
          <w:color w:val="000000"/>
          <w:sz w:val="24"/>
          <w:szCs w:val="24"/>
        </w:rPr>
        <w:t xml:space="preserve">a </w:t>
      </w:r>
      <w:r w:rsidRPr="00064BC1">
        <w:rPr>
          <w:rFonts w:ascii="Bodoni MT" w:eastAsiaTheme="minorEastAsia" w:hAnsi="Bodoni MT" w:cs="Bodoni MT"/>
          <w:b/>
          <w:color w:val="000000"/>
          <w:sz w:val="24"/>
          <w:szCs w:val="24"/>
        </w:rPr>
        <w:t xml:space="preserve">€ 1.073.609.983,65. </w:t>
      </w:r>
    </w:p>
    <w:p w:rsidR="002163CC" w:rsidRPr="005D660C" w:rsidRDefault="00B77D9A" w:rsidP="002163CC">
      <w:pPr>
        <w:pStyle w:val="CdcTesto"/>
      </w:pPr>
      <w:r>
        <w:t>Conclusivamente</w:t>
      </w:r>
      <w:r w:rsidR="002163CC">
        <w:t xml:space="preserve"> l</w:t>
      </w:r>
      <w:r w:rsidR="002163CC" w:rsidRPr="005D660C">
        <w:t>e entrate accertate sono state pari a € 8.936.600.416,51</w:t>
      </w:r>
      <w:r w:rsidR="002163CC">
        <w:t xml:space="preserve"> e</w:t>
      </w:r>
      <w:r>
        <w:t xml:space="preserve"> le spese impegnate a € 8.148.137.354,95 con un saldo positivo di € 788.463.061,56. In </w:t>
      </w:r>
      <w:r w:rsidR="002163CC">
        <w:t>conseguenza</w:t>
      </w:r>
      <w:r w:rsidR="002163CC" w:rsidRPr="005D660C">
        <w:t>, per l’esercizio all’esame non si registra un</w:t>
      </w:r>
      <w:r w:rsidR="002163CC">
        <w:t>o squilibrio tra entrate e spese,</w:t>
      </w:r>
      <w:r w:rsidR="002163CC" w:rsidRPr="005D660C">
        <w:t xml:space="preserve"> come invece verificatosi nell’esercizio 2015, dove il risultato era stato negativo (</w:t>
      </w:r>
      <w:r w:rsidR="00CC57CD">
        <w:t xml:space="preserve">€ </w:t>
      </w:r>
      <w:r w:rsidR="002163CC" w:rsidRPr="005D660C">
        <w:t>-86.477.506,98).</w:t>
      </w:r>
    </w:p>
    <w:p w:rsidR="002163CC" w:rsidRDefault="002163C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2163CC">
        <w:rPr>
          <w:rFonts w:ascii="Bodoni MT" w:eastAsiaTheme="minorEastAsia" w:hAnsi="Bodoni MT" w:cs="Bodoni MT"/>
          <w:color w:val="000000"/>
          <w:sz w:val="24"/>
          <w:szCs w:val="24"/>
        </w:rPr>
        <w:t>La consistenza delle econ</w:t>
      </w:r>
      <w:r>
        <w:rPr>
          <w:rFonts w:ascii="Bodoni MT" w:eastAsiaTheme="minorEastAsia" w:hAnsi="Bodoni MT" w:cs="Bodoni MT"/>
          <w:color w:val="000000"/>
          <w:sz w:val="24"/>
          <w:szCs w:val="24"/>
        </w:rPr>
        <w:t>o</w:t>
      </w:r>
      <w:r w:rsidRPr="002163CC">
        <w:rPr>
          <w:rFonts w:ascii="Bodoni MT" w:eastAsiaTheme="minorEastAsia" w:hAnsi="Bodoni MT" w:cs="Bodoni MT"/>
          <w:color w:val="000000"/>
          <w:sz w:val="24"/>
          <w:szCs w:val="24"/>
        </w:rPr>
        <w:t>mie realizzate (1,324 mi</w:t>
      </w:r>
      <w:r>
        <w:rPr>
          <w:rFonts w:ascii="Bodoni MT" w:eastAsiaTheme="minorEastAsia" w:hAnsi="Bodoni MT" w:cs="Bodoni MT"/>
          <w:color w:val="000000"/>
          <w:sz w:val="24"/>
          <w:szCs w:val="24"/>
        </w:rPr>
        <w:t>l</w:t>
      </w:r>
      <w:r w:rsidRPr="002163CC">
        <w:rPr>
          <w:rFonts w:ascii="Bodoni MT" w:eastAsiaTheme="minorEastAsia" w:hAnsi="Bodoni MT" w:cs="Bodoni MT"/>
          <w:color w:val="000000"/>
          <w:sz w:val="24"/>
          <w:szCs w:val="24"/>
        </w:rPr>
        <w:t xml:space="preserve">iardi) </w:t>
      </w:r>
      <w:r>
        <w:rPr>
          <w:rFonts w:ascii="Bodoni MT" w:eastAsiaTheme="minorEastAsia" w:hAnsi="Bodoni MT" w:cs="Bodoni MT"/>
          <w:color w:val="000000"/>
          <w:sz w:val="24"/>
          <w:szCs w:val="24"/>
        </w:rPr>
        <w:t>suscita preoccupazione</w:t>
      </w:r>
      <w:r w:rsidR="00373487" w:rsidRPr="00373487">
        <w:rPr>
          <w:rFonts w:ascii="Bodoni MT" w:eastAsiaTheme="minorEastAsia" w:hAnsi="Bodoni MT" w:cs="Bodoni MT"/>
          <w:color w:val="000000"/>
          <w:sz w:val="24"/>
          <w:szCs w:val="24"/>
        </w:rPr>
        <w:t xml:space="preserve"> </w:t>
      </w:r>
      <w:r w:rsidR="00373487" w:rsidRPr="002163CC">
        <w:rPr>
          <w:rFonts w:ascii="Bodoni MT" w:eastAsiaTheme="minorEastAsia" w:hAnsi="Bodoni MT" w:cs="Bodoni MT"/>
          <w:color w:val="000000"/>
          <w:sz w:val="24"/>
          <w:szCs w:val="24"/>
        </w:rPr>
        <w:t>rispetto all’</w:t>
      </w:r>
      <w:r w:rsidR="00373487">
        <w:rPr>
          <w:rFonts w:ascii="Bodoni MT" w:eastAsiaTheme="minorEastAsia" w:hAnsi="Bodoni MT" w:cs="Bodoni MT"/>
          <w:color w:val="000000"/>
          <w:sz w:val="24"/>
          <w:szCs w:val="24"/>
        </w:rPr>
        <w:t>ammonta</w:t>
      </w:r>
      <w:r w:rsidR="00373487" w:rsidRPr="002163CC">
        <w:rPr>
          <w:rFonts w:ascii="Bodoni MT" w:eastAsiaTheme="minorEastAsia" w:hAnsi="Bodoni MT" w:cs="Bodoni MT"/>
          <w:color w:val="000000"/>
          <w:sz w:val="24"/>
          <w:szCs w:val="24"/>
        </w:rPr>
        <w:t>re della manovra di spesa</w:t>
      </w:r>
      <w:r>
        <w:rPr>
          <w:rFonts w:ascii="Bodoni MT" w:eastAsiaTheme="minorEastAsia" w:hAnsi="Bodoni MT" w:cs="Bodoni MT"/>
          <w:color w:val="000000"/>
          <w:sz w:val="24"/>
          <w:szCs w:val="24"/>
        </w:rPr>
        <w:t xml:space="preserve">, </w:t>
      </w:r>
      <w:r w:rsidR="00373487">
        <w:rPr>
          <w:rFonts w:ascii="Bodoni MT" w:eastAsiaTheme="minorEastAsia" w:hAnsi="Bodoni MT" w:cs="Bodoni MT"/>
          <w:color w:val="000000"/>
          <w:sz w:val="24"/>
          <w:szCs w:val="24"/>
        </w:rPr>
        <w:t>in quanto segnala che numerosi impegni di spesa non sono stati assunti nell’esercizio, facendo venir meno il conseguimento dei corrispondenti obiettivi programmati.</w:t>
      </w:r>
    </w:p>
    <w:p w:rsidR="00373487" w:rsidRDefault="00373487"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lastRenderedPageBreak/>
        <w:t>Tale preoccupazione sopravvive anche qualora si consideri la quota di impegni assunta a oggetto delle reimputazioni ad esercizi successivi.</w:t>
      </w:r>
    </w:p>
    <w:p w:rsidR="007C0396" w:rsidRPr="002163CC" w:rsidRDefault="00EF1D29" w:rsidP="00EF1D29">
      <w:pPr>
        <w:pStyle w:val="CdcTesto"/>
      </w:pPr>
      <w:r>
        <w:t>A tale proposito</w:t>
      </w:r>
      <w:r w:rsidR="007C0396">
        <w:t xml:space="preserve"> la Regione in sede di controdeduzioni finali ha precisato che fra le somme non impegnate (pari a 1,324 miliardi di euro) sono compresi gli accantonamenti previsti dalla normativa, per loro natura non impegnabili, pari a</w:t>
      </w:r>
      <w:r w:rsidR="00CC57CD">
        <w:t xml:space="preserve"> </w:t>
      </w:r>
      <w:r w:rsidR="007C0396">
        <w:t>464 milioni di euro.</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La tabella e il grafico che seguono illustrano l’andamento della gestione di competenza 2016 per Titoli, posta a confronto con quella dell’esercizio precedente.</w:t>
      </w:r>
    </w:p>
    <w:p w:rsidR="005D660C" w:rsidRPr="005D660C" w:rsidRDefault="005D660C" w:rsidP="00373487">
      <w:pPr>
        <w:pStyle w:val="Didascalia"/>
        <w:spacing w:before="120"/>
        <w:rPr>
          <w:rFonts w:eastAsia="Verdana"/>
        </w:rPr>
      </w:pPr>
      <w:bookmarkStart w:id="140" w:name="_Toc499040965"/>
      <w:bookmarkStart w:id="141" w:name="_Toc507422485"/>
      <w:r>
        <w:t xml:space="preserve">Tabella </w:t>
      </w:r>
      <w:r w:rsidR="00B90472">
        <w:fldChar w:fldCharType="begin"/>
      </w:r>
      <w:r w:rsidR="00B90472">
        <w:instrText xml:space="preserve"> SEQ Tabella \* ARABIC </w:instrText>
      </w:r>
      <w:r w:rsidR="00B90472">
        <w:fldChar w:fldCharType="separate"/>
      </w:r>
      <w:r w:rsidR="008616B3">
        <w:rPr>
          <w:noProof/>
        </w:rPr>
        <w:t>17</w:t>
      </w:r>
      <w:r w:rsidR="00B90472">
        <w:rPr>
          <w:noProof/>
        </w:rPr>
        <w:fldChar w:fldCharType="end"/>
      </w:r>
      <w:r w:rsidRPr="005D660C">
        <w:t xml:space="preserve"> - </w:t>
      </w:r>
      <w:r w:rsidRPr="005D660C">
        <w:rPr>
          <w:rFonts w:eastAsia="Verdana"/>
          <w:spacing w:val="-3"/>
          <w:sz w:val="24"/>
          <w:szCs w:val="24"/>
        </w:rPr>
        <w:t>Spese Esercizi 2015/2016 Competenza– Gestione del bilancio per Titoli</w:t>
      </w:r>
      <w:bookmarkEnd w:id="140"/>
      <w:bookmarkEnd w:id="141"/>
    </w:p>
    <w:tbl>
      <w:tblPr>
        <w:tblW w:w="5000" w:type="pct"/>
        <w:jc w:val="center"/>
        <w:tblCellMar>
          <w:left w:w="70" w:type="dxa"/>
          <w:right w:w="70" w:type="dxa"/>
        </w:tblCellMar>
        <w:tblLook w:val="04A0" w:firstRow="1" w:lastRow="0" w:firstColumn="1" w:lastColumn="0" w:noHBand="0" w:noVBand="1"/>
      </w:tblPr>
      <w:tblGrid>
        <w:gridCol w:w="1734"/>
        <w:gridCol w:w="2777"/>
        <w:gridCol w:w="2081"/>
        <w:gridCol w:w="1908"/>
        <w:gridCol w:w="1561"/>
      </w:tblGrid>
      <w:tr w:rsidR="005D660C" w:rsidRPr="005D660C" w:rsidTr="00CC57CD">
        <w:trPr>
          <w:trHeight w:val="227"/>
          <w:jc w:val="center"/>
        </w:trPr>
        <w:tc>
          <w:tcPr>
            <w:tcW w:w="862"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 </w:t>
            </w:r>
          </w:p>
        </w:tc>
        <w:tc>
          <w:tcPr>
            <w:tcW w:w="138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 </w:t>
            </w:r>
          </w:p>
        </w:tc>
        <w:tc>
          <w:tcPr>
            <w:tcW w:w="1034"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2015</w:t>
            </w:r>
          </w:p>
        </w:tc>
        <w:tc>
          <w:tcPr>
            <w:tcW w:w="94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2016</w:t>
            </w:r>
          </w:p>
        </w:tc>
        <w:tc>
          <w:tcPr>
            <w:tcW w:w="776"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 Var. 2016/2015</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I Spese correnti</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Previsioni finali (escluso FPV)</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7.110.788.680,63</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6.880.723.408,70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-3,24</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Previsioni finali (al netto re-imput.ni e FPV)</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6.785.401.028,31</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6.791.291.248,70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0,09</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706.979.634,39</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477.591.018,99</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-32,45</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6.403.809.046,24</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6.403.132.389,71</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-0,01</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5.490.014.062,94</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5.681.050.772,26</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3,48</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913.794.983,30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722.081.617,45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-20,98</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II Spese in conto capitale</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Previsioni finali (escluso FPV)</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2.318.303.365,33</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1.615.786.454,50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-30,30</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Previsioni finali (al netto re-imput.ni e FPV)</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1.189.248.063,56</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735.210.798,56</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-38,18</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1.341.060.058,01</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375.286.594,72</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-72,02</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977.243.307,32</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1.240.499.859,78</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26,94</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714.766.202,82</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890.019.928,80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24,52</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262.477.104,50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350.479.930,98</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33,53</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III - Spese per incremento attività finanziarie</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Previsioni finali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28.400.000,00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426.306.547,31</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1401,08</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400.000,00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224.154.747,02</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55938,69</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28.000.000,00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202.151.800,29</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621,97</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28.000.000,00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202.117.671,79</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621,85</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34.128,50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IV - Rimborso prestiti</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Previsioni finali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289.952.775,00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394.282.350,00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35,98</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407.506,06</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217.854.222,95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53360,36</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289.545.268,94</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176.428.127,05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-39,07</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289.545.268,94</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176.428.127,05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-39,07</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V - Chiusura anticipazioni ricevute da istituto tesoriere/cassiere</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Previsioni finali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 </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Titolo VII - Uscite per conto terzi e partite di giro</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Previsioni finali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179.731.698,33</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155.745.712,37</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-13,35</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Economie</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47.280.271,03</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29.820.534,25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-36,93</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 xml:space="preserve">Impegni </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132.451.427,30</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125.925.178,12</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-4,93</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Pagamenti</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128.795.236,68</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124.910.871,40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-3,02</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4"/>
                <w:szCs w:val="14"/>
                <w:lang w:eastAsia="it-IT"/>
              </w:rPr>
            </w:pPr>
            <w:r w:rsidRPr="005D660C">
              <w:rPr>
                <w:rFonts w:ascii="Bodoni MT" w:eastAsia="Times New Roman" w:hAnsi="Bodoni MT" w:cs="Arial"/>
                <w:b/>
                <w:bCs/>
                <w:color w:val="FFFFFF" w:themeColor="background1"/>
                <w:sz w:val="14"/>
                <w:szCs w:val="14"/>
                <w:lang w:eastAsia="it-IT"/>
              </w:rPr>
              <w:t>Residui competenza</w:t>
            </w:r>
          </w:p>
        </w:tc>
        <w:tc>
          <w:tcPr>
            <w:tcW w:w="1034" w:type="pct"/>
            <w:tcBorders>
              <w:top w:val="nil"/>
              <w:left w:val="nil"/>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3.656.190,62</w:t>
            </w:r>
          </w:p>
        </w:tc>
        <w:tc>
          <w:tcPr>
            <w:tcW w:w="948" w:type="pct"/>
            <w:tcBorders>
              <w:top w:val="nil"/>
              <w:left w:val="nil"/>
              <w:bottom w:val="single" w:sz="4" w:space="0" w:color="auto"/>
              <w:right w:val="nil"/>
            </w:tcBorders>
            <w:shd w:val="clear" w:color="000000" w:fill="FFFFFF"/>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1.014.306,72</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-72,26</w:t>
            </w:r>
          </w:p>
        </w:tc>
      </w:tr>
      <w:tr w:rsidR="005D660C" w:rsidRPr="005D660C" w:rsidTr="00CC57CD">
        <w:trPr>
          <w:trHeight w:val="227"/>
          <w:jc w:val="center"/>
        </w:trPr>
        <w:tc>
          <w:tcPr>
            <w:tcW w:w="862"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TOTALE</w:t>
            </w:r>
            <w:r w:rsidRPr="005D660C">
              <w:rPr>
                <w:rFonts w:ascii="Bodoni MT" w:eastAsia="Times New Roman" w:hAnsi="Bodoni MT" w:cs="Arial"/>
                <w:b/>
                <w:bCs/>
                <w:color w:val="FFFFFF"/>
                <w:sz w:val="14"/>
                <w:szCs w:val="14"/>
                <w:lang w:eastAsia="it-IT"/>
              </w:rPr>
              <w:br/>
              <w:t>Titoli</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Previsioni finali (escluso FPV dei Titoli I e II)</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9.927.176.519,29</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9.472.844.472,88</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-4,58</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Previsioni finali (al netto re-imput.ni e FPV dei Titoli I e II)</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8.472.733.565,20</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8.502.836.656,94</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0,36</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Economie</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2.096.127.469,49</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1.324.707.117,93</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-36,80</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 xml:space="preserve">Impegni </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7.831.049.049,80</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8.148.137.354,95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4,05</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Pagamenti</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6.651.120.771,38</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7.074.527.371,30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6,37</w:t>
            </w:r>
          </w:p>
        </w:tc>
      </w:tr>
      <w:tr w:rsidR="005D660C" w:rsidRPr="005D660C" w:rsidTr="00CC57CD">
        <w:trPr>
          <w:trHeight w:val="227"/>
          <w:jc w:val="center"/>
        </w:trPr>
        <w:tc>
          <w:tcPr>
            <w:tcW w:w="862"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Residui competenza</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1.179.928.278,42</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1.073.609.983,65</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-9,01</w:t>
            </w:r>
          </w:p>
        </w:tc>
      </w:tr>
      <w:tr w:rsidR="005D660C" w:rsidRPr="005D660C" w:rsidTr="00D30429">
        <w:trPr>
          <w:trHeight w:val="227"/>
          <w:jc w:val="center"/>
        </w:trPr>
        <w:tc>
          <w:tcPr>
            <w:tcW w:w="2242"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Tit. 0 - Disavanzo di Amministrazione</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537.260.719,82</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537.262.000,00</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0,00</w:t>
            </w:r>
          </w:p>
        </w:tc>
      </w:tr>
      <w:tr w:rsidR="005D660C" w:rsidRPr="005D660C" w:rsidTr="00D30429">
        <w:trPr>
          <w:trHeight w:val="227"/>
          <w:jc w:val="center"/>
        </w:trPr>
        <w:tc>
          <w:tcPr>
            <w:tcW w:w="2242"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CC57CD" w:rsidP="005D660C">
            <w:pPr>
              <w:spacing w:after="0" w:line="240" w:lineRule="auto"/>
              <w:jc w:val="center"/>
              <w:rPr>
                <w:rFonts w:ascii="Bodoni MT" w:eastAsia="Times New Roman" w:hAnsi="Bodoni MT" w:cs="Arial"/>
                <w:b/>
                <w:bCs/>
                <w:color w:val="FFFFFF"/>
                <w:sz w:val="14"/>
                <w:szCs w:val="14"/>
                <w:lang w:eastAsia="it-IT"/>
              </w:rPr>
            </w:pPr>
            <w:r>
              <w:rPr>
                <w:rFonts w:ascii="Bodoni MT" w:eastAsia="Times New Roman" w:hAnsi="Bodoni MT" w:cs="Arial"/>
                <w:b/>
                <w:bCs/>
                <w:color w:val="FFFFFF"/>
                <w:sz w:val="14"/>
                <w:szCs w:val="14"/>
                <w:lang w:eastAsia="it-IT"/>
              </w:rPr>
              <w:t>Totale</w:t>
            </w:r>
            <w:r w:rsidR="005D660C" w:rsidRPr="005D660C">
              <w:rPr>
                <w:rFonts w:ascii="Bodoni MT" w:eastAsia="Times New Roman" w:hAnsi="Bodoni MT" w:cs="Arial"/>
                <w:b/>
                <w:bCs/>
                <w:color w:val="FFFFFF"/>
                <w:sz w:val="14"/>
                <w:szCs w:val="14"/>
                <w:lang w:eastAsia="it-IT"/>
              </w:rPr>
              <w:t xml:space="preserve"> Prev. Finali Titoli</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10.464.437.239,11</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10.010.106.472,88</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-4,34</w:t>
            </w:r>
          </w:p>
        </w:tc>
      </w:tr>
      <w:tr w:rsidR="00CC57CD" w:rsidRPr="005D660C" w:rsidTr="00CC57CD">
        <w:trPr>
          <w:trHeight w:val="227"/>
          <w:jc w:val="center"/>
        </w:trPr>
        <w:tc>
          <w:tcPr>
            <w:tcW w:w="862" w:type="pct"/>
            <w:vMerge w:val="restart"/>
            <w:tcBorders>
              <w:top w:val="nil"/>
              <w:left w:val="single" w:sz="4" w:space="0" w:color="auto"/>
              <w:right w:val="single" w:sz="4" w:space="0" w:color="auto"/>
            </w:tcBorders>
            <w:shd w:val="clear" w:color="auto" w:fill="95B3D7" w:themeFill="accent1" w:themeFillTint="99"/>
            <w:vAlign w:val="center"/>
            <w:hideMark/>
          </w:tcPr>
          <w:p w:rsidR="00CC57CD" w:rsidRPr="005D660C" w:rsidRDefault="00CC57CD" w:rsidP="00CC57CD">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FPV </w:t>
            </w: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CC57CD" w:rsidRPr="005D660C" w:rsidRDefault="00CC57CD"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per Spese Correnti</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CC57CD" w:rsidRPr="005D660C" w:rsidRDefault="00CC57CD"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56.502.635,51</w:t>
            </w:r>
          </w:p>
        </w:tc>
        <w:tc>
          <w:tcPr>
            <w:tcW w:w="948" w:type="pct"/>
            <w:tcBorders>
              <w:top w:val="nil"/>
              <w:left w:val="nil"/>
              <w:bottom w:val="single" w:sz="4" w:space="0" w:color="auto"/>
              <w:right w:val="nil"/>
            </w:tcBorders>
            <w:shd w:val="clear" w:color="auto" w:fill="FFFFFF" w:themeFill="background1"/>
            <w:noWrap/>
            <w:vAlign w:val="center"/>
            <w:hideMark/>
          </w:tcPr>
          <w:p w:rsidR="00CC57CD" w:rsidRPr="005D660C" w:rsidRDefault="00CC57CD"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35.087.191,51</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CC57CD" w:rsidRPr="005D660C" w:rsidRDefault="00CC57CD"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-37,90</w:t>
            </w:r>
          </w:p>
        </w:tc>
      </w:tr>
      <w:tr w:rsidR="00CC57CD" w:rsidRPr="005D660C" w:rsidTr="00CC57CD">
        <w:trPr>
          <w:trHeight w:val="227"/>
          <w:jc w:val="center"/>
        </w:trPr>
        <w:tc>
          <w:tcPr>
            <w:tcW w:w="862" w:type="pct"/>
            <w:vMerge/>
            <w:tcBorders>
              <w:left w:val="single" w:sz="4" w:space="0" w:color="auto"/>
              <w:bottom w:val="single" w:sz="4" w:space="0" w:color="auto"/>
              <w:right w:val="single" w:sz="4" w:space="0" w:color="auto"/>
            </w:tcBorders>
            <w:shd w:val="clear" w:color="auto" w:fill="95B3D7" w:themeFill="accent1" w:themeFillTint="99"/>
            <w:vAlign w:val="center"/>
            <w:hideMark/>
          </w:tcPr>
          <w:p w:rsidR="00CC57CD" w:rsidRPr="005D660C" w:rsidRDefault="00CC57CD" w:rsidP="005D660C">
            <w:pPr>
              <w:spacing w:after="0" w:line="240" w:lineRule="auto"/>
              <w:jc w:val="center"/>
              <w:rPr>
                <w:rFonts w:ascii="Bodoni MT" w:eastAsia="Times New Roman" w:hAnsi="Bodoni MT" w:cs="Arial"/>
                <w:b/>
                <w:bCs/>
                <w:color w:val="FFFFFF"/>
                <w:sz w:val="14"/>
                <w:szCs w:val="14"/>
                <w:lang w:eastAsia="it-IT"/>
              </w:rPr>
            </w:pPr>
          </w:p>
        </w:tc>
        <w:tc>
          <w:tcPr>
            <w:tcW w:w="1380" w:type="pct"/>
            <w:tcBorders>
              <w:top w:val="nil"/>
              <w:left w:val="nil"/>
              <w:bottom w:val="single" w:sz="4" w:space="0" w:color="auto"/>
              <w:right w:val="single" w:sz="4" w:space="0" w:color="auto"/>
            </w:tcBorders>
            <w:shd w:val="clear" w:color="auto" w:fill="95B3D7" w:themeFill="accent1" w:themeFillTint="99"/>
            <w:vAlign w:val="center"/>
            <w:hideMark/>
          </w:tcPr>
          <w:p w:rsidR="00CC57CD" w:rsidRPr="005D660C" w:rsidRDefault="00CC57CD" w:rsidP="005D660C">
            <w:pPr>
              <w:spacing w:after="0" w:line="240" w:lineRule="auto"/>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t>per Spese C/Capitale</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CC57CD" w:rsidRPr="005D660C" w:rsidRDefault="00CC57CD"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288.479.700,14</w:t>
            </w:r>
          </w:p>
        </w:tc>
        <w:tc>
          <w:tcPr>
            <w:tcW w:w="948" w:type="pct"/>
            <w:tcBorders>
              <w:top w:val="nil"/>
              <w:left w:val="nil"/>
              <w:bottom w:val="single" w:sz="4" w:space="0" w:color="auto"/>
              <w:right w:val="nil"/>
            </w:tcBorders>
            <w:shd w:val="clear" w:color="auto" w:fill="FFFFFF" w:themeFill="background1"/>
            <w:noWrap/>
            <w:vAlign w:val="center"/>
            <w:hideMark/>
          </w:tcPr>
          <w:p w:rsidR="00CC57CD" w:rsidRPr="005D660C" w:rsidRDefault="00CC57CD" w:rsidP="005D660C">
            <w:pPr>
              <w:spacing w:after="0" w:line="240" w:lineRule="auto"/>
              <w:jc w:val="right"/>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643.970.395,23</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CC57CD" w:rsidRPr="005D660C" w:rsidRDefault="00CC57CD"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123,23</w:t>
            </w:r>
          </w:p>
        </w:tc>
      </w:tr>
      <w:tr w:rsidR="005D660C" w:rsidRPr="005D660C" w:rsidTr="00D30429">
        <w:trPr>
          <w:trHeight w:val="227"/>
          <w:jc w:val="center"/>
        </w:trPr>
        <w:tc>
          <w:tcPr>
            <w:tcW w:w="2242"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4"/>
                <w:szCs w:val="14"/>
                <w:lang w:eastAsia="it-IT"/>
              </w:rPr>
            </w:pPr>
            <w:r w:rsidRPr="005D660C">
              <w:rPr>
                <w:rFonts w:ascii="Bodoni MT" w:eastAsia="Times New Roman" w:hAnsi="Bodoni MT" w:cs="Arial"/>
                <w:b/>
                <w:bCs/>
                <w:color w:val="FFFFFF"/>
                <w:sz w:val="14"/>
                <w:szCs w:val="14"/>
                <w:lang w:eastAsia="it-IT"/>
              </w:rPr>
              <w:lastRenderedPageBreak/>
              <w:t>Totale Generale Previsioni di Spesa</w:t>
            </w:r>
          </w:p>
        </w:tc>
        <w:tc>
          <w:tcPr>
            <w:tcW w:w="1034"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10.809.419.574,76</w:t>
            </w:r>
          </w:p>
        </w:tc>
        <w:tc>
          <w:tcPr>
            <w:tcW w:w="948" w:type="pct"/>
            <w:tcBorders>
              <w:top w:val="nil"/>
              <w:left w:val="nil"/>
              <w:bottom w:val="single" w:sz="4" w:space="0" w:color="auto"/>
              <w:right w:val="nil"/>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4"/>
                <w:szCs w:val="14"/>
                <w:lang w:eastAsia="it-IT"/>
              </w:rPr>
            </w:pPr>
            <w:r w:rsidRPr="005D660C">
              <w:rPr>
                <w:rFonts w:ascii="Calibri" w:eastAsia="Times New Roman" w:hAnsi="Calibri" w:cs="Calibri"/>
                <w:b/>
                <w:bCs/>
                <w:sz w:val="14"/>
                <w:szCs w:val="14"/>
                <w:lang w:eastAsia="it-IT"/>
              </w:rPr>
              <w:t>10.689.164.059,62</w:t>
            </w:r>
          </w:p>
        </w:tc>
        <w:tc>
          <w:tcPr>
            <w:tcW w:w="776" w:type="pct"/>
            <w:tcBorders>
              <w:top w:val="nil"/>
              <w:left w:val="single" w:sz="4" w:space="0" w:color="auto"/>
              <w:bottom w:val="single" w:sz="4" w:space="0" w:color="auto"/>
              <w:right w:val="single" w:sz="4" w:space="0" w:color="auto"/>
            </w:tcBorders>
            <w:shd w:val="clear" w:color="000000" w:fill="FFFFFF"/>
            <w:noWrap/>
            <w:vAlign w:val="center"/>
            <w:hideMark/>
          </w:tcPr>
          <w:p w:rsidR="005D660C" w:rsidRPr="005D660C" w:rsidRDefault="005D660C" w:rsidP="005D660C">
            <w:pPr>
              <w:spacing w:after="0" w:line="240" w:lineRule="auto"/>
              <w:jc w:val="center"/>
              <w:rPr>
                <w:rFonts w:ascii="Calibri" w:eastAsia="Times New Roman" w:hAnsi="Calibri" w:cs="Calibri"/>
                <w:sz w:val="14"/>
                <w:szCs w:val="14"/>
                <w:lang w:eastAsia="it-IT"/>
              </w:rPr>
            </w:pPr>
            <w:r w:rsidRPr="005D660C">
              <w:rPr>
                <w:rFonts w:ascii="Calibri" w:eastAsia="Times New Roman" w:hAnsi="Calibri" w:cs="Calibri"/>
                <w:sz w:val="14"/>
                <w:szCs w:val="14"/>
                <w:lang w:eastAsia="it-IT"/>
              </w:rPr>
              <w:t>-1,11</w:t>
            </w:r>
          </w:p>
        </w:tc>
      </w:tr>
    </w:tbl>
    <w:p w:rsidR="00343375" w:rsidRDefault="00343375" w:rsidP="005D660C">
      <w:pPr>
        <w:pStyle w:val="Didascalia"/>
      </w:pPr>
      <w:bookmarkStart w:id="142" w:name="_Toc499040995"/>
      <w:r>
        <w:br w:type="page"/>
      </w:r>
    </w:p>
    <w:p w:rsidR="005D660C" w:rsidRPr="005D660C" w:rsidRDefault="005D660C" w:rsidP="005D660C">
      <w:pPr>
        <w:pStyle w:val="Didascalia"/>
        <w:rPr>
          <w:rFonts w:eastAsiaTheme="majorEastAsia" w:cstheme="majorBidi"/>
          <w:sz w:val="24"/>
          <w:szCs w:val="24"/>
        </w:rPr>
      </w:pPr>
      <w:bookmarkStart w:id="143" w:name="_Toc507422714"/>
      <w:r>
        <w:lastRenderedPageBreak/>
        <w:t xml:space="preserve">Grafico </w:t>
      </w:r>
      <w:r w:rsidR="00B90472">
        <w:fldChar w:fldCharType="begin"/>
      </w:r>
      <w:r w:rsidR="00B90472">
        <w:instrText xml:space="preserve"> SEQ Grafico \* ARABIC </w:instrText>
      </w:r>
      <w:r w:rsidR="00B90472">
        <w:fldChar w:fldCharType="separate"/>
      </w:r>
      <w:r w:rsidR="008616B3">
        <w:rPr>
          <w:noProof/>
        </w:rPr>
        <w:t>11</w:t>
      </w:r>
      <w:r w:rsidR="00B90472">
        <w:rPr>
          <w:noProof/>
        </w:rPr>
        <w:fldChar w:fldCharType="end"/>
      </w:r>
      <w:r w:rsidRPr="005D660C">
        <w:rPr>
          <w:rFonts w:eastAsiaTheme="majorEastAsia" w:cstheme="majorBidi"/>
          <w:sz w:val="24"/>
          <w:szCs w:val="24"/>
        </w:rPr>
        <w:t xml:space="preserve"> - Spesa esercizi 2015-2016 – Gestione di competenza</w:t>
      </w:r>
      <w:bookmarkEnd w:id="142"/>
      <w:bookmarkEnd w:id="143"/>
    </w:p>
    <w:p w:rsidR="005D660C" w:rsidRPr="005D660C" w:rsidRDefault="005D660C" w:rsidP="005D660C">
      <w:pPr>
        <w:jc w:val="center"/>
      </w:pPr>
      <w:r w:rsidRPr="005D660C">
        <w:rPr>
          <w:noProof/>
          <w:lang w:eastAsia="it-IT"/>
        </w:rPr>
        <w:drawing>
          <wp:inline distT="0" distB="0" distL="0" distR="0" wp14:anchorId="16C41A7B" wp14:editId="7C389D13">
            <wp:extent cx="6309995" cy="4121150"/>
            <wp:effectExtent l="0" t="0" r="0" b="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9995" cy="4121150"/>
                    </a:xfrm>
                    <a:prstGeom prst="rect">
                      <a:avLst/>
                    </a:prstGeom>
                    <a:noFill/>
                  </pic:spPr>
                </pic:pic>
              </a:graphicData>
            </a:graphic>
          </wp:inline>
        </w:drawing>
      </w:r>
    </w:p>
    <w:p w:rsidR="005D660C" w:rsidRPr="005D660C" w:rsidRDefault="008013F3" w:rsidP="005D660C">
      <w:pPr>
        <w:spacing w:before="360" w:line="360" w:lineRule="auto"/>
        <w:jc w:val="both"/>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A </w:t>
      </w:r>
      <w:r w:rsidR="005D660C" w:rsidRPr="005D660C">
        <w:rPr>
          <w:rFonts w:ascii="Bodoni MT" w:eastAsiaTheme="majorEastAsia" w:hAnsi="Bodoni MT" w:cstheme="majorBidi"/>
          <w:color w:val="000000" w:themeColor="text1"/>
          <w:sz w:val="24"/>
          <w:szCs w:val="24"/>
        </w:rPr>
        <w:t>fronte di minori previsioni di spesa rispetto al 2015 (-1,11%), si sono assunti maggiori impegni (+4,05%) ed effettuati maggiori pagamenti (+6,37%). I residui della competenza registrano una flessione pari al -9,01%.</w:t>
      </w:r>
    </w:p>
    <w:p w:rsidR="008013F3" w:rsidRDefault="005D660C" w:rsidP="005D660C">
      <w:pPr>
        <w:spacing w:line="360" w:lineRule="auto"/>
        <w:jc w:val="both"/>
        <w:rPr>
          <w:rFonts w:ascii="Bodoni MT" w:eastAsiaTheme="majorEastAsia" w:hAnsi="Bodoni MT" w:cstheme="majorBidi"/>
          <w:color w:val="000000" w:themeColor="text1"/>
          <w:sz w:val="24"/>
          <w:szCs w:val="24"/>
        </w:rPr>
      </w:pPr>
      <w:r w:rsidRPr="008013F3">
        <w:rPr>
          <w:rFonts w:ascii="Bodoni MT" w:eastAsiaTheme="majorEastAsia" w:hAnsi="Bodoni MT" w:cstheme="majorBidi"/>
          <w:color w:val="000000" w:themeColor="text1"/>
          <w:sz w:val="24"/>
          <w:szCs w:val="24"/>
        </w:rPr>
        <w:t>Conclusivamente</w:t>
      </w:r>
      <w:r w:rsidR="00373487">
        <w:rPr>
          <w:rFonts w:ascii="Bodoni MT" w:eastAsiaTheme="majorEastAsia" w:hAnsi="Bodoni MT" w:cstheme="majorBidi"/>
          <w:color w:val="000000" w:themeColor="text1"/>
          <w:sz w:val="24"/>
          <w:szCs w:val="24"/>
        </w:rPr>
        <w:t xml:space="preserve">, tenuto anche conto delle economie di spesa, quanto alla effettività di realizzazione delle </w:t>
      </w:r>
      <w:r w:rsidR="002A11E2">
        <w:rPr>
          <w:rFonts w:ascii="Bodoni MT" w:eastAsiaTheme="majorEastAsia" w:hAnsi="Bodoni MT" w:cstheme="majorBidi"/>
          <w:color w:val="000000" w:themeColor="text1"/>
          <w:sz w:val="24"/>
          <w:szCs w:val="24"/>
        </w:rPr>
        <w:t>politiche si riducono</w:t>
      </w:r>
      <w:r w:rsidRPr="008013F3">
        <w:rPr>
          <w:rFonts w:ascii="Bodoni MT" w:eastAsiaTheme="majorEastAsia" w:hAnsi="Bodoni MT" w:cstheme="majorBidi"/>
          <w:color w:val="000000" w:themeColor="text1"/>
          <w:sz w:val="24"/>
          <w:szCs w:val="24"/>
        </w:rPr>
        <w:t xml:space="preserve"> di </w:t>
      </w:r>
      <w:r w:rsidR="008013F3">
        <w:rPr>
          <w:rFonts w:ascii="Bodoni MT" w:eastAsiaTheme="majorEastAsia" w:hAnsi="Bodoni MT" w:cstheme="majorBidi"/>
          <w:color w:val="000000" w:themeColor="text1"/>
          <w:sz w:val="24"/>
          <w:szCs w:val="24"/>
        </w:rPr>
        <w:t>2,039</w:t>
      </w:r>
      <w:r w:rsidRPr="008013F3">
        <w:rPr>
          <w:rFonts w:ascii="Bodoni MT" w:eastAsiaTheme="majorEastAsia" w:hAnsi="Bodoni MT" w:cstheme="majorBidi"/>
          <w:color w:val="000000" w:themeColor="text1"/>
          <w:sz w:val="24"/>
          <w:szCs w:val="24"/>
        </w:rPr>
        <w:t xml:space="preserve"> miliardi di euro </w:t>
      </w:r>
      <w:r w:rsidR="008013F3">
        <w:rPr>
          <w:rFonts w:ascii="Bodoni MT" w:eastAsiaTheme="majorEastAsia" w:hAnsi="Bodoni MT" w:cstheme="majorBidi"/>
          <w:color w:val="000000" w:themeColor="text1"/>
          <w:sz w:val="24"/>
          <w:szCs w:val="24"/>
        </w:rPr>
        <w:t xml:space="preserve">circa </w:t>
      </w:r>
      <w:r w:rsidRPr="008013F3">
        <w:rPr>
          <w:rFonts w:ascii="Bodoni MT" w:eastAsiaTheme="majorEastAsia" w:hAnsi="Bodoni MT" w:cstheme="majorBidi"/>
          <w:color w:val="000000" w:themeColor="text1"/>
          <w:sz w:val="24"/>
          <w:szCs w:val="24"/>
        </w:rPr>
        <w:t>per gli impegni già assunti</w:t>
      </w:r>
      <w:r w:rsidR="008013F3">
        <w:rPr>
          <w:rFonts w:ascii="Bodoni MT" w:eastAsiaTheme="majorEastAsia" w:hAnsi="Bodoni MT" w:cstheme="majorBidi"/>
          <w:color w:val="000000" w:themeColor="text1"/>
          <w:sz w:val="24"/>
          <w:szCs w:val="24"/>
        </w:rPr>
        <w:t xml:space="preserve"> </w:t>
      </w:r>
      <w:r w:rsidR="002A11E2">
        <w:rPr>
          <w:rFonts w:ascii="Bodoni MT" w:eastAsiaTheme="majorEastAsia" w:hAnsi="Bodoni MT" w:cstheme="majorBidi"/>
          <w:color w:val="000000" w:themeColor="text1"/>
          <w:sz w:val="24"/>
          <w:szCs w:val="24"/>
        </w:rPr>
        <w:t>in</w:t>
      </w:r>
      <w:r w:rsidR="008013F3">
        <w:rPr>
          <w:rFonts w:ascii="Bodoni MT" w:eastAsiaTheme="majorEastAsia" w:hAnsi="Bodoni MT" w:cstheme="majorBidi"/>
          <w:color w:val="000000" w:themeColor="text1"/>
          <w:sz w:val="24"/>
          <w:szCs w:val="24"/>
        </w:rPr>
        <w:t xml:space="preserve"> esercizi precedenti e </w:t>
      </w:r>
      <w:r w:rsidR="002A11E2">
        <w:rPr>
          <w:rFonts w:ascii="Bodoni MT" w:eastAsiaTheme="majorEastAsia" w:hAnsi="Bodoni MT" w:cstheme="majorBidi"/>
          <w:color w:val="000000" w:themeColor="text1"/>
          <w:sz w:val="24"/>
          <w:szCs w:val="24"/>
        </w:rPr>
        <w:t>per</w:t>
      </w:r>
      <w:r w:rsidR="008013F3">
        <w:rPr>
          <w:rFonts w:ascii="Bodoni MT" w:eastAsiaTheme="majorEastAsia" w:hAnsi="Bodoni MT" w:cstheme="majorBidi"/>
          <w:color w:val="000000" w:themeColor="text1"/>
          <w:sz w:val="24"/>
          <w:szCs w:val="24"/>
        </w:rPr>
        <w:t xml:space="preserve"> quelli assunti in </w:t>
      </w:r>
      <w:r w:rsidR="0041784F">
        <w:rPr>
          <w:rFonts w:ascii="Bodoni MT" w:eastAsiaTheme="majorEastAsia" w:hAnsi="Bodoni MT" w:cstheme="majorBidi"/>
          <w:color w:val="000000" w:themeColor="text1"/>
          <w:sz w:val="24"/>
          <w:szCs w:val="24"/>
        </w:rPr>
        <w:t>corso di esercizio provvisorio</w:t>
      </w:r>
      <w:r w:rsidR="002A11E2">
        <w:rPr>
          <w:rFonts w:ascii="Bodoni MT" w:eastAsiaTheme="majorEastAsia" w:hAnsi="Bodoni MT" w:cstheme="majorBidi"/>
          <w:color w:val="000000" w:themeColor="text1"/>
          <w:sz w:val="24"/>
          <w:szCs w:val="24"/>
        </w:rPr>
        <w:t>.</w:t>
      </w:r>
    </w:p>
    <w:p w:rsidR="00373487" w:rsidRDefault="00373487" w:rsidP="005D660C">
      <w:pPr>
        <w:spacing w:line="360" w:lineRule="auto"/>
        <w:jc w:val="both"/>
        <w:rPr>
          <w:rFonts w:ascii="Bodoni MT" w:eastAsiaTheme="majorEastAsia" w:hAnsi="Bodoni MT" w:cstheme="majorBidi"/>
          <w:color w:val="000000" w:themeColor="text1"/>
          <w:sz w:val="24"/>
          <w:szCs w:val="24"/>
        </w:rPr>
      </w:pPr>
      <w:r>
        <w:rPr>
          <w:rFonts w:ascii="Bodoni MT" w:eastAsiaTheme="majorEastAsia" w:hAnsi="Bodoni MT" w:cstheme="majorBidi"/>
          <w:color w:val="000000" w:themeColor="text1"/>
          <w:sz w:val="24"/>
          <w:szCs w:val="24"/>
        </w:rPr>
        <w:t>Come si illustrerà (v. paragrafo 6.3.2) le missioni di spesa principalmente penalizzate – sia in fase di previsione che di realizzazione – sono quelle aventi una elevata valenza sociale ed economica</w:t>
      </w:r>
    </w:p>
    <w:p w:rsidR="00373487" w:rsidRDefault="00373487" w:rsidP="005D660C">
      <w:pPr>
        <w:spacing w:line="360" w:lineRule="auto"/>
        <w:jc w:val="both"/>
        <w:rPr>
          <w:rFonts w:ascii="Bodoni MT" w:eastAsiaTheme="majorEastAsia" w:hAnsi="Bodoni MT" w:cstheme="majorBidi"/>
          <w:color w:val="000000" w:themeColor="text1"/>
          <w:sz w:val="24"/>
          <w:szCs w:val="24"/>
        </w:rPr>
      </w:pPr>
      <w:r>
        <w:rPr>
          <w:rFonts w:ascii="Bodoni MT" w:eastAsiaTheme="majorEastAsia" w:hAnsi="Bodoni MT" w:cstheme="majorBidi"/>
          <w:color w:val="000000" w:themeColor="text1"/>
          <w:sz w:val="24"/>
          <w:szCs w:val="24"/>
        </w:rPr>
        <w:t>.</w:t>
      </w:r>
      <w:r>
        <w:rPr>
          <w:rFonts w:ascii="Bodoni MT" w:eastAsiaTheme="majorEastAsia" w:hAnsi="Bodoni MT" w:cstheme="majorBidi"/>
          <w:color w:val="000000" w:themeColor="text1"/>
          <w:sz w:val="24"/>
          <w:szCs w:val="24"/>
        </w:rPr>
        <w:br w:type="page"/>
      </w:r>
    </w:p>
    <w:p w:rsidR="005D660C" w:rsidRPr="005D660C" w:rsidRDefault="005D660C" w:rsidP="00AD43CE">
      <w:pPr>
        <w:pStyle w:val="Titolo3"/>
      </w:pPr>
      <w:bookmarkStart w:id="144" w:name="_Toc498955569"/>
      <w:bookmarkStart w:id="145" w:name="_Toc499040929"/>
      <w:bookmarkStart w:id="146" w:name="_Toc507422632"/>
      <w:bookmarkEnd w:id="144"/>
      <w:r w:rsidRPr="005D660C">
        <w:lastRenderedPageBreak/>
        <w:t>L’analisi della spesa per titoli e per fonte</w:t>
      </w:r>
      <w:bookmarkEnd w:id="145"/>
      <w:bookmarkEnd w:id="146"/>
    </w:p>
    <w:p w:rsidR="005D660C" w:rsidRPr="005D660C" w:rsidRDefault="005D660C" w:rsidP="005D660C">
      <w:pPr>
        <w:pStyle w:val="Didascalia"/>
      </w:pPr>
      <w:bookmarkStart w:id="147" w:name="_Toc499040996"/>
      <w:bookmarkStart w:id="148" w:name="_Toc507422715"/>
      <w:r>
        <w:t xml:space="preserve">Grafico </w:t>
      </w:r>
      <w:r w:rsidR="00B90472">
        <w:fldChar w:fldCharType="begin"/>
      </w:r>
      <w:r w:rsidR="00B90472">
        <w:instrText xml:space="preserve"> SEQ Grafico \* ARABIC </w:instrText>
      </w:r>
      <w:r w:rsidR="00B90472">
        <w:fldChar w:fldCharType="separate"/>
      </w:r>
      <w:r w:rsidR="008616B3">
        <w:rPr>
          <w:noProof/>
        </w:rPr>
        <w:t>12</w:t>
      </w:r>
      <w:r w:rsidR="00B90472">
        <w:rPr>
          <w:noProof/>
        </w:rPr>
        <w:fldChar w:fldCharType="end"/>
      </w:r>
      <w:r w:rsidRPr="005D660C">
        <w:t xml:space="preserve"> - </w:t>
      </w:r>
      <w:r w:rsidRPr="005D660C">
        <w:rPr>
          <w:rFonts w:eastAsiaTheme="majorEastAsia" w:cstheme="majorBidi"/>
          <w:sz w:val="24"/>
          <w:szCs w:val="24"/>
        </w:rPr>
        <w:t>Esercizio 2016 - Impegni di Spesa per Titoli</w:t>
      </w:r>
      <w:bookmarkEnd w:id="147"/>
      <w:bookmarkEnd w:id="148"/>
    </w:p>
    <w:p w:rsidR="005D660C" w:rsidRPr="005D660C" w:rsidRDefault="005D660C" w:rsidP="005D660C">
      <w:pPr>
        <w:spacing w:line="360" w:lineRule="auto"/>
        <w:jc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noProof/>
          <w:color w:val="000000" w:themeColor="text1"/>
          <w:sz w:val="24"/>
          <w:szCs w:val="24"/>
          <w:lang w:eastAsia="it-IT"/>
        </w:rPr>
        <w:drawing>
          <wp:inline distT="0" distB="0" distL="0" distR="0" wp14:anchorId="22EECB2E" wp14:editId="3DF55F21">
            <wp:extent cx="2956560" cy="1792605"/>
            <wp:effectExtent l="0" t="0" r="0" b="0"/>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56560" cy="1792605"/>
                    </a:xfrm>
                    <a:prstGeom prst="rect">
                      <a:avLst/>
                    </a:prstGeom>
                    <a:noFill/>
                  </pic:spPr>
                </pic:pic>
              </a:graphicData>
            </a:graphic>
          </wp:inline>
        </w:drawing>
      </w:r>
    </w:p>
    <w:p w:rsidR="005D660C" w:rsidRPr="005D660C" w:rsidRDefault="005D660C" w:rsidP="00B7211A">
      <w:pPr>
        <w:autoSpaceDE w:val="0"/>
        <w:autoSpaceDN w:val="0"/>
        <w:adjustRightInd w:val="0"/>
        <w:spacing w:before="360"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L’analisi per titoli evidenzia che il 78,58% degli impegni si concentra nelle spese</w:t>
      </w:r>
      <w:r w:rsidR="00343375">
        <w:rPr>
          <w:rFonts w:ascii="Bodoni MT" w:eastAsiaTheme="majorEastAsia" w:hAnsi="Bodoni MT" w:cs="Bodoni MT"/>
          <w:color w:val="000000"/>
          <w:sz w:val="24"/>
          <w:szCs w:val="24"/>
        </w:rPr>
        <w:t xml:space="preserve"> correnti del Titolo </w:t>
      </w:r>
      <w:r w:rsidRPr="005D660C">
        <w:rPr>
          <w:rFonts w:ascii="Bodoni MT" w:eastAsiaTheme="majorEastAsia" w:hAnsi="Bodoni MT" w:cs="Bodoni MT"/>
          <w:color w:val="000000"/>
          <w:sz w:val="24"/>
          <w:szCs w:val="24"/>
        </w:rPr>
        <w:t>I</w:t>
      </w:r>
      <w:r w:rsidR="00A1353F">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il quale risente maggiormente degli effetti delle reimputazioni</w:t>
      </w:r>
      <w:r w:rsidR="008013F3">
        <w:rPr>
          <w:rFonts w:ascii="Bodoni MT" w:eastAsiaTheme="majorEastAsia" w:hAnsi="Bodoni MT" w:cs="Bodoni MT"/>
          <w:color w:val="000000"/>
          <w:sz w:val="24"/>
          <w:szCs w:val="24"/>
        </w:rPr>
        <w:t xml:space="preserve"> già segnalate</w:t>
      </w:r>
      <w:r w:rsidRPr="005D660C">
        <w:rPr>
          <w:rFonts w:ascii="Bodoni MT" w:eastAsiaTheme="majorEastAsia" w:hAnsi="Bodoni MT" w:cs="Bodoni MT"/>
          <w:color w:val="000000"/>
          <w:sz w:val="24"/>
          <w:szCs w:val="24"/>
        </w:rPr>
        <w:t xml:space="preserve">. Infatti, a parità d’impegni rispetto all’esercizio precedente, si sono effettuati maggiori pagamenti (+3,5%) e, di conseguenza, si sono formati minori residui (-21%), anche se, in valore assoluto, la consistenza </w:t>
      </w:r>
      <w:r w:rsidR="008013F3">
        <w:rPr>
          <w:rFonts w:ascii="Bodoni MT" w:eastAsiaTheme="majorEastAsia" w:hAnsi="Bodoni MT" w:cs="Bodoni MT"/>
          <w:color w:val="000000"/>
          <w:sz w:val="24"/>
          <w:szCs w:val="24"/>
        </w:rPr>
        <w:t xml:space="preserve">dei residui </w:t>
      </w:r>
      <w:r w:rsidRPr="005D660C">
        <w:rPr>
          <w:rFonts w:ascii="Bodoni MT" w:eastAsiaTheme="majorEastAsia" w:hAnsi="Bodoni MT" w:cs="Bodoni MT"/>
          <w:color w:val="000000"/>
          <w:sz w:val="24"/>
          <w:szCs w:val="24"/>
        </w:rPr>
        <w:t xml:space="preserve">(722 </w:t>
      </w:r>
      <w:r w:rsidR="00C73269">
        <w:rPr>
          <w:rFonts w:ascii="Bodoni MT" w:eastAsiaTheme="majorEastAsia" w:hAnsi="Bodoni MT" w:cs="Bodoni MT"/>
          <w:color w:val="000000"/>
          <w:sz w:val="24"/>
          <w:szCs w:val="24"/>
        </w:rPr>
        <w:t>milioni</w:t>
      </w:r>
      <w:r w:rsidRPr="005D660C">
        <w:rPr>
          <w:rFonts w:ascii="Bodoni MT" w:eastAsiaTheme="majorEastAsia" w:hAnsi="Bodoni MT" w:cs="Bodoni MT"/>
          <w:color w:val="000000"/>
          <w:sz w:val="24"/>
          <w:szCs w:val="24"/>
        </w:rPr>
        <w:t xml:space="preserve"> di euro) rimane notevole. I pagamenti sono stati pari a € 5.681.050.772,26 (88,72% degli impegni) e le economie </w:t>
      </w:r>
      <w:r w:rsidR="008013F3">
        <w:rPr>
          <w:rFonts w:ascii="Bodoni MT" w:eastAsiaTheme="majorEastAsia" w:hAnsi="Bodoni MT" w:cs="Bodoni MT"/>
          <w:color w:val="000000"/>
          <w:sz w:val="24"/>
          <w:szCs w:val="24"/>
        </w:rPr>
        <w:t>si attestano su</w:t>
      </w:r>
      <w:r w:rsidRPr="005D660C">
        <w:rPr>
          <w:rFonts w:ascii="Bodoni MT" w:eastAsiaTheme="majorEastAsia" w:hAnsi="Bodoni MT" w:cs="Bodoni MT"/>
          <w:color w:val="000000"/>
          <w:sz w:val="24"/>
          <w:szCs w:val="24"/>
        </w:rPr>
        <w:t xml:space="preserve"> €</w:t>
      </w:r>
      <w:r w:rsidR="00B7211A">
        <w:rPr>
          <w:rFonts w:ascii="Bodoni MT" w:eastAsiaTheme="majorEastAsia" w:hAnsi="Bodoni MT" w:cs="Bodoni MT"/>
          <w:color w:val="000000"/>
          <w:sz w:val="24"/>
          <w:szCs w:val="24"/>
        </w:rPr>
        <w:t xml:space="preserve"> </w:t>
      </w:r>
      <w:r w:rsidRPr="005D660C">
        <w:rPr>
          <w:rFonts w:ascii="Bodoni MT" w:eastAsiaTheme="majorEastAsia" w:hAnsi="Bodoni MT" w:cs="Bodoni MT"/>
          <w:color w:val="000000"/>
          <w:sz w:val="24"/>
          <w:szCs w:val="24"/>
        </w:rPr>
        <w:t xml:space="preserve">477.591.018,99 (7% circa delle previsioni). </w:t>
      </w:r>
    </w:p>
    <w:p w:rsidR="008013F3" w:rsidRDefault="00F268EF"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373487">
        <w:rPr>
          <w:rFonts w:ascii="Bodoni MT" w:eastAsiaTheme="majorEastAsia" w:hAnsi="Bodoni MT" w:cs="Bodoni MT"/>
          <w:color w:val="000000"/>
          <w:sz w:val="24"/>
          <w:szCs w:val="24"/>
        </w:rPr>
        <w:t>Solo</w:t>
      </w:r>
      <w:r>
        <w:rPr>
          <w:rFonts w:ascii="Bodoni MT" w:eastAsiaTheme="majorEastAsia" w:hAnsi="Bodoni MT" w:cs="Bodoni MT"/>
          <w:color w:val="000000"/>
          <w:sz w:val="24"/>
          <w:szCs w:val="24"/>
        </w:rPr>
        <w:t xml:space="preserve"> i</w:t>
      </w:r>
      <w:r w:rsidR="005D660C" w:rsidRPr="005D660C">
        <w:rPr>
          <w:rFonts w:ascii="Bodoni MT" w:eastAsiaTheme="majorEastAsia" w:hAnsi="Bodoni MT" w:cs="Bodoni MT"/>
          <w:color w:val="000000"/>
          <w:sz w:val="24"/>
          <w:szCs w:val="24"/>
        </w:rPr>
        <w:t xml:space="preserve">l 15,22% degli impegni riguarda le spese del </w:t>
      </w:r>
      <w:r w:rsidR="005D660C" w:rsidRPr="008013F3">
        <w:rPr>
          <w:rFonts w:ascii="Bodoni MT" w:eastAsiaTheme="majorEastAsia" w:hAnsi="Bodoni MT" w:cs="Bodoni MT"/>
          <w:b/>
          <w:color w:val="000000"/>
          <w:sz w:val="24"/>
          <w:szCs w:val="24"/>
        </w:rPr>
        <w:t>Titolo II “</w:t>
      </w:r>
      <w:r w:rsidR="005D660C" w:rsidRPr="008013F3">
        <w:rPr>
          <w:rFonts w:ascii="Bodoni MT" w:eastAsiaTheme="majorEastAsia" w:hAnsi="Bodoni MT" w:cs="Bodoni MT"/>
          <w:b/>
          <w:i/>
          <w:color w:val="000000"/>
          <w:sz w:val="24"/>
          <w:szCs w:val="24"/>
        </w:rPr>
        <w:t>Spese in conto capitale</w:t>
      </w:r>
      <w:r w:rsidR="005D660C" w:rsidRPr="008013F3">
        <w:rPr>
          <w:rFonts w:ascii="Bodoni MT" w:eastAsiaTheme="majorEastAsia" w:hAnsi="Bodoni MT" w:cs="Bodoni MT"/>
          <w:b/>
          <w:color w:val="000000"/>
          <w:sz w:val="24"/>
          <w:szCs w:val="24"/>
        </w:rPr>
        <w:t>”</w:t>
      </w:r>
      <w:r w:rsidR="005D660C" w:rsidRPr="005D660C">
        <w:rPr>
          <w:rFonts w:ascii="Bodoni MT" w:eastAsiaTheme="majorEastAsia" w:hAnsi="Bodoni MT" w:cs="Bodoni MT"/>
          <w:color w:val="000000"/>
          <w:sz w:val="24"/>
          <w:szCs w:val="24"/>
        </w:rPr>
        <w:t xml:space="preserve">, corrispondenti al 76,77% delle previsioni, in netto miglioramento rispetto al 40% registrato nel 2015. </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I pagamenti sono stati di € 890.019.928,80 (+24,5% rispetto al 2015 e pari al 71,75% degli impegni 2016). Anche tale miglioramento è da ascrivere alle reimputazioni. Infatti, al netto delle stesse, le previsioni finali del Titolo si riducono a 735,210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00E34145">
        <w:rPr>
          <w:rFonts w:ascii="Bodoni MT" w:eastAsiaTheme="majorEastAsia" w:hAnsi="Bodoni MT" w:cs="Bodoni MT"/>
          <w:color w:val="000000"/>
          <w:sz w:val="24"/>
          <w:szCs w:val="24"/>
        </w:rPr>
        <w:t xml:space="preserve">di euro. </w:t>
      </w:r>
      <w:r w:rsidRPr="005D660C">
        <w:rPr>
          <w:rFonts w:ascii="Bodoni MT" w:eastAsiaTheme="majorEastAsia" w:hAnsi="Bodoni MT" w:cs="Bodoni MT"/>
          <w:color w:val="000000"/>
          <w:sz w:val="24"/>
          <w:szCs w:val="24"/>
        </w:rPr>
        <w:t xml:space="preserve">Malgrado l’aumento dei pagamenti, aumentano anche i residui (+33,5% rispetto al 2015), che ammontano a 350,480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Pr="005D660C">
        <w:rPr>
          <w:rFonts w:ascii="Bodoni MT" w:eastAsiaTheme="majorEastAsia" w:hAnsi="Bodoni MT" w:cs="Bodoni MT"/>
          <w:color w:val="000000"/>
          <w:sz w:val="24"/>
          <w:szCs w:val="24"/>
        </w:rPr>
        <w:t xml:space="preserve">di euro (pari al 28,25% degli impegni). Le economie sono state di 375,286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Pr="005D660C">
        <w:rPr>
          <w:rFonts w:ascii="Bodoni MT" w:eastAsiaTheme="majorEastAsia" w:hAnsi="Bodoni MT" w:cs="Bodoni MT"/>
          <w:color w:val="000000"/>
          <w:sz w:val="24"/>
          <w:szCs w:val="24"/>
        </w:rPr>
        <w:t>(pari al 23,22% delle previsioni del Titolo), notevolmente inferiori rispetto all’esercizio precedente.</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8013F3">
        <w:rPr>
          <w:rFonts w:ascii="Bodoni MT" w:eastAsiaTheme="majorEastAsia" w:hAnsi="Bodoni MT" w:cs="Bodoni MT"/>
          <w:color w:val="000000"/>
          <w:sz w:val="24"/>
          <w:szCs w:val="24"/>
        </w:rPr>
        <w:t xml:space="preserve">La formazione di così consistenti residui fa sorgere perplessità sulla corretta programmazione delle spese che dovrebbero sempre trovare copertura all’interno del bilancio </w:t>
      </w:r>
      <w:r w:rsidR="008013F3">
        <w:rPr>
          <w:rFonts w:ascii="Bodoni MT" w:eastAsiaTheme="majorEastAsia" w:hAnsi="Bodoni MT" w:cs="Bodoni MT"/>
          <w:color w:val="000000"/>
          <w:sz w:val="24"/>
          <w:szCs w:val="24"/>
        </w:rPr>
        <w:t>al momento della loro scadenza, salvo che i mancati pagamenti derivino da difficoltà di liquidità di cassa.</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Le previsioni finali degli altri Titoli di spesa hanno un’incidenza marginale sul totale complessivo. </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inorEastAsia" w:hAnsi="Bodoni MT" w:cs="Bodoni MT"/>
          <w:color w:val="000000"/>
          <w:sz w:val="24"/>
          <w:szCs w:val="24"/>
        </w:rPr>
        <w:t xml:space="preserve">Notevole è l’incremento delle previsioni di spesa del </w:t>
      </w:r>
      <w:r w:rsidRPr="008013F3">
        <w:rPr>
          <w:rFonts w:ascii="Bodoni MT" w:eastAsiaTheme="minorEastAsia" w:hAnsi="Bodoni MT" w:cs="Bodoni MT"/>
          <w:b/>
          <w:color w:val="000000"/>
          <w:sz w:val="24"/>
          <w:szCs w:val="24"/>
        </w:rPr>
        <w:t>Titolo III “Spese per incremento delle attività finanziarie”</w:t>
      </w:r>
      <w:r w:rsidRPr="005D660C">
        <w:rPr>
          <w:rFonts w:ascii="Bodoni MT" w:eastAsiaTheme="minorEastAsia" w:hAnsi="Bodoni MT" w:cs="Bodoni MT"/>
          <w:color w:val="000000"/>
          <w:sz w:val="24"/>
          <w:szCs w:val="24"/>
        </w:rPr>
        <w:t xml:space="preserve"> rispetto all’esercizio 2015. Gli impegni assunti, pari al 47,4% delle previsioni, risultano</w:t>
      </w:r>
      <w:r w:rsidR="00D7087F">
        <w:rPr>
          <w:rFonts w:ascii="Bodoni MT" w:eastAsiaTheme="majorEastAsia" w:hAnsi="Bodoni MT" w:cs="Bodoni MT"/>
          <w:color w:val="000000"/>
          <w:sz w:val="24"/>
          <w:szCs w:val="24"/>
        </w:rPr>
        <w:t xml:space="preserve"> </w:t>
      </w:r>
      <w:r w:rsidR="00D7087F">
        <w:rPr>
          <w:rFonts w:ascii="Bodoni MT" w:eastAsiaTheme="majorEastAsia" w:hAnsi="Bodoni MT" w:cs="Bodoni MT"/>
          <w:color w:val="000000"/>
          <w:sz w:val="24"/>
          <w:szCs w:val="24"/>
        </w:rPr>
        <w:lastRenderedPageBreak/>
        <w:t>pressoché</w:t>
      </w:r>
      <w:r w:rsidRPr="005D660C">
        <w:rPr>
          <w:rFonts w:ascii="Bodoni MT" w:eastAsiaTheme="majorEastAsia" w:hAnsi="Bodoni MT" w:cs="Bodoni MT"/>
          <w:color w:val="000000"/>
          <w:sz w:val="24"/>
          <w:szCs w:val="24"/>
        </w:rPr>
        <w:t xml:space="preserve"> totalmente pagati. Il </w:t>
      </w:r>
      <w:r w:rsidRPr="008013F3">
        <w:rPr>
          <w:rFonts w:ascii="Bodoni MT" w:eastAsiaTheme="majorEastAsia" w:hAnsi="Bodoni MT" w:cs="Bodoni MT"/>
          <w:b/>
          <w:color w:val="000000"/>
          <w:sz w:val="24"/>
          <w:szCs w:val="24"/>
        </w:rPr>
        <w:t>Titolo IV</w:t>
      </w:r>
      <w:r w:rsidR="008013F3">
        <w:rPr>
          <w:rFonts w:ascii="Bodoni MT" w:eastAsiaTheme="majorEastAsia" w:hAnsi="Bodoni MT" w:cs="Bodoni MT"/>
          <w:color w:val="000000"/>
          <w:sz w:val="24"/>
          <w:szCs w:val="24"/>
        </w:rPr>
        <w:t xml:space="preserve"> </w:t>
      </w:r>
      <w:r w:rsidR="008013F3" w:rsidRPr="008013F3">
        <w:rPr>
          <w:rFonts w:ascii="Bodoni MT" w:eastAsiaTheme="majorEastAsia" w:hAnsi="Bodoni MT" w:cs="Bodoni MT"/>
          <w:b/>
          <w:color w:val="000000"/>
          <w:sz w:val="24"/>
          <w:szCs w:val="24"/>
        </w:rPr>
        <w:t>“Rimborso prestiti</w:t>
      </w:r>
      <w:r w:rsidR="008013F3">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presenta impegni pari al 44,74% delle previsioni e pagamenti di pari importo.</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Le spese del </w:t>
      </w:r>
      <w:r w:rsidRPr="008013F3">
        <w:rPr>
          <w:rFonts w:ascii="Bodoni MT" w:eastAsiaTheme="majorEastAsia" w:hAnsi="Bodoni MT" w:cs="Bodoni MT"/>
          <w:b/>
          <w:color w:val="000000"/>
          <w:sz w:val="24"/>
          <w:szCs w:val="24"/>
        </w:rPr>
        <w:t>Titolo VII “</w:t>
      </w:r>
      <w:r w:rsidRPr="008013F3">
        <w:rPr>
          <w:rFonts w:ascii="Bodoni MT" w:eastAsiaTheme="majorEastAsia" w:hAnsi="Bodoni MT" w:cs="Bodoni MT"/>
          <w:b/>
          <w:i/>
          <w:color w:val="000000"/>
          <w:sz w:val="24"/>
          <w:szCs w:val="24"/>
        </w:rPr>
        <w:t>Uscite per conto terzi e partite di giro</w:t>
      </w:r>
      <w:r w:rsidRPr="008013F3">
        <w:rPr>
          <w:rFonts w:ascii="Bodoni MT" w:eastAsiaTheme="majorEastAsia" w:hAnsi="Bodoni MT" w:cs="Bodoni MT"/>
          <w:b/>
          <w:color w:val="000000"/>
          <w:sz w:val="24"/>
          <w:szCs w:val="24"/>
        </w:rPr>
        <w:t>”</w:t>
      </w:r>
      <w:r w:rsidRPr="005D660C">
        <w:rPr>
          <w:rFonts w:ascii="Bodoni MT" w:eastAsiaTheme="majorEastAsia" w:hAnsi="Bodoni MT" w:cs="Bodoni MT"/>
          <w:color w:val="000000"/>
          <w:sz w:val="24"/>
          <w:szCs w:val="24"/>
        </w:rPr>
        <w:t xml:space="preserve"> registrano una riduzione rispetto all’esercizio 2015.</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L’analisi delle spese per fonte di finanziamento, illustrata nella tabella che segue, mostra che gli impegni sono finanziati per il 91,12% da risorse regionali, per il 6,94% da assegnazioni statali e per il re</w:t>
      </w:r>
      <w:r w:rsidR="008013F3">
        <w:rPr>
          <w:rFonts w:ascii="Bodoni MT" w:eastAsiaTheme="majorEastAsia" w:hAnsi="Bodoni MT" w:cs="Bodoni MT"/>
          <w:color w:val="000000"/>
          <w:sz w:val="24"/>
          <w:szCs w:val="24"/>
        </w:rPr>
        <w:t>siduo 1,93% da fondi comunitari, con implicazioni sulla coerenza e affidabilità degli intendimenti programmatici espressi nel DEFR.</w:t>
      </w:r>
    </w:p>
    <w:p w:rsidR="005D660C" w:rsidRPr="005D660C" w:rsidRDefault="005D660C" w:rsidP="005D660C">
      <w:pPr>
        <w:pStyle w:val="Didascalia"/>
        <w:rPr>
          <w:rFonts w:eastAsiaTheme="majorEastAsia" w:cstheme="majorBidi"/>
          <w:sz w:val="24"/>
          <w:szCs w:val="24"/>
        </w:rPr>
      </w:pPr>
      <w:bookmarkStart w:id="149" w:name="_Toc499040966"/>
      <w:bookmarkStart w:id="150" w:name="_Toc507422486"/>
      <w:r>
        <w:t xml:space="preserve">Tabella </w:t>
      </w:r>
      <w:r w:rsidR="00B90472">
        <w:fldChar w:fldCharType="begin"/>
      </w:r>
      <w:r w:rsidR="00B90472">
        <w:instrText xml:space="preserve"> SEQ Tabella \* ARABIC </w:instrText>
      </w:r>
      <w:r w:rsidR="00B90472">
        <w:fldChar w:fldCharType="separate"/>
      </w:r>
      <w:r w:rsidR="008616B3">
        <w:rPr>
          <w:noProof/>
        </w:rPr>
        <w:t>18</w:t>
      </w:r>
      <w:r w:rsidR="00B90472">
        <w:rPr>
          <w:noProof/>
        </w:rPr>
        <w:fldChar w:fldCharType="end"/>
      </w:r>
      <w:r w:rsidRPr="005D660C">
        <w:t xml:space="preserve"> - </w:t>
      </w:r>
      <w:r w:rsidRPr="005D660C">
        <w:rPr>
          <w:rFonts w:eastAsiaTheme="majorEastAsia" w:cstheme="majorBidi"/>
          <w:sz w:val="24"/>
          <w:szCs w:val="24"/>
        </w:rPr>
        <w:t>Spesa per Titoli e Fonte - Competenza 2016</w:t>
      </w:r>
      <w:bookmarkEnd w:id="149"/>
      <w:bookmarkEnd w:id="150"/>
    </w:p>
    <w:tbl>
      <w:tblPr>
        <w:tblW w:w="9120" w:type="dxa"/>
        <w:jc w:val="center"/>
        <w:tblCellMar>
          <w:left w:w="70" w:type="dxa"/>
          <w:right w:w="70" w:type="dxa"/>
        </w:tblCellMar>
        <w:tblLook w:val="04A0" w:firstRow="1" w:lastRow="0" w:firstColumn="1" w:lastColumn="0" w:noHBand="0" w:noVBand="1"/>
      </w:tblPr>
      <w:tblGrid>
        <w:gridCol w:w="2420"/>
        <w:gridCol w:w="700"/>
        <w:gridCol w:w="2000"/>
        <w:gridCol w:w="2000"/>
        <w:gridCol w:w="2000"/>
      </w:tblGrid>
      <w:tr w:rsidR="005D660C" w:rsidRPr="005D660C" w:rsidTr="00C73269">
        <w:trPr>
          <w:trHeight w:val="270"/>
          <w:jc w:val="center"/>
        </w:trPr>
        <w:tc>
          <w:tcPr>
            <w:tcW w:w="242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Titolo</w:t>
            </w:r>
          </w:p>
        </w:tc>
        <w:tc>
          <w:tcPr>
            <w:tcW w:w="700" w:type="dxa"/>
            <w:tcBorders>
              <w:top w:val="single" w:sz="4" w:space="0" w:color="auto"/>
              <w:left w:val="nil"/>
              <w:bottom w:val="single" w:sz="4" w:space="0" w:color="auto"/>
              <w:right w:val="single" w:sz="4" w:space="0" w:color="auto"/>
            </w:tcBorders>
            <w:shd w:val="clear" w:color="auto" w:fill="0F243E" w:themeFill="text2" w:themeFillShade="80"/>
            <w:noWrap/>
            <w:vAlign w:val="bottom"/>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Fonte</w:t>
            </w:r>
          </w:p>
        </w:tc>
        <w:tc>
          <w:tcPr>
            <w:tcW w:w="2000" w:type="dxa"/>
            <w:tcBorders>
              <w:top w:val="single" w:sz="4" w:space="0" w:color="auto"/>
              <w:left w:val="nil"/>
              <w:bottom w:val="single" w:sz="4" w:space="0" w:color="auto"/>
              <w:right w:val="single" w:sz="4" w:space="0" w:color="auto"/>
            </w:tcBorders>
            <w:shd w:val="clear" w:color="auto" w:fill="0F243E" w:themeFill="text2" w:themeFillShade="80"/>
            <w:vAlign w:val="bottom"/>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Stanziamenti finali</w:t>
            </w:r>
          </w:p>
        </w:tc>
        <w:tc>
          <w:tcPr>
            <w:tcW w:w="2000" w:type="dxa"/>
            <w:tcBorders>
              <w:top w:val="single" w:sz="4" w:space="0" w:color="auto"/>
              <w:left w:val="nil"/>
              <w:bottom w:val="single" w:sz="4" w:space="0" w:color="auto"/>
              <w:right w:val="single" w:sz="4" w:space="0" w:color="auto"/>
            </w:tcBorders>
            <w:shd w:val="clear" w:color="auto" w:fill="0F243E" w:themeFill="text2" w:themeFillShade="80"/>
            <w:vAlign w:val="bottom"/>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Impegni</w:t>
            </w:r>
          </w:p>
        </w:tc>
        <w:tc>
          <w:tcPr>
            <w:tcW w:w="2000" w:type="dxa"/>
            <w:tcBorders>
              <w:top w:val="single" w:sz="4" w:space="0" w:color="auto"/>
              <w:left w:val="nil"/>
              <w:bottom w:val="single" w:sz="4" w:space="0" w:color="auto"/>
              <w:right w:val="single" w:sz="4" w:space="0" w:color="auto"/>
            </w:tcBorders>
            <w:shd w:val="clear" w:color="auto" w:fill="0F243E" w:themeFill="text2" w:themeFillShade="80"/>
            <w:vAlign w:val="bottom"/>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Pagamenti</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I Spese correnti</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6.491.344.816,72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6.111.048.738,59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5.496.752.696,65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303.295.574,40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208.768.012,25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143.243.693,94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121.170.209,09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83.315.638,87 </w:t>
            </w:r>
          </w:p>
        </w:tc>
        <w:tc>
          <w:tcPr>
            <w:tcW w:w="2000" w:type="dxa"/>
            <w:tcBorders>
              <w:top w:val="nil"/>
              <w:left w:val="nil"/>
              <w:bottom w:val="single" w:sz="4" w:space="0" w:color="auto"/>
              <w:right w:val="single" w:sz="4" w:space="0" w:color="auto"/>
            </w:tcBorders>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41.054.381,67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6.915.810.600,21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6.403.132.389,71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5.681.050.772,26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II Spese in conto capitale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1.243.753.144,60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812.415.991,07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665.977.498,29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885.695.357,25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354.013.348,09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186.416.768,73 </w:t>
            </w:r>
          </w:p>
        </w:tc>
      </w:tr>
      <w:tr w:rsidR="005D660C" w:rsidRPr="005D660C" w:rsidTr="00C73269">
        <w:trPr>
          <w:trHeight w:val="73"/>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130.308.347,88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74.070.520,62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37.625.661,78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2.259.756.849,73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1.240.499.859,78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890.019.928,80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III - Spese per incremento attività finanziarie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426.306.547,31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202.151.800,29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202.117.671,79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426.034.128,50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202.151.800,29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202.117.671,79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IV - Rimborso prestiti</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391.214.350,00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173.360.756,38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173.360.756,38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3.068.000,00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3.067.370,67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3.067.370,67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394.282.350,00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176.428.127,05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176.428.127,05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V - Chiusura anticipazioni ricevute da istituto tesoriere/cassiere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0,00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VII - Uscite per conto terzi e partite di giro</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155.745.712,37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125.925.178,12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124.910.871,40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155.745.712,37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125.925.178,12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124.910.871,40 </w:t>
            </w:r>
          </w:p>
        </w:tc>
      </w:tr>
      <w:tr w:rsidR="005D660C" w:rsidRPr="005D660C" w:rsidTr="00C73269">
        <w:trPr>
          <w:trHeight w:val="270"/>
          <w:jc w:val="center"/>
        </w:trPr>
        <w:tc>
          <w:tcPr>
            <w:tcW w:w="2420" w:type="dxa"/>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Titolo 0 Copertura disavanzo</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537.262.000,00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18"/>
                <w:szCs w:val="18"/>
                <w:lang w:eastAsia="it-IT"/>
              </w:rPr>
            </w:pPr>
            <w:r w:rsidRPr="005D660C">
              <w:rPr>
                <w:rFonts w:ascii="Calibri" w:eastAsia="Times New Roman" w:hAnsi="Calibri" w:cs="Calibri"/>
                <w:sz w:val="18"/>
                <w:szCs w:val="18"/>
                <w:lang w:eastAsia="it-IT"/>
              </w:rPr>
              <w:t xml:space="preserve">0,00 </w:t>
            </w:r>
          </w:p>
        </w:tc>
      </w:tr>
      <w:tr w:rsidR="005D660C" w:rsidRPr="005D660C" w:rsidTr="00C73269">
        <w:trPr>
          <w:trHeight w:val="270"/>
          <w:jc w:val="center"/>
        </w:trPr>
        <w:tc>
          <w:tcPr>
            <w:tcW w:w="242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18"/>
                <w:szCs w:val="18"/>
                <w:lang w:eastAsia="it-IT"/>
              </w:rPr>
            </w:pP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537.262.000,00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0,00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0,00 </w:t>
            </w:r>
          </w:p>
        </w:tc>
      </w:tr>
      <w:tr w:rsidR="0041784F" w:rsidRPr="005D660C" w:rsidTr="00C73269">
        <w:trPr>
          <w:trHeight w:val="270"/>
          <w:jc w:val="center"/>
        </w:trPr>
        <w:tc>
          <w:tcPr>
            <w:tcW w:w="2420" w:type="dxa"/>
            <w:vMerge w:val="restart"/>
            <w:tcBorders>
              <w:top w:val="nil"/>
              <w:left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 TITOLI</w:t>
            </w: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FR</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9.245.626.571,00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7.424.902.464,45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6.663.119.494,51 </w:t>
            </w:r>
          </w:p>
        </w:tc>
      </w:tr>
      <w:tr w:rsidR="0041784F" w:rsidRPr="005D660C" w:rsidTr="00C73269">
        <w:trPr>
          <w:trHeight w:val="270"/>
          <w:jc w:val="center"/>
        </w:trPr>
        <w:tc>
          <w:tcPr>
            <w:tcW w:w="2420" w:type="dxa"/>
            <w:vMerge/>
            <w:tcBorders>
              <w:left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AS</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1.192.058.931,65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565.848.731,01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332.727.833,34 </w:t>
            </w:r>
          </w:p>
        </w:tc>
      </w:tr>
      <w:tr w:rsidR="0041784F" w:rsidRPr="005D660C" w:rsidTr="00C73269">
        <w:trPr>
          <w:trHeight w:val="270"/>
          <w:jc w:val="center"/>
        </w:trPr>
        <w:tc>
          <w:tcPr>
            <w:tcW w:w="2420" w:type="dxa"/>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color w:val="FFFFFF" w:themeColor="background1"/>
                <w:sz w:val="18"/>
                <w:szCs w:val="18"/>
                <w:lang w:eastAsia="it-IT"/>
              </w:rPr>
            </w:pPr>
          </w:p>
        </w:tc>
        <w:tc>
          <w:tcPr>
            <w:tcW w:w="700" w:type="dxa"/>
            <w:tcBorders>
              <w:top w:val="nil"/>
              <w:left w:val="nil"/>
              <w:bottom w:val="single" w:sz="4" w:space="0" w:color="auto"/>
              <w:right w:val="single" w:sz="4" w:space="0" w:color="auto"/>
            </w:tcBorders>
            <w:shd w:val="clear" w:color="auto" w:fill="95B3D7" w:themeFill="accent1" w:themeFillTint="99"/>
            <w:noWrap/>
            <w:vAlign w:val="center"/>
            <w:hideMark/>
          </w:tcPr>
          <w:p w:rsidR="0041784F" w:rsidRPr="005D660C" w:rsidRDefault="0041784F"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UE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251.478.556,97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157.386.159,49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41784F" w:rsidRPr="005D660C" w:rsidRDefault="0041784F"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78.680.043,45 </w:t>
            </w:r>
          </w:p>
        </w:tc>
      </w:tr>
      <w:tr w:rsidR="005D660C" w:rsidRPr="005D660C" w:rsidTr="00C73269">
        <w:trPr>
          <w:trHeight w:val="255"/>
          <w:jc w:val="center"/>
        </w:trPr>
        <w:tc>
          <w:tcPr>
            <w:tcW w:w="3120"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 GENERALE</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10.689.164.059,62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8.148.137.354,95 </w:t>
            </w:r>
          </w:p>
        </w:tc>
        <w:tc>
          <w:tcPr>
            <w:tcW w:w="2000" w:type="dxa"/>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 xml:space="preserve">7.074.527.371,30 </w:t>
            </w:r>
          </w:p>
        </w:tc>
      </w:tr>
    </w:tbl>
    <w:p w:rsidR="00373487" w:rsidRDefault="00373487" w:rsidP="005D660C">
      <w:pPr>
        <w:pStyle w:val="Didascalia"/>
      </w:pPr>
      <w:bookmarkStart w:id="151" w:name="_Toc499040997"/>
      <w:r>
        <w:br w:type="page"/>
      </w:r>
    </w:p>
    <w:p w:rsidR="005D660C" w:rsidRPr="005D660C" w:rsidRDefault="005D660C" w:rsidP="005D660C">
      <w:pPr>
        <w:pStyle w:val="Didascalia"/>
      </w:pPr>
      <w:bookmarkStart w:id="152" w:name="_Toc507422716"/>
      <w:r>
        <w:lastRenderedPageBreak/>
        <w:t xml:space="preserve">Grafico </w:t>
      </w:r>
      <w:r w:rsidR="00B90472">
        <w:fldChar w:fldCharType="begin"/>
      </w:r>
      <w:r w:rsidR="00B90472">
        <w:instrText xml:space="preserve"> SEQ Grafico \* ARABIC </w:instrText>
      </w:r>
      <w:r w:rsidR="00B90472">
        <w:fldChar w:fldCharType="separate"/>
      </w:r>
      <w:r w:rsidR="008616B3">
        <w:rPr>
          <w:noProof/>
        </w:rPr>
        <w:t>13</w:t>
      </w:r>
      <w:r w:rsidR="00B90472">
        <w:rPr>
          <w:noProof/>
        </w:rPr>
        <w:fldChar w:fldCharType="end"/>
      </w:r>
      <w:r w:rsidRPr="005D660C">
        <w:t xml:space="preserve"> - </w:t>
      </w:r>
      <w:r w:rsidRPr="005D660C">
        <w:rPr>
          <w:rFonts w:eastAsiaTheme="majorEastAsia" w:cstheme="majorBidi"/>
          <w:sz w:val="24"/>
          <w:szCs w:val="24"/>
        </w:rPr>
        <w:t>Esercizio 2016 - Spesa per Fonte – Previsioni finali</w:t>
      </w:r>
      <w:bookmarkEnd w:id="151"/>
      <w:bookmarkEnd w:id="152"/>
    </w:p>
    <w:p w:rsidR="005D660C" w:rsidRPr="005D660C" w:rsidRDefault="005D660C" w:rsidP="005D660C">
      <w:pPr>
        <w:spacing w:line="360" w:lineRule="auto"/>
        <w:jc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noProof/>
          <w:color w:val="000000" w:themeColor="text1"/>
          <w:sz w:val="24"/>
          <w:szCs w:val="24"/>
          <w:lang w:eastAsia="it-IT"/>
        </w:rPr>
        <w:drawing>
          <wp:inline distT="0" distB="0" distL="0" distR="0" wp14:anchorId="094F5068" wp14:editId="42CC49F9">
            <wp:extent cx="4090670" cy="2280285"/>
            <wp:effectExtent l="0" t="0" r="5080" b="5715"/>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90670" cy="2280285"/>
                    </a:xfrm>
                    <a:prstGeom prst="rect">
                      <a:avLst/>
                    </a:prstGeom>
                    <a:noFill/>
                  </pic:spPr>
                </pic:pic>
              </a:graphicData>
            </a:graphic>
          </wp:inline>
        </w:drawing>
      </w:r>
    </w:p>
    <w:p w:rsidR="005D660C" w:rsidRPr="005D660C" w:rsidRDefault="005D660C" w:rsidP="005D660C">
      <w:pPr>
        <w:pStyle w:val="Didascalia"/>
      </w:pPr>
      <w:bookmarkStart w:id="153" w:name="_Toc499040998"/>
      <w:bookmarkStart w:id="154" w:name="_Toc507422717"/>
      <w:r>
        <w:t xml:space="preserve">Grafico </w:t>
      </w:r>
      <w:r w:rsidR="00B90472">
        <w:fldChar w:fldCharType="begin"/>
      </w:r>
      <w:r w:rsidR="00B90472">
        <w:instrText xml:space="preserve"> SEQ Grafico \* ARABIC </w:instrText>
      </w:r>
      <w:r w:rsidR="00B90472">
        <w:fldChar w:fldCharType="separate"/>
      </w:r>
      <w:r w:rsidR="008616B3">
        <w:rPr>
          <w:noProof/>
        </w:rPr>
        <w:t>14</w:t>
      </w:r>
      <w:r w:rsidR="00B90472">
        <w:rPr>
          <w:noProof/>
        </w:rPr>
        <w:fldChar w:fldCharType="end"/>
      </w:r>
      <w:r w:rsidRPr="005D660C">
        <w:t xml:space="preserve"> - </w:t>
      </w:r>
      <w:r w:rsidRPr="005D660C">
        <w:rPr>
          <w:rFonts w:eastAsiaTheme="majorEastAsia" w:cstheme="majorBidi"/>
          <w:sz w:val="24"/>
          <w:szCs w:val="24"/>
        </w:rPr>
        <w:t>Esercizio 2016 - Spesa per Fonte – Impegni</w:t>
      </w:r>
      <w:bookmarkEnd w:id="153"/>
      <w:bookmarkEnd w:id="154"/>
    </w:p>
    <w:p w:rsidR="005D660C" w:rsidRPr="005D660C" w:rsidRDefault="005D660C" w:rsidP="005D660C">
      <w:pPr>
        <w:spacing w:line="360" w:lineRule="auto"/>
        <w:jc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noProof/>
          <w:color w:val="000000" w:themeColor="text1"/>
          <w:sz w:val="24"/>
          <w:szCs w:val="24"/>
          <w:lang w:eastAsia="it-IT"/>
        </w:rPr>
        <w:drawing>
          <wp:inline distT="0" distB="0" distL="0" distR="0" wp14:anchorId="323EA508" wp14:editId="284DFA00">
            <wp:extent cx="4090670" cy="2127885"/>
            <wp:effectExtent l="0" t="0" r="5080" b="571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90670" cy="2127885"/>
                    </a:xfrm>
                    <a:prstGeom prst="rect">
                      <a:avLst/>
                    </a:prstGeom>
                    <a:noFill/>
                  </pic:spPr>
                </pic:pic>
              </a:graphicData>
            </a:graphic>
          </wp:inline>
        </w:drawing>
      </w:r>
    </w:p>
    <w:p w:rsidR="005D660C" w:rsidRPr="005D660C" w:rsidRDefault="005D660C" w:rsidP="005D660C">
      <w:pPr>
        <w:pStyle w:val="Didascalia"/>
      </w:pPr>
      <w:bookmarkStart w:id="155" w:name="_Toc499040999"/>
      <w:bookmarkStart w:id="156" w:name="_Toc507422718"/>
      <w:r>
        <w:t xml:space="preserve">Grafico </w:t>
      </w:r>
      <w:r w:rsidR="00B90472">
        <w:fldChar w:fldCharType="begin"/>
      </w:r>
      <w:r w:rsidR="00B90472">
        <w:instrText xml:space="preserve"> SEQ Grafico \* ARABIC </w:instrText>
      </w:r>
      <w:r w:rsidR="00B90472">
        <w:fldChar w:fldCharType="separate"/>
      </w:r>
      <w:r w:rsidR="008616B3">
        <w:rPr>
          <w:noProof/>
        </w:rPr>
        <w:t>15</w:t>
      </w:r>
      <w:r w:rsidR="00B90472">
        <w:rPr>
          <w:noProof/>
        </w:rPr>
        <w:fldChar w:fldCharType="end"/>
      </w:r>
      <w:r w:rsidRPr="005D660C">
        <w:t xml:space="preserve"> - </w:t>
      </w:r>
      <w:r w:rsidRPr="005D660C">
        <w:rPr>
          <w:rFonts w:eastAsiaTheme="majorEastAsia" w:cstheme="majorBidi"/>
          <w:sz w:val="24"/>
          <w:szCs w:val="24"/>
        </w:rPr>
        <w:t>Spesa per Fonte – Pagamenti Esercizio 2016</w:t>
      </w:r>
      <w:bookmarkEnd w:id="155"/>
      <w:bookmarkEnd w:id="156"/>
    </w:p>
    <w:p w:rsidR="005D660C" w:rsidRPr="005D660C" w:rsidRDefault="005D660C" w:rsidP="005D660C">
      <w:pPr>
        <w:spacing w:line="360" w:lineRule="auto"/>
        <w:jc w:val="center"/>
        <w:rPr>
          <w:rFonts w:ascii="Bodoni MT" w:eastAsiaTheme="majorEastAsia" w:hAnsi="Bodoni MT" w:cstheme="majorBidi"/>
          <w:color w:val="000000" w:themeColor="text1"/>
          <w:sz w:val="24"/>
          <w:szCs w:val="24"/>
        </w:rPr>
      </w:pPr>
      <w:r w:rsidRPr="005D660C">
        <w:rPr>
          <w:noProof/>
          <w:lang w:eastAsia="it-IT"/>
        </w:rPr>
        <w:drawing>
          <wp:inline distT="0" distB="0" distL="0" distR="0" wp14:anchorId="527CA086" wp14:editId="12271C4F">
            <wp:extent cx="4076700" cy="2095500"/>
            <wp:effectExtent l="0" t="0" r="0" b="0"/>
            <wp:docPr id="9" name="Grafico 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E8D6AE-52D7-4F24-9583-DB65ACAAC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5D660C" w:rsidRPr="005D660C" w:rsidRDefault="005D660C" w:rsidP="005D660C">
      <w:pPr>
        <w:spacing w:line="360" w:lineRule="auto"/>
        <w:jc w:val="both"/>
        <w:rPr>
          <w:rFonts w:ascii="Bodoni MT" w:eastAsiaTheme="majorEastAsia" w:hAnsi="Bodoni MT" w:cstheme="majorBidi"/>
          <w:color w:val="000000" w:themeColor="text1"/>
          <w:sz w:val="24"/>
          <w:szCs w:val="24"/>
        </w:rPr>
      </w:pPr>
    </w:p>
    <w:p w:rsidR="005D660C" w:rsidRPr="00AD43CE" w:rsidRDefault="005D660C" w:rsidP="00AD43CE">
      <w:pPr>
        <w:pStyle w:val="Titolo3"/>
      </w:pPr>
      <w:bookmarkStart w:id="157" w:name="_Toc499040930"/>
      <w:bookmarkStart w:id="158" w:name="_Toc507422633"/>
      <w:r w:rsidRPr="00AD43CE">
        <w:lastRenderedPageBreak/>
        <w:t>L’analisi della spesa per Missioni</w:t>
      </w:r>
      <w:bookmarkEnd w:id="157"/>
      <w:bookmarkEnd w:id="158"/>
    </w:p>
    <w:p w:rsidR="005D660C" w:rsidRPr="00B7211A" w:rsidRDefault="005D660C" w:rsidP="005D660C">
      <w:pPr>
        <w:pStyle w:val="Didascalia"/>
      </w:pPr>
      <w:bookmarkStart w:id="159" w:name="_Toc499040967"/>
      <w:bookmarkStart w:id="160" w:name="_Toc507422487"/>
      <w:r w:rsidRPr="00B7211A">
        <w:rPr>
          <w:color w:val="auto"/>
        </w:rPr>
        <w:t xml:space="preserve">Tabella </w:t>
      </w:r>
      <w:r w:rsidR="00BD32AD" w:rsidRPr="00B7211A">
        <w:rPr>
          <w:color w:val="auto"/>
        </w:rPr>
        <w:fldChar w:fldCharType="begin"/>
      </w:r>
      <w:r w:rsidR="00BD32AD" w:rsidRPr="00B7211A">
        <w:rPr>
          <w:color w:val="auto"/>
        </w:rPr>
        <w:instrText xml:space="preserve"> SEQ Tabella \* ARABIC </w:instrText>
      </w:r>
      <w:r w:rsidR="00BD32AD" w:rsidRPr="00B7211A">
        <w:rPr>
          <w:color w:val="auto"/>
        </w:rPr>
        <w:fldChar w:fldCharType="separate"/>
      </w:r>
      <w:r w:rsidR="008616B3">
        <w:rPr>
          <w:noProof/>
          <w:color w:val="auto"/>
        </w:rPr>
        <w:t>19</w:t>
      </w:r>
      <w:r w:rsidR="00BD32AD" w:rsidRPr="00B7211A">
        <w:rPr>
          <w:noProof/>
          <w:color w:val="auto"/>
        </w:rPr>
        <w:fldChar w:fldCharType="end"/>
      </w:r>
      <w:r w:rsidRPr="00B7211A">
        <w:rPr>
          <w:color w:val="auto"/>
        </w:rPr>
        <w:t xml:space="preserve"> - </w:t>
      </w:r>
      <w:r w:rsidRPr="00B7211A">
        <w:rPr>
          <w:rFonts w:eastAsiaTheme="majorEastAsia" w:cstheme="majorBidi"/>
        </w:rPr>
        <w:t>Esercizio 2016 - Spesa per Missioni</w:t>
      </w:r>
      <w:bookmarkEnd w:id="159"/>
      <w:bookmarkEnd w:id="160"/>
    </w:p>
    <w:tbl>
      <w:tblPr>
        <w:tblW w:w="5000" w:type="pct"/>
        <w:jc w:val="center"/>
        <w:tblCellMar>
          <w:left w:w="70" w:type="dxa"/>
          <w:right w:w="70" w:type="dxa"/>
        </w:tblCellMar>
        <w:tblLook w:val="04A0" w:firstRow="1" w:lastRow="0" w:firstColumn="1" w:lastColumn="0" w:noHBand="0" w:noVBand="1"/>
      </w:tblPr>
      <w:tblGrid>
        <w:gridCol w:w="302"/>
        <w:gridCol w:w="1515"/>
        <w:gridCol w:w="1284"/>
        <w:gridCol w:w="1260"/>
        <w:gridCol w:w="1374"/>
        <w:gridCol w:w="1501"/>
        <w:gridCol w:w="807"/>
        <w:gridCol w:w="561"/>
        <w:gridCol w:w="805"/>
        <w:gridCol w:w="652"/>
      </w:tblGrid>
      <w:tr w:rsidR="00E34145" w:rsidRPr="005D660C" w:rsidTr="00E34145">
        <w:trPr>
          <w:trHeight w:val="694"/>
          <w:jc w:val="center"/>
        </w:trPr>
        <w:tc>
          <w:tcPr>
            <w:tcW w:w="903" w:type="pct"/>
            <w:gridSpan w:val="2"/>
            <w:tcBorders>
              <w:top w:val="single" w:sz="4" w:space="0" w:color="auto"/>
              <w:left w:val="single" w:sz="4" w:space="0" w:color="auto"/>
              <w:right w:val="single" w:sz="4" w:space="0" w:color="auto"/>
            </w:tcBorders>
            <w:shd w:val="clear" w:color="auto" w:fill="0F243E" w:themeFill="text2" w:themeFillShade="80"/>
            <w:noWrap/>
            <w:vAlign w:val="center"/>
            <w:hideMark/>
          </w:tcPr>
          <w:p w:rsidR="00E34145" w:rsidRPr="005D660C" w:rsidRDefault="00E34145" w:rsidP="00E34145">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SPESA</w:t>
            </w:r>
            <w:r>
              <w:rPr>
                <w:rFonts w:ascii="Bodoni MT" w:eastAsia="Times New Roman" w:hAnsi="Bodoni MT" w:cs="Calibri"/>
                <w:b/>
                <w:bCs/>
                <w:color w:val="FFFFFF"/>
                <w:sz w:val="16"/>
                <w:szCs w:val="16"/>
                <w:lang w:eastAsia="it-IT"/>
              </w:rPr>
              <w:t xml:space="preserve"> </w:t>
            </w:r>
            <w:r w:rsidRPr="005D660C">
              <w:rPr>
                <w:rFonts w:ascii="Bodoni MT" w:eastAsia="Times New Roman" w:hAnsi="Bodoni MT" w:cs="Calibri"/>
                <w:b/>
                <w:bCs/>
                <w:color w:val="FFFFFF"/>
                <w:sz w:val="16"/>
                <w:szCs w:val="16"/>
                <w:lang w:eastAsia="it-IT"/>
              </w:rPr>
              <w:t>MISSIONI</w:t>
            </w:r>
          </w:p>
        </w:tc>
        <w:tc>
          <w:tcPr>
            <w:tcW w:w="638" w:type="pct"/>
            <w:tcBorders>
              <w:top w:val="single" w:sz="4" w:space="0" w:color="auto"/>
              <w:left w:val="nil"/>
              <w:right w:val="single" w:sz="4" w:space="0" w:color="auto"/>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Pre. Finali</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2016</w:t>
            </w:r>
          </w:p>
        </w:tc>
        <w:tc>
          <w:tcPr>
            <w:tcW w:w="626" w:type="pct"/>
            <w:tcBorders>
              <w:top w:val="single" w:sz="4" w:space="0" w:color="auto"/>
              <w:left w:val="nil"/>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Impegni</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2016</w:t>
            </w:r>
          </w:p>
        </w:tc>
        <w:tc>
          <w:tcPr>
            <w:tcW w:w="683"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Pagamenti</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2016</w:t>
            </w:r>
          </w:p>
        </w:tc>
        <w:tc>
          <w:tcPr>
            <w:tcW w:w="746"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Residui</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2016</w:t>
            </w:r>
          </w:p>
        </w:tc>
        <w:tc>
          <w:tcPr>
            <w:tcW w:w="401"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Imp/Prev.</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w:t>
            </w:r>
          </w:p>
        </w:tc>
        <w:tc>
          <w:tcPr>
            <w:tcW w:w="279"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su totale</w:t>
            </w:r>
          </w:p>
        </w:tc>
        <w:tc>
          <w:tcPr>
            <w:tcW w:w="400"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Pag./Imp.</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w:t>
            </w:r>
          </w:p>
        </w:tc>
        <w:tc>
          <w:tcPr>
            <w:tcW w:w="324" w:type="pct"/>
            <w:tcBorders>
              <w:top w:val="single" w:sz="4" w:space="0" w:color="auto"/>
              <w:left w:val="single" w:sz="4" w:space="0" w:color="auto"/>
              <w:right w:val="nil"/>
            </w:tcBorders>
            <w:shd w:val="clear" w:color="auto" w:fill="0F243E" w:themeFill="text2" w:themeFillShade="80"/>
            <w:vAlign w:val="center"/>
            <w:hideMark/>
          </w:tcPr>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w:t>
            </w:r>
          </w:p>
          <w:p w:rsidR="00E34145" w:rsidRPr="005D660C" w:rsidRDefault="00E34145" w:rsidP="005D660C">
            <w:pPr>
              <w:spacing w:after="0" w:line="240" w:lineRule="auto"/>
              <w:jc w:val="center"/>
              <w:rPr>
                <w:rFonts w:ascii="Bodoni MT" w:eastAsia="Times New Roman" w:hAnsi="Bodoni MT" w:cs="Calibri"/>
                <w:b/>
                <w:bCs/>
                <w:color w:val="FFFFFF"/>
                <w:sz w:val="16"/>
                <w:szCs w:val="16"/>
                <w:lang w:eastAsia="it-IT"/>
              </w:rPr>
            </w:pPr>
            <w:r w:rsidRPr="005D660C">
              <w:rPr>
                <w:rFonts w:ascii="Bodoni MT" w:eastAsia="Times New Roman" w:hAnsi="Bodoni MT" w:cs="Calibri"/>
                <w:b/>
                <w:bCs/>
                <w:color w:val="FFFFFF"/>
                <w:sz w:val="16"/>
                <w:szCs w:val="16"/>
                <w:lang w:eastAsia="it-IT"/>
              </w:rPr>
              <w:t>su totale</w:t>
            </w:r>
          </w:p>
        </w:tc>
      </w:tr>
      <w:tr w:rsidR="005D660C" w:rsidRPr="005D660C" w:rsidTr="00CC57CD">
        <w:trPr>
          <w:trHeight w:val="685"/>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01</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Servizi istituzionali, generali e di gestione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1.251.477.579,04</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651.051.272,34</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613.377.180,93</w:t>
            </w:r>
          </w:p>
        </w:tc>
        <w:tc>
          <w:tcPr>
            <w:tcW w:w="746" w:type="pct"/>
            <w:tcBorders>
              <w:top w:val="single" w:sz="4" w:space="0" w:color="auto"/>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37.674.091,41</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52,02</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12,33</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94,21</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8,67</w:t>
            </w:r>
          </w:p>
        </w:tc>
      </w:tr>
      <w:tr w:rsidR="005D660C" w:rsidRPr="005D660C" w:rsidTr="00CC57CD">
        <w:trPr>
          <w:trHeight w:val="303"/>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03</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Ordine pubblico e sicurezza</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10.100.000,00</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6.287.994,41</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5.114.140,41</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1.173.854,00</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62,26</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0,10</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81,33</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0,07</w:t>
            </w:r>
          </w:p>
        </w:tc>
      </w:tr>
      <w:tr w:rsidR="005D660C" w:rsidRPr="005D660C" w:rsidTr="00CC57CD">
        <w:trPr>
          <w:trHeight w:val="45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04</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Istruzione e diritto allo studio</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276.489.876,87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212.639.588,23</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96.707.929,62</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115.931.658,61</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76,91</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2,72</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45,48</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1,37</w:t>
            </w:r>
          </w:p>
        </w:tc>
      </w:tr>
      <w:tr w:rsidR="005D660C" w:rsidRPr="005D660C" w:rsidTr="00CC57CD">
        <w:trPr>
          <w:trHeight w:val="649"/>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05</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Tutela e valorizzazione dei beni e delle attività culturali</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95.032.818,08</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74.785.764,85</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47.618.618,07</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27.167.146,78</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78,69</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0,94</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63,67</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0,67</w:t>
            </w:r>
          </w:p>
        </w:tc>
      </w:tr>
      <w:tr w:rsidR="005D660C" w:rsidRPr="005D660C" w:rsidTr="00CC57CD">
        <w:trPr>
          <w:trHeight w:val="373"/>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06</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Politiche giovanili, sport e tempo libero</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11.303.734,87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11.039.732,49</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3.222.286,71</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7.817.445,78</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97,66</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0,11</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29,19</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0,05</w:t>
            </w:r>
          </w:p>
        </w:tc>
      </w:tr>
      <w:tr w:rsidR="005D660C" w:rsidRPr="005D660C" w:rsidTr="00CC57CD">
        <w:trPr>
          <w:trHeight w:val="155"/>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07</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Turismo</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42.810.976,17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37.347.471,20</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14.018.211,39</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23.329.259,81</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87,24</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0,42</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37,53</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0,20</w:t>
            </w:r>
          </w:p>
        </w:tc>
      </w:tr>
      <w:tr w:rsidR="005D660C" w:rsidRPr="005D660C" w:rsidTr="00CC57CD">
        <w:trPr>
          <w:trHeight w:val="675"/>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08</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Assetto del territorio ed edilizia abitativa</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145.969.299,37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73.096.748,37</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46.816.874,75</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26.279.873,62</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50,08</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1,44</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64,05</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0,66</w:t>
            </w:r>
          </w:p>
        </w:tc>
      </w:tr>
      <w:tr w:rsidR="005D660C" w:rsidRPr="005D660C" w:rsidTr="00CC57CD">
        <w:trPr>
          <w:trHeight w:val="646"/>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09</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Sviluppo sostenibile e tutela del territorio e dell'ambiente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734.171.859,41</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499.734.601,93</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247.848.938,39</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251.885.663,54</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68,07</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7,23</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49,60</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3,50</w:t>
            </w:r>
          </w:p>
        </w:tc>
      </w:tr>
      <w:tr w:rsidR="005D660C" w:rsidRPr="005D660C" w:rsidTr="00CC57CD">
        <w:trPr>
          <w:trHeight w:val="45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10</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Trasporti e diritto alla mobilità</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760.244.207,86</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530.616.780,43</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437.683.512,81</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92.933.267,62</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69,80</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7,49</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82,49</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6,19</w:t>
            </w:r>
          </w:p>
        </w:tc>
      </w:tr>
      <w:tr w:rsidR="005D660C" w:rsidRPr="005D660C" w:rsidTr="00CC57CD">
        <w:trPr>
          <w:trHeight w:val="30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11</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Soccorso civile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38.145.915,57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22.550.936,54</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18.587.083,46</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3.963.853,08</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59,12</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0,38</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82,42</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0,26</w:t>
            </w:r>
          </w:p>
        </w:tc>
      </w:tr>
      <w:tr w:rsidR="005D660C" w:rsidRPr="005D660C" w:rsidTr="00CC57CD">
        <w:trPr>
          <w:trHeight w:val="675"/>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12</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Diritti sociali, politiche sociali e famiglia</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307.665.902,10</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273.354.437,16</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215.564.897,48</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57.789.539,68</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88,85</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3,03</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78,86</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3,05</w:t>
            </w:r>
          </w:p>
        </w:tc>
      </w:tr>
      <w:tr w:rsidR="005D660C" w:rsidRPr="005D660C" w:rsidTr="00CC57CD">
        <w:trPr>
          <w:trHeight w:val="373"/>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13</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Tutela della salute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3.601.051.175,83</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3.523.249.523,52</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3.402.961.027,35</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120.288.496,17</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97,84</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35,47</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96,59</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48,10</w:t>
            </w:r>
          </w:p>
        </w:tc>
      </w:tr>
      <w:tr w:rsidR="005D660C" w:rsidRPr="005D660C" w:rsidTr="00CC57CD">
        <w:trPr>
          <w:trHeight w:val="413"/>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14</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Sviluppo economico e competitività</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298.844.139,93</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153.814.373,01</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54.654.484,76</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99.159.888,25</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51,47</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2,94</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35,53</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0,77</w:t>
            </w:r>
          </w:p>
        </w:tc>
      </w:tr>
      <w:tr w:rsidR="005D660C" w:rsidRPr="005D660C" w:rsidTr="00CC57CD">
        <w:trPr>
          <w:trHeight w:val="56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15</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Politiche per il lavoro e la formazione professionale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153.218.339,92</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108.595.076,83</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80.778.950,70</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27.816.126,13</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70,88</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1,51</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74,39</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1,14</w:t>
            </w:r>
          </w:p>
        </w:tc>
      </w:tr>
      <w:tr w:rsidR="005D660C" w:rsidRPr="005D660C" w:rsidTr="00CC57CD">
        <w:trPr>
          <w:trHeight w:val="809"/>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16</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Agricoltura, politiche agroalimentari e pesca</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266.981.655,26</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213.802.354,70</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177.461.338,33</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36.341.016,37</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80,08</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2,63</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83,00</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2,51</w:t>
            </w:r>
          </w:p>
        </w:tc>
      </w:tr>
      <w:tr w:rsidR="005D660C" w:rsidRPr="005D660C" w:rsidTr="00CC57CD">
        <w:trPr>
          <w:trHeight w:val="818"/>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17</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Energia e diversificazione delle fonti energetiche</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50.442.953,21</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16.001.553,44</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13.748.456,01</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2.253.097,43</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31,72</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0,50</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85,92</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0,19</w:t>
            </w:r>
          </w:p>
        </w:tc>
      </w:tr>
      <w:tr w:rsidR="005D660C" w:rsidRPr="005D660C" w:rsidTr="00CC57CD">
        <w:trPr>
          <w:trHeight w:val="539"/>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18</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Relazioni con le altre autonomie territoriali e locali</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1.382.400.757,65</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1.343.164.110,28</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1.233.646.986,64</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109.517.123,64</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97,16</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13,62</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91,85</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17,44</w:t>
            </w:r>
          </w:p>
        </w:tc>
      </w:tr>
      <w:tr w:rsidR="005D660C" w:rsidRPr="005D660C" w:rsidTr="00CC57CD">
        <w:trPr>
          <w:trHeight w:val="363"/>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19</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Relazioni internazionali</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55.546.825,01</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51.992.057,67</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20.717.782,66</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31.274.275,01</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93,60</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0,55</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39,85</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0,29</w:t>
            </w:r>
          </w:p>
        </w:tc>
      </w:tr>
      <w:tr w:rsidR="005D660C" w:rsidRPr="005D660C" w:rsidTr="00CC57CD">
        <w:trPr>
          <w:trHeight w:val="241"/>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20</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Fondi e accantonamenti</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291.212.981,10</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2,87</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#DIV/0!</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w:t>
            </w:r>
          </w:p>
        </w:tc>
      </w:tr>
      <w:tr w:rsidR="005D660C" w:rsidRPr="005D660C" w:rsidTr="00CC57CD">
        <w:trPr>
          <w:trHeight w:val="30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50</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Debito pubblico</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223.045.350,00</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219.087.799,43</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219.087.799,43</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98,23</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2,20</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100,00</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3,10</w:t>
            </w:r>
          </w:p>
        </w:tc>
      </w:tr>
      <w:tr w:rsidR="005D660C" w:rsidRPr="005D660C" w:rsidTr="00CC57CD">
        <w:trPr>
          <w:trHeight w:val="450"/>
          <w:jc w:val="center"/>
        </w:trPr>
        <w:tc>
          <w:tcPr>
            <w:tcW w:w="1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99</w:t>
            </w:r>
          </w:p>
        </w:tc>
        <w:tc>
          <w:tcPr>
            <w:tcW w:w="753" w:type="pct"/>
            <w:tcBorders>
              <w:top w:val="nil"/>
              <w:left w:val="nil"/>
              <w:bottom w:val="single" w:sz="4" w:space="0" w:color="auto"/>
              <w:right w:val="single" w:sz="4" w:space="0" w:color="auto"/>
            </w:tcBorders>
            <w:shd w:val="clear" w:color="auto" w:fill="95B3D7" w:themeFill="accent1" w:themeFillTint="99"/>
            <w:vAlign w:val="center"/>
            <w:hideMark/>
          </w:tcPr>
          <w:p w:rsidR="005D660C" w:rsidRPr="00DC7B0E" w:rsidRDefault="005D660C" w:rsidP="00CC57CD">
            <w:pPr>
              <w:spacing w:after="0" w:line="240" w:lineRule="auto"/>
              <w:jc w:val="center"/>
              <w:rPr>
                <w:rFonts w:ascii="Bodoni MT" w:eastAsia="Times New Roman" w:hAnsi="Bodoni MT" w:cs="Calibri"/>
                <w:b/>
                <w:bCs/>
                <w:iCs/>
                <w:color w:val="FFFFFF" w:themeColor="background1"/>
                <w:sz w:val="16"/>
                <w:szCs w:val="16"/>
                <w:lang w:eastAsia="it-IT"/>
              </w:rPr>
            </w:pPr>
            <w:r w:rsidRPr="00DC7B0E">
              <w:rPr>
                <w:rFonts w:ascii="Bodoni MT" w:eastAsia="Times New Roman" w:hAnsi="Bodoni MT" w:cs="Calibri"/>
                <w:b/>
                <w:bCs/>
                <w:iCs/>
                <w:color w:val="FFFFFF" w:themeColor="background1"/>
                <w:sz w:val="16"/>
                <w:szCs w:val="16"/>
                <w:lang w:eastAsia="it-IT"/>
              </w:rPr>
              <w:t>Servizi per conto terzi</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155.745.712,37</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125.925.178,12</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124.910.871,40</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1.014.306,72</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80,85</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1,53</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99,19</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color w:val="000000"/>
                <w:sz w:val="14"/>
                <w:szCs w:val="14"/>
                <w:lang w:eastAsia="it-IT"/>
              </w:rPr>
            </w:pPr>
            <w:r w:rsidRPr="00C73269">
              <w:rPr>
                <w:rFonts w:eastAsia="Times New Roman" w:cstheme="minorHAnsi"/>
                <w:color w:val="000000"/>
                <w:sz w:val="14"/>
                <w:szCs w:val="14"/>
                <w:lang w:eastAsia="it-IT"/>
              </w:rPr>
              <w:t>1,77</w:t>
            </w:r>
          </w:p>
        </w:tc>
      </w:tr>
      <w:tr w:rsidR="005D660C" w:rsidRPr="005D660C" w:rsidTr="00CC57CD">
        <w:trPr>
          <w:trHeight w:val="300"/>
          <w:jc w:val="center"/>
        </w:trPr>
        <w:tc>
          <w:tcPr>
            <w:tcW w:w="903"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Totale Missioni</w:t>
            </w:r>
          </w:p>
        </w:tc>
        <w:tc>
          <w:tcPr>
            <w:tcW w:w="638" w:type="pct"/>
            <w:tcBorders>
              <w:top w:val="single" w:sz="4" w:space="0" w:color="auto"/>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10.151.902.059,62</w:t>
            </w:r>
          </w:p>
        </w:tc>
        <w:tc>
          <w:tcPr>
            <w:tcW w:w="626"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8.148.137.354,95</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7.074.527.371,30</w:t>
            </w:r>
          </w:p>
        </w:tc>
        <w:tc>
          <w:tcPr>
            <w:tcW w:w="746"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1.073.609.983,65</w:t>
            </w:r>
          </w:p>
        </w:tc>
        <w:tc>
          <w:tcPr>
            <w:tcW w:w="401"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80,26</w:t>
            </w:r>
          </w:p>
        </w:tc>
        <w:tc>
          <w:tcPr>
            <w:tcW w:w="279"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100,00</w:t>
            </w:r>
          </w:p>
        </w:tc>
        <w:tc>
          <w:tcPr>
            <w:tcW w:w="400"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86,82</w:t>
            </w:r>
          </w:p>
        </w:tc>
        <w:tc>
          <w:tcPr>
            <w:tcW w:w="324" w:type="pct"/>
            <w:tcBorders>
              <w:top w:val="single" w:sz="4" w:space="0" w:color="auto"/>
              <w:left w:val="nil"/>
              <w:bottom w:val="single" w:sz="4" w:space="0" w:color="auto"/>
              <w:right w:val="single" w:sz="4" w:space="0" w:color="auto"/>
            </w:tcBorders>
            <w:shd w:val="clear" w:color="auto" w:fill="auto"/>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100,00</w:t>
            </w:r>
          </w:p>
        </w:tc>
      </w:tr>
      <w:tr w:rsidR="005D660C" w:rsidRPr="005D660C" w:rsidTr="00CC57CD">
        <w:trPr>
          <w:trHeight w:val="300"/>
          <w:jc w:val="center"/>
        </w:trPr>
        <w:tc>
          <w:tcPr>
            <w:tcW w:w="903"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Dis. di amministr.</w:t>
            </w:r>
          </w:p>
        </w:tc>
        <w:tc>
          <w:tcPr>
            <w:tcW w:w="638"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537.262.000,00</w:t>
            </w:r>
          </w:p>
        </w:tc>
        <w:tc>
          <w:tcPr>
            <w:tcW w:w="62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sz w:val="14"/>
                <w:szCs w:val="14"/>
                <w:lang w:eastAsia="it-IT"/>
              </w:rPr>
            </w:pPr>
            <w:r w:rsidRPr="00C73269">
              <w:rPr>
                <w:rFonts w:eastAsia="Times New Roman" w:cstheme="minorHAnsi"/>
                <w:sz w:val="14"/>
                <w:szCs w:val="14"/>
                <w:lang w:eastAsia="it-IT"/>
              </w:rPr>
              <w:t>-</w:t>
            </w:r>
          </w:p>
        </w:tc>
      </w:tr>
      <w:tr w:rsidR="005D660C" w:rsidRPr="005D660C" w:rsidTr="00CC57CD">
        <w:trPr>
          <w:trHeight w:val="300"/>
          <w:jc w:val="center"/>
        </w:trPr>
        <w:tc>
          <w:tcPr>
            <w:tcW w:w="903"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C7B0E" w:rsidRDefault="005D660C" w:rsidP="00DC7B0E">
            <w:pPr>
              <w:spacing w:after="0" w:line="240" w:lineRule="auto"/>
              <w:rPr>
                <w:rFonts w:ascii="Bodoni MT" w:eastAsia="Times New Roman" w:hAnsi="Bodoni MT" w:cs="Calibri"/>
                <w:b/>
                <w:bCs/>
                <w:color w:val="FFFFFF" w:themeColor="background1"/>
                <w:sz w:val="16"/>
                <w:szCs w:val="16"/>
                <w:lang w:eastAsia="it-IT"/>
              </w:rPr>
            </w:pPr>
            <w:r w:rsidRPr="00DC7B0E">
              <w:rPr>
                <w:rFonts w:ascii="Bodoni MT" w:eastAsia="Times New Roman" w:hAnsi="Bodoni MT" w:cs="Calibri"/>
                <w:b/>
                <w:bCs/>
                <w:color w:val="FFFFFF" w:themeColor="background1"/>
                <w:sz w:val="16"/>
                <w:szCs w:val="16"/>
                <w:lang w:eastAsia="it-IT"/>
              </w:rPr>
              <w:t>TOTALE</w:t>
            </w:r>
          </w:p>
        </w:tc>
        <w:tc>
          <w:tcPr>
            <w:tcW w:w="638" w:type="pct"/>
            <w:tcBorders>
              <w:top w:val="nil"/>
              <w:left w:val="nil"/>
              <w:bottom w:val="single" w:sz="4" w:space="0" w:color="auto"/>
              <w:right w:val="nil"/>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10.689.164.059,62</w:t>
            </w:r>
          </w:p>
        </w:tc>
        <w:tc>
          <w:tcPr>
            <w:tcW w:w="626" w:type="pct"/>
            <w:tcBorders>
              <w:top w:val="nil"/>
              <w:left w:val="single" w:sz="4" w:space="0" w:color="auto"/>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8.148.137.354,95</w:t>
            </w:r>
          </w:p>
        </w:tc>
        <w:tc>
          <w:tcPr>
            <w:tcW w:w="683"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7.074.527.371,30</w:t>
            </w:r>
          </w:p>
        </w:tc>
        <w:tc>
          <w:tcPr>
            <w:tcW w:w="746"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r w:rsidRPr="00C73269">
              <w:rPr>
                <w:rFonts w:eastAsia="Times New Roman" w:cstheme="minorHAnsi"/>
                <w:b/>
                <w:bCs/>
                <w:sz w:val="14"/>
                <w:szCs w:val="14"/>
                <w:lang w:eastAsia="it-IT"/>
              </w:rPr>
              <w:t>1.073.609.983,65</w:t>
            </w:r>
          </w:p>
        </w:tc>
        <w:tc>
          <w:tcPr>
            <w:tcW w:w="401"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p>
        </w:tc>
        <w:tc>
          <w:tcPr>
            <w:tcW w:w="279"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p>
        </w:tc>
        <w:tc>
          <w:tcPr>
            <w:tcW w:w="400"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p>
        </w:tc>
        <w:tc>
          <w:tcPr>
            <w:tcW w:w="324" w:type="pct"/>
            <w:tcBorders>
              <w:top w:val="nil"/>
              <w:left w:val="nil"/>
              <w:bottom w:val="single" w:sz="4" w:space="0" w:color="auto"/>
              <w:right w:val="single" w:sz="4" w:space="0" w:color="auto"/>
            </w:tcBorders>
            <w:shd w:val="clear" w:color="auto" w:fill="auto"/>
            <w:noWrap/>
            <w:vAlign w:val="center"/>
            <w:hideMark/>
          </w:tcPr>
          <w:p w:rsidR="005D660C" w:rsidRPr="00C73269" w:rsidRDefault="005D660C" w:rsidP="00CC57CD">
            <w:pPr>
              <w:spacing w:after="0" w:line="240" w:lineRule="auto"/>
              <w:jc w:val="right"/>
              <w:rPr>
                <w:rFonts w:eastAsia="Times New Roman" w:cstheme="minorHAnsi"/>
                <w:b/>
                <w:bCs/>
                <w:sz w:val="14"/>
                <w:szCs w:val="14"/>
                <w:lang w:eastAsia="it-IT"/>
              </w:rPr>
            </w:pPr>
          </w:p>
        </w:tc>
      </w:tr>
    </w:tbl>
    <w:p w:rsidR="005D660C" w:rsidRPr="005D660C" w:rsidRDefault="005D660C" w:rsidP="00130B51">
      <w:pPr>
        <w:autoSpaceDE w:val="0"/>
        <w:autoSpaceDN w:val="0"/>
        <w:adjustRightInd w:val="0"/>
        <w:spacing w:before="360"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lastRenderedPageBreak/>
        <w:t xml:space="preserve">La gestione della spesa per </w:t>
      </w:r>
      <w:r w:rsidR="00206407" w:rsidRPr="005D660C">
        <w:rPr>
          <w:rFonts w:ascii="Bodoni MT" w:eastAsiaTheme="majorEastAsia" w:hAnsi="Bodoni MT" w:cs="Bodoni MT"/>
          <w:color w:val="000000"/>
          <w:sz w:val="24"/>
          <w:szCs w:val="24"/>
        </w:rPr>
        <w:t>Missioni</w:t>
      </w:r>
      <w:r w:rsidRPr="005D660C">
        <w:rPr>
          <w:rFonts w:ascii="Bodoni MT" w:eastAsiaTheme="majorEastAsia" w:hAnsi="Bodoni MT" w:cs="Bodoni MT"/>
          <w:color w:val="000000"/>
          <w:sz w:val="24"/>
          <w:szCs w:val="24"/>
        </w:rPr>
        <w:t xml:space="preserve">, illustrata nella tabella </w:t>
      </w:r>
      <w:r w:rsidR="00E602C1">
        <w:rPr>
          <w:rFonts w:ascii="Bodoni MT" w:eastAsiaTheme="majorEastAsia" w:hAnsi="Bodoni MT" w:cs="Bodoni MT"/>
          <w:color w:val="000000"/>
          <w:sz w:val="24"/>
          <w:szCs w:val="24"/>
        </w:rPr>
        <w:t>n. 19</w:t>
      </w:r>
      <w:r w:rsidRPr="005D660C">
        <w:rPr>
          <w:rFonts w:ascii="Bodoni MT" w:eastAsiaTheme="majorEastAsia" w:hAnsi="Bodoni MT" w:cs="Bodoni MT"/>
          <w:color w:val="000000"/>
          <w:sz w:val="24"/>
          <w:szCs w:val="24"/>
        </w:rPr>
        <w:t xml:space="preserve">, mostra che la parte più cospicua degli impegni complessivi riguarda la </w:t>
      </w:r>
      <w:r w:rsidRPr="00E602C1">
        <w:rPr>
          <w:rFonts w:ascii="Bodoni MT" w:eastAsiaTheme="majorEastAsia" w:hAnsi="Bodoni MT" w:cs="Bodoni MT"/>
          <w:b/>
          <w:color w:val="000000"/>
          <w:sz w:val="24"/>
          <w:szCs w:val="24"/>
        </w:rPr>
        <w:t xml:space="preserve">Missione 13 </w:t>
      </w:r>
      <w:r w:rsidRPr="00E602C1">
        <w:rPr>
          <w:rFonts w:ascii="Bodoni MT" w:eastAsiaTheme="majorEastAsia" w:hAnsi="Bodoni MT" w:cs="Bodoni MT"/>
          <w:b/>
          <w:i/>
          <w:color w:val="000000"/>
          <w:sz w:val="24"/>
          <w:szCs w:val="24"/>
        </w:rPr>
        <w:t>“Tutela della salute”</w:t>
      </w:r>
      <w:r w:rsidRPr="005D660C">
        <w:rPr>
          <w:rFonts w:ascii="Bodoni MT" w:eastAsiaTheme="majorEastAsia" w:hAnsi="Bodoni MT" w:cs="Bodoni MT"/>
          <w:color w:val="000000"/>
          <w:sz w:val="24"/>
          <w:szCs w:val="24"/>
        </w:rPr>
        <w:t xml:space="preserve"> che, assorbendo il 35,47% degli impegni, ha comportato spese per 3.523,25 </w:t>
      </w:r>
      <w:r w:rsidR="00C73269">
        <w:rPr>
          <w:rFonts w:ascii="Bodoni MT" w:eastAsiaTheme="majorEastAsia" w:hAnsi="Bodoni MT" w:cs="Bodoni MT"/>
          <w:color w:val="000000"/>
          <w:sz w:val="24"/>
          <w:szCs w:val="24"/>
        </w:rPr>
        <w:t>milioni</w:t>
      </w:r>
      <w:r w:rsidR="00C73269" w:rsidRPr="005D660C">
        <w:rPr>
          <w:rFonts w:ascii="Bodoni MT" w:eastAsiaTheme="majorEastAsia" w:hAnsi="Bodoni MT" w:cs="Bodoni MT"/>
          <w:color w:val="000000"/>
          <w:sz w:val="24"/>
          <w:szCs w:val="24"/>
        </w:rPr>
        <w:t xml:space="preserve"> </w:t>
      </w:r>
      <w:r w:rsidRPr="005D660C">
        <w:rPr>
          <w:rFonts w:ascii="Bodoni MT" w:eastAsiaTheme="majorEastAsia" w:hAnsi="Bodoni MT" w:cs="Bodoni MT"/>
          <w:color w:val="000000"/>
          <w:sz w:val="24"/>
          <w:szCs w:val="24"/>
        </w:rPr>
        <w:t xml:space="preserve">di euro a fronte di previsioni finali di 3.601,05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Pr="005D660C">
        <w:rPr>
          <w:rFonts w:ascii="Bodoni MT" w:eastAsiaTheme="majorEastAsia" w:hAnsi="Bodoni MT" w:cs="Bodoni MT"/>
          <w:color w:val="000000"/>
          <w:sz w:val="24"/>
          <w:szCs w:val="24"/>
        </w:rPr>
        <w:t xml:space="preserve">di euro. Sulla stessa </w:t>
      </w:r>
      <w:r w:rsidR="00E602C1" w:rsidRPr="005D660C">
        <w:rPr>
          <w:rFonts w:ascii="Bodoni MT" w:eastAsiaTheme="majorEastAsia" w:hAnsi="Bodoni MT" w:cs="Bodoni MT"/>
          <w:color w:val="000000"/>
          <w:sz w:val="24"/>
          <w:szCs w:val="24"/>
        </w:rPr>
        <w:t xml:space="preserve">Missione </w:t>
      </w:r>
      <w:r w:rsidRPr="005D660C">
        <w:rPr>
          <w:rFonts w:ascii="Bodoni MT" w:eastAsiaTheme="majorEastAsia" w:hAnsi="Bodoni MT" w:cs="Bodoni MT"/>
          <w:color w:val="000000"/>
          <w:sz w:val="24"/>
          <w:szCs w:val="24"/>
        </w:rPr>
        <w:t xml:space="preserve">sono stati effettuati pagamenti per 3.403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Pr="005D660C">
        <w:rPr>
          <w:rFonts w:ascii="Bodoni MT" w:eastAsiaTheme="majorEastAsia" w:hAnsi="Bodoni MT" w:cs="Bodoni MT"/>
          <w:color w:val="000000"/>
          <w:sz w:val="24"/>
          <w:szCs w:val="24"/>
        </w:rPr>
        <w:t>di euro, pari al 48% del totale dei pagamenti.</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Il 13,62% degli impegni, pari a 1.233,64 </w:t>
      </w:r>
      <w:r w:rsidR="00C73269">
        <w:rPr>
          <w:rFonts w:ascii="Bodoni MT" w:eastAsiaTheme="majorEastAsia" w:hAnsi="Bodoni MT" w:cs="Bodoni MT"/>
          <w:color w:val="000000"/>
          <w:sz w:val="24"/>
          <w:szCs w:val="24"/>
        </w:rPr>
        <w:t>milioni</w:t>
      </w:r>
      <w:r w:rsidRPr="005D660C">
        <w:rPr>
          <w:rFonts w:ascii="Bodoni MT" w:eastAsiaTheme="majorEastAsia" w:hAnsi="Bodoni MT" w:cs="Bodoni MT"/>
          <w:color w:val="000000"/>
          <w:sz w:val="24"/>
          <w:szCs w:val="24"/>
        </w:rPr>
        <w:t xml:space="preserve"> di euro, riguarda la </w:t>
      </w:r>
      <w:r w:rsidRPr="00E602C1">
        <w:rPr>
          <w:rFonts w:ascii="Bodoni MT" w:eastAsiaTheme="majorEastAsia" w:hAnsi="Bodoni MT" w:cs="Bodoni MT"/>
          <w:b/>
          <w:color w:val="000000"/>
          <w:sz w:val="24"/>
          <w:szCs w:val="24"/>
        </w:rPr>
        <w:t xml:space="preserve">Missione 18 </w:t>
      </w:r>
      <w:r w:rsidRPr="00E602C1">
        <w:rPr>
          <w:rFonts w:ascii="Bodoni MT" w:eastAsiaTheme="majorEastAsia" w:hAnsi="Bodoni MT" w:cs="Bodoni MT"/>
          <w:b/>
          <w:i/>
          <w:color w:val="000000"/>
          <w:sz w:val="24"/>
          <w:szCs w:val="24"/>
        </w:rPr>
        <w:t>“Relazioni con le altre autonomie territoriali e locali”</w:t>
      </w:r>
      <w:r w:rsidRPr="005D660C">
        <w:rPr>
          <w:rFonts w:ascii="Bodoni MT" w:eastAsiaTheme="majorEastAsia" w:hAnsi="Bodoni MT" w:cs="Bodoni MT"/>
          <w:color w:val="000000"/>
          <w:sz w:val="24"/>
          <w:szCs w:val="24"/>
        </w:rPr>
        <w:t xml:space="preserve">. La Missione registra una capacità di impegno del 93,6% e di pagamento del 91,85%. Si fa osservare che in questa missione è compreso il </w:t>
      </w:r>
      <w:r w:rsidRPr="00E602C1">
        <w:rPr>
          <w:rFonts w:ascii="Bodoni MT" w:eastAsiaTheme="majorEastAsia" w:hAnsi="Bodoni MT" w:cs="Bodoni MT"/>
          <w:b/>
          <w:color w:val="000000"/>
          <w:sz w:val="24"/>
          <w:szCs w:val="24"/>
        </w:rPr>
        <w:t xml:space="preserve">Capitolo SC08.0325 relativo all’accantonamento della quota di entrate erariali destinate al contributo alla finanza pubblica </w:t>
      </w:r>
      <w:r w:rsidRPr="005D660C">
        <w:rPr>
          <w:rFonts w:ascii="Bodoni MT" w:eastAsiaTheme="majorEastAsia" w:hAnsi="Bodoni MT" w:cs="Bodoni MT"/>
          <w:color w:val="000000"/>
          <w:sz w:val="24"/>
          <w:szCs w:val="24"/>
        </w:rPr>
        <w:t>della Regione Sardegna per l’anno 2016, per un importo impegnato di € 683.995.988,75 e pagato di € 681.701.000, correlato al Capitolo di entrata EC121.5</w:t>
      </w:r>
      <w:r w:rsidR="00B7211A">
        <w:rPr>
          <w:rFonts w:ascii="Bodoni MT" w:eastAsiaTheme="majorEastAsia" w:hAnsi="Bodoni MT" w:cs="Bodoni MT"/>
          <w:color w:val="000000"/>
          <w:sz w:val="24"/>
          <w:szCs w:val="24"/>
        </w:rPr>
        <w:t xml:space="preserve">06, di corrispondente importo. </w:t>
      </w:r>
      <w:r w:rsidRPr="005D660C">
        <w:rPr>
          <w:rFonts w:ascii="Bodoni MT" w:eastAsiaTheme="majorEastAsia" w:hAnsi="Bodoni MT" w:cs="Bodoni MT"/>
          <w:color w:val="000000"/>
          <w:sz w:val="24"/>
          <w:szCs w:val="24"/>
        </w:rPr>
        <w:t xml:space="preserve">Nell’esercizio 2015, tali accantonamenti erano previsti nella Missione 20 </w:t>
      </w:r>
      <w:r w:rsidRPr="005D660C">
        <w:rPr>
          <w:rFonts w:ascii="Bodoni MT" w:eastAsiaTheme="majorEastAsia" w:hAnsi="Bodoni MT" w:cs="Bodoni MT"/>
          <w:i/>
          <w:color w:val="000000"/>
          <w:sz w:val="24"/>
          <w:szCs w:val="24"/>
        </w:rPr>
        <w:t xml:space="preserve">“Fondi e accantonamenti”. </w:t>
      </w:r>
      <w:r w:rsidRPr="00E602C1">
        <w:rPr>
          <w:rFonts w:ascii="Bodoni MT" w:eastAsiaTheme="majorEastAsia" w:hAnsi="Bodoni MT" w:cs="Bodoni MT"/>
          <w:color w:val="000000"/>
          <w:sz w:val="24"/>
          <w:szCs w:val="24"/>
        </w:rPr>
        <w:t>La rilevanza della Missione all’interno del bilancio è pertanto falsata da tale posta, che pesa per il 50% circa sul complesso delle spese della missione, e che risulta solo figurativa in quanto la Regione non ha pot</w:t>
      </w:r>
      <w:r w:rsidR="00AD5BF7" w:rsidRPr="00E602C1">
        <w:rPr>
          <w:rFonts w:ascii="Bodoni MT" w:eastAsiaTheme="majorEastAsia" w:hAnsi="Bodoni MT" w:cs="Bodoni MT"/>
          <w:color w:val="000000"/>
          <w:sz w:val="24"/>
          <w:szCs w:val="24"/>
        </w:rPr>
        <w:t>uto gestire le relative risorse</w:t>
      </w:r>
      <w:r w:rsidRPr="00E602C1">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Gli impegni riconducibili alla </w:t>
      </w:r>
      <w:r w:rsidRPr="00E602C1">
        <w:rPr>
          <w:rFonts w:ascii="Bodoni MT" w:eastAsiaTheme="majorEastAsia" w:hAnsi="Bodoni MT" w:cs="Bodoni MT"/>
          <w:b/>
          <w:color w:val="000000"/>
          <w:sz w:val="24"/>
          <w:szCs w:val="24"/>
        </w:rPr>
        <w:t xml:space="preserve">Missione 1 </w:t>
      </w:r>
      <w:r w:rsidRPr="00E602C1">
        <w:rPr>
          <w:rFonts w:ascii="Bodoni MT" w:eastAsiaTheme="majorEastAsia" w:hAnsi="Bodoni MT" w:cs="Bodoni MT"/>
          <w:b/>
          <w:i/>
          <w:color w:val="000000"/>
          <w:sz w:val="24"/>
          <w:szCs w:val="24"/>
        </w:rPr>
        <w:t xml:space="preserve">“Servizi istituzionali, generali e di gestione” </w:t>
      </w:r>
      <w:r w:rsidRPr="005D660C">
        <w:rPr>
          <w:rFonts w:ascii="Bodoni MT" w:eastAsiaTheme="majorEastAsia" w:hAnsi="Bodoni MT" w:cs="Bodoni MT"/>
          <w:color w:val="000000"/>
          <w:sz w:val="24"/>
          <w:szCs w:val="24"/>
        </w:rPr>
        <w:t xml:space="preserve">costituiscono il 12,33% del Totale, tuttavia si rileva una scarsa capacità d’impegno all’interno della Missione, pari solo al 52% delle previsioni, collegata soprattutto ai capitoli riguardanti i </w:t>
      </w:r>
      <w:r w:rsidRPr="00E602C1">
        <w:rPr>
          <w:rFonts w:ascii="Bodoni MT" w:eastAsiaTheme="majorEastAsia" w:hAnsi="Bodoni MT" w:cs="Bodoni MT"/>
          <w:b/>
          <w:color w:val="000000"/>
          <w:sz w:val="24"/>
          <w:szCs w:val="24"/>
        </w:rPr>
        <w:t>fondi statali (FSC, PAC)</w:t>
      </w:r>
      <w:r w:rsidRPr="005D660C">
        <w:rPr>
          <w:rFonts w:ascii="Bodoni MT" w:eastAsiaTheme="majorEastAsia" w:hAnsi="Bodoni MT" w:cs="Bodoni MT"/>
          <w:color w:val="000000"/>
          <w:sz w:val="24"/>
          <w:szCs w:val="24"/>
        </w:rPr>
        <w:t xml:space="preserve"> e comunitari del </w:t>
      </w:r>
      <w:r w:rsidRPr="00E602C1">
        <w:rPr>
          <w:rFonts w:ascii="Bodoni MT" w:eastAsiaTheme="majorEastAsia" w:hAnsi="Bodoni MT" w:cs="Bodoni MT"/>
          <w:b/>
          <w:color w:val="000000"/>
          <w:sz w:val="24"/>
          <w:szCs w:val="24"/>
        </w:rPr>
        <w:t>POR FESR 2014-2020</w:t>
      </w:r>
      <w:r w:rsidRPr="005D660C">
        <w:rPr>
          <w:rFonts w:ascii="Bodoni MT" w:eastAsiaTheme="majorEastAsia" w:hAnsi="Bodoni MT" w:cs="Bodoni MT"/>
          <w:color w:val="000000"/>
          <w:sz w:val="24"/>
          <w:szCs w:val="24"/>
        </w:rPr>
        <w:t>. I pagamenti risultano pari al 94,21% degli impegni.</w:t>
      </w:r>
      <w:r w:rsidR="0015436D">
        <w:rPr>
          <w:rFonts w:ascii="Bodoni MT" w:eastAsiaTheme="majorEastAsia" w:hAnsi="Bodoni MT" w:cs="Bodoni MT"/>
          <w:color w:val="000000"/>
          <w:sz w:val="24"/>
          <w:szCs w:val="24"/>
        </w:rPr>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Di entità pressoché</w:t>
      </w:r>
      <w:r w:rsidR="004D3A5C">
        <w:rPr>
          <w:rFonts w:ascii="Bodoni MT" w:eastAsiaTheme="majorEastAsia" w:hAnsi="Bodoni MT" w:cstheme="majorBidi"/>
          <w:color w:val="000000" w:themeColor="text1"/>
          <w:sz w:val="24"/>
          <w:szCs w:val="24"/>
        </w:rPr>
        <w:t xml:space="preserve"> identica sono gli impegni della</w:t>
      </w:r>
      <w:r w:rsidRPr="005D660C">
        <w:rPr>
          <w:rFonts w:ascii="Bodoni MT" w:eastAsiaTheme="majorEastAsia" w:hAnsi="Bodoni MT" w:cstheme="majorBidi"/>
          <w:color w:val="000000" w:themeColor="text1"/>
          <w:sz w:val="24"/>
          <w:szCs w:val="24"/>
        </w:rPr>
        <w:t xml:space="preserve"> </w:t>
      </w:r>
      <w:r w:rsidR="004D3A5C">
        <w:rPr>
          <w:rFonts w:ascii="Bodoni MT" w:eastAsiaTheme="majorEastAsia" w:hAnsi="Bodoni MT" w:cstheme="majorBidi"/>
          <w:b/>
          <w:color w:val="000000" w:themeColor="text1"/>
          <w:sz w:val="24"/>
          <w:szCs w:val="24"/>
        </w:rPr>
        <w:t>Missione</w:t>
      </w:r>
      <w:r w:rsidRPr="00E602C1">
        <w:rPr>
          <w:rFonts w:ascii="Bodoni MT" w:eastAsiaTheme="majorEastAsia" w:hAnsi="Bodoni MT" w:cstheme="majorBidi"/>
          <w:b/>
          <w:color w:val="000000" w:themeColor="text1"/>
          <w:sz w:val="24"/>
          <w:szCs w:val="24"/>
        </w:rPr>
        <w:t xml:space="preserve"> 9 </w:t>
      </w:r>
      <w:r w:rsidRPr="00E602C1">
        <w:rPr>
          <w:rFonts w:ascii="Bodoni MT" w:eastAsiaTheme="majorEastAsia" w:hAnsi="Bodoni MT" w:cstheme="majorBidi"/>
          <w:b/>
          <w:i/>
          <w:color w:val="000000" w:themeColor="text1"/>
          <w:sz w:val="24"/>
          <w:szCs w:val="24"/>
        </w:rPr>
        <w:t>“Sviluppo sostenibile e tutela del territorio e dell'ambiente”</w:t>
      </w:r>
      <w:r w:rsidRPr="005D660C">
        <w:rPr>
          <w:rFonts w:ascii="Bodoni MT" w:eastAsiaTheme="majorEastAsia" w:hAnsi="Bodoni MT" w:cstheme="majorBidi"/>
          <w:i/>
          <w:color w:val="000000" w:themeColor="text1"/>
          <w:sz w:val="24"/>
          <w:szCs w:val="24"/>
        </w:rPr>
        <w:t xml:space="preserve"> </w:t>
      </w:r>
      <w:r w:rsidRPr="005D660C">
        <w:rPr>
          <w:rFonts w:ascii="Bodoni MT" w:eastAsiaTheme="majorEastAsia" w:hAnsi="Bodoni MT" w:cstheme="majorBidi"/>
          <w:color w:val="000000" w:themeColor="text1"/>
          <w:sz w:val="24"/>
          <w:szCs w:val="24"/>
        </w:rPr>
        <w:t xml:space="preserve">e </w:t>
      </w:r>
      <w:r w:rsidR="004D3A5C" w:rsidRPr="004D3A5C">
        <w:rPr>
          <w:rFonts w:ascii="Bodoni MT" w:eastAsiaTheme="majorEastAsia" w:hAnsi="Bodoni MT" w:cstheme="majorBidi"/>
          <w:b/>
          <w:color w:val="000000" w:themeColor="text1"/>
          <w:sz w:val="24"/>
          <w:szCs w:val="24"/>
        </w:rPr>
        <w:t>Missione</w:t>
      </w:r>
      <w:r w:rsidR="004D3A5C">
        <w:rPr>
          <w:rFonts w:ascii="Bodoni MT" w:eastAsiaTheme="majorEastAsia" w:hAnsi="Bodoni MT" w:cstheme="majorBidi"/>
          <w:color w:val="000000" w:themeColor="text1"/>
          <w:sz w:val="24"/>
          <w:szCs w:val="24"/>
        </w:rPr>
        <w:t xml:space="preserve"> </w:t>
      </w:r>
      <w:r w:rsidRPr="00E602C1">
        <w:rPr>
          <w:rFonts w:ascii="Bodoni MT" w:eastAsiaTheme="majorEastAsia" w:hAnsi="Bodoni MT" w:cstheme="majorBidi"/>
          <w:b/>
          <w:color w:val="000000" w:themeColor="text1"/>
          <w:sz w:val="24"/>
          <w:szCs w:val="24"/>
        </w:rPr>
        <w:t xml:space="preserve">10 </w:t>
      </w:r>
      <w:r w:rsidRPr="00E602C1">
        <w:rPr>
          <w:rFonts w:ascii="Bodoni MT" w:eastAsiaTheme="majorEastAsia" w:hAnsi="Bodoni MT" w:cstheme="majorBidi"/>
          <w:b/>
          <w:i/>
          <w:color w:val="000000" w:themeColor="text1"/>
          <w:sz w:val="24"/>
          <w:szCs w:val="24"/>
        </w:rPr>
        <w:t>“Trasporti e diritto alla mobilità”</w:t>
      </w:r>
      <w:r w:rsidRPr="005D660C">
        <w:rPr>
          <w:rFonts w:ascii="Bodoni MT" w:eastAsiaTheme="majorEastAsia" w:hAnsi="Bodoni MT" w:cstheme="majorBidi"/>
          <w:color w:val="000000" w:themeColor="text1"/>
          <w:sz w:val="24"/>
          <w:szCs w:val="24"/>
        </w:rPr>
        <w:t xml:space="preserve">, che incidono sul totale rispettivamente per il 7,23% e per il 7,49%. La capacità di impegno si attesta, per entrambi, su circa il 70%. La capacità di pagamento è invece maggiore nella </w:t>
      </w:r>
      <w:r w:rsidR="00CC57CD" w:rsidRPr="005D660C">
        <w:rPr>
          <w:rFonts w:ascii="Bodoni MT" w:eastAsiaTheme="majorEastAsia" w:hAnsi="Bodoni MT" w:cstheme="majorBidi"/>
          <w:color w:val="000000" w:themeColor="text1"/>
          <w:sz w:val="24"/>
          <w:szCs w:val="24"/>
        </w:rPr>
        <w:t xml:space="preserve">Missione </w:t>
      </w:r>
      <w:r w:rsidRPr="005D660C">
        <w:rPr>
          <w:rFonts w:ascii="Bodoni MT" w:eastAsiaTheme="majorEastAsia" w:hAnsi="Bodoni MT" w:cstheme="majorBidi"/>
          <w:color w:val="000000" w:themeColor="text1"/>
          <w:sz w:val="24"/>
          <w:szCs w:val="24"/>
        </w:rPr>
        <w:t xml:space="preserve">10 che registra un valore dell’82,49%, contro il 49,60% della Missione 9. </w:t>
      </w:r>
    </w:p>
    <w:p w:rsidR="00E602C1" w:rsidRDefault="005D660C"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Come già fatto notare </w:t>
      </w:r>
      <w:r w:rsidR="0015436D" w:rsidRPr="00373487">
        <w:rPr>
          <w:rFonts w:ascii="Bodoni MT" w:eastAsiaTheme="majorEastAsia" w:hAnsi="Bodoni MT" w:cstheme="majorBidi"/>
          <w:color w:val="000000" w:themeColor="text1"/>
          <w:sz w:val="24"/>
          <w:szCs w:val="24"/>
        </w:rPr>
        <w:t>con riferimento alle</w:t>
      </w:r>
      <w:r w:rsidR="0015436D">
        <w:rPr>
          <w:rFonts w:ascii="Bodoni MT" w:eastAsiaTheme="majorEastAsia" w:hAnsi="Bodoni MT" w:cstheme="majorBidi"/>
          <w:color w:val="000000" w:themeColor="text1"/>
          <w:sz w:val="24"/>
          <w:szCs w:val="24"/>
        </w:rPr>
        <w:t xml:space="preserve"> </w:t>
      </w:r>
      <w:r w:rsidRPr="005D660C">
        <w:rPr>
          <w:rFonts w:ascii="Bodoni MT" w:eastAsiaTheme="majorEastAsia" w:hAnsi="Bodoni MT" w:cstheme="majorBidi"/>
          <w:color w:val="000000" w:themeColor="text1"/>
          <w:sz w:val="24"/>
          <w:szCs w:val="24"/>
        </w:rPr>
        <w:t xml:space="preserve">previsioni, </w:t>
      </w:r>
      <w:r w:rsidRPr="0015436D">
        <w:rPr>
          <w:rFonts w:ascii="Bodoni MT" w:eastAsiaTheme="majorEastAsia" w:hAnsi="Bodoni MT" w:cstheme="majorBidi"/>
          <w:color w:val="000000" w:themeColor="text1"/>
          <w:sz w:val="24"/>
          <w:szCs w:val="24"/>
        </w:rPr>
        <w:t>anche in</w:t>
      </w:r>
      <w:r w:rsidRPr="005D660C">
        <w:rPr>
          <w:rFonts w:ascii="Bodoni MT" w:eastAsiaTheme="majorEastAsia" w:hAnsi="Bodoni MT" w:cstheme="majorBidi"/>
          <w:color w:val="000000" w:themeColor="text1"/>
          <w:sz w:val="24"/>
          <w:szCs w:val="24"/>
        </w:rPr>
        <w:t xml:space="preserve"> fase di gestione</w:t>
      </w:r>
      <w:r w:rsidR="0015436D">
        <w:rPr>
          <w:rFonts w:ascii="Bodoni MT" w:eastAsiaTheme="majorEastAsia" w:hAnsi="Bodoni MT" w:cstheme="majorBidi"/>
          <w:color w:val="000000" w:themeColor="text1"/>
          <w:sz w:val="24"/>
          <w:szCs w:val="24"/>
        </w:rPr>
        <w:t xml:space="preserve"> h</w:t>
      </w:r>
      <w:r w:rsidRPr="005D660C">
        <w:rPr>
          <w:rFonts w:ascii="Bodoni MT" w:eastAsiaTheme="majorEastAsia" w:hAnsi="Bodoni MT" w:cstheme="majorBidi"/>
          <w:color w:val="000000" w:themeColor="text1"/>
          <w:sz w:val="24"/>
          <w:szCs w:val="24"/>
        </w:rPr>
        <w:t>a</w:t>
      </w:r>
      <w:r w:rsidR="0015436D">
        <w:rPr>
          <w:rFonts w:ascii="Bodoni MT" w:eastAsiaTheme="majorEastAsia" w:hAnsi="Bodoni MT" w:cstheme="majorBidi"/>
          <w:color w:val="000000" w:themeColor="text1"/>
          <w:sz w:val="24"/>
          <w:szCs w:val="24"/>
        </w:rPr>
        <w:t>nno</w:t>
      </w:r>
      <w:r w:rsidRPr="005D660C">
        <w:rPr>
          <w:rFonts w:ascii="Bodoni MT" w:eastAsiaTheme="majorEastAsia" w:hAnsi="Bodoni MT" w:cstheme="majorBidi"/>
          <w:color w:val="000000" w:themeColor="text1"/>
          <w:sz w:val="24"/>
          <w:szCs w:val="24"/>
        </w:rPr>
        <w:t xml:space="preserve"> scarsa incidenza </w:t>
      </w:r>
      <w:r w:rsidR="005069EE">
        <w:rPr>
          <w:rFonts w:ascii="Bodoni MT" w:eastAsiaTheme="majorEastAsia" w:hAnsi="Bodoni MT" w:cstheme="majorBidi"/>
          <w:color w:val="000000" w:themeColor="text1"/>
          <w:sz w:val="24"/>
          <w:szCs w:val="24"/>
        </w:rPr>
        <w:t xml:space="preserve">e </w:t>
      </w:r>
      <w:r w:rsidR="0015436D" w:rsidRPr="00373487">
        <w:rPr>
          <w:rFonts w:ascii="Bodoni MT" w:eastAsiaTheme="majorEastAsia" w:hAnsi="Bodoni MT" w:cstheme="majorBidi"/>
          <w:color w:val="000000" w:themeColor="text1"/>
          <w:sz w:val="24"/>
          <w:szCs w:val="24"/>
        </w:rPr>
        <w:t>un ridotto</w:t>
      </w:r>
      <w:r w:rsidR="0015436D">
        <w:rPr>
          <w:rFonts w:ascii="Bodoni MT" w:eastAsiaTheme="majorEastAsia" w:hAnsi="Bodoni MT" w:cstheme="majorBidi"/>
          <w:color w:val="000000" w:themeColor="text1"/>
          <w:sz w:val="24"/>
          <w:szCs w:val="24"/>
        </w:rPr>
        <w:t xml:space="preserve"> </w:t>
      </w:r>
      <w:r w:rsidRPr="005D660C">
        <w:rPr>
          <w:rFonts w:ascii="Bodoni MT" w:eastAsiaTheme="majorEastAsia" w:hAnsi="Bodoni MT" w:cstheme="majorBidi"/>
          <w:color w:val="000000" w:themeColor="text1"/>
          <w:sz w:val="24"/>
          <w:szCs w:val="24"/>
        </w:rPr>
        <w:t xml:space="preserve">grado di realizzazione </w:t>
      </w:r>
      <w:r w:rsidR="0015436D">
        <w:rPr>
          <w:rFonts w:ascii="Bodoni MT" w:eastAsiaTheme="majorEastAsia" w:hAnsi="Bodoni MT" w:cstheme="majorBidi"/>
          <w:color w:val="000000" w:themeColor="text1"/>
          <w:sz w:val="24"/>
          <w:szCs w:val="24"/>
        </w:rPr>
        <w:t xml:space="preserve">le </w:t>
      </w:r>
      <w:r w:rsidRPr="005D660C">
        <w:rPr>
          <w:rFonts w:ascii="Bodoni MT" w:eastAsiaTheme="majorEastAsia" w:hAnsi="Bodoni MT" w:cstheme="majorBidi"/>
          <w:color w:val="000000" w:themeColor="text1"/>
          <w:sz w:val="24"/>
          <w:szCs w:val="24"/>
        </w:rPr>
        <w:t>spese d</w:t>
      </w:r>
      <w:r w:rsidR="0015436D">
        <w:rPr>
          <w:rFonts w:ascii="Bodoni MT" w:eastAsiaTheme="majorEastAsia" w:hAnsi="Bodoni MT" w:cstheme="majorBidi"/>
          <w:color w:val="000000" w:themeColor="text1"/>
          <w:sz w:val="24"/>
          <w:szCs w:val="24"/>
        </w:rPr>
        <w:t xml:space="preserve">i </w:t>
      </w:r>
      <w:r w:rsidR="0015436D" w:rsidRPr="00373487">
        <w:rPr>
          <w:rFonts w:ascii="Bodoni MT" w:eastAsiaTheme="majorEastAsia" w:hAnsi="Bodoni MT" w:cstheme="majorBidi"/>
          <w:color w:val="000000" w:themeColor="text1"/>
          <w:sz w:val="24"/>
          <w:szCs w:val="24"/>
        </w:rPr>
        <w:t>a</w:t>
      </w:r>
      <w:r w:rsidRPr="00373487">
        <w:rPr>
          <w:rFonts w:ascii="Bodoni MT" w:eastAsiaTheme="majorEastAsia" w:hAnsi="Bodoni MT" w:cstheme="majorBidi"/>
          <w:color w:val="000000" w:themeColor="text1"/>
          <w:sz w:val="24"/>
          <w:szCs w:val="24"/>
        </w:rPr>
        <w:t>l</w:t>
      </w:r>
      <w:r w:rsidR="0015436D" w:rsidRPr="00373487">
        <w:rPr>
          <w:rFonts w:ascii="Bodoni MT" w:eastAsiaTheme="majorEastAsia" w:hAnsi="Bodoni MT" w:cstheme="majorBidi"/>
          <w:color w:val="000000" w:themeColor="text1"/>
          <w:sz w:val="24"/>
          <w:szCs w:val="24"/>
        </w:rPr>
        <w:t>cun</w:t>
      </w:r>
      <w:r w:rsidRPr="00373487">
        <w:rPr>
          <w:rFonts w:ascii="Bodoni MT" w:eastAsiaTheme="majorEastAsia" w:hAnsi="Bodoni MT" w:cstheme="majorBidi"/>
          <w:color w:val="000000" w:themeColor="text1"/>
          <w:sz w:val="24"/>
          <w:szCs w:val="24"/>
        </w:rPr>
        <w:t>e</w:t>
      </w:r>
      <w:r w:rsidRPr="005D660C">
        <w:rPr>
          <w:rFonts w:ascii="Bodoni MT" w:eastAsiaTheme="majorEastAsia" w:hAnsi="Bodoni MT" w:cstheme="majorBidi"/>
          <w:color w:val="000000" w:themeColor="text1"/>
          <w:sz w:val="24"/>
          <w:szCs w:val="24"/>
        </w:rPr>
        <w:t xml:space="preserve"> </w:t>
      </w:r>
      <w:r w:rsidR="00E602C1" w:rsidRPr="005D660C">
        <w:rPr>
          <w:rFonts w:ascii="Bodoni MT" w:eastAsiaTheme="majorEastAsia" w:hAnsi="Bodoni MT" w:cstheme="majorBidi"/>
          <w:color w:val="000000" w:themeColor="text1"/>
          <w:sz w:val="24"/>
          <w:szCs w:val="24"/>
        </w:rPr>
        <w:t xml:space="preserve">Missioni </w:t>
      </w:r>
      <w:r w:rsidRPr="005D660C">
        <w:rPr>
          <w:rFonts w:ascii="Bodoni MT" w:eastAsiaTheme="majorEastAsia" w:hAnsi="Bodoni MT" w:cstheme="majorBidi"/>
          <w:color w:val="000000" w:themeColor="text1"/>
          <w:sz w:val="24"/>
          <w:szCs w:val="24"/>
        </w:rPr>
        <w:t>aventi</w:t>
      </w:r>
      <w:r w:rsidR="006E3588">
        <w:rPr>
          <w:rFonts w:ascii="Bodoni MT" w:eastAsiaTheme="majorEastAsia" w:hAnsi="Bodoni MT" w:cstheme="majorBidi"/>
          <w:color w:val="000000" w:themeColor="text1"/>
          <w:sz w:val="24"/>
          <w:szCs w:val="24"/>
        </w:rPr>
        <w:t xml:space="preserve">, </w:t>
      </w:r>
      <w:r w:rsidR="00E602C1">
        <w:rPr>
          <w:rFonts w:ascii="Bodoni MT" w:eastAsiaTheme="majorEastAsia" w:hAnsi="Bodoni MT" w:cstheme="majorBidi"/>
          <w:color w:val="000000" w:themeColor="text1"/>
          <w:sz w:val="24"/>
          <w:szCs w:val="24"/>
        </w:rPr>
        <w:t>un’</w:t>
      </w:r>
      <w:r w:rsidRPr="005D660C">
        <w:rPr>
          <w:rFonts w:ascii="Bodoni MT" w:eastAsiaTheme="majorEastAsia" w:hAnsi="Bodoni MT" w:cstheme="majorBidi"/>
          <w:color w:val="000000" w:themeColor="text1"/>
          <w:sz w:val="24"/>
          <w:szCs w:val="24"/>
        </w:rPr>
        <w:t>elevata valenza sociale ed economica</w:t>
      </w:r>
      <w:r w:rsidR="00373487" w:rsidRPr="00373487">
        <w:rPr>
          <w:rFonts w:ascii="Bodoni MT" w:eastAsiaTheme="majorEastAsia" w:hAnsi="Bodoni MT" w:cstheme="majorBidi"/>
          <w:color w:val="000000" w:themeColor="text1"/>
          <w:sz w:val="24"/>
          <w:szCs w:val="24"/>
        </w:rPr>
        <w:t xml:space="preserve">, </w:t>
      </w:r>
      <w:r w:rsidR="0015436D">
        <w:rPr>
          <w:rFonts w:ascii="Bodoni MT" w:eastAsiaTheme="majorEastAsia" w:hAnsi="Bodoni MT" w:cstheme="majorBidi"/>
          <w:b/>
          <w:color w:val="000000" w:themeColor="text1"/>
          <w:sz w:val="24"/>
          <w:szCs w:val="24"/>
        </w:rPr>
        <w:t xml:space="preserve">quali la </w:t>
      </w:r>
      <w:r w:rsidRPr="00E602C1">
        <w:rPr>
          <w:rFonts w:ascii="Bodoni MT" w:eastAsiaTheme="majorEastAsia" w:hAnsi="Bodoni MT" w:cstheme="majorBidi"/>
          <w:b/>
          <w:color w:val="000000" w:themeColor="text1"/>
          <w:sz w:val="24"/>
          <w:szCs w:val="24"/>
        </w:rPr>
        <w:t xml:space="preserve">Missione 4 </w:t>
      </w:r>
      <w:r w:rsidRPr="00E602C1">
        <w:rPr>
          <w:rFonts w:ascii="Bodoni MT" w:eastAsiaTheme="majorEastAsia" w:hAnsi="Bodoni MT" w:cstheme="majorBidi"/>
          <w:b/>
          <w:i/>
          <w:color w:val="000000" w:themeColor="text1"/>
          <w:sz w:val="24"/>
          <w:szCs w:val="24"/>
        </w:rPr>
        <w:t>“Istruzione e diritto allo studio”</w:t>
      </w:r>
      <w:r w:rsidRPr="005D660C">
        <w:rPr>
          <w:rFonts w:ascii="Bodoni MT" w:eastAsiaTheme="majorEastAsia" w:hAnsi="Bodoni MT" w:cstheme="majorBidi"/>
          <w:i/>
          <w:color w:val="000000" w:themeColor="text1"/>
          <w:sz w:val="24"/>
          <w:szCs w:val="24"/>
        </w:rPr>
        <w:t>,</w:t>
      </w:r>
      <w:r w:rsidRPr="005D660C">
        <w:rPr>
          <w:rFonts w:ascii="Bodoni MT" w:eastAsiaTheme="majorEastAsia" w:hAnsi="Bodoni MT" w:cstheme="majorBidi"/>
          <w:color w:val="000000" w:themeColor="text1"/>
          <w:sz w:val="24"/>
          <w:szCs w:val="24"/>
        </w:rPr>
        <w:t xml:space="preserve"> per la quale sono stati registrati pagamenti per soli 96,707 </w:t>
      </w:r>
      <w:r w:rsidR="00CC57CD">
        <w:rPr>
          <w:rFonts w:ascii="Bodoni MT" w:eastAsiaTheme="majorEastAsia" w:hAnsi="Bodoni MT" w:cs="Bodoni MT"/>
          <w:color w:val="000000"/>
          <w:sz w:val="24"/>
          <w:szCs w:val="24"/>
        </w:rPr>
        <w:t>milioni</w:t>
      </w:r>
      <w:r w:rsidR="00CC57CD" w:rsidRPr="005D660C">
        <w:rPr>
          <w:rFonts w:ascii="Bodoni MT" w:eastAsiaTheme="majorEastAsia" w:hAnsi="Bodoni MT" w:cs="Bodoni MT"/>
          <w:color w:val="000000"/>
          <w:sz w:val="24"/>
          <w:szCs w:val="24"/>
        </w:rPr>
        <w:t xml:space="preserve"> </w:t>
      </w:r>
      <w:r w:rsidRPr="005D660C">
        <w:rPr>
          <w:rFonts w:ascii="Bodoni MT" w:eastAsiaTheme="majorEastAsia" w:hAnsi="Bodoni MT" w:cstheme="majorBidi"/>
          <w:color w:val="000000" w:themeColor="text1"/>
          <w:sz w:val="24"/>
          <w:szCs w:val="24"/>
        </w:rPr>
        <w:t>di euro a fronte di pr</w:t>
      </w:r>
      <w:r w:rsidR="00E602C1">
        <w:rPr>
          <w:rFonts w:ascii="Bodoni MT" w:eastAsiaTheme="majorEastAsia" w:hAnsi="Bodoni MT" w:cstheme="majorBidi"/>
          <w:color w:val="000000" w:themeColor="text1"/>
          <w:sz w:val="24"/>
          <w:szCs w:val="24"/>
        </w:rPr>
        <w:t xml:space="preserve">evisioni di 276,489 </w:t>
      </w:r>
      <w:r w:rsidR="00C73269">
        <w:rPr>
          <w:rFonts w:ascii="Bodoni MT" w:eastAsiaTheme="majorEastAsia" w:hAnsi="Bodoni MT" w:cs="Bodoni MT"/>
          <w:color w:val="000000"/>
          <w:sz w:val="24"/>
          <w:szCs w:val="24"/>
        </w:rPr>
        <w:t>milioni</w:t>
      </w:r>
      <w:r w:rsidR="00C73269" w:rsidRPr="005D660C">
        <w:rPr>
          <w:rFonts w:ascii="Bodoni MT" w:eastAsiaTheme="majorEastAsia" w:hAnsi="Bodoni MT" w:cs="Bodoni MT"/>
          <w:color w:val="000000"/>
          <w:sz w:val="24"/>
          <w:szCs w:val="24"/>
        </w:rPr>
        <w:t xml:space="preserve"> </w:t>
      </w:r>
      <w:r w:rsidR="00E602C1">
        <w:rPr>
          <w:rFonts w:ascii="Bodoni MT" w:eastAsiaTheme="majorEastAsia" w:hAnsi="Bodoni MT" w:cstheme="majorBidi"/>
          <w:color w:val="000000" w:themeColor="text1"/>
          <w:sz w:val="24"/>
          <w:szCs w:val="24"/>
        </w:rPr>
        <w:t>di euro.</w:t>
      </w:r>
      <w:r w:rsidRPr="005D660C">
        <w:rPr>
          <w:rFonts w:ascii="Bodoni MT" w:eastAsiaTheme="majorEastAsia" w:hAnsi="Bodoni MT" w:cstheme="majorBidi"/>
          <w:color w:val="000000" w:themeColor="text1"/>
          <w:sz w:val="24"/>
          <w:szCs w:val="24"/>
        </w:rPr>
        <w:t xml:space="preserve"> </w:t>
      </w:r>
    </w:p>
    <w:p w:rsidR="00E602C1" w:rsidRDefault="00E602C1"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lastRenderedPageBreak/>
        <w:t xml:space="preserve">La </w:t>
      </w:r>
      <w:r w:rsidR="005D660C" w:rsidRPr="00E602C1">
        <w:rPr>
          <w:rFonts w:ascii="Bodoni MT" w:eastAsiaTheme="majorEastAsia" w:hAnsi="Bodoni MT" w:cstheme="majorBidi"/>
          <w:b/>
          <w:color w:val="000000" w:themeColor="text1"/>
          <w:sz w:val="24"/>
          <w:szCs w:val="24"/>
        </w:rPr>
        <w:t xml:space="preserve">Missione 5 </w:t>
      </w:r>
      <w:r w:rsidR="005D660C" w:rsidRPr="00E602C1">
        <w:rPr>
          <w:rFonts w:ascii="Bodoni MT" w:eastAsiaTheme="majorEastAsia" w:hAnsi="Bodoni MT" w:cstheme="majorBidi"/>
          <w:b/>
          <w:i/>
          <w:color w:val="000000" w:themeColor="text1"/>
          <w:sz w:val="24"/>
          <w:szCs w:val="24"/>
        </w:rPr>
        <w:t>“Tutela e valorizzazione dei beni e delle attività culturali”</w:t>
      </w:r>
      <w:r w:rsidR="005D660C" w:rsidRPr="005D660C">
        <w:rPr>
          <w:rFonts w:ascii="Bodoni MT" w:eastAsiaTheme="majorEastAsia" w:hAnsi="Bodoni MT" w:cstheme="majorBidi"/>
          <w:color w:val="000000" w:themeColor="text1"/>
          <w:sz w:val="24"/>
          <w:szCs w:val="24"/>
        </w:rPr>
        <w:t>, per la quale sono stati erogat</w:t>
      </w:r>
      <w:r>
        <w:rPr>
          <w:rFonts w:ascii="Bodoni MT" w:eastAsiaTheme="majorEastAsia" w:hAnsi="Bodoni MT" w:cstheme="majorBidi"/>
          <w:color w:val="000000" w:themeColor="text1"/>
          <w:sz w:val="24"/>
          <w:szCs w:val="24"/>
        </w:rPr>
        <w:t>i circa il 50% delle previsioni.</w:t>
      </w:r>
      <w:r w:rsidR="005D660C" w:rsidRPr="005D660C">
        <w:rPr>
          <w:rFonts w:ascii="Bodoni MT" w:eastAsiaTheme="majorEastAsia" w:hAnsi="Bodoni MT" w:cstheme="majorBidi"/>
          <w:color w:val="000000" w:themeColor="text1"/>
          <w:sz w:val="24"/>
          <w:szCs w:val="24"/>
        </w:rPr>
        <w:t xml:space="preserve"> </w:t>
      </w:r>
    </w:p>
    <w:p w:rsidR="00E602C1" w:rsidRDefault="00E602C1"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La </w:t>
      </w:r>
      <w:r w:rsidR="005D660C" w:rsidRPr="00E602C1">
        <w:rPr>
          <w:rFonts w:ascii="Bodoni MT" w:eastAsiaTheme="majorEastAsia" w:hAnsi="Bodoni MT" w:cstheme="majorBidi"/>
          <w:b/>
          <w:color w:val="000000" w:themeColor="text1"/>
          <w:sz w:val="24"/>
          <w:szCs w:val="24"/>
        </w:rPr>
        <w:t xml:space="preserve">Missione 6 </w:t>
      </w:r>
      <w:r w:rsidR="005D660C" w:rsidRPr="00E602C1">
        <w:rPr>
          <w:rFonts w:ascii="Bodoni MT" w:eastAsiaTheme="majorEastAsia" w:hAnsi="Bodoni MT" w:cstheme="majorBidi"/>
          <w:b/>
          <w:i/>
          <w:color w:val="000000" w:themeColor="text1"/>
          <w:sz w:val="24"/>
          <w:szCs w:val="24"/>
        </w:rPr>
        <w:t>“Politiche giovanili, sport e tempo libero”</w:t>
      </w:r>
      <w:r w:rsidR="005D660C" w:rsidRPr="005D660C">
        <w:rPr>
          <w:rFonts w:ascii="Bodoni MT" w:eastAsiaTheme="majorEastAsia" w:hAnsi="Bodoni MT" w:cstheme="majorBidi"/>
          <w:color w:val="000000" w:themeColor="text1"/>
          <w:sz w:val="24"/>
          <w:szCs w:val="24"/>
        </w:rPr>
        <w:t xml:space="preserve"> che, a fronte di già scarse previsioni </w:t>
      </w:r>
      <w:r w:rsidR="002A11E2">
        <w:rPr>
          <w:rFonts w:ascii="Bodoni MT" w:eastAsiaTheme="majorEastAsia" w:hAnsi="Bodoni MT" w:cstheme="majorBidi"/>
          <w:color w:val="000000" w:themeColor="text1"/>
          <w:sz w:val="24"/>
          <w:szCs w:val="24"/>
        </w:rPr>
        <w:t>(</w:t>
      </w:r>
      <w:r w:rsidR="005D660C" w:rsidRPr="005D660C">
        <w:rPr>
          <w:rFonts w:ascii="Bodoni MT" w:eastAsiaTheme="majorEastAsia" w:hAnsi="Bodoni MT" w:cstheme="majorBidi"/>
          <w:color w:val="000000" w:themeColor="text1"/>
          <w:sz w:val="24"/>
          <w:szCs w:val="24"/>
        </w:rPr>
        <w:t xml:space="preserve">11,3 </w:t>
      </w:r>
      <w:r w:rsidR="002A11E2">
        <w:rPr>
          <w:rFonts w:ascii="Bodoni MT" w:eastAsiaTheme="majorEastAsia" w:hAnsi="Bodoni MT" w:cstheme="majorBidi"/>
          <w:color w:val="000000" w:themeColor="text1"/>
          <w:sz w:val="24"/>
          <w:szCs w:val="24"/>
        </w:rPr>
        <w:t>milioni</w:t>
      </w:r>
      <w:r w:rsidR="005D660C" w:rsidRPr="005D660C">
        <w:rPr>
          <w:rFonts w:ascii="Bodoni MT" w:eastAsiaTheme="majorEastAsia" w:hAnsi="Bodoni MT" w:cstheme="majorBidi"/>
          <w:color w:val="000000" w:themeColor="text1"/>
          <w:sz w:val="24"/>
          <w:szCs w:val="24"/>
        </w:rPr>
        <w:t xml:space="preserve"> di euro), registra erogazioni pari solo a </w:t>
      </w:r>
      <w:r>
        <w:rPr>
          <w:rFonts w:ascii="Bodoni MT" w:eastAsiaTheme="majorEastAsia" w:hAnsi="Bodoni MT" w:cstheme="majorBidi"/>
          <w:color w:val="000000" w:themeColor="text1"/>
          <w:sz w:val="24"/>
          <w:szCs w:val="24"/>
        </w:rPr>
        <w:t xml:space="preserve">3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Pr>
          <w:rFonts w:ascii="Bodoni MT" w:eastAsiaTheme="majorEastAsia" w:hAnsi="Bodoni MT" w:cstheme="majorBidi"/>
          <w:color w:val="000000" w:themeColor="text1"/>
          <w:sz w:val="24"/>
          <w:szCs w:val="24"/>
        </w:rPr>
        <w:t>di euro.</w:t>
      </w:r>
      <w:r w:rsidR="005D660C" w:rsidRPr="005D660C">
        <w:rPr>
          <w:rFonts w:ascii="Bodoni MT" w:eastAsiaTheme="majorEastAsia" w:hAnsi="Bodoni MT" w:cstheme="majorBidi"/>
          <w:color w:val="000000" w:themeColor="text1"/>
          <w:sz w:val="24"/>
          <w:szCs w:val="24"/>
        </w:rPr>
        <w:t xml:space="preserve"> </w:t>
      </w:r>
    </w:p>
    <w:p w:rsidR="005D660C" w:rsidRPr="005D660C" w:rsidRDefault="00E602C1" w:rsidP="005D660C">
      <w:pPr>
        <w:autoSpaceDE w:val="0"/>
        <w:autoSpaceDN w:val="0"/>
        <w:adjustRightInd w:val="0"/>
        <w:spacing w:after="120" w:line="360" w:lineRule="auto"/>
        <w:jc w:val="both"/>
        <w:textAlignment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t xml:space="preserve">La </w:t>
      </w:r>
      <w:r w:rsidR="005D660C" w:rsidRPr="00E602C1">
        <w:rPr>
          <w:rFonts w:ascii="Bodoni MT" w:eastAsiaTheme="majorEastAsia" w:hAnsi="Bodoni MT" w:cstheme="majorBidi"/>
          <w:b/>
          <w:color w:val="000000" w:themeColor="text1"/>
          <w:sz w:val="24"/>
          <w:szCs w:val="24"/>
        </w:rPr>
        <w:t xml:space="preserve">Missione 7 </w:t>
      </w:r>
      <w:r w:rsidR="005D660C" w:rsidRPr="00E602C1">
        <w:rPr>
          <w:rFonts w:ascii="Bodoni MT" w:eastAsiaTheme="majorEastAsia" w:hAnsi="Bodoni MT" w:cstheme="majorBidi"/>
          <w:b/>
          <w:i/>
          <w:color w:val="000000" w:themeColor="text1"/>
          <w:sz w:val="24"/>
          <w:szCs w:val="24"/>
        </w:rPr>
        <w:t>“Turismo”</w:t>
      </w:r>
      <w:r w:rsidR="005D660C" w:rsidRPr="005D660C">
        <w:rPr>
          <w:rFonts w:ascii="Bodoni MT" w:eastAsiaTheme="majorEastAsia" w:hAnsi="Bodoni MT" w:cstheme="majorBidi"/>
          <w:color w:val="000000" w:themeColor="text1"/>
          <w:sz w:val="24"/>
          <w:szCs w:val="24"/>
        </w:rPr>
        <w:t xml:space="preserve"> per la quale risultano pagati solo 14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005D660C" w:rsidRPr="005D660C">
        <w:rPr>
          <w:rFonts w:ascii="Bodoni MT" w:eastAsiaTheme="majorEastAsia" w:hAnsi="Bodoni MT" w:cstheme="majorBidi"/>
          <w:color w:val="000000" w:themeColor="text1"/>
          <w:sz w:val="24"/>
          <w:szCs w:val="24"/>
        </w:rPr>
        <w:t xml:space="preserve">di euro su previsioni di 43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005D660C" w:rsidRPr="005D660C">
        <w:rPr>
          <w:rFonts w:ascii="Bodoni MT" w:eastAsiaTheme="majorEastAsia" w:hAnsi="Bodoni MT" w:cstheme="majorBidi"/>
          <w:color w:val="000000" w:themeColor="text1"/>
          <w:sz w:val="24"/>
          <w:szCs w:val="24"/>
        </w:rPr>
        <w:t>di euro circa.</w:t>
      </w:r>
    </w:p>
    <w:p w:rsid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 xml:space="preserve">Si segnala anche la </w:t>
      </w:r>
      <w:r w:rsidRPr="00E602C1">
        <w:rPr>
          <w:rFonts w:ascii="Bodoni MT" w:eastAsiaTheme="majorEastAsia" w:hAnsi="Bodoni MT" w:cs="Bodoni MT"/>
          <w:b/>
          <w:color w:val="000000"/>
          <w:sz w:val="24"/>
          <w:szCs w:val="24"/>
        </w:rPr>
        <w:t xml:space="preserve">Missione 15 </w:t>
      </w:r>
      <w:r w:rsidRPr="00E602C1">
        <w:rPr>
          <w:rFonts w:ascii="Bodoni MT" w:eastAsiaTheme="majorEastAsia" w:hAnsi="Bodoni MT" w:cs="Bodoni MT"/>
          <w:b/>
          <w:i/>
          <w:color w:val="000000"/>
          <w:sz w:val="24"/>
          <w:szCs w:val="24"/>
        </w:rPr>
        <w:t>“Politiche per il lavoro e la formazione professionale”</w:t>
      </w:r>
      <w:r w:rsidRPr="005D660C">
        <w:rPr>
          <w:rFonts w:ascii="Bodoni MT" w:eastAsiaTheme="majorEastAsia" w:hAnsi="Bodoni MT" w:cs="Bodoni MT"/>
          <w:color w:val="000000"/>
          <w:sz w:val="24"/>
          <w:szCs w:val="24"/>
        </w:rPr>
        <w:t xml:space="preserve"> che, pur registrando buone percentuali di impegno e pagamento, ha una scarsa incidenza sul totale degli impegni (1,51%) e dei pagamenti (1,14%)</w:t>
      </w:r>
      <w:r w:rsidR="002A11E2">
        <w:rPr>
          <w:rFonts w:ascii="Bodoni MT" w:eastAsiaTheme="majorEastAsia" w:hAnsi="Bodoni MT" w:cs="Bodoni MT"/>
          <w:color w:val="000000"/>
          <w:sz w:val="24"/>
          <w:szCs w:val="24"/>
        </w:rPr>
        <w:t xml:space="preserve"> di bilancio</w:t>
      </w:r>
      <w:r w:rsidRPr="005D660C">
        <w:rPr>
          <w:rFonts w:ascii="Bodoni MT" w:eastAsiaTheme="majorEastAsia" w:hAnsi="Bodoni MT" w:cs="Bodoni MT"/>
          <w:color w:val="000000"/>
          <w:sz w:val="24"/>
          <w:szCs w:val="24"/>
        </w:rPr>
        <w:t>.</w:t>
      </w:r>
    </w:p>
    <w:p w:rsidR="00626DE1" w:rsidRPr="005D660C" w:rsidRDefault="00626DE1"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Pr>
          <w:rFonts w:ascii="Bodoni MT" w:eastAsiaTheme="majorEastAsia" w:hAnsi="Bodoni MT" w:cs="Bodoni MT"/>
          <w:color w:val="000000"/>
          <w:sz w:val="24"/>
          <w:szCs w:val="24"/>
        </w:rPr>
        <w:t>A tale ultimo riguardo si considerino le osservazioni e i chiarimenti svolti dalla Direzione generale del lavoro in sede finale, già riferite integralmente a pag. 33.</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Il confronto con l’esercizio 2015, illustrato nei grafici sottostanti, mostra l’incremento delle spese pe</w:t>
      </w:r>
      <w:r w:rsidR="003A107A">
        <w:rPr>
          <w:rFonts w:ascii="Bodoni MT" w:eastAsiaTheme="majorEastAsia" w:hAnsi="Bodoni MT" w:cs="Bodoni MT"/>
          <w:color w:val="000000"/>
          <w:sz w:val="24"/>
          <w:szCs w:val="24"/>
        </w:rPr>
        <w:t>r la Missione 13 “Tutela della Salute”</w:t>
      </w:r>
      <w:r w:rsidRPr="005D660C">
        <w:rPr>
          <w:rFonts w:ascii="Bodoni MT" w:eastAsiaTheme="majorEastAsia" w:hAnsi="Bodoni MT" w:cs="Bodoni MT"/>
          <w:color w:val="000000"/>
          <w:sz w:val="24"/>
          <w:szCs w:val="24"/>
        </w:rPr>
        <w:t xml:space="preserve"> (+10,56% di impegni e +1</w:t>
      </w:r>
      <w:r w:rsidR="003A107A">
        <w:rPr>
          <w:rFonts w:ascii="Bodoni MT" w:eastAsiaTheme="majorEastAsia" w:hAnsi="Bodoni MT" w:cs="Bodoni MT"/>
          <w:color w:val="000000"/>
          <w:sz w:val="24"/>
          <w:szCs w:val="24"/>
        </w:rPr>
        <w:t>7,62% di pagamenti), Missione 1</w:t>
      </w:r>
      <w:r w:rsidRPr="005D660C">
        <w:rPr>
          <w:rFonts w:ascii="Bodoni MT" w:eastAsiaTheme="majorEastAsia" w:hAnsi="Bodoni MT" w:cs="Bodoni MT"/>
          <w:color w:val="000000"/>
          <w:sz w:val="24"/>
          <w:szCs w:val="24"/>
        </w:rPr>
        <w:t xml:space="preserve"> </w:t>
      </w:r>
      <w:r w:rsidR="003A107A">
        <w:rPr>
          <w:rFonts w:ascii="Bodoni MT" w:eastAsiaTheme="majorEastAsia" w:hAnsi="Bodoni MT" w:cs="Bodoni MT"/>
          <w:color w:val="000000"/>
          <w:sz w:val="24"/>
          <w:szCs w:val="24"/>
        </w:rPr>
        <w:t>“</w:t>
      </w:r>
      <w:r w:rsidR="003A107A" w:rsidRPr="005D660C">
        <w:rPr>
          <w:rFonts w:ascii="Bodoni MT" w:eastAsiaTheme="majorEastAsia" w:hAnsi="Bodoni MT" w:cs="Bodoni MT"/>
          <w:color w:val="000000"/>
          <w:sz w:val="24"/>
          <w:szCs w:val="24"/>
        </w:rPr>
        <w:t xml:space="preserve">Servizi </w:t>
      </w:r>
      <w:r w:rsidRPr="005D660C">
        <w:rPr>
          <w:rFonts w:ascii="Bodoni MT" w:eastAsiaTheme="majorEastAsia" w:hAnsi="Bodoni MT" w:cs="Bodoni MT"/>
          <w:color w:val="000000"/>
          <w:sz w:val="24"/>
          <w:szCs w:val="24"/>
        </w:rPr>
        <w:t>istituzionali</w:t>
      </w:r>
      <w:r w:rsidR="003A107A">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(+33,64% di impegni e +43,3</w:t>
      </w:r>
      <w:r w:rsidR="003A107A">
        <w:rPr>
          <w:rFonts w:ascii="Bodoni MT" w:eastAsiaTheme="majorEastAsia" w:hAnsi="Bodoni MT" w:cs="Bodoni MT"/>
          <w:color w:val="000000"/>
          <w:sz w:val="24"/>
          <w:szCs w:val="24"/>
        </w:rPr>
        <w:t>3% di pagamenti), e Missione 18 “R</w:t>
      </w:r>
      <w:r w:rsidRPr="005D660C">
        <w:rPr>
          <w:rFonts w:ascii="Bodoni MT" w:eastAsiaTheme="majorEastAsia" w:hAnsi="Bodoni MT" w:cs="Bodoni MT"/>
          <w:color w:val="000000"/>
          <w:sz w:val="24"/>
          <w:szCs w:val="24"/>
        </w:rPr>
        <w:t>elazioni con autonomie territoriali</w:t>
      </w:r>
      <w:r w:rsidR="003A107A">
        <w:rPr>
          <w:rFonts w:ascii="Bodoni MT" w:eastAsiaTheme="majorEastAsia" w:hAnsi="Bodoni MT" w:cs="Bodoni MT"/>
          <w:color w:val="000000"/>
          <w:sz w:val="24"/>
          <w:szCs w:val="24"/>
        </w:rPr>
        <w:t>”</w:t>
      </w:r>
      <w:r w:rsidRPr="005D660C">
        <w:rPr>
          <w:rFonts w:ascii="Bodoni MT" w:eastAsiaTheme="majorEastAsia" w:hAnsi="Bodoni MT" w:cs="Bodoni MT"/>
          <w:color w:val="000000"/>
          <w:sz w:val="24"/>
          <w:szCs w:val="24"/>
        </w:rPr>
        <w:t xml:space="preserve">. Per quest’ultima </w:t>
      </w:r>
      <w:r w:rsidR="00BE78D8">
        <w:rPr>
          <w:rFonts w:ascii="Bodoni MT" w:eastAsiaTheme="majorEastAsia" w:hAnsi="Bodoni MT" w:cs="Bodoni MT"/>
          <w:color w:val="000000"/>
          <w:sz w:val="24"/>
          <w:szCs w:val="24"/>
        </w:rPr>
        <w:t>Mis</w:t>
      </w:r>
      <w:r w:rsidRPr="005D660C">
        <w:rPr>
          <w:rFonts w:ascii="Bodoni MT" w:eastAsiaTheme="majorEastAsia" w:hAnsi="Bodoni MT" w:cs="Bodoni MT"/>
          <w:color w:val="000000"/>
          <w:sz w:val="24"/>
          <w:szCs w:val="24"/>
        </w:rPr>
        <w:t>si</w:t>
      </w:r>
      <w:r w:rsidR="00BE78D8">
        <w:rPr>
          <w:rFonts w:ascii="Bodoni MT" w:eastAsiaTheme="majorEastAsia" w:hAnsi="Bodoni MT" w:cs="Bodoni MT"/>
          <w:color w:val="000000"/>
          <w:sz w:val="24"/>
          <w:szCs w:val="24"/>
        </w:rPr>
        <w:t>one si</w:t>
      </w:r>
      <w:r w:rsidRPr="005D660C">
        <w:rPr>
          <w:rFonts w:ascii="Bodoni MT" w:eastAsiaTheme="majorEastAsia" w:hAnsi="Bodoni MT" w:cs="Bodoni MT"/>
          <w:color w:val="000000"/>
          <w:sz w:val="24"/>
          <w:szCs w:val="24"/>
        </w:rPr>
        <w:t xml:space="preserve"> </w:t>
      </w:r>
      <w:r w:rsidR="00BE78D8" w:rsidRPr="00373487">
        <w:rPr>
          <w:rFonts w:ascii="Bodoni MT" w:eastAsiaTheme="majorEastAsia" w:hAnsi="Bodoni MT" w:cs="Bodoni MT"/>
          <w:color w:val="000000"/>
          <w:sz w:val="24"/>
          <w:szCs w:val="24"/>
        </w:rPr>
        <w:t xml:space="preserve">rileva che </w:t>
      </w:r>
      <w:r w:rsidRPr="00373487">
        <w:rPr>
          <w:rFonts w:ascii="Bodoni MT" w:eastAsiaTheme="majorEastAsia" w:hAnsi="Bodoni MT" w:cs="Bodoni MT"/>
          <w:color w:val="000000"/>
          <w:sz w:val="24"/>
          <w:szCs w:val="24"/>
        </w:rPr>
        <w:t xml:space="preserve">al </w:t>
      </w:r>
      <w:r w:rsidR="00BE78D8" w:rsidRPr="00373487">
        <w:rPr>
          <w:rFonts w:ascii="Bodoni MT" w:eastAsiaTheme="majorEastAsia" w:hAnsi="Bodoni MT" w:cs="Bodoni MT"/>
          <w:color w:val="000000"/>
          <w:sz w:val="24"/>
          <w:szCs w:val="24"/>
        </w:rPr>
        <w:t xml:space="preserve">netto dei movimenti relativi al </w:t>
      </w:r>
      <w:r w:rsidRPr="00373487">
        <w:rPr>
          <w:rFonts w:ascii="Bodoni MT" w:eastAsiaTheme="majorEastAsia" w:hAnsi="Bodoni MT" w:cs="Bodoni MT"/>
          <w:color w:val="000000"/>
          <w:sz w:val="24"/>
          <w:szCs w:val="24"/>
        </w:rPr>
        <w:t xml:space="preserve">capitolo sugli accantonamenti d’entrata, il livello degli impegni e dei pagamenti </w:t>
      </w:r>
      <w:r w:rsidR="00BE78D8" w:rsidRPr="00373487">
        <w:rPr>
          <w:rFonts w:ascii="Bodoni MT" w:eastAsiaTheme="majorEastAsia" w:hAnsi="Bodoni MT" w:cs="Bodoni MT"/>
          <w:color w:val="000000"/>
          <w:sz w:val="24"/>
          <w:szCs w:val="24"/>
        </w:rPr>
        <w:t>resta corri</w:t>
      </w:r>
      <w:r w:rsidRPr="00373487">
        <w:rPr>
          <w:rFonts w:ascii="Bodoni MT" w:eastAsiaTheme="majorEastAsia" w:hAnsi="Bodoni MT" w:cs="Bodoni MT"/>
          <w:color w:val="000000"/>
          <w:sz w:val="24"/>
          <w:szCs w:val="24"/>
        </w:rPr>
        <w:t>s</w:t>
      </w:r>
      <w:r w:rsidR="00BE78D8" w:rsidRPr="00373487">
        <w:rPr>
          <w:rFonts w:ascii="Bodoni MT" w:eastAsiaTheme="majorEastAsia" w:hAnsi="Bodoni MT" w:cs="Bodoni MT"/>
          <w:color w:val="000000"/>
          <w:sz w:val="24"/>
          <w:szCs w:val="24"/>
        </w:rPr>
        <w:t>po</w:t>
      </w:r>
      <w:r w:rsidRPr="00373487">
        <w:rPr>
          <w:rFonts w:ascii="Bodoni MT" w:eastAsiaTheme="majorEastAsia" w:hAnsi="Bodoni MT" w:cs="Bodoni MT"/>
          <w:color w:val="000000"/>
          <w:sz w:val="24"/>
          <w:szCs w:val="24"/>
        </w:rPr>
        <w:t>nde</w:t>
      </w:r>
      <w:r w:rsidR="00BE78D8" w:rsidRPr="00373487">
        <w:rPr>
          <w:rFonts w:ascii="Bodoni MT" w:eastAsiaTheme="majorEastAsia" w:hAnsi="Bodoni MT" w:cs="Bodoni MT"/>
          <w:color w:val="000000"/>
          <w:sz w:val="24"/>
          <w:szCs w:val="24"/>
        </w:rPr>
        <w:t>nte</w:t>
      </w:r>
      <w:r w:rsidRPr="00373487">
        <w:rPr>
          <w:rFonts w:ascii="Bodoni MT" w:eastAsiaTheme="majorEastAsia" w:hAnsi="Bodoni MT" w:cs="Bodoni MT"/>
          <w:color w:val="000000"/>
          <w:sz w:val="24"/>
          <w:szCs w:val="24"/>
        </w:rPr>
        <w:t xml:space="preserve"> a quello dell’esercizio precedente.</w:t>
      </w:r>
    </w:p>
    <w:p w:rsidR="005D660C" w:rsidRP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Più contenuti, in valore assoluto, gli incrementi relativi agli impegni delle Missioni 3“</w:t>
      </w:r>
      <w:r w:rsidRPr="005D660C">
        <w:rPr>
          <w:rFonts w:ascii="Bodoni MT" w:eastAsiaTheme="majorEastAsia" w:hAnsi="Bodoni MT" w:cs="Bodoni MT"/>
          <w:i/>
          <w:color w:val="000000"/>
          <w:sz w:val="24"/>
          <w:szCs w:val="24"/>
        </w:rPr>
        <w:t>Ordine pubblico e sicurezza</w:t>
      </w:r>
      <w:r w:rsidRPr="005D660C">
        <w:rPr>
          <w:rFonts w:ascii="Bodoni MT" w:eastAsiaTheme="majorEastAsia" w:hAnsi="Bodoni MT" w:cs="Bodoni MT"/>
          <w:color w:val="000000"/>
          <w:sz w:val="24"/>
          <w:szCs w:val="24"/>
        </w:rPr>
        <w:t xml:space="preserve">”, 7 </w:t>
      </w:r>
      <w:r w:rsidRPr="005D660C">
        <w:rPr>
          <w:rFonts w:ascii="Bodoni MT" w:eastAsiaTheme="majorEastAsia" w:hAnsi="Bodoni MT" w:cs="Bodoni MT"/>
          <w:i/>
          <w:color w:val="000000"/>
          <w:sz w:val="24"/>
          <w:szCs w:val="24"/>
        </w:rPr>
        <w:t>“Turismo</w:t>
      </w:r>
      <w:r w:rsidRPr="005D660C">
        <w:rPr>
          <w:rFonts w:ascii="Bodoni MT" w:eastAsiaTheme="majorEastAsia" w:hAnsi="Bodoni MT" w:cs="Bodoni MT"/>
          <w:color w:val="000000"/>
          <w:sz w:val="24"/>
          <w:szCs w:val="24"/>
        </w:rPr>
        <w:t xml:space="preserve">”, 10 </w:t>
      </w:r>
      <w:r w:rsidRPr="005D660C">
        <w:rPr>
          <w:rFonts w:ascii="Bodoni MT" w:eastAsiaTheme="majorEastAsia" w:hAnsi="Bodoni MT" w:cs="Bodoni MT"/>
          <w:i/>
          <w:color w:val="000000"/>
          <w:sz w:val="24"/>
          <w:szCs w:val="24"/>
        </w:rPr>
        <w:t>“Trasporti</w:t>
      </w:r>
      <w:r w:rsidRPr="005D660C">
        <w:rPr>
          <w:rFonts w:ascii="Bodoni MT" w:eastAsiaTheme="majorEastAsia" w:hAnsi="Bodoni MT" w:cs="Bodoni MT"/>
          <w:color w:val="000000"/>
          <w:sz w:val="24"/>
          <w:szCs w:val="24"/>
        </w:rPr>
        <w:t xml:space="preserve">”, 11 </w:t>
      </w:r>
      <w:r w:rsidRPr="005D660C">
        <w:rPr>
          <w:rFonts w:ascii="Bodoni MT" w:eastAsiaTheme="majorEastAsia" w:hAnsi="Bodoni MT" w:cs="Bodoni MT"/>
          <w:i/>
          <w:color w:val="000000"/>
          <w:sz w:val="24"/>
          <w:szCs w:val="24"/>
        </w:rPr>
        <w:t>“Soccorso civile</w:t>
      </w:r>
      <w:r w:rsidRPr="005D660C">
        <w:rPr>
          <w:rFonts w:ascii="Bodoni MT" w:eastAsiaTheme="majorEastAsia" w:hAnsi="Bodoni MT" w:cs="Bodoni MT"/>
          <w:color w:val="000000"/>
          <w:sz w:val="24"/>
          <w:szCs w:val="24"/>
        </w:rPr>
        <w:t xml:space="preserve">”, 14 </w:t>
      </w:r>
      <w:r w:rsidRPr="005D660C">
        <w:rPr>
          <w:rFonts w:ascii="Bodoni MT" w:eastAsiaTheme="majorEastAsia" w:hAnsi="Bodoni MT" w:cs="Bodoni MT"/>
          <w:i/>
          <w:color w:val="000000"/>
          <w:sz w:val="24"/>
          <w:szCs w:val="24"/>
        </w:rPr>
        <w:t>“Sviluppo economico e competitività</w:t>
      </w:r>
      <w:r w:rsidRPr="005D660C">
        <w:rPr>
          <w:rFonts w:ascii="Bodoni MT" w:eastAsiaTheme="majorEastAsia" w:hAnsi="Bodoni MT" w:cs="Bodoni MT"/>
          <w:color w:val="000000"/>
          <w:sz w:val="24"/>
          <w:szCs w:val="24"/>
        </w:rPr>
        <w:t xml:space="preserve">”, 16 </w:t>
      </w:r>
      <w:r w:rsidRPr="005D660C">
        <w:rPr>
          <w:rFonts w:ascii="Bodoni MT" w:eastAsiaTheme="majorEastAsia" w:hAnsi="Bodoni MT" w:cs="Bodoni MT"/>
          <w:i/>
          <w:color w:val="000000"/>
          <w:sz w:val="24"/>
          <w:szCs w:val="24"/>
        </w:rPr>
        <w:t>“Agricoltura, politiche agroalimentari e pesca</w:t>
      </w:r>
      <w:r w:rsidRPr="005D660C">
        <w:rPr>
          <w:rFonts w:ascii="Bodoni MT" w:eastAsiaTheme="majorEastAsia" w:hAnsi="Bodoni MT" w:cs="Bodoni MT"/>
          <w:color w:val="000000"/>
          <w:sz w:val="24"/>
          <w:szCs w:val="24"/>
        </w:rPr>
        <w:t xml:space="preserve">” e 19 </w:t>
      </w:r>
      <w:r w:rsidRPr="005D660C">
        <w:rPr>
          <w:rFonts w:ascii="Bodoni MT" w:eastAsiaTheme="majorEastAsia" w:hAnsi="Bodoni MT" w:cs="Bodoni MT"/>
          <w:i/>
          <w:color w:val="000000"/>
          <w:sz w:val="24"/>
          <w:szCs w:val="24"/>
        </w:rPr>
        <w:t>“Relazioni internazionali”</w:t>
      </w:r>
      <w:r w:rsidRPr="005D660C">
        <w:rPr>
          <w:rFonts w:ascii="Bodoni MT" w:eastAsiaTheme="majorEastAsia" w:hAnsi="Bodoni MT" w:cs="Bodoni MT"/>
          <w:color w:val="000000"/>
          <w:sz w:val="24"/>
          <w:szCs w:val="24"/>
        </w:rPr>
        <w:t>.</w:t>
      </w:r>
    </w:p>
    <w:p w:rsidR="005D660C" w:rsidRDefault="005D660C" w:rsidP="005D660C">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Le altre Missioni hanno registrato un trend negativo.</w:t>
      </w:r>
    </w:p>
    <w:p w:rsidR="00AB7272" w:rsidRPr="00373487" w:rsidRDefault="00AB7272" w:rsidP="00AB7272">
      <w:pPr>
        <w:autoSpaceDE w:val="0"/>
        <w:autoSpaceDN w:val="0"/>
        <w:adjustRightInd w:val="0"/>
        <w:spacing w:after="120" w:line="360" w:lineRule="auto"/>
        <w:jc w:val="both"/>
        <w:textAlignment w:val="center"/>
        <w:rPr>
          <w:rFonts w:ascii="Bodoni MT" w:eastAsiaTheme="majorEastAsia" w:hAnsi="Bodoni MT" w:cs="Bodoni MT"/>
          <w:sz w:val="24"/>
          <w:szCs w:val="24"/>
        </w:rPr>
      </w:pPr>
      <w:r w:rsidRPr="00373487">
        <w:rPr>
          <w:rFonts w:ascii="Bodoni MT" w:eastAsiaTheme="majorEastAsia" w:hAnsi="Bodoni MT" w:cs="Bodoni MT"/>
          <w:sz w:val="24"/>
          <w:szCs w:val="24"/>
        </w:rPr>
        <w:t xml:space="preserve">Con riguardo alla Missione 20 </w:t>
      </w:r>
      <w:r w:rsidRPr="00373487">
        <w:rPr>
          <w:rFonts w:ascii="Bodoni MT" w:eastAsiaTheme="majorEastAsia" w:hAnsi="Bodoni MT" w:cs="Bodoni MT"/>
          <w:i/>
          <w:sz w:val="24"/>
          <w:szCs w:val="24"/>
        </w:rPr>
        <w:t xml:space="preserve">“Fondi e accantonamenti”, </w:t>
      </w:r>
      <w:r w:rsidRPr="00373487">
        <w:rPr>
          <w:rFonts w:ascii="Bodoni MT" w:eastAsiaTheme="majorEastAsia" w:hAnsi="Bodoni MT" w:cs="Bodoni MT"/>
          <w:sz w:val="24"/>
          <w:szCs w:val="24"/>
        </w:rPr>
        <w:t xml:space="preserve">la Corte </w:t>
      </w:r>
      <w:r w:rsidRPr="00373487">
        <w:rPr>
          <w:rFonts w:ascii="Bodoni MT" w:hAnsi="Bodoni MT"/>
          <w:sz w:val="24"/>
          <w:szCs w:val="24"/>
        </w:rPr>
        <w:t>ha osservato che non risulta allegato al rendiconto l’elenco, previsto dall’art.</w:t>
      </w:r>
      <w:r w:rsidR="00415E4D" w:rsidRPr="00373487">
        <w:rPr>
          <w:rFonts w:ascii="Bodoni MT" w:hAnsi="Bodoni MT"/>
          <w:sz w:val="24"/>
          <w:szCs w:val="24"/>
        </w:rPr>
        <w:t xml:space="preserve"> </w:t>
      </w:r>
      <w:r w:rsidRPr="00373487">
        <w:rPr>
          <w:rFonts w:ascii="Bodoni MT" w:hAnsi="Bodoni MT"/>
          <w:sz w:val="24"/>
          <w:szCs w:val="24"/>
        </w:rPr>
        <w:t>63, 4° comma del D.Lgs</w:t>
      </w:r>
      <w:r w:rsidR="00373487">
        <w:rPr>
          <w:rFonts w:ascii="Bodoni MT" w:hAnsi="Bodoni MT"/>
          <w:sz w:val="24"/>
          <w:szCs w:val="24"/>
        </w:rPr>
        <w:t>.</w:t>
      </w:r>
      <w:r w:rsidRPr="00373487">
        <w:rPr>
          <w:rFonts w:ascii="Bodoni MT" w:hAnsi="Bodoni MT"/>
          <w:sz w:val="24"/>
          <w:szCs w:val="24"/>
        </w:rPr>
        <w:t xml:space="preserve"> 118/2011, delle delibere di prelievo dal Fondo di riserva per spese impreviste di cui all’art.</w:t>
      </w:r>
      <w:r w:rsidR="00415E4D" w:rsidRPr="00373487">
        <w:rPr>
          <w:rFonts w:ascii="Bodoni MT" w:hAnsi="Bodoni MT"/>
          <w:sz w:val="24"/>
          <w:szCs w:val="24"/>
        </w:rPr>
        <w:t xml:space="preserve"> </w:t>
      </w:r>
      <w:r w:rsidRPr="00373487">
        <w:rPr>
          <w:rFonts w:ascii="Bodoni MT" w:hAnsi="Bodoni MT"/>
          <w:sz w:val="24"/>
          <w:szCs w:val="24"/>
        </w:rPr>
        <w:t xml:space="preserve">48, comma 1, lett. b) con indicazione dei motivi per i quali si è proceduto ai prelevamenti. </w:t>
      </w:r>
    </w:p>
    <w:p w:rsidR="00626DE1" w:rsidRDefault="00626DE1" w:rsidP="00AD5BF7">
      <w:pPr>
        <w:pStyle w:val="Didascalia"/>
      </w:pPr>
      <w:bookmarkStart w:id="161" w:name="_Toc499041000"/>
      <w:r>
        <w:br w:type="page"/>
      </w:r>
    </w:p>
    <w:p w:rsidR="005D660C" w:rsidRPr="00AD5BF7" w:rsidRDefault="00AD5BF7" w:rsidP="00AD5BF7">
      <w:pPr>
        <w:pStyle w:val="Didascalia"/>
        <w:rPr>
          <w:bCs w:val="0"/>
        </w:rPr>
      </w:pPr>
      <w:bookmarkStart w:id="162" w:name="_Toc507422719"/>
      <w:r>
        <w:lastRenderedPageBreak/>
        <w:t xml:space="preserve">Grafico </w:t>
      </w:r>
      <w:r w:rsidR="00B90472">
        <w:fldChar w:fldCharType="begin"/>
      </w:r>
      <w:r w:rsidR="00B90472">
        <w:instrText xml:space="preserve"> SEQ Grafico \* ARABIC </w:instrText>
      </w:r>
      <w:r w:rsidR="00B90472">
        <w:fldChar w:fldCharType="separate"/>
      </w:r>
      <w:r w:rsidR="008616B3">
        <w:rPr>
          <w:noProof/>
        </w:rPr>
        <w:t>16</w:t>
      </w:r>
      <w:r w:rsidR="00B90472">
        <w:rPr>
          <w:noProof/>
        </w:rPr>
        <w:fldChar w:fldCharType="end"/>
      </w:r>
      <w:r w:rsidR="005D660C" w:rsidRPr="005D660C">
        <w:rPr>
          <w:b w:val="0"/>
          <w:bCs w:val="0"/>
        </w:rPr>
        <w:t xml:space="preserve"> - </w:t>
      </w:r>
      <w:r w:rsidR="005D660C" w:rsidRPr="00B7211A">
        <w:rPr>
          <w:rFonts w:eastAsiaTheme="majorEastAsia" w:cstheme="majorBidi"/>
          <w:bCs w:val="0"/>
        </w:rPr>
        <w:t>Spesa per Missioni – Confronto Impegni 2015-2016</w:t>
      </w:r>
      <w:bookmarkEnd w:id="161"/>
      <w:bookmarkEnd w:id="162"/>
    </w:p>
    <w:p w:rsidR="005D660C" w:rsidRDefault="005D660C" w:rsidP="005D660C">
      <w:pPr>
        <w:spacing w:line="360" w:lineRule="auto"/>
        <w:jc w:val="center"/>
        <w:rPr>
          <w:rFonts w:ascii="Bodoni MT" w:eastAsiaTheme="majorEastAsia" w:hAnsi="Bodoni MT" w:cstheme="majorBidi"/>
          <w:color w:val="000000" w:themeColor="text1"/>
          <w:sz w:val="24"/>
          <w:szCs w:val="24"/>
        </w:rPr>
      </w:pPr>
      <w:r w:rsidRPr="005D660C">
        <w:rPr>
          <w:rFonts w:ascii="Bodoni MT" w:eastAsiaTheme="majorEastAsia" w:hAnsi="Bodoni MT" w:cstheme="majorBidi"/>
          <w:noProof/>
          <w:color w:val="000000" w:themeColor="text1"/>
          <w:sz w:val="24"/>
          <w:szCs w:val="24"/>
          <w:lang w:eastAsia="it-IT"/>
        </w:rPr>
        <w:drawing>
          <wp:inline distT="0" distB="0" distL="0" distR="0" wp14:anchorId="0175BE32" wp14:editId="1D0E402F">
            <wp:extent cx="4629150" cy="1993265"/>
            <wp:effectExtent l="0" t="0" r="0" b="698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6385" cy="2039439"/>
                    </a:xfrm>
                    <a:prstGeom prst="rect">
                      <a:avLst/>
                    </a:prstGeom>
                    <a:noFill/>
                  </pic:spPr>
                </pic:pic>
              </a:graphicData>
            </a:graphic>
          </wp:inline>
        </w:drawing>
      </w:r>
    </w:p>
    <w:p w:rsidR="00E602C1" w:rsidRPr="005D660C" w:rsidRDefault="00E602C1" w:rsidP="00E602C1">
      <w:pPr>
        <w:autoSpaceDE w:val="0"/>
        <w:autoSpaceDN w:val="0"/>
        <w:adjustRightInd w:val="0"/>
        <w:spacing w:after="120" w:line="360" w:lineRule="auto"/>
        <w:jc w:val="both"/>
        <w:textAlignment w:val="center"/>
        <w:rPr>
          <w:rFonts w:ascii="Bodoni MT" w:eastAsiaTheme="majorEastAsia" w:hAnsi="Bodoni MT" w:cs="Bodoni MT"/>
          <w:color w:val="000000"/>
          <w:sz w:val="24"/>
          <w:szCs w:val="24"/>
        </w:rPr>
      </w:pPr>
      <w:r w:rsidRPr="005D660C">
        <w:rPr>
          <w:rFonts w:ascii="Bodoni MT" w:eastAsiaTheme="majorEastAsia" w:hAnsi="Bodoni MT" w:cs="Bodoni MT"/>
          <w:color w:val="000000"/>
          <w:sz w:val="24"/>
          <w:szCs w:val="24"/>
        </w:rPr>
        <w:t>L’analisi degli impegni per macroaggregati</w:t>
      </w:r>
      <w:r w:rsidRPr="005D660C">
        <w:rPr>
          <w:rFonts w:ascii="Bodoni MT" w:eastAsiaTheme="majorEastAsia" w:hAnsi="Bodoni MT" w:cstheme="majorBidi"/>
          <w:color w:val="000000" w:themeColor="text1"/>
          <w:sz w:val="24"/>
          <w:szCs w:val="24"/>
          <w:vertAlign w:val="superscript"/>
        </w:rPr>
        <w:footnoteReference w:id="89"/>
      </w:r>
      <w:r w:rsidRPr="005D660C">
        <w:rPr>
          <w:rFonts w:ascii="Bodoni MT" w:eastAsiaTheme="majorEastAsia" w:hAnsi="Bodoni MT" w:cs="Bodoni MT"/>
          <w:color w:val="000000"/>
          <w:sz w:val="24"/>
          <w:szCs w:val="24"/>
        </w:rPr>
        <w:t xml:space="preserve">, permette di evidenziare l’elevata incidenza dei trasferimenti correnti che, pari a 5.559,011 </w:t>
      </w:r>
      <w:r w:rsidR="00343375">
        <w:rPr>
          <w:rFonts w:ascii="Bodoni MT" w:eastAsia="Verdana" w:hAnsi="Bodoni MT" w:cs="Bodoni MT"/>
          <w:color w:val="000000"/>
          <w:spacing w:val="-3"/>
          <w:sz w:val="24"/>
          <w:szCs w:val="24"/>
        </w:rPr>
        <w:t>m</w:t>
      </w:r>
      <w:r w:rsidR="00343375">
        <w:rPr>
          <w:rFonts w:ascii="Bodoni MT" w:eastAsia="Verdana" w:hAnsi="Bodoni MT" w:cs="Bodoni MT"/>
          <w:color w:val="000000"/>
          <w:sz w:val="24"/>
          <w:szCs w:val="24"/>
        </w:rPr>
        <w:t>ilioni</w:t>
      </w:r>
      <w:r w:rsidR="00343375" w:rsidRPr="005D660C">
        <w:rPr>
          <w:rFonts w:ascii="Bodoni MT" w:eastAsia="Verdana" w:hAnsi="Bodoni MT" w:cs="Bodoni MT"/>
          <w:color w:val="000000"/>
          <w:spacing w:val="-3"/>
          <w:sz w:val="24"/>
          <w:szCs w:val="24"/>
        </w:rPr>
        <w:t xml:space="preserve"> </w:t>
      </w:r>
      <w:r w:rsidRPr="005D660C">
        <w:rPr>
          <w:rFonts w:ascii="Bodoni MT" w:eastAsiaTheme="majorEastAsia" w:hAnsi="Bodoni MT" w:cs="Bodoni MT"/>
          <w:color w:val="000000"/>
          <w:sz w:val="24"/>
          <w:szCs w:val="24"/>
        </w:rPr>
        <w:t xml:space="preserve">di euro, pesano per il 68,72% sull’ammontare complessivo degli impegni di competenza. Si ricorda che in tale macroaggregato sono compresi i trasferimenti per le aziende sanitarie, per gli enti locali e per gli enti e agenzie regionali.   </w:t>
      </w:r>
    </w:p>
    <w:p w:rsidR="005D660C" w:rsidRPr="00AD5BF7" w:rsidRDefault="00AD5BF7" w:rsidP="00AD5BF7">
      <w:pPr>
        <w:pStyle w:val="Didascalia"/>
        <w:rPr>
          <w:rFonts w:eastAsiaTheme="majorEastAsia" w:cstheme="majorBidi"/>
          <w:bCs w:val="0"/>
          <w:sz w:val="24"/>
          <w:szCs w:val="24"/>
        </w:rPr>
      </w:pPr>
      <w:bookmarkStart w:id="163" w:name="_Toc499041001"/>
      <w:bookmarkStart w:id="164" w:name="_Toc507422720"/>
      <w:r>
        <w:t xml:space="preserve">Grafico </w:t>
      </w:r>
      <w:r w:rsidR="00B90472">
        <w:fldChar w:fldCharType="begin"/>
      </w:r>
      <w:r w:rsidR="00B90472">
        <w:instrText xml:space="preserve"> SEQ Grafico \* ARABIC </w:instrText>
      </w:r>
      <w:r w:rsidR="00B90472">
        <w:fldChar w:fldCharType="separate"/>
      </w:r>
      <w:r w:rsidR="008616B3">
        <w:rPr>
          <w:noProof/>
        </w:rPr>
        <w:t>17</w:t>
      </w:r>
      <w:r w:rsidR="00B90472">
        <w:rPr>
          <w:noProof/>
        </w:rPr>
        <w:fldChar w:fldCharType="end"/>
      </w:r>
      <w:r w:rsidR="005D660C" w:rsidRPr="005D660C">
        <w:rPr>
          <w:b w:val="0"/>
          <w:bCs w:val="0"/>
        </w:rPr>
        <w:t xml:space="preserve"> </w:t>
      </w:r>
      <w:r w:rsidR="005D660C" w:rsidRPr="00AD5BF7">
        <w:rPr>
          <w:bCs w:val="0"/>
        </w:rPr>
        <w:t xml:space="preserve">- </w:t>
      </w:r>
      <w:r w:rsidR="005D660C" w:rsidRPr="00B7211A">
        <w:rPr>
          <w:rFonts w:eastAsiaTheme="majorEastAsia" w:cstheme="majorBidi"/>
          <w:bCs w:val="0"/>
        </w:rPr>
        <w:t>Spesa per Missioni – Confronto Pagamenti 2015-2016</w:t>
      </w:r>
      <w:bookmarkEnd w:id="163"/>
      <w:bookmarkEnd w:id="164"/>
    </w:p>
    <w:p w:rsidR="005D660C" w:rsidRPr="005D660C" w:rsidRDefault="00E602C1" w:rsidP="005D660C">
      <w:pPr>
        <w:spacing w:line="360" w:lineRule="auto"/>
        <w:rPr>
          <w:rFonts w:ascii="Bodoni MT" w:eastAsiaTheme="majorEastAsia" w:hAnsi="Bodoni MT" w:cstheme="majorBidi"/>
          <w:color w:val="000000" w:themeColor="text1"/>
          <w:sz w:val="24"/>
          <w:szCs w:val="24"/>
        </w:rPr>
      </w:pPr>
      <w:r w:rsidRPr="005D660C">
        <w:rPr>
          <w:rFonts w:eastAsiaTheme="majorEastAsia" w:cstheme="majorBidi"/>
          <w:b/>
          <w:bCs/>
          <w:noProof/>
          <w:sz w:val="24"/>
          <w:szCs w:val="24"/>
          <w:lang w:eastAsia="it-IT"/>
        </w:rPr>
        <w:drawing>
          <wp:anchor distT="0" distB="0" distL="114300" distR="114300" simplePos="0" relativeHeight="251687936" behindDoc="0" locked="0" layoutInCell="1" allowOverlap="1" wp14:anchorId="46C11182" wp14:editId="77C983AC">
            <wp:simplePos x="0" y="0"/>
            <wp:positionH relativeFrom="column">
              <wp:posOffset>374015</wp:posOffset>
            </wp:positionH>
            <wp:positionV relativeFrom="paragraph">
              <wp:posOffset>156210</wp:posOffset>
            </wp:positionV>
            <wp:extent cx="5701665" cy="2691130"/>
            <wp:effectExtent l="0" t="0" r="0" b="0"/>
            <wp:wrapSquare wrapText="bothSides"/>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01665" cy="2691130"/>
                    </a:xfrm>
                    <a:prstGeom prst="rect">
                      <a:avLst/>
                    </a:prstGeom>
                    <a:noFill/>
                  </pic:spPr>
                </pic:pic>
              </a:graphicData>
            </a:graphic>
            <wp14:sizeRelH relativeFrom="margin">
              <wp14:pctWidth>0</wp14:pctWidth>
            </wp14:sizeRelH>
            <wp14:sizeRelV relativeFrom="margin">
              <wp14:pctHeight>0</wp14:pctHeight>
            </wp14:sizeRelV>
          </wp:anchor>
        </w:drawing>
      </w:r>
    </w:p>
    <w:p w:rsidR="005D660C" w:rsidRDefault="005D660C" w:rsidP="005D660C">
      <w:pPr>
        <w:spacing w:line="360" w:lineRule="auto"/>
        <w:rPr>
          <w:rFonts w:ascii="Bodoni MT" w:eastAsiaTheme="majorEastAsia" w:hAnsi="Bodoni MT" w:cstheme="majorBidi"/>
          <w:color w:val="000000" w:themeColor="text1"/>
          <w:sz w:val="24"/>
          <w:szCs w:val="24"/>
        </w:rPr>
      </w:pPr>
      <w:r w:rsidRPr="005D660C">
        <w:rPr>
          <w:rFonts w:ascii="Bodoni MT" w:eastAsiaTheme="majorEastAsia" w:hAnsi="Bodoni MT" w:cstheme="majorBidi"/>
          <w:color w:val="000000" w:themeColor="text1"/>
          <w:sz w:val="24"/>
          <w:szCs w:val="24"/>
        </w:rPr>
        <w:br w:type="textWrapping" w:clear="all"/>
      </w:r>
    </w:p>
    <w:p w:rsidR="005D660C" w:rsidRPr="005D660C" w:rsidRDefault="00503AC8" w:rsidP="00503AC8">
      <w:pPr>
        <w:pStyle w:val="Titolo2"/>
      </w:pPr>
      <w:bookmarkStart w:id="165" w:name="_Toc507422634"/>
      <w:r>
        <w:lastRenderedPageBreak/>
        <w:t>La gestione dei residui</w:t>
      </w:r>
      <w:bookmarkEnd w:id="165"/>
    </w:p>
    <w:p w:rsidR="005D660C" w:rsidRPr="005D660C" w:rsidRDefault="005D660C" w:rsidP="00503AC8">
      <w:pPr>
        <w:pStyle w:val="Titolo3"/>
      </w:pPr>
      <w:r w:rsidRPr="005D660C">
        <w:t xml:space="preserve"> </w:t>
      </w:r>
      <w:bookmarkStart w:id="166" w:name="_Toc499040932"/>
      <w:bookmarkStart w:id="167" w:name="_Toc507422635"/>
      <w:r w:rsidRPr="005D660C">
        <w:t>Il Riaccertamento Ordinario al 31/12/2016</w:t>
      </w:r>
      <w:bookmarkEnd w:id="166"/>
      <w:bookmarkEnd w:id="167"/>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Ai sensi dell’art. 3, comma 4, del D.Lgs. 118/2011, la Regione annualmente provvede al riaccertamento dei residui attivi e passivi, verificando, ai fini del rendiconto, le ragioni del loro mantenimento secondo le modalità definite dal principio contabile applicato concernente la contabilità finanziaria.</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Da tale principio discende che possono essere conservate solo le entrate accertate esigibili nell’esercizio di riferimento, ma non riscosse, e le spese impegnate, liquidabili nel corso dell’esercizio e non pagate. I residui attivi e passivi non scaduti, e quindi non esigibili nell’esercizio cui si riferisce il rendiconto, dovranno essere reimputati all’esercizio di scadenza. La reimputazione degli impegni è effettuata incrementando, di pari importo, il fondo pluriennale di spesa, per consentire l’iscrizione del fondo pluriennale vincolato nell’entrata degli esercizi successivi, a copertura delle spese reimputate</w:t>
      </w:r>
      <w:r w:rsidRPr="005D660C">
        <w:rPr>
          <w:rFonts w:ascii="Bodoni MT" w:eastAsiaTheme="minorEastAsia" w:hAnsi="Bodoni MT" w:cs="Bodoni MT"/>
          <w:color w:val="000000"/>
          <w:sz w:val="24"/>
          <w:szCs w:val="24"/>
          <w:vertAlign w:val="superscript"/>
        </w:rPr>
        <w:footnoteReference w:id="90"/>
      </w:r>
      <w:r w:rsidR="00E602C1">
        <w:rPr>
          <w:rFonts w:ascii="Bodoni MT" w:eastAsiaTheme="minorEastAsia" w:hAnsi="Bodoni MT" w:cs="Bodoni MT"/>
          <w:color w:val="000000"/>
          <w:sz w:val="24"/>
          <w:szCs w:val="24"/>
        </w:rPr>
        <w:t>, con eccezione degli impegni che non generano FPV.</w:t>
      </w:r>
    </w:p>
    <w:p w:rsidR="005D660C" w:rsidRPr="0061733B" w:rsidRDefault="007F2C73" w:rsidP="005D660C">
      <w:pPr>
        <w:autoSpaceDE w:val="0"/>
        <w:autoSpaceDN w:val="0"/>
        <w:adjustRightInd w:val="0"/>
        <w:spacing w:after="120" w:line="360" w:lineRule="auto"/>
        <w:jc w:val="both"/>
        <w:textAlignment w:val="center"/>
        <w:rPr>
          <w:rFonts w:ascii="Bodoni MT" w:eastAsiaTheme="minorEastAsia" w:hAnsi="Bodoni MT" w:cs="Bodoni MT"/>
          <w:i/>
          <w:color w:val="000000"/>
          <w:sz w:val="24"/>
          <w:szCs w:val="24"/>
        </w:rPr>
      </w:pPr>
      <w:r>
        <w:rPr>
          <w:rFonts w:ascii="Bodoni MT" w:eastAsiaTheme="minorEastAsia" w:hAnsi="Bodoni MT" w:cs="Bodoni MT"/>
          <w:color w:val="000000"/>
          <w:sz w:val="24"/>
          <w:szCs w:val="24"/>
        </w:rPr>
        <w:t>La Giunta regionale</w:t>
      </w:r>
      <w:r w:rsidR="005D660C" w:rsidRPr="005D660C">
        <w:rPr>
          <w:rFonts w:ascii="Bodoni MT" w:eastAsiaTheme="minorEastAsia" w:hAnsi="Bodoni MT" w:cs="Bodoni MT"/>
          <w:color w:val="000000"/>
          <w:sz w:val="24"/>
          <w:szCs w:val="24"/>
        </w:rPr>
        <w:t xml:space="preserve"> ha approvato il riaccertamento ordinario dei residui al 31/12/2016 con la DGR n. 26/48 del 30/05/2017</w:t>
      </w:r>
      <w:r w:rsidR="005D660C" w:rsidRPr="005D660C">
        <w:rPr>
          <w:rFonts w:ascii="Bodoni MT" w:eastAsiaTheme="minorEastAsia" w:hAnsi="Bodoni MT" w:cs="Bodoni MT"/>
          <w:color w:val="000000"/>
          <w:sz w:val="24"/>
          <w:szCs w:val="24"/>
          <w:vertAlign w:val="superscript"/>
        </w:rPr>
        <w:footnoteReference w:id="91"/>
      </w:r>
      <w:r w:rsidR="0061733B">
        <w:rPr>
          <w:rFonts w:ascii="Bodoni MT" w:eastAsiaTheme="minorEastAsia" w:hAnsi="Bodoni MT" w:cs="Bodoni MT"/>
          <w:color w:val="000000"/>
          <w:sz w:val="24"/>
          <w:szCs w:val="24"/>
        </w:rPr>
        <w:t xml:space="preserve">, nella quale si rappresenta che </w:t>
      </w:r>
      <w:r w:rsidR="0061733B">
        <w:rPr>
          <w:rFonts w:ascii="Bodoni MT" w:eastAsiaTheme="minorEastAsia" w:hAnsi="Bodoni MT" w:cs="Bodoni MT"/>
          <w:i/>
          <w:color w:val="000000"/>
          <w:sz w:val="24"/>
          <w:szCs w:val="24"/>
        </w:rPr>
        <w:t>i centri di responsabilità competenti hanno adottato una determina ricognitiva con la quale hanno approvato gli elenchi dei residui e le reimputazion</w:t>
      </w:r>
      <w:r w:rsidR="005D0267">
        <w:rPr>
          <w:rFonts w:ascii="Bodoni MT" w:eastAsiaTheme="minorEastAsia" w:hAnsi="Bodoni MT" w:cs="Bodoni MT"/>
          <w:i/>
          <w:color w:val="000000"/>
          <w:sz w:val="24"/>
          <w:szCs w:val="24"/>
        </w:rPr>
        <w:t>i</w:t>
      </w:r>
      <w:r w:rsidR="0061733B">
        <w:rPr>
          <w:rFonts w:ascii="Bodoni MT" w:eastAsiaTheme="minorEastAsia" w:hAnsi="Bodoni MT" w:cs="Bodoni MT"/>
          <w:i/>
          <w:color w:val="000000"/>
          <w:sz w:val="24"/>
          <w:szCs w:val="24"/>
        </w:rPr>
        <w:t>, specificando le motiva</w:t>
      </w:r>
      <w:r w:rsidR="00EA2AEC">
        <w:rPr>
          <w:rFonts w:ascii="Bodoni MT" w:eastAsiaTheme="minorEastAsia" w:hAnsi="Bodoni MT" w:cs="Bodoni MT"/>
          <w:i/>
          <w:color w:val="000000"/>
          <w:sz w:val="24"/>
          <w:szCs w:val="24"/>
        </w:rPr>
        <w:t>z</w:t>
      </w:r>
      <w:r w:rsidR="0061733B">
        <w:rPr>
          <w:rFonts w:ascii="Bodoni MT" w:eastAsiaTheme="minorEastAsia" w:hAnsi="Bodoni MT" w:cs="Bodoni MT"/>
          <w:i/>
          <w:color w:val="000000"/>
          <w:sz w:val="24"/>
          <w:szCs w:val="24"/>
        </w:rPr>
        <w:t xml:space="preserve">ioni </w:t>
      </w:r>
      <w:r w:rsidR="00EA2AEC">
        <w:rPr>
          <w:rFonts w:ascii="Bodoni MT" w:eastAsiaTheme="minorEastAsia" w:hAnsi="Bodoni MT" w:cs="Bodoni MT"/>
          <w:i/>
          <w:color w:val="000000"/>
          <w:sz w:val="24"/>
          <w:szCs w:val="24"/>
        </w:rPr>
        <w:t>poste a base della conferma o dello stralcio definitivi dei residui attivi e passivi. Le determinazioni sono poi state trasmesse alla Direzione generale dei Servizi finanziari, al fine di verificarne la regolarità contabile e procedere, successivamente all’approvazione della presente deliberazione, alle relative contabilizzazioni.</w:t>
      </w:r>
    </w:p>
    <w:p w:rsidR="00D30429" w:rsidRDefault="00D30429" w:rsidP="00CC7DE8">
      <w:pPr>
        <w:pStyle w:val="Didascalia"/>
      </w:pPr>
      <w:r>
        <w:br w:type="page"/>
      </w:r>
    </w:p>
    <w:p w:rsidR="007E105E" w:rsidRDefault="00CC7DE8" w:rsidP="00CC7DE8">
      <w:pPr>
        <w:pStyle w:val="Didascalia"/>
      </w:pPr>
      <w:bookmarkStart w:id="168" w:name="_Toc507422488"/>
      <w:r>
        <w:lastRenderedPageBreak/>
        <w:t xml:space="preserve">Tabella </w:t>
      </w:r>
      <w:r w:rsidR="00B90472">
        <w:fldChar w:fldCharType="begin"/>
      </w:r>
      <w:r w:rsidR="00B90472">
        <w:instrText xml:space="preserve"> SEQ Tabella \* ARABIC </w:instrText>
      </w:r>
      <w:r w:rsidR="00B90472">
        <w:fldChar w:fldCharType="separate"/>
      </w:r>
      <w:r w:rsidR="008616B3">
        <w:rPr>
          <w:noProof/>
        </w:rPr>
        <w:t>20</w:t>
      </w:r>
      <w:r w:rsidR="00B90472">
        <w:rPr>
          <w:noProof/>
        </w:rPr>
        <w:fldChar w:fldCharType="end"/>
      </w:r>
      <w:r w:rsidR="007E105E">
        <w:t xml:space="preserve"> – Riaccertamento ordinario dei residui attivi e passivi</w:t>
      </w:r>
      <w:r w:rsidR="00520A60">
        <w:t xml:space="preserve"> al 31.12.2016</w:t>
      </w:r>
      <w:bookmarkEnd w:id="168"/>
    </w:p>
    <w:tbl>
      <w:tblPr>
        <w:tblStyle w:val="Grigliatabella"/>
        <w:tblW w:w="5000" w:type="pct"/>
        <w:tblLook w:val="04A0" w:firstRow="1" w:lastRow="0" w:firstColumn="1" w:lastColumn="0" w:noHBand="0" w:noVBand="1"/>
      </w:tblPr>
      <w:tblGrid>
        <w:gridCol w:w="429"/>
        <w:gridCol w:w="6330"/>
        <w:gridCol w:w="3378"/>
      </w:tblGrid>
      <w:tr w:rsidR="009259A6" w:rsidRPr="007E105E" w:rsidTr="009934AA">
        <w:tc>
          <w:tcPr>
            <w:tcW w:w="212" w:type="pct"/>
            <w:vMerge w:val="restart"/>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A</w:t>
            </w:r>
          </w:p>
        </w:tc>
        <w:tc>
          <w:tcPr>
            <w:tcW w:w="3122" w:type="pct"/>
            <w:shd w:val="clear" w:color="auto" w:fill="95B3D7" w:themeFill="accent1" w:themeFillTint="99"/>
            <w:vAlign w:val="center"/>
          </w:tcPr>
          <w:p w:rsidR="009259A6" w:rsidRPr="009934AA" w:rsidRDefault="009259A6" w:rsidP="009934AA">
            <w:pPr>
              <w:pStyle w:val="CdcTesto"/>
              <w:spacing w:after="0" w:line="240" w:lineRule="auto"/>
              <w:jc w:val="left"/>
              <w:rPr>
                <w:b/>
                <w:color w:val="FFFFFF" w:themeColor="background1"/>
                <w:sz w:val="20"/>
                <w:szCs w:val="20"/>
              </w:rPr>
            </w:pPr>
            <w:r w:rsidRPr="009934AA">
              <w:rPr>
                <w:b/>
                <w:color w:val="FFFFFF" w:themeColor="background1"/>
                <w:sz w:val="20"/>
                <w:szCs w:val="20"/>
              </w:rPr>
              <w:t>Residui attivi eliminati dal conto del bilancio dell’esercizio 2016:</w:t>
            </w:r>
          </w:p>
        </w:tc>
        <w:tc>
          <w:tcPr>
            <w:tcW w:w="1666" w:type="pct"/>
            <w:shd w:val="clear" w:color="auto" w:fill="FFFFFF" w:themeFill="background1"/>
            <w:vAlign w:val="center"/>
          </w:tcPr>
          <w:p w:rsidR="009259A6" w:rsidRPr="009934AA" w:rsidRDefault="009259A6" w:rsidP="007E105E">
            <w:pPr>
              <w:pStyle w:val="CdcTesto"/>
              <w:spacing w:after="0" w:line="240" w:lineRule="auto"/>
              <w:jc w:val="center"/>
              <w:rPr>
                <w:color w:val="FFFFFF" w:themeColor="background1"/>
                <w:sz w:val="20"/>
                <w:szCs w:val="20"/>
              </w:rPr>
            </w:pPr>
          </w:p>
        </w:tc>
      </w:tr>
      <w:tr w:rsidR="009259A6" w:rsidRPr="007E105E" w:rsidTr="000827D1">
        <w:tc>
          <w:tcPr>
            <w:tcW w:w="212" w:type="pct"/>
            <w:vMerge/>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9259A6" w:rsidRPr="009934AA" w:rsidRDefault="009259A6" w:rsidP="009934AA">
            <w:pPr>
              <w:pStyle w:val="CdcTesto"/>
              <w:numPr>
                <w:ilvl w:val="0"/>
                <w:numId w:val="4"/>
              </w:numPr>
              <w:tabs>
                <w:tab w:val="left" w:pos="149"/>
              </w:tabs>
              <w:spacing w:after="0" w:line="240" w:lineRule="auto"/>
              <w:jc w:val="left"/>
              <w:rPr>
                <w:b/>
                <w:color w:val="FFFFFF" w:themeColor="background1"/>
                <w:sz w:val="20"/>
                <w:szCs w:val="20"/>
              </w:rPr>
            </w:pPr>
            <w:r w:rsidRPr="009934AA">
              <w:rPr>
                <w:b/>
                <w:color w:val="FFFFFF" w:themeColor="background1"/>
                <w:sz w:val="20"/>
                <w:szCs w:val="20"/>
              </w:rPr>
              <w:t>provenienti dalla competenza 2016</w:t>
            </w:r>
          </w:p>
        </w:tc>
        <w:tc>
          <w:tcPr>
            <w:tcW w:w="1666" w:type="pct"/>
            <w:vAlign w:val="center"/>
          </w:tcPr>
          <w:p w:rsidR="009259A6"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26.090.569,84</w:t>
            </w:r>
          </w:p>
        </w:tc>
      </w:tr>
      <w:tr w:rsidR="009259A6" w:rsidRPr="007E105E" w:rsidTr="000827D1">
        <w:tc>
          <w:tcPr>
            <w:tcW w:w="212" w:type="pct"/>
            <w:vMerge/>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9259A6" w:rsidRPr="009934AA" w:rsidRDefault="009259A6" w:rsidP="009934AA">
            <w:pPr>
              <w:pStyle w:val="CdcTesto"/>
              <w:numPr>
                <w:ilvl w:val="0"/>
                <w:numId w:val="4"/>
              </w:numPr>
              <w:tabs>
                <w:tab w:val="left" w:pos="162"/>
              </w:tabs>
              <w:spacing w:after="0" w:line="240" w:lineRule="auto"/>
              <w:jc w:val="left"/>
              <w:rPr>
                <w:b/>
                <w:color w:val="FFFFFF" w:themeColor="background1"/>
                <w:sz w:val="20"/>
                <w:szCs w:val="20"/>
              </w:rPr>
            </w:pPr>
            <w:r w:rsidRPr="009934AA">
              <w:rPr>
                <w:b/>
                <w:color w:val="FFFFFF" w:themeColor="background1"/>
                <w:sz w:val="20"/>
                <w:szCs w:val="20"/>
              </w:rPr>
              <w:t>provenienti dal 2015 e dagli esercizi precedenti</w:t>
            </w:r>
          </w:p>
        </w:tc>
        <w:tc>
          <w:tcPr>
            <w:tcW w:w="1666" w:type="pct"/>
            <w:vAlign w:val="center"/>
          </w:tcPr>
          <w:p w:rsidR="009259A6"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73.143.350,02</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color w:val="FFFFFF" w:themeColor="background1"/>
                <w:sz w:val="18"/>
                <w:szCs w:val="18"/>
              </w:rPr>
            </w:pPr>
          </w:p>
        </w:tc>
      </w:tr>
      <w:tr w:rsidR="00D819E4" w:rsidRPr="007E105E" w:rsidTr="000827D1">
        <w:tc>
          <w:tcPr>
            <w:tcW w:w="212" w:type="pct"/>
            <w:vMerge w:val="restart"/>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B</w:t>
            </w:r>
          </w:p>
        </w:tc>
        <w:tc>
          <w:tcPr>
            <w:tcW w:w="3122" w:type="pct"/>
            <w:shd w:val="clear" w:color="auto" w:fill="95B3D7" w:themeFill="accent1" w:themeFillTint="99"/>
            <w:vAlign w:val="center"/>
          </w:tcPr>
          <w:p w:rsidR="00D819E4"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Residui passivi eliminati dal conto del bilancio dell’esercizio 2016:</w:t>
            </w:r>
          </w:p>
        </w:tc>
        <w:tc>
          <w:tcPr>
            <w:tcW w:w="1666" w:type="pct"/>
            <w:shd w:val="clear" w:color="auto" w:fill="FFFFFF" w:themeFill="background1"/>
            <w:vAlign w:val="center"/>
          </w:tcPr>
          <w:p w:rsidR="00D819E4" w:rsidRPr="00922051" w:rsidRDefault="00D819E4" w:rsidP="000827D1">
            <w:pPr>
              <w:pStyle w:val="CdcTesto"/>
              <w:spacing w:after="0" w:line="240" w:lineRule="auto"/>
              <w:jc w:val="center"/>
              <w:rPr>
                <w:rFonts w:asciiTheme="minorHAnsi" w:hAnsiTheme="minorHAnsi" w:cstheme="minorHAnsi"/>
                <w:color w:val="FFFFFF" w:themeColor="background1"/>
                <w:sz w:val="18"/>
                <w:szCs w:val="18"/>
              </w:rPr>
            </w:pPr>
          </w:p>
        </w:tc>
      </w:tr>
      <w:tr w:rsidR="00D819E4" w:rsidRPr="007E105E" w:rsidTr="000827D1">
        <w:tc>
          <w:tcPr>
            <w:tcW w:w="212" w:type="pct"/>
            <w:vMerge/>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CdcTesto"/>
              <w:numPr>
                <w:ilvl w:val="0"/>
                <w:numId w:val="4"/>
              </w:numPr>
              <w:tabs>
                <w:tab w:val="left" w:pos="149"/>
              </w:tabs>
              <w:spacing w:after="0" w:line="240" w:lineRule="auto"/>
              <w:jc w:val="left"/>
              <w:rPr>
                <w:b/>
                <w:color w:val="FFFFFF" w:themeColor="background1"/>
                <w:sz w:val="20"/>
                <w:szCs w:val="20"/>
              </w:rPr>
            </w:pPr>
            <w:r w:rsidRPr="009934AA">
              <w:rPr>
                <w:b/>
                <w:color w:val="FFFFFF" w:themeColor="background1"/>
                <w:sz w:val="20"/>
                <w:szCs w:val="20"/>
              </w:rPr>
              <w:t>provenienti dalla competenza 2016</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47.003.881,26</w:t>
            </w:r>
          </w:p>
        </w:tc>
      </w:tr>
      <w:tr w:rsidR="00D819E4" w:rsidRPr="009259A6" w:rsidTr="000827D1">
        <w:tc>
          <w:tcPr>
            <w:tcW w:w="212" w:type="pct"/>
            <w:vMerge/>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Paragrafoelenco"/>
              <w:numPr>
                <w:ilvl w:val="0"/>
                <w:numId w:val="4"/>
              </w:numPr>
              <w:tabs>
                <w:tab w:val="left" w:pos="175"/>
              </w:tabs>
              <w:spacing w:line="240" w:lineRule="auto"/>
              <w:rPr>
                <w:rFonts w:ascii="Bodoni MT" w:hAnsi="Bodoni MT"/>
                <w:b/>
                <w:color w:val="FFFFFF" w:themeColor="background1"/>
              </w:rPr>
            </w:pPr>
            <w:r w:rsidRPr="009934AA">
              <w:rPr>
                <w:rFonts w:ascii="Bodoni MT" w:hAnsi="Bodoni MT"/>
                <w:b/>
                <w:color w:val="FFFFFF" w:themeColor="background1"/>
                <w:sz w:val="20"/>
                <w:szCs w:val="20"/>
              </w:rPr>
              <w:t>provenienti dal 2015 e dagli esercizi precedenti</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63.644.170,62</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color w:val="FFFFFF" w:themeColor="background1"/>
                <w:sz w:val="18"/>
                <w:szCs w:val="18"/>
              </w:rPr>
            </w:pPr>
          </w:p>
        </w:tc>
      </w:tr>
      <w:tr w:rsidR="00D819E4" w:rsidRPr="007E105E" w:rsidTr="000827D1">
        <w:tc>
          <w:tcPr>
            <w:tcW w:w="212" w:type="pct"/>
            <w:vMerge w:val="restart"/>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C</w:t>
            </w:r>
          </w:p>
        </w:tc>
        <w:tc>
          <w:tcPr>
            <w:tcW w:w="3122" w:type="pct"/>
            <w:shd w:val="clear" w:color="auto" w:fill="95B3D7" w:themeFill="accent1" w:themeFillTint="99"/>
            <w:vAlign w:val="center"/>
          </w:tcPr>
          <w:p w:rsidR="00D819E4"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Residui attivi da riportare all’01/01/2017:</w:t>
            </w:r>
          </w:p>
        </w:tc>
        <w:tc>
          <w:tcPr>
            <w:tcW w:w="1666" w:type="pct"/>
            <w:shd w:val="clear" w:color="auto" w:fill="FFFFFF" w:themeFill="background1"/>
            <w:vAlign w:val="center"/>
          </w:tcPr>
          <w:p w:rsidR="00D819E4" w:rsidRPr="00922051" w:rsidRDefault="00D819E4" w:rsidP="000827D1">
            <w:pPr>
              <w:pStyle w:val="CdcTesto"/>
              <w:spacing w:after="0" w:line="240" w:lineRule="auto"/>
              <w:jc w:val="center"/>
              <w:rPr>
                <w:rFonts w:asciiTheme="minorHAnsi" w:hAnsiTheme="minorHAnsi" w:cstheme="minorHAnsi"/>
                <w:color w:val="FFFFFF" w:themeColor="background1"/>
                <w:sz w:val="18"/>
                <w:szCs w:val="18"/>
              </w:rPr>
            </w:pPr>
          </w:p>
        </w:tc>
      </w:tr>
      <w:tr w:rsidR="00D819E4" w:rsidRPr="007E105E" w:rsidTr="000827D1">
        <w:tc>
          <w:tcPr>
            <w:tcW w:w="212" w:type="pct"/>
            <w:vMerge/>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CdcTesto"/>
              <w:numPr>
                <w:ilvl w:val="0"/>
                <w:numId w:val="4"/>
              </w:numPr>
              <w:tabs>
                <w:tab w:val="left" w:pos="189"/>
              </w:tabs>
              <w:spacing w:after="0" w:line="240" w:lineRule="auto"/>
              <w:jc w:val="left"/>
              <w:rPr>
                <w:b/>
                <w:color w:val="FFFFFF" w:themeColor="background1"/>
                <w:sz w:val="20"/>
                <w:szCs w:val="20"/>
              </w:rPr>
            </w:pPr>
            <w:r w:rsidRPr="009934AA">
              <w:rPr>
                <w:b/>
                <w:color w:val="FFFFFF" w:themeColor="background1"/>
                <w:sz w:val="20"/>
                <w:szCs w:val="20"/>
              </w:rPr>
              <w:t>provenienti dalla competenza 2016</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1.411.711.828,05</w:t>
            </w:r>
          </w:p>
        </w:tc>
      </w:tr>
      <w:tr w:rsidR="00D819E4" w:rsidRPr="00D819E4" w:rsidTr="000827D1">
        <w:tc>
          <w:tcPr>
            <w:tcW w:w="212" w:type="pct"/>
            <w:vMerge/>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Paragrafoelenco"/>
              <w:numPr>
                <w:ilvl w:val="0"/>
                <w:numId w:val="4"/>
              </w:numPr>
              <w:tabs>
                <w:tab w:val="left" w:pos="189"/>
              </w:tabs>
              <w:spacing w:line="240" w:lineRule="auto"/>
              <w:rPr>
                <w:rFonts w:ascii="Bodoni MT" w:hAnsi="Bodoni MT"/>
                <w:b/>
                <w:color w:val="FFFFFF" w:themeColor="background1"/>
              </w:rPr>
            </w:pPr>
            <w:r w:rsidRPr="009934AA">
              <w:rPr>
                <w:rFonts w:ascii="Bodoni MT" w:hAnsi="Bodoni MT"/>
                <w:b/>
                <w:color w:val="FFFFFF" w:themeColor="background1"/>
                <w:sz w:val="20"/>
                <w:szCs w:val="20"/>
              </w:rPr>
              <w:t>provenienti dal 2015 e dagli esercizi precedenti</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425.157.164,17</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color w:val="FFFFFF" w:themeColor="background1"/>
                <w:sz w:val="18"/>
                <w:szCs w:val="18"/>
              </w:rPr>
            </w:pPr>
          </w:p>
        </w:tc>
      </w:tr>
      <w:tr w:rsidR="00D819E4" w:rsidRPr="007E105E" w:rsidTr="000827D1">
        <w:tc>
          <w:tcPr>
            <w:tcW w:w="212" w:type="pct"/>
            <w:vMerge w:val="restart"/>
            <w:shd w:val="clear" w:color="auto" w:fill="95B3D7" w:themeFill="accent1" w:themeFillTint="99"/>
            <w:vAlign w:val="center"/>
          </w:tcPr>
          <w:p w:rsidR="00D819E4" w:rsidRPr="009934AA" w:rsidRDefault="00D819E4" w:rsidP="00D819E4">
            <w:pPr>
              <w:pStyle w:val="CdcTesto"/>
              <w:spacing w:after="0" w:line="240" w:lineRule="auto"/>
              <w:jc w:val="center"/>
              <w:rPr>
                <w:b/>
                <w:color w:val="FFFFFF" w:themeColor="background1"/>
                <w:sz w:val="20"/>
                <w:szCs w:val="20"/>
              </w:rPr>
            </w:pPr>
            <w:r w:rsidRPr="009934AA">
              <w:rPr>
                <w:b/>
                <w:color w:val="FFFFFF" w:themeColor="background1"/>
                <w:sz w:val="20"/>
                <w:szCs w:val="20"/>
              </w:rPr>
              <w:t>D</w:t>
            </w:r>
          </w:p>
        </w:tc>
        <w:tc>
          <w:tcPr>
            <w:tcW w:w="3122" w:type="pct"/>
            <w:shd w:val="clear" w:color="auto" w:fill="95B3D7" w:themeFill="accent1" w:themeFillTint="99"/>
            <w:vAlign w:val="center"/>
          </w:tcPr>
          <w:p w:rsidR="00D819E4"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Residui passivi da riportare all’01/01/2017:</w:t>
            </w:r>
          </w:p>
        </w:tc>
        <w:tc>
          <w:tcPr>
            <w:tcW w:w="1666" w:type="pct"/>
            <w:shd w:val="clear" w:color="auto" w:fill="FFFFFF" w:themeFill="background1"/>
            <w:vAlign w:val="center"/>
          </w:tcPr>
          <w:p w:rsidR="00D819E4" w:rsidRPr="00922051" w:rsidRDefault="00D819E4" w:rsidP="000827D1">
            <w:pPr>
              <w:pStyle w:val="CdcTesto"/>
              <w:spacing w:after="0" w:line="240" w:lineRule="auto"/>
              <w:jc w:val="center"/>
              <w:rPr>
                <w:rFonts w:asciiTheme="minorHAnsi" w:hAnsiTheme="minorHAnsi" w:cstheme="minorHAnsi"/>
                <w:color w:val="FFFFFF" w:themeColor="background1"/>
                <w:sz w:val="18"/>
                <w:szCs w:val="18"/>
              </w:rPr>
            </w:pPr>
          </w:p>
        </w:tc>
      </w:tr>
      <w:tr w:rsidR="00D819E4" w:rsidRPr="007E105E" w:rsidTr="000827D1">
        <w:tc>
          <w:tcPr>
            <w:tcW w:w="212" w:type="pct"/>
            <w:vMerge/>
            <w:shd w:val="clear" w:color="auto" w:fill="95B3D7" w:themeFill="accent1" w:themeFillTint="99"/>
            <w:vAlign w:val="center"/>
          </w:tcPr>
          <w:p w:rsidR="00D819E4" w:rsidRPr="009934AA" w:rsidRDefault="00D819E4" w:rsidP="00D819E4">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CdcTesto"/>
              <w:numPr>
                <w:ilvl w:val="0"/>
                <w:numId w:val="4"/>
              </w:numPr>
              <w:tabs>
                <w:tab w:val="left" w:pos="189"/>
              </w:tabs>
              <w:spacing w:after="0" w:line="240" w:lineRule="auto"/>
              <w:jc w:val="left"/>
              <w:rPr>
                <w:b/>
                <w:color w:val="FFFFFF" w:themeColor="background1"/>
                <w:sz w:val="20"/>
                <w:szCs w:val="20"/>
              </w:rPr>
            </w:pPr>
            <w:r w:rsidRPr="009934AA">
              <w:rPr>
                <w:b/>
                <w:color w:val="FFFFFF" w:themeColor="background1"/>
                <w:sz w:val="20"/>
                <w:szCs w:val="20"/>
              </w:rPr>
              <w:t>provenienti dalla competenza 2016</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1.073.609.983,64</w:t>
            </w:r>
          </w:p>
        </w:tc>
      </w:tr>
      <w:tr w:rsidR="00D819E4" w:rsidRPr="007E105E" w:rsidTr="000827D1">
        <w:tc>
          <w:tcPr>
            <w:tcW w:w="212" w:type="pct"/>
            <w:vMerge/>
            <w:shd w:val="clear" w:color="auto" w:fill="95B3D7" w:themeFill="accent1" w:themeFillTint="99"/>
            <w:vAlign w:val="center"/>
          </w:tcPr>
          <w:p w:rsidR="00D819E4" w:rsidRPr="009934AA" w:rsidRDefault="00D819E4" w:rsidP="00D819E4">
            <w:pPr>
              <w:pStyle w:val="CdcTesto"/>
              <w:spacing w:after="0" w:line="240" w:lineRule="auto"/>
              <w:jc w:val="center"/>
              <w:rPr>
                <w:b/>
                <w:color w:val="FFFFFF" w:themeColor="background1"/>
                <w:sz w:val="20"/>
                <w:szCs w:val="20"/>
              </w:rPr>
            </w:pPr>
          </w:p>
        </w:tc>
        <w:tc>
          <w:tcPr>
            <w:tcW w:w="3122" w:type="pct"/>
            <w:shd w:val="clear" w:color="auto" w:fill="95B3D7" w:themeFill="accent1" w:themeFillTint="99"/>
            <w:vAlign w:val="center"/>
          </w:tcPr>
          <w:p w:rsidR="00D819E4" w:rsidRPr="009934AA" w:rsidRDefault="00D819E4" w:rsidP="009934AA">
            <w:pPr>
              <w:pStyle w:val="Paragrafoelenco"/>
              <w:numPr>
                <w:ilvl w:val="0"/>
                <w:numId w:val="4"/>
              </w:numPr>
              <w:tabs>
                <w:tab w:val="left" w:pos="189"/>
              </w:tabs>
              <w:spacing w:line="240" w:lineRule="auto"/>
              <w:rPr>
                <w:rFonts w:ascii="Bodoni MT" w:hAnsi="Bodoni MT"/>
                <w:b/>
                <w:color w:val="FFFFFF" w:themeColor="background1"/>
              </w:rPr>
            </w:pPr>
            <w:r w:rsidRPr="009934AA">
              <w:rPr>
                <w:rFonts w:ascii="Bodoni MT" w:hAnsi="Bodoni MT"/>
                <w:b/>
                <w:color w:val="FFFFFF" w:themeColor="background1"/>
                <w:sz w:val="20"/>
                <w:szCs w:val="20"/>
              </w:rPr>
              <w:t>provenienti dal 2015 e dagli esercizi precedenti</w:t>
            </w:r>
          </w:p>
        </w:tc>
        <w:tc>
          <w:tcPr>
            <w:tcW w:w="1666" w:type="pct"/>
            <w:vAlign w:val="center"/>
          </w:tcPr>
          <w:p w:rsidR="00D819E4"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327.353.895,87</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sz w:val="18"/>
                <w:szCs w:val="18"/>
              </w:rPr>
            </w:pPr>
          </w:p>
        </w:tc>
      </w:tr>
      <w:tr w:rsidR="009259A6" w:rsidRPr="007E105E" w:rsidTr="000827D1">
        <w:tc>
          <w:tcPr>
            <w:tcW w:w="212" w:type="pct"/>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E</w:t>
            </w:r>
          </w:p>
        </w:tc>
        <w:tc>
          <w:tcPr>
            <w:tcW w:w="3122" w:type="pct"/>
            <w:shd w:val="clear" w:color="auto" w:fill="95B3D7" w:themeFill="accent1" w:themeFillTint="99"/>
            <w:vAlign w:val="center"/>
          </w:tcPr>
          <w:p w:rsidR="009259A6"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Crediti reimputati al 2017 e agli esercizi successivi</w:t>
            </w:r>
          </w:p>
        </w:tc>
        <w:tc>
          <w:tcPr>
            <w:tcW w:w="1666" w:type="pct"/>
            <w:vAlign w:val="center"/>
          </w:tcPr>
          <w:p w:rsidR="009259A6"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131.886.895,64</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sz w:val="18"/>
                <w:szCs w:val="18"/>
              </w:rPr>
            </w:pPr>
          </w:p>
        </w:tc>
      </w:tr>
      <w:tr w:rsidR="009259A6" w:rsidRPr="007E105E" w:rsidTr="000827D1">
        <w:tc>
          <w:tcPr>
            <w:tcW w:w="212" w:type="pct"/>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F</w:t>
            </w:r>
          </w:p>
        </w:tc>
        <w:tc>
          <w:tcPr>
            <w:tcW w:w="3122" w:type="pct"/>
            <w:shd w:val="clear" w:color="auto" w:fill="95B3D7" w:themeFill="accent1" w:themeFillTint="99"/>
            <w:vAlign w:val="center"/>
          </w:tcPr>
          <w:p w:rsidR="009259A6"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Debiti reimputati al 2017 e agli esercizi successivi</w:t>
            </w:r>
          </w:p>
        </w:tc>
        <w:tc>
          <w:tcPr>
            <w:tcW w:w="1666" w:type="pct"/>
            <w:vAlign w:val="center"/>
          </w:tcPr>
          <w:p w:rsidR="009259A6"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558.977.451,90</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color w:val="FFFFFF" w:themeColor="background1"/>
                <w:sz w:val="18"/>
                <w:szCs w:val="18"/>
              </w:rPr>
            </w:pPr>
          </w:p>
        </w:tc>
      </w:tr>
      <w:tr w:rsidR="00D819E4" w:rsidRPr="007E105E" w:rsidTr="00520A60">
        <w:tc>
          <w:tcPr>
            <w:tcW w:w="212" w:type="pct"/>
            <w:shd w:val="clear" w:color="auto" w:fill="95B3D7" w:themeFill="accent1" w:themeFillTint="99"/>
            <w:vAlign w:val="center"/>
          </w:tcPr>
          <w:p w:rsidR="00D819E4" w:rsidRPr="009934AA" w:rsidRDefault="00D819E4"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G</w:t>
            </w:r>
          </w:p>
        </w:tc>
        <w:tc>
          <w:tcPr>
            <w:tcW w:w="3122" w:type="pct"/>
            <w:shd w:val="clear" w:color="auto" w:fill="95B3D7" w:themeFill="accent1" w:themeFillTint="99"/>
            <w:vAlign w:val="center"/>
          </w:tcPr>
          <w:p w:rsidR="00D819E4" w:rsidRPr="009934AA" w:rsidRDefault="00D819E4" w:rsidP="00520A60">
            <w:pPr>
              <w:pStyle w:val="CdcTesto"/>
              <w:spacing w:after="0" w:line="240" w:lineRule="auto"/>
              <w:jc w:val="left"/>
              <w:rPr>
                <w:b/>
                <w:color w:val="FFFFFF" w:themeColor="background1"/>
                <w:sz w:val="20"/>
                <w:szCs w:val="20"/>
              </w:rPr>
            </w:pPr>
            <w:r w:rsidRPr="009934AA">
              <w:rPr>
                <w:b/>
                <w:color w:val="FFFFFF" w:themeColor="background1"/>
                <w:sz w:val="20"/>
                <w:szCs w:val="20"/>
              </w:rPr>
              <w:t>Fondo plurie</w:t>
            </w:r>
            <w:r w:rsidR="00520A60">
              <w:rPr>
                <w:b/>
                <w:color w:val="FFFFFF" w:themeColor="background1"/>
                <w:sz w:val="20"/>
                <w:szCs w:val="20"/>
              </w:rPr>
              <w:t>nnale vincolato di spesa finale</w:t>
            </w:r>
          </w:p>
        </w:tc>
        <w:tc>
          <w:tcPr>
            <w:tcW w:w="1666" w:type="pct"/>
            <w:shd w:val="clear" w:color="auto" w:fill="FFFFFF" w:themeFill="background1"/>
            <w:vAlign w:val="center"/>
          </w:tcPr>
          <w:p w:rsidR="00D819E4" w:rsidRPr="00922051" w:rsidRDefault="00520A60" w:rsidP="000827D1">
            <w:pPr>
              <w:pStyle w:val="CdcTesto"/>
              <w:spacing w:after="0" w:line="240" w:lineRule="auto"/>
              <w:jc w:val="center"/>
              <w:rPr>
                <w:rFonts w:asciiTheme="minorHAnsi" w:hAnsiTheme="minorHAnsi" w:cstheme="minorHAnsi"/>
                <w:color w:val="FFFFFF" w:themeColor="background1"/>
                <w:sz w:val="18"/>
                <w:szCs w:val="18"/>
              </w:rPr>
            </w:pPr>
            <w:r w:rsidRPr="00922051">
              <w:rPr>
                <w:rFonts w:asciiTheme="minorHAnsi" w:hAnsiTheme="minorHAnsi" w:cstheme="minorHAnsi"/>
                <w:sz w:val="18"/>
                <w:szCs w:val="18"/>
              </w:rPr>
              <w:t>679.057.586.74</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sz w:val="18"/>
                <w:szCs w:val="18"/>
              </w:rPr>
            </w:pPr>
          </w:p>
        </w:tc>
      </w:tr>
      <w:tr w:rsidR="009259A6" w:rsidRPr="007E105E" w:rsidTr="00520A60">
        <w:tc>
          <w:tcPr>
            <w:tcW w:w="212" w:type="pct"/>
            <w:shd w:val="clear" w:color="auto" w:fill="95B3D7" w:themeFill="accent1" w:themeFillTint="99"/>
            <w:vAlign w:val="center"/>
          </w:tcPr>
          <w:p w:rsidR="009259A6" w:rsidRPr="009934AA" w:rsidRDefault="009259A6" w:rsidP="009259A6">
            <w:pPr>
              <w:pStyle w:val="CdcTesto"/>
              <w:spacing w:after="0" w:line="240" w:lineRule="auto"/>
              <w:jc w:val="center"/>
              <w:rPr>
                <w:b/>
                <w:color w:val="FFFFFF" w:themeColor="background1"/>
                <w:sz w:val="20"/>
                <w:szCs w:val="20"/>
              </w:rPr>
            </w:pPr>
            <w:r w:rsidRPr="009934AA">
              <w:rPr>
                <w:b/>
                <w:color w:val="FFFFFF" w:themeColor="background1"/>
                <w:sz w:val="20"/>
                <w:szCs w:val="20"/>
              </w:rPr>
              <w:t>H</w:t>
            </w:r>
          </w:p>
        </w:tc>
        <w:tc>
          <w:tcPr>
            <w:tcW w:w="3122" w:type="pct"/>
            <w:shd w:val="clear" w:color="auto" w:fill="95B3D7" w:themeFill="accent1" w:themeFillTint="99"/>
            <w:vAlign w:val="center"/>
          </w:tcPr>
          <w:p w:rsidR="009259A6" w:rsidRPr="009934AA" w:rsidRDefault="00D819E4" w:rsidP="00520A60">
            <w:pPr>
              <w:pStyle w:val="CdcTesto"/>
              <w:spacing w:after="0" w:line="240" w:lineRule="auto"/>
              <w:jc w:val="left"/>
              <w:rPr>
                <w:b/>
                <w:color w:val="FFFFFF" w:themeColor="background1"/>
                <w:sz w:val="20"/>
                <w:szCs w:val="20"/>
              </w:rPr>
            </w:pPr>
            <w:r w:rsidRPr="009934AA">
              <w:rPr>
                <w:b/>
                <w:color w:val="FFFFFF" w:themeColor="background1"/>
                <w:sz w:val="20"/>
                <w:szCs w:val="20"/>
              </w:rPr>
              <w:t>Reimputazione accertamenti d’entrata non FPV</w:t>
            </w:r>
          </w:p>
        </w:tc>
        <w:tc>
          <w:tcPr>
            <w:tcW w:w="1666" w:type="pct"/>
            <w:vAlign w:val="center"/>
          </w:tcPr>
          <w:p w:rsidR="009259A6" w:rsidRPr="00922051" w:rsidRDefault="00D819E4"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131.886.895,64</w:t>
            </w:r>
          </w:p>
        </w:tc>
      </w:tr>
      <w:tr w:rsidR="009934AA" w:rsidRPr="007E105E" w:rsidTr="000827D1">
        <w:tc>
          <w:tcPr>
            <w:tcW w:w="5000" w:type="pct"/>
            <w:gridSpan w:val="3"/>
            <w:shd w:val="clear" w:color="auto" w:fill="17365D" w:themeFill="text2" w:themeFillShade="BF"/>
            <w:vAlign w:val="center"/>
          </w:tcPr>
          <w:p w:rsidR="009934AA" w:rsidRPr="00922051" w:rsidRDefault="009934AA" w:rsidP="000827D1">
            <w:pPr>
              <w:pStyle w:val="CdcTesto"/>
              <w:spacing w:after="0" w:line="240" w:lineRule="auto"/>
              <w:jc w:val="center"/>
              <w:rPr>
                <w:rFonts w:asciiTheme="minorHAnsi" w:hAnsiTheme="minorHAnsi" w:cstheme="minorHAnsi"/>
                <w:b/>
                <w:sz w:val="18"/>
                <w:szCs w:val="18"/>
              </w:rPr>
            </w:pPr>
          </w:p>
        </w:tc>
      </w:tr>
      <w:tr w:rsidR="00D819E4" w:rsidRPr="007E105E" w:rsidTr="000827D1">
        <w:tc>
          <w:tcPr>
            <w:tcW w:w="212" w:type="pct"/>
            <w:shd w:val="clear" w:color="auto" w:fill="95B3D7" w:themeFill="accent1" w:themeFillTint="99"/>
            <w:vAlign w:val="center"/>
          </w:tcPr>
          <w:p w:rsidR="00D819E4" w:rsidRPr="009934AA" w:rsidRDefault="00D819E4" w:rsidP="00D819E4">
            <w:pPr>
              <w:pStyle w:val="CdcTesto"/>
              <w:spacing w:after="0" w:line="240" w:lineRule="auto"/>
              <w:jc w:val="center"/>
              <w:rPr>
                <w:b/>
                <w:color w:val="FFFFFF" w:themeColor="background1"/>
                <w:sz w:val="20"/>
                <w:szCs w:val="20"/>
              </w:rPr>
            </w:pPr>
            <w:r w:rsidRPr="009934AA">
              <w:rPr>
                <w:b/>
                <w:color w:val="FFFFFF" w:themeColor="background1"/>
                <w:sz w:val="20"/>
                <w:szCs w:val="20"/>
              </w:rPr>
              <w:t>I</w:t>
            </w:r>
          </w:p>
        </w:tc>
        <w:tc>
          <w:tcPr>
            <w:tcW w:w="3122" w:type="pct"/>
            <w:shd w:val="clear" w:color="auto" w:fill="95B3D7" w:themeFill="accent1" w:themeFillTint="99"/>
            <w:vAlign w:val="center"/>
          </w:tcPr>
          <w:p w:rsidR="00D819E4" w:rsidRPr="009934AA" w:rsidRDefault="00D819E4" w:rsidP="009934AA">
            <w:pPr>
              <w:pStyle w:val="CdcTesto"/>
              <w:spacing w:after="0" w:line="240" w:lineRule="auto"/>
              <w:jc w:val="left"/>
              <w:rPr>
                <w:b/>
                <w:color w:val="FFFFFF" w:themeColor="background1"/>
                <w:sz w:val="20"/>
                <w:szCs w:val="20"/>
              </w:rPr>
            </w:pPr>
            <w:r w:rsidRPr="009934AA">
              <w:rPr>
                <w:b/>
                <w:color w:val="FFFFFF" w:themeColor="background1"/>
                <w:sz w:val="20"/>
                <w:szCs w:val="20"/>
              </w:rPr>
              <w:t>Reimputazione impegni di spesa non FPV</w:t>
            </w:r>
          </w:p>
        </w:tc>
        <w:tc>
          <w:tcPr>
            <w:tcW w:w="1666" w:type="pct"/>
            <w:vAlign w:val="center"/>
          </w:tcPr>
          <w:p w:rsidR="00D819E4" w:rsidRPr="00922051" w:rsidRDefault="00520A60" w:rsidP="000827D1">
            <w:pPr>
              <w:pStyle w:val="CdcTesto"/>
              <w:spacing w:after="0" w:line="240" w:lineRule="auto"/>
              <w:jc w:val="center"/>
              <w:rPr>
                <w:rFonts w:asciiTheme="minorHAnsi" w:hAnsiTheme="minorHAnsi" w:cstheme="minorHAnsi"/>
                <w:sz w:val="18"/>
                <w:szCs w:val="18"/>
              </w:rPr>
            </w:pPr>
            <w:r w:rsidRPr="00922051">
              <w:rPr>
                <w:rFonts w:asciiTheme="minorHAnsi" w:hAnsiTheme="minorHAnsi" w:cstheme="minorHAnsi"/>
                <w:sz w:val="18"/>
                <w:szCs w:val="18"/>
              </w:rPr>
              <w:t>3.152.284,51</w:t>
            </w:r>
          </w:p>
        </w:tc>
      </w:tr>
    </w:tbl>
    <w:p w:rsidR="005D660C" w:rsidRPr="005D660C" w:rsidRDefault="00481613" w:rsidP="00B409A7">
      <w:pPr>
        <w:spacing w:before="360" w:after="120" w:line="360" w:lineRule="auto"/>
        <w:jc w:val="both"/>
        <w:rPr>
          <w:rFonts w:ascii="Bodoni MT" w:hAnsi="Bodoni MT"/>
          <w:sz w:val="24"/>
          <w:szCs w:val="24"/>
        </w:rPr>
      </w:pPr>
      <w:r w:rsidRPr="005D660C">
        <w:rPr>
          <w:rFonts w:ascii="Bodoni MT" w:hAnsi="Bodoni MT"/>
          <w:sz w:val="24"/>
          <w:szCs w:val="24"/>
        </w:rPr>
        <w:t xml:space="preserve">Con la suddetta Delibera la Giunta ha provveduto </w:t>
      </w:r>
      <w:r w:rsidR="00D20DA7" w:rsidRPr="00D20DA7">
        <w:rPr>
          <w:rFonts w:ascii="Bodoni MT" w:hAnsi="Bodoni MT"/>
          <w:b/>
          <w:sz w:val="24"/>
          <w:szCs w:val="24"/>
        </w:rPr>
        <w:t>1)</w:t>
      </w:r>
      <w:r w:rsidR="00D20DA7">
        <w:rPr>
          <w:rFonts w:ascii="Bodoni MT" w:hAnsi="Bodoni MT"/>
          <w:sz w:val="24"/>
          <w:szCs w:val="24"/>
        </w:rPr>
        <w:t xml:space="preserve"> a </w:t>
      </w:r>
      <w:r w:rsidRPr="005D660C">
        <w:rPr>
          <w:rFonts w:ascii="Bodoni MT" w:hAnsi="Bodoni MT"/>
          <w:sz w:val="24"/>
          <w:szCs w:val="24"/>
        </w:rPr>
        <w:t>riconoscere ed approvare la consistenza dei residui, da inserire nel Rendiconto della gestione per l’esercizio finanziario 2016</w:t>
      </w:r>
      <w:r>
        <w:rPr>
          <w:rFonts w:ascii="Bodoni MT" w:hAnsi="Bodoni MT"/>
          <w:sz w:val="24"/>
          <w:szCs w:val="24"/>
        </w:rPr>
        <w:t xml:space="preserve">; </w:t>
      </w:r>
      <w:r w:rsidR="00D20DA7">
        <w:rPr>
          <w:rFonts w:ascii="Bodoni MT" w:hAnsi="Bodoni MT"/>
          <w:b/>
          <w:sz w:val="24"/>
          <w:szCs w:val="24"/>
        </w:rPr>
        <w:t>2</w:t>
      </w:r>
      <w:r w:rsidR="00D20DA7" w:rsidRPr="00D20DA7">
        <w:rPr>
          <w:rFonts w:ascii="Bodoni MT" w:hAnsi="Bodoni MT"/>
          <w:b/>
          <w:sz w:val="24"/>
          <w:szCs w:val="24"/>
        </w:rPr>
        <w:t>)</w:t>
      </w:r>
      <w:r w:rsidR="00D20DA7">
        <w:rPr>
          <w:rFonts w:ascii="Bodoni MT" w:hAnsi="Bodoni MT"/>
          <w:sz w:val="24"/>
          <w:szCs w:val="24"/>
        </w:rPr>
        <w:t xml:space="preserve"> </w:t>
      </w:r>
      <w:r w:rsidR="005D660C" w:rsidRPr="005D660C">
        <w:rPr>
          <w:rFonts w:ascii="Bodoni MT" w:hAnsi="Bodoni MT"/>
          <w:sz w:val="24"/>
          <w:szCs w:val="24"/>
        </w:rPr>
        <w:t xml:space="preserve">a quantificare il Fondo Pluriennale Vincolato finale stanziato in spesa </w:t>
      </w:r>
      <w:r w:rsidR="00922051">
        <w:rPr>
          <w:rFonts w:ascii="Bodoni MT" w:hAnsi="Bodoni MT"/>
          <w:sz w:val="24"/>
          <w:szCs w:val="24"/>
        </w:rPr>
        <w:t>nel Bilancio di Previsione 2016/</w:t>
      </w:r>
      <w:r w:rsidR="005D660C" w:rsidRPr="005D660C">
        <w:rPr>
          <w:rFonts w:ascii="Bodoni MT" w:hAnsi="Bodoni MT"/>
          <w:sz w:val="24"/>
          <w:szCs w:val="24"/>
        </w:rPr>
        <w:t xml:space="preserve">2018, esercizio 2016, e gli stanziamenti del Fondo Pluriennale Vincolato </w:t>
      </w:r>
      <w:r w:rsidR="00922051">
        <w:rPr>
          <w:rFonts w:ascii="Bodoni MT" w:hAnsi="Bodoni MT"/>
          <w:sz w:val="24"/>
          <w:szCs w:val="24"/>
        </w:rPr>
        <w:t>del Bilancio di Previsione 2017/</w:t>
      </w:r>
      <w:r w:rsidR="005D660C" w:rsidRPr="005D660C">
        <w:rPr>
          <w:rFonts w:ascii="Bodoni MT" w:hAnsi="Bodoni MT"/>
          <w:sz w:val="24"/>
          <w:szCs w:val="24"/>
        </w:rPr>
        <w:t>2019 (Allegato G);</w:t>
      </w:r>
      <w:r>
        <w:rPr>
          <w:rFonts w:ascii="Bodoni MT" w:hAnsi="Bodoni MT"/>
          <w:sz w:val="24"/>
          <w:szCs w:val="24"/>
        </w:rPr>
        <w:t xml:space="preserve"> </w:t>
      </w:r>
      <w:r w:rsidR="00D20DA7">
        <w:rPr>
          <w:rFonts w:ascii="Bodoni MT" w:hAnsi="Bodoni MT"/>
          <w:b/>
          <w:sz w:val="24"/>
          <w:szCs w:val="24"/>
        </w:rPr>
        <w:t xml:space="preserve">3) </w:t>
      </w:r>
      <w:r w:rsidR="005D660C" w:rsidRPr="005D660C">
        <w:rPr>
          <w:rFonts w:ascii="Bodoni MT" w:hAnsi="Bodoni MT"/>
          <w:sz w:val="24"/>
          <w:szCs w:val="24"/>
        </w:rPr>
        <w:t>ad approvare l’allegato H) avente ad oggetto “Elenco delle spese prenotate a seguito della indizione di gare per lavori pubblici finanziate dal FPV”;</w:t>
      </w:r>
      <w:r>
        <w:rPr>
          <w:rFonts w:ascii="Bodoni MT" w:hAnsi="Bodoni MT"/>
          <w:sz w:val="24"/>
          <w:szCs w:val="24"/>
        </w:rPr>
        <w:t xml:space="preserve"> </w:t>
      </w:r>
      <w:r w:rsidR="00D20DA7">
        <w:rPr>
          <w:rFonts w:ascii="Bodoni MT" w:hAnsi="Bodoni MT"/>
          <w:b/>
          <w:sz w:val="24"/>
          <w:szCs w:val="24"/>
        </w:rPr>
        <w:t xml:space="preserve">4) </w:t>
      </w:r>
      <w:r w:rsidR="005D660C" w:rsidRPr="005D660C">
        <w:rPr>
          <w:rFonts w:ascii="Bodoni MT" w:hAnsi="Bodoni MT"/>
          <w:sz w:val="24"/>
          <w:szCs w:val="24"/>
        </w:rPr>
        <w:t xml:space="preserve">ad adeguare gli stanziamenti di competenza e del fondo pluriennale vincolato già iscritti in spesa </w:t>
      </w:r>
      <w:r w:rsidR="00CC57CD">
        <w:rPr>
          <w:rFonts w:ascii="Bodoni MT" w:hAnsi="Bodoni MT"/>
          <w:sz w:val="24"/>
          <w:szCs w:val="24"/>
        </w:rPr>
        <w:t>del Bilancio di previsione 2016</w:t>
      </w:r>
      <w:r w:rsidR="00CC57CD">
        <w:rPr>
          <w:rFonts w:ascii="Bodoni MT" w:hAnsi="Bodoni MT"/>
          <w:sz w:val="24"/>
          <w:szCs w:val="24"/>
        </w:rPr>
        <w:noBreakHyphen/>
      </w:r>
      <w:r w:rsidR="005D660C" w:rsidRPr="005D660C">
        <w:rPr>
          <w:rFonts w:ascii="Bodoni MT" w:hAnsi="Bodoni MT"/>
          <w:sz w:val="24"/>
          <w:szCs w:val="24"/>
        </w:rPr>
        <w:t>2018, esercizio 2016, e gli stanziamenti di competenza e del fondo pluriennale vincolato già iscritti in entrata del Bilancio di Previsione 2017-2019 e i relativi stanziamenti della competenza e del fondo pluriennale vincolato di spesa, al fine di consentire la reimputazione degli impegni oggetto di riaccertamento ordinario esigibili negli esercizi 2017 e successivi (allegato I) avente ad oggetto “Variazioni di competenza e del FPV - Esercizio 2016</w:t>
      </w:r>
      <w:r w:rsidR="00CC57CD">
        <w:rPr>
          <w:rFonts w:ascii="Bodoni MT" w:hAnsi="Bodoni MT"/>
          <w:sz w:val="24"/>
          <w:szCs w:val="24"/>
        </w:rPr>
        <w:t xml:space="preserve"> ed esercizi 2017 e successivi”</w:t>
      </w:r>
      <w:r w:rsidR="005D660C" w:rsidRPr="005D660C">
        <w:rPr>
          <w:rFonts w:ascii="Bodoni MT" w:hAnsi="Bodoni MT"/>
          <w:sz w:val="24"/>
          <w:szCs w:val="24"/>
        </w:rPr>
        <w:t>;</w:t>
      </w:r>
      <w:r>
        <w:rPr>
          <w:rFonts w:ascii="Bodoni MT" w:hAnsi="Bodoni MT"/>
          <w:sz w:val="24"/>
          <w:szCs w:val="24"/>
        </w:rPr>
        <w:t xml:space="preserve"> </w:t>
      </w:r>
      <w:r w:rsidR="00D20DA7">
        <w:rPr>
          <w:rFonts w:ascii="Bodoni MT" w:hAnsi="Bodoni MT"/>
          <w:b/>
          <w:sz w:val="24"/>
          <w:szCs w:val="24"/>
        </w:rPr>
        <w:t xml:space="preserve">5) </w:t>
      </w:r>
      <w:r w:rsidR="005D660C" w:rsidRPr="005D660C">
        <w:rPr>
          <w:rFonts w:ascii="Bodoni MT" w:hAnsi="Bodoni MT"/>
          <w:sz w:val="24"/>
          <w:szCs w:val="24"/>
        </w:rPr>
        <w:t>ad approvare l’allegato L) concernente l’elenco delle variazioni di Bilancio di previsione 2017</w:t>
      </w:r>
      <w:r w:rsidR="005D660C" w:rsidRPr="005D660C">
        <w:rPr>
          <w:rFonts w:ascii="Bodoni MT" w:hAnsi="Bodoni MT"/>
          <w:sz w:val="24"/>
          <w:szCs w:val="24"/>
        </w:rPr>
        <w:noBreakHyphen/>
        <w:t>2019 relative alle reimputazioni degli accertamenti di entrata e degli impegni di spesa che non hanno dato luogo alla costituzione del Fondo Pluriennale Vincolato.</w:t>
      </w:r>
    </w:p>
    <w:p w:rsidR="005D660C" w:rsidRDefault="005D660C" w:rsidP="00481613">
      <w:pPr>
        <w:pStyle w:val="CdcTesto"/>
      </w:pPr>
      <w:r w:rsidRPr="005D660C">
        <w:t xml:space="preserve">Per effetto del riaccertamento ordinario </w:t>
      </w:r>
      <w:r w:rsidRPr="005D660C">
        <w:rPr>
          <w:b/>
        </w:rPr>
        <w:t>i residui attivi da riportare all’01/01/2017</w:t>
      </w:r>
      <w:r w:rsidRPr="005D660C">
        <w:t xml:space="preserve"> ammontano complessivamente a </w:t>
      </w:r>
      <w:r w:rsidRPr="005D660C">
        <w:rPr>
          <w:b/>
        </w:rPr>
        <w:t>€</w:t>
      </w:r>
      <w:r w:rsidR="00025F0A">
        <w:rPr>
          <w:b/>
        </w:rPr>
        <w:t xml:space="preserve"> </w:t>
      </w:r>
      <w:r w:rsidRPr="005D660C">
        <w:rPr>
          <w:b/>
        </w:rPr>
        <w:t>1.836.868.992,22</w:t>
      </w:r>
      <w:r w:rsidRPr="005D660C">
        <w:t xml:space="preserve"> (Allegato C alla DGR 26/48), di cui € 425.157.164,17 </w:t>
      </w:r>
      <w:r w:rsidRPr="005D660C">
        <w:lastRenderedPageBreak/>
        <w:t>provenienti dalla gestione dei residui</w:t>
      </w:r>
      <w:r w:rsidRPr="005D660C">
        <w:rPr>
          <w:vertAlign w:val="superscript"/>
        </w:rPr>
        <w:footnoteReference w:id="92"/>
      </w:r>
      <w:r w:rsidRPr="005D660C">
        <w:t xml:space="preserve"> e € 1.411.711.828,05 provenienti dalla gestione di competenza</w:t>
      </w:r>
      <w:r w:rsidRPr="005D660C">
        <w:rPr>
          <w:vertAlign w:val="superscript"/>
        </w:rPr>
        <w:footnoteReference w:id="93"/>
      </w:r>
      <w:r w:rsidRPr="005D660C">
        <w:t>.</w:t>
      </w:r>
    </w:p>
    <w:p w:rsidR="00EA2AEC" w:rsidRDefault="00EA2AEC" w:rsidP="00EA2AEC">
      <w:pPr>
        <w:pStyle w:val="CdcTesto"/>
      </w:pPr>
      <w:r>
        <w:t>I residui formatisi nella competenza sono scomposti come segue:</w:t>
      </w:r>
    </w:p>
    <w:p w:rsidR="00EA2AEC" w:rsidRPr="00343375" w:rsidRDefault="00EA2AEC" w:rsidP="00D30429">
      <w:pPr>
        <w:pStyle w:val="CdcTesto"/>
        <w:numPr>
          <w:ilvl w:val="0"/>
          <w:numId w:val="24"/>
        </w:numPr>
        <w:tabs>
          <w:tab w:val="left" w:pos="284"/>
        </w:tabs>
        <w:ind w:left="284" w:hanging="284"/>
      </w:pPr>
      <w:r w:rsidRPr="00343375">
        <w:t>euro 137.189.322,55 sono riferiti ad entrate tributarie di spettanza statutaria maturate nel 2016 e riconosciute nel fabbisogno comunicato dal MEF;</w:t>
      </w:r>
    </w:p>
    <w:p w:rsidR="00EA2AEC" w:rsidRPr="00343375" w:rsidRDefault="00EA2AEC" w:rsidP="00D30429">
      <w:pPr>
        <w:pStyle w:val="CdcTesto"/>
        <w:numPr>
          <w:ilvl w:val="0"/>
          <w:numId w:val="24"/>
        </w:numPr>
        <w:tabs>
          <w:tab w:val="left" w:pos="284"/>
        </w:tabs>
        <w:ind w:left="284" w:hanging="284"/>
      </w:pPr>
      <w:r w:rsidRPr="00343375">
        <w:t>euro 290.234.094 sono riferiti ad entrate tributarie di spettanza statutaria relative alle annualità dal 2010 al 2015 che, a seguito dell’entrata in vigore del D.Lgs. n. 114/2016, sono state imputate al 2016;</w:t>
      </w:r>
      <w:r w:rsidR="00BE78D8" w:rsidRPr="00343375">
        <w:t xml:space="preserve"> </w:t>
      </w:r>
    </w:p>
    <w:p w:rsidR="00EA2AEC" w:rsidRDefault="00EA2AEC" w:rsidP="00D30429">
      <w:pPr>
        <w:pStyle w:val="CdcTesto"/>
        <w:numPr>
          <w:ilvl w:val="0"/>
          <w:numId w:val="24"/>
        </w:numPr>
        <w:tabs>
          <w:tab w:val="left" w:pos="284"/>
        </w:tabs>
        <w:ind w:left="284" w:hanging="284"/>
      </w:pPr>
      <w:r w:rsidRPr="00343375">
        <w:t>euro 97.327.330,41 sono riferiti ad entrate relative ad Irap e addizionale Irpef di dicembre 2016,</w:t>
      </w:r>
      <w:r>
        <w:t xml:space="preserve"> </w:t>
      </w:r>
      <w:r w:rsidR="003A107A">
        <w:t xml:space="preserve">non </w:t>
      </w:r>
      <w:r>
        <w:t>riscosse entro il termine pe</w:t>
      </w:r>
      <w:r w:rsidR="00C73269">
        <w:t>r l’approvazione del rendiconto.</w:t>
      </w:r>
    </w:p>
    <w:p w:rsidR="00EA2AEC" w:rsidRPr="00BE78D8" w:rsidRDefault="00C73269" w:rsidP="00373487">
      <w:pPr>
        <w:pStyle w:val="CdcTesto"/>
        <w:tabs>
          <w:tab w:val="left" w:pos="284"/>
        </w:tabs>
        <w:rPr>
          <w:highlight w:val="green"/>
        </w:rPr>
      </w:pPr>
      <w:r>
        <w:t xml:space="preserve">La </w:t>
      </w:r>
      <w:r w:rsidR="00EA2AEC">
        <w:t>restante somma di circa 880 milioni è composta prevalentemente dalle risorse per la realizzazione dei programmi nazionali e comunitari, in particolare circa 392 milioni sono relativi al programma FSC 2007/2013, 268 milioni ad APQ,</w:t>
      </w:r>
      <w:r w:rsidR="00481613">
        <w:t xml:space="preserve"> </w:t>
      </w:r>
      <w:r w:rsidR="00EA2AEC">
        <w:t xml:space="preserve">98 milioni al </w:t>
      </w:r>
      <w:r w:rsidR="005D0267">
        <w:t>POR</w:t>
      </w:r>
      <w:r w:rsidR="00EA2AEC">
        <w:t xml:space="preserve"> </w:t>
      </w:r>
      <w:r w:rsidR="005D0267">
        <w:t xml:space="preserve">e </w:t>
      </w:r>
      <w:r w:rsidR="00EA2AEC">
        <w:t>48 milioni al PAC.</w:t>
      </w:r>
      <w:r w:rsidR="00BE78D8">
        <w:t xml:space="preserve"> </w:t>
      </w:r>
    </w:p>
    <w:p w:rsidR="00BE78D8" w:rsidRDefault="005D660C" w:rsidP="00BE78D8">
      <w:pPr>
        <w:pStyle w:val="CdcTesto"/>
      </w:pPr>
      <w:r w:rsidRPr="005D660C">
        <w:rPr>
          <w:b/>
        </w:rPr>
        <w:t xml:space="preserve">I </w:t>
      </w:r>
      <w:r w:rsidR="00025F0A">
        <w:rPr>
          <w:b/>
        </w:rPr>
        <w:t>residui passivi da riportare all’</w:t>
      </w:r>
      <w:r w:rsidRPr="005D660C">
        <w:rPr>
          <w:b/>
        </w:rPr>
        <w:t>01/01/2017</w:t>
      </w:r>
      <w:r w:rsidRPr="005D660C">
        <w:t xml:space="preserve"> ammontano complessivamente a </w:t>
      </w:r>
      <w:r w:rsidRPr="005D660C">
        <w:rPr>
          <w:b/>
        </w:rPr>
        <w:t>€ 1.400.963.879,52</w:t>
      </w:r>
      <w:r w:rsidRPr="005D660C">
        <w:t xml:space="preserve"> (Allegato D alla DGR 26/48), di cui € 327.353.895,87 provenienti dalla gestione dei residui</w:t>
      </w:r>
      <w:r w:rsidRPr="005D660C">
        <w:rPr>
          <w:vertAlign w:val="superscript"/>
        </w:rPr>
        <w:footnoteReference w:id="94"/>
      </w:r>
      <w:r w:rsidRPr="005D660C">
        <w:t xml:space="preserve"> e € 1.073.609.983,65 provenienti dalla gestione di competenza</w:t>
      </w:r>
      <w:r w:rsidRPr="005D660C">
        <w:rPr>
          <w:vertAlign w:val="superscript"/>
        </w:rPr>
        <w:footnoteReference w:id="95"/>
      </w:r>
      <w:r w:rsidRPr="005D660C">
        <w:t>.</w:t>
      </w:r>
      <w:bookmarkStart w:id="169" w:name="_Toc499040968"/>
    </w:p>
    <w:p w:rsidR="00161FD5" w:rsidRDefault="0013706B" w:rsidP="00BE78D8">
      <w:pPr>
        <w:pStyle w:val="CdcTesto"/>
      </w:pPr>
      <w:r w:rsidRPr="00373487">
        <w:t>A</w:t>
      </w:r>
      <w:r w:rsidR="00BE78D8" w:rsidRPr="00373487">
        <w:t xml:space="preserve">l </w:t>
      </w:r>
      <w:r w:rsidRPr="00373487">
        <w:t xml:space="preserve">termine dell’esercizio il </w:t>
      </w:r>
      <w:r w:rsidR="00BE78D8" w:rsidRPr="00373487">
        <w:t>saldo delle partite del conto residui risulta quindi</w:t>
      </w:r>
      <w:r w:rsidR="00161FD5">
        <w:t xml:space="preserve"> positivo per circa 430 milioni, mentre all’01.01.2016 il saldo del conto dei residui era pari a circa -650 milioni di euro.</w:t>
      </w:r>
    </w:p>
    <w:p w:rsidR="005D660C" w:rsidRPr="00AD5BF7" w:rsidRDefault="00CC7DE8" w:rsidP="00CC7DE8">
      <w:pPr>
        <w:pStyle w:val="Didascalia"/>
        <w:rPr>
          <w:bCs w:val="0"/>
          <w:sz w:val="24"/>
          <w:szCs w:val="24"/>
        </w:rPr>
      </w:pPr>
      <w:bookmarkStart w:id="170" w:name="_Toc507422489"/>
      <w:r>
        <w:t xml:space="preserve">Tabella </w:t>
      </w:r>
      <w:r w:rsidR="00B90472">
        <w:fldChar w:fldCharType="begin"/>
      </w:r>
      <w:r w:rsidR="00B90472">
        <w:instrText xml:space="preserve"> SEQ Tabella \* ARABIC </w:instrText>
      </w:r>
      <w:r w:rsidR="00B90472">
        <w:fldChar w:fldCharType="separate"/>
      </w:r>
      <w:r w:rsidR="008616B3">
        <w:rPr>
          <w:noProof/>
        </w:rPr>
        <w:t>21</w:t>
      </w:r>
      <w:r w:rsidR="00B90472">
        <w:rPr>
          <w:noProof/>
        </w:rPr>
        <w:fldChar w:fldCharType="end"/>
      </w:r>
      <w:r w:rsidR="005D660C" w:rsidRPr="00AD5BF7">
        <w:rPr>
          <w:bCs w:val="0"/>
        </w:rPr>
        <w:t xml:space="preserve"> -</w:t>
      </w:r>
      <w:r w:rsidR="005D660C" w:rsidRPr="00AD5BF7">
        <w:rPr>
          <w:bCs w:val="0"/>
          <w:sz w:val="24"/>
          <w:szCs w:val="24"/>
        </w:rPr>
        <w:t xml:space="preserve"> </w:t>
      </w:r>
      <w:r w:rsidR="005D660C" w:rsidRPr="00B7211A">
        <w:rPr>
          <w:bCs w:val="0"/>
        </w:rPr>
        <w:t>Confronto residui attivi e passivi da riportare agli esercizi 2016 e 2017</w:t>
      </w:r>
      <w:bookmarkEnd w:id="169"/>
      <w:bookmarkEnd w:id="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0"/>
        <w:gridCol w:w="2280"/>
        <w:gridCol w:w="1936"/>
        <w:gridCol w:w="2014"/>
        <w:gridCol w:w="2151"/>
      </w:tblGrid>
      <w:tr w:rsidR="005D660C" w:rsidRPr="005D660C" w:rsidTr="0041784F">
        <w:trPr>
          <w:trHeight w:val="686"/>
        </w:trPr>
        <w:tc>
          <w:tcPr>
            <w:tcW w:w="1968" w:type="pct"/>
            <w:gridSpan w:val="2"/>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Residui attivi al 31/12/2016 da riportare all'01/01/2017</w:t>
            </w:r>
          </w:p>
        </w:tc>
        <w:tc>
          <w:tcPr>
            <w:tcW w:w="1963" w:type="pct"/>
            <w:gridSpan w:val="2"/>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Residui attivi al 31/12/2015 da riportare all'01/01/2016</w:t>
            </w:r>
          </w:p>
        </w:tc>
        <w:tc>
          <w:tcPr>
            <w:tcW w:w="1069" w:type="pct"/>
            <w:shd w:val="clear" w:color="auto" w:fill="0F243E" w:themeFill="text2" w:themeFillShade="80"/>
            <w:vAlign w:val="center"/>
            <w:hideMark/>
          </w:tcPr>
          <w:p w:rsidR="005D660C" w:rsidRPr="005D660C" w:rsidRDefault="0041784F"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Differenza</w:t>
            </w:r>
          </w:p>
        </w:tc>
      </w:tr>
      <w:tr w:rsidR="005D660C" w:rsidRPr="005D660C" w:rsidTr="005D660C">
        <w:trPr>
          <w:trHeight w:val="709"/>
        </w:trPr>
        <w:tc>
          <w:tcPr>
            <w:tcW w:w="835"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RA dai residui al 31/12/2016 da riportare all'1/01/2017</w:t>
            </w:r>
          </w:p>
        </w:tc>
        <w:tc>
          <w:tcPr>
            <w:tcW w:w="1133"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425.157.164,17</w:t>
            </w:r>
          </w:p>
        </w:tc>
        <w:tc>
          <w:tcPr>
            <w:tcW w:w="962"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RA dai residui al 31/12/2015 da riportare all'1/01/2016</w:t>
            </w:r>
          </w:p>
        </w:tc>
        <w:tc>
          <w:tcPr>
            <w:tcW w:w="1001"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117.762.823,00</w:t>
            </w:r>
          </w:p>
        </w:tc>
        <w:tc>
          <w:tcPr>
            <w:tcW w:w="1069"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307.394.341,17</w:t>
            </w:r>
          </w:p>
        </w:tc>
      </w:tr>
      <w:tr w:rsidR="005D660C" w:rsidRPr="005D660C" w:rsidTr="005D660C">
        <w:trPr>
          <w:trHeight w:val="780"/>
        </w:trPr>
        <w:tc>
          <w:tcPr>
            <w:tcW w:w="835"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RA dalla gestione di competenza al 31/12/2016 da riportare al 01/01/2017</w:t>
            </w:r>
          </w:p>
        </w:tc>
        <w:tc>
          <w:tcPr>
            <w:tcW w:w="1133"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1.411.711.828,05</w:t>
            </w:r>
          </w:p>
        </w:tc>
        <w:tc>
          <w:tcPr>
            <w:tcW w:w="962"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RA dalla gestione di competenza al 31/12/2015 da riportare al 01/01/2016</w:t>
            </w:r>
          </w:p>
        </w:tc>
        <w:tc>
          <w:tcPr>
            <w:tcW w:w="1001"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759.932.885,38</w:t>
            </w:r>
          </w:p>
        </w:tc>
        <w:tc>
          <w:tcPr>
            <w:tcW w:w="1069"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651.778.942,67</w:t>
            </w:r>
          </w:p>
        </w:tc>
      </w:tr>
      <w:tr w:rsidR="005D660C" w:rsidRPr="005D660C" w:rsidTr="005D660C">
        <w:trPr>
          <w:trHeight w:val="520"/>
        </w:trPr>
        <w:tc>
          <w:tcPr>
            <w:tcW w:w="835" w:type="pct"/>
            <w:shd w:val="clear" w:color="auto" w:fill="95B3D7" w:themeFill="accent1" w:themeFillTint="99"/>
            <w:vAlign w:val="center"/>
            <w:hideMark/>
          </w:tcPr>
          <w:p w:rsidR="005D660C" w:rsidRPr="005D660C" w:rsidRDefault="00CD4C84" w:rsidP="005D660C">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attivi da riportare</w:t>
            </w:r>
          </w:p>
        </w:tc>
        <w:tc>
          <w:tcPr>
            <w:tcW w:w="1133"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1.836.868.992,22</w:t>
            </w:r>
          </w:p>
        </w:tc>
        <w:tc>
          <w:tcPr>
            <w:tcW w:w="962" w:type="pct"/>
            <w:shd w:val="clear" w:color="auto" w:fill="95B3D7" w:themeFill="accent1" w:themeFillTint="99"/>
            <w:vAlign w:val="center"/>
            <w:hideMark/>
          </w:tcPr>
          <w:p w:rsidR="005D660C" w:rsidRPr="005D660C" w:rsidRDefault="00CD4C84" w:rsidP="005D660C">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attivi da riportare</w:t>
            </w:r>
          </w:p>
        </w:tc>
        <w:tc>
          <w:tcPr>
            <w:tcW w:w="1001"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877.695.708,38</w:t>
            </w:r>
          </w:p>
        </w:tc>
        <w:tc>
          <w:tcPr>
            <w:tcW w:w="1069"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959.173.283,84</w:t>
            </w:r>
          </w:p>
        </w:tc>
      </w:tr>
      <w:tr w:rsidR="005D660C" w:rsidRPr="005D660C" w:rsidTr="0041784F">
        <w:trPr>
          <w:trHeight w:val="416"/>
        </w:trPr>
        <w:tc>
          <w:tcPr>
            <w:tcW w:w="1968" w:type="pct"/>
            <w:gridSpan w:val="2"/>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 xml:space="preserve">Residui passivi al 31/12/2016 da riportare </w:t>
            </w:r>
            <w:r w:rsidRPr="005D660C">
              <w:rPr>
                <w:rFonts w:ascii="Bodoni MT" w:eastAsia="Times New Roman" w:hAnsi="Bodoni MT" w:cs="Arial"/>
                <w:sz w:val="20"/>
                <w:szCs w:val="20"/>
                <w:lang w:eastAsia="it-IT"/>
              </w:rPr>
              <w:lastRenderedPageBreak/>
              <w:t>all'01/01/2017</w:t>
            </w:r>
          </w:p>
        </w:tc>
        <w:tc>
          <w:tcPr>
            <w:tcW w:w="1963" w:type="pct"/>
            <w:gridSpan w:val="2"/>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lastRenderedPageBreak/>
              <w:t xml:space="preserve">Residui passivi al 31/12/2015 da riportare </w:t>
            </w:r>
            <w:r w:rsidRPr="005D660C">
              <w:rPr>
                <w:rFonts w:ascii="Bodoni MT" w:eastAsia="Times New Roman" w:hAnsi="Bodoni MT" w:cs="Arial"/>
                <w:sz w:val="20"/>
                <w:szCs w:val="20"/>
                <w:lang w:eastAsia="it-IT"/>
              </w:rPr>
              <w:lastRenderedPageBreak/>
              <w:t>all'01/01/2016</w:t>
            </w:r>
          </w:p>
        </w:tc>
        <w:tc>
          <w:tcPr>
            <w:tcW w:w="1069" w:type="pct"/>
            <w:shd w:val="clear" w:color="auto" w:fill="0F243E" w:themeFill="text2" w:themeFillShade="80"/>
            <w:vAlign w:val="center"/>
            <w:hideMark/>
          </w:tcPr>
          <w:p w:rsidR="005D660C" w:rsidRPr="005D660C" w:rsidRDefault="0041784F"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lastRenderedPageBreak/>
              <w:t>Differenza</w:t>
            </w:r>
          </w:p>
        </w:tc>
      </w:tr>
      <w:tr w:rsidR="005D660C" w:rsidRPr="005D660C" w:rsidTr="005D660C">
        <w:trPr>
          <w:trHeight w:val="945"/>
        </w:trPr>
        <w:tc>
          <w:tcPr>
            <w:tcW w:w="835"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lastRenderedPageBreak/>
              <w:t>RP dai residui al 31/12/2016 da riportare all'1/01/2017</w:t>
            </w:r>
          </w:p>
        </w:tc>
        <w:tc>
          <w:tcPr>
            <w:tcW w:w="1133"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327.353.895,87</w:t>
            </w:r>
          </w:p>
        </w:tc>
        <w:tc>
          <w:tcPr>
            <w:tcW w:w="962"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RP dai residui al 31/12/2015 da riportare all'1/01/2016</w:t>
            </w:r>
          </w:p>
        </w:tc>
        <w:tc>
          <w:tcPr>
            <w:tcW w:w="1001"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322.305.803,25</w:t>
            </w:r>
          </w:p>
        </w:tc>
        <w:tc>
          <w:tcPr>
            <w:tcW w:w="1069"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5.048.092,62</w:t>
            </w:r>
          </w:p>
        </w:tc>
      </w:tr>
      <w:tr w:rsidR="005D660C" w:rsidRPr="005D660C" w:rsidTr="005D660C">
        <w:trPr>
          <w:trHeight w:val="795"/>
        </w:trPr>
        <w:tc>
          <w:tcPr>
            <w:tcW w:w="835"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RP dalla gestione della competenza al 31/12/2016 da riportare</w:t>
            </w:r>
          </w:p>
        </w:tc>
        <w:tc>
          <w:tcPr>
            <w:tcW w:w="1133"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1.073.609.983,65</w:t>
            </w:r>
          </w:p>
        </w:tc>
        <w:tc>
          <w:tcPr>
            <w:tcW w:w="962" w:type="pct"/>
            <w:shd w:val="clear" w:color="auto" w:fill="95B3D7" w:themeFill="accent1" w:themeFillTint="99"/>
            <w:vAlign w:val="center"/>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RP dalla gestione della competenza al 31/12/2015 da riportare</w:t>
            </w:r>
          </w:p>
        </w:tc>
        <w:tc>
          <w:tcPr>
            <w:tcW w:w="1001"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1.179.928.278,42</w:t>
            </w:r>
          </w:p>
        </w:tc>
        <w:tc>
          <w:tcPr>
            <w:tcW w:w="1069" w:type="pct"/>
            <w:shd w:val="clear" w:color="000000" w:fill="FFFFFF"/>
            <w:vAlign w:val="center"/>
            <w:hideMark/>
          </w:tcPr>
          <w:p w:rsidR="005D660C" w:rsidRPr="005D660C" w:rsidRDefault="005D660C" w:rsidP="005D660C">
            <w:pPr>
              <w:spacing w:after="0" w:line="240" w:lineRule="auto"/>
              <w:jc w:val="center"/>
              <w:rPr>
                <w:rFonts w:ascii="Bodoni MT" w:eastAsia="Times New Roman" w:hAnsi="Bodoni MT" w:cs="Arial"/>
                <w:sz w:val="20"/>
                <w:szCs w:val="20"/>
                <w:lang w:eastAsia="it-IT"/>
              </w:rPr>
            </w:pPr>
            <w:r w:rsidRPr="005D660C">
              <w:rPr>
                <w:rFonts w:ascii="Bodoni MT" w:eastAsia="Times New Roman" w:hAnsi="Bodoni MT" w:cs="Arial"/>
                <w:sz w:val="20"/>
                <w:szCs w:val="20"/>
                <w:lang w:eastAsia="it-IT"/>
              </w:rPr>
              <w:t>-106.318.294,77</w:t>
            </w:r>
          </w:p>
        </w:tc>
      </w:tr>
      <w:tr w:rsidR="005D660C" w:rsidRPr="005D660C" w:rsidTr="005D660C">
        <w:trPr>
          <w:trHeight w:val="630"/>
        </w:trPr>
        <w:tc>
          <w:tcPr>
            <w:tcW w:w="835" w:type="pct"/>
            <w:shd w:val="clear" w:color="auto" w:fill="95B3D7" w:themeFill="accent1" w:themeFillTint="99"/>
            <w:vAlign w:val="center"/>
            <w:hideMark/>
          </w:tcPr>
          <w:p w:rsidR="005D660C" w:rsidRPr="005D660C" w:rsidRDefault="00CD4C84" w:rsidP="005D660C">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passivi da riportare</w:t>
            </w:r>
          </w:p>
        </w:tc>
        <w:tc>
          <w:tcPr>
            <w:tcW w:w="1133"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1.400.963.879,52</w:t>
            </w:r>
          </w:p>
        </w:tc>
        <w:tc>
          <w:tcPr>
            <w:tcW w:w="962" w:type="pct"/>
            <w:shd w:val="clear" w:color="auto" w:fill="95B3D7" w:themeFill="accent1" w:themeFillTint="99"/>
            <w:vAlign w:val="center"/>
            <w:hideMark/>
          </w:tcPr>
          <w:p w:rsidR="005D660C" w:rsidRPr="005D660C" w:rsidRDefault="00CD4C84" w:rsidP="005D660C">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passivi da riportare</w:t>
            </w:r>
          </w:p>
        </w:tc>
        <w:tc>
          <w:tcPr>
            <w:tcW w:w="1001"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1.502.234.081,67</w:t>
            </w:r>
          </w:p>
        </w:tc>
        <w:tc>
          <w:tcPr>
            <w:tcW w:w="1069" w:type="pct"/>
            <w:shd w:val="clear" w:color="auto" w:fill="FFFFFF" w:themeFill="background1"/>
            <w:noWrap/>
            <w:vAlign w:val="center"/>
            <w:hideMark/>
          </w:tcPr>
          <w:p w:rsidR="005D660C" w:rsidRPr="005D660C" w:rsidRDefault="005D660C" w:rsidP="005D660C">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-101.270.202,15</w:t>
            </w:r>
          </w:p>
        </w:tc>
      </w:tr>
    </w:tbl>
    <w:p w:rsidR="005D660C" w:rsidRPr="00CD4C84" w:rsidRDefault="005D660C" w:rsidP="005D660C">
      <w:pPr>
        <w:spacing w:after="0" w:line="360" w:lineRule="auto"/>
        <w:jc w:val="both"/>
        <w:rPr>
          <w:rFonts w:ascii="Bodoni MT" w:hAnsi="Bodoni MT"/>
          <w:sz w:val="18"/>
          <w:szCs w:val="18"/>
        </w:rPr>
      </w:pPr>
      <w:r w:rsidRPr="00CD4C84">
        <w:rPr>
          <w:rFonts w:ascii="Bodoni MT" w:hAnsi="Bodoni MT"/>
          <w:sz w:val="18"/>
          <w:szCs w:val="18"/>
        </w:rPr>
        <w:t>Fonte: Elaborazione Cdc su dati desunti dai documenti allegati ai rendiconti RAS 2015 e 2016</w:t>
      </w:r>
    </w:p>
    <w:p w:rsidR="005D660C" w:rsidRPr="005D660C" w:rsidRDefault="005D660C" w:rsidP="00B409A7">
      <w:pPr>
        <w:pStyle w:val="CdcTesto"/>
        <w:spacing w:before="360"/>
      </w:pPr>
      <w:r w:rsidRPr="005D660C">
        <w:t xml:space="preserve">Dal confronto dei dati del riaccertamento 2016 con quelli del riaccertamento </w:t>
      </w:r>
      <w:r w:rsidR="00D20DA7" w:rsidRPr="005D660C">
        <w:t xml:space="preserve">ordinario </w:t>
      </w:r>
      <w:r w:rsidRPr="005D660C">
        <w:t xml:space="preserve">2015, si rileva </w:t>
      </w:r>
      <w:r w:rsidRPr="00D20DA7">
        <w:rPr>
          <w:b/>
        </w:rPr>
        <w:t>un significativo aumento della mole dei residui attivi</w:t>
      </w:r>
      <w:r w:rsidRPr="005D660C">
        <w:t>, soprattutto di quelli provenienti dalla gestione di competenza. In particolare l’incremento di 652 milioni di euro viene attribuito, nella Relazione sulla gestione, in gran parte alle entrate in conto capitale, i cui residui della competenza sono stati quantificati in 790 milioni (più del 50% del totale dei Titoli) rispetto ai 314 milioni dell’esercizio precedente</w:t>
      </w:r>
      <w:r w:rsidRPr="005D660C">
        <w:rPr>
          <w:vertAlign w:val="superscript"/>
        </w:rPr>
        <w:footnoteReference w:id="96"/>
      </w:r>
      <w:r w:rsidRPr="005D660C">
        <w:t>. L’incremento riguarda anche le entrate tributarie (217 milioni circa), mentre i residui delle entrate extratributarie si riducono di circa 60 milioni.</w:t>
      </w:r>
    </w:p>
    <w:p w:rsidR="005D660C" w:rsidRDefault="005D660C" w:rsidP="00B409A7">
      <w:pPr>
        <w:pStyle w:val="CdcTesto"/>
      </w:pPr>
      <w:r w:rsidRPr="005D660C">
        <w:t xml:space="preserve">Risulta invece in </w:t>
      </w:r>
      <w:r w:rsidRPr="00D20DA7">
        <w:rPr>
          <w:b/>
        </w:rPr>
        <w:t>diminuzione la consistenza dei residui passivi</w:t>
      </w:r>
      <w:r w:rsidRPr="005D660C">
        <w:t xml:space="preserve"> (-101 milioni) ascrivibili alla gestione di competenza. </w:t>
      </w:r>
    </w:p>
    <w:p w:rsidR="00997B2E" w:rsidRDefault="00997B2E" w:rsidP="00997B2E">
      <w:pPr>
        <w:pStyle w:val="Titolo3"/>
      </w:pPr>
      <w:bookmarkStart w:id="171" w:name="_Toc507422636"/>
      <w:r>
        <w:t>L’analisi dei residui attivi e passivi stralciati</w:t>
      </w:r>
      <w:bookmarkEnd w:id="171"/>
    </w:p>
    <w:p w:rsidR="00F62FBB" w:rsidRPr="00AD5BF7" w:rsidRDefault="00F62FBB" w:rsidP="00F62FBB">
      <w:pPr>
        <w:pStyle w:val="Didascalia"/>
        <w:rPr>
          <w:bCs w:val="0"/>
          <w:sz w:val="24"/>
          <w:szCs w:val="24"/>
        </w:rPr>
      </w:pPr>
      <w:bookmarkStart w:id="172" w:name="_Toc499040969"/>
      <w:bookmarkStart w:id="173" w:name="_Toc507422490"/>
      <w:r>
        <w:t xml:space="preserve">Tabella </w:t>
      </w:r>
      <w:r w:rsidR="00B90472">
        <w:fldChar w:fldCharType="begin"/>
      </w:r>
      <w:r w:rsidR="00B90472">
        <w:instrText xml:space="preserve"> SEQ Tabella \* ARABIC </w:instrText>
      </w:r>
      <w:r w:rsidR="00B90472">
        <w:fldChar w:fldCharType="separate"/>
      </w:r>
      <w:r w:rsidR="008616B3">
        <w:rPr>
          <w:noProof/>
        </w:rPr>
        <w:t>22</w:t>
      </w:r>
      <w:r w:rsidR="00B90472">
        <w:rPr>
          <w:noProof/>
        </w:rPr>
        <w:fldChar w:fldCharType="end"/>
      </w:r>
      <w:r w:rsidRPr="005D660C">
        <w:rPr>
          <w:b w:val="0"/>
          <w:bCs w:val="0"/>
        </w:rPr>
        <w:t xml:space="preserve"> </w:t>
      </w:r>
      <w:r w:rsidRPr="00B7211A">
        <w:rPr>
          <w:bCs w:val="0"/>
        </w:rPr>
        <w:t xml:space="preserve">- </w:t>
      </w:r>
      <w:r w:rsidRPr="00161FD5">
        <w:rPr>
          <w:rFonts w:eastAsia="Times New Roman" w:cs="Arial"/>
          <w:lang w:eastAsia="it-IT"/>
        </w:rPr>
        <w:t>Situazione in sede di riaccertamento ordinario dei residui</w:t>
      </w:r>
      <w:bookmarkEnd w:id="172"/>
      <w:bookmarkEnd w:id="173"/>
    </w:p>
    <w:tbl>
      <w:tblPr>
        <w:tblW w:w="5000" w:type="pct"/>
        <w:jc w:val="center"/>
        <w:tblCellMar>
          <w:left w:w="70" w:type="dxa"/>
          <w:right w:w="70" w:type="dxa"/>
        </w:tblCellMar>
        <w:tblLook w:val="04A0" w:firstRow="1" w:lastRow="0" w:firstColumn="1" w:lastColumn="0" w:noHBand="0" w:noVBand="1"/>
      </w:tblPr>
      <w:tblGrid>
        <w:gridCol w:w="5294"/>
        <w:gridCol w:w="4767"/>
      </w:tblGrid>
      <w:tr w:rsidR="00F62FBB" w:rsidRPr="005D660C" w:rsidTr="00F62FBB">
        <w:trPr>
          <w:trHeight w:val="78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F62FBB" w:rsidRPr="005D660C" w:rsidRDefault="00F62FBB" w:rsidP="00F62FBB">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Residui attivi eliminati -Allegati A1) e A2) alla DGR n.26/48/2017</w:t>
            </w:r>
          </w:p>
        </w:tc>
      </w:tr>
      <w:tr w:rsidR="00F62FBB" w:rsidRPr="005D660C" w:rsidTr="00F62FBB">
        <w:trPr>
          <w:trHeight w:val="253"/>
          <w:jc w:val="center"/>
        </w:trPr>
        <w:tc>
          <w:tcPr>
            <w:tcW w:w="2631" w:type="pct"/>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F62FBB" w:rsidRPr="005D660C" w:rsidRDefault="00F62FBB" w:rsidP="00F62FBB">
            <w:pPr>
              <w:spacing w:after="0" w:line="240" w:lineRule="auto"/>
              <w:jc w:val="center"/>
              <w:rPr>
                <w:rFonts w:ascii="Bodoni MT" w:eastAsia="Times New Roman" w:hAnsi="Bodoni MT" w:cs="Arial"/>
                <w:b/>
                <w:bCs/>
                <w:color w:val="F2F2F2"/>
                <w:sz w:val="20"/>
                <w:szCs w:val="20"/>
                <w:lang w:eastAsia="it-IT"/>
              </w:rPr>
            </w:pPr>
            <w:r w:rsidRPr="005D660C">
              <w:rPr>
                <w:rFonts w:ascii="Bodoni MT" w:eastAsia="Times New Roman" w:hAnsi="Bodoni MT" w:cs="Arial"/>
                <w:b/>
                <w:bCs/>
                <w:color w:val="F2F2F2"/>
                <w:sz w:val="20"/>
                <w:szCs w:val="20"/>
                <w:lang w:eastAsia="it-IT"/>
              </w:rPr>
              <w:t>RA ELIMINATI</w:t>
            </w:r>
          </w:p>
        </w:tc>
        <w:tc>
          <w:tcPr>
            <w:tcW w:w="2369" w:type="pct"/>
            <w:tcBorders>
              <w:top w:val="nil"/>
              <w:left w:val="nil"/>
              <w:bottom w:val="single" w:sz="4" w:space="0" w:color="auto"/>
              <w:right w:val="single" w:sz="4" w:space="0" w:color="auto"/>
            </w:tcBorders>
            <w:shd w:val="clear" w:color="auto" w:fill="0F243E" w:themeFill="text2" w:themeFillShade="80"/>
            <w:noWrap/>
            <w:vAlign w:val="center"/>
            <w:hideMark/>
          </w:tcPr>
          <w:p w:rsidR="00F62FBB" w:rsidRPr="005D660C" w:rsidRDefault="00F62FBB" w:rsidP="00F62FBB">
            <w:pPr>
              <w:spacing w:after="0" w:line="240" w:lineRule="auto"/>
              <w:jc w:val="center"/>
              <w:rPr>
                <w:rFonts w:ascii="Bodoni MT" w:eastAsia="Times New Roman" w:hAnsi="Bodoni MT" w:cs="Arial"/>
                <w:b/>
                <w:bCs/>
                <w:color w:val="F2F2F2"/>
                <w:sz w:val="20"/>
                <w:szCs w:val="20"/>
                <w:lang w:eastAsia="it-IT"/>
              </w:rPr>
            </w:pPr>
            <w:r w:rsidRPr="005D660C">
              <w:rPr>
                <w:rFonts w:ascii="Bodoni MT" w:eastAsia="Times New Roman" w:hAnsi="Bodoni MT" w:cs="Arial"/>
                <w:b/>
                <w:bCs/>
                <w:color w:val="F2F2F2"/>
                <w:sz w:val="20"/>
                <w:szCs w:val="20"/>
                <w:lang w:eastAsia="it-IT"/>
              </w:rPr>
              <w:t>IMPORTO</w:t>
            </w:r>
          </w:p>
        </w:tc>
      </w:tr>
      <w:tr w:rsidR="00F62FBB" w:rsidRPr="005D660C" w:rsidTr="00F62FBB">
        <w:trPr>
          <w:trHeight w:val="300"/>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dalla gestione della competenza</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26.090.569,84</w:t>
            </w:r>
          </w:p>
        </w:tc>
      </w:tr>
      <w:tr w:rsidR="00F62FBB" w:rsidRPr="005D660C" w:rsidTr="00F62FBB">
        <w:trPr>
          <w:trHeight w:val="270"/>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dalla gestione dei residui (es.2015 e prec)</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72.650.950,56</w:t>
            </w:r>
          </w:p>
        </w:tc>
      </w:tr>
      <w:tr w:rsidR="00F62FBB" w:rsidRPr="005D660C" w:rsidTr="00F62FBB">
        <w:trPr>
          <w:trHeight w:val="211"/>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stralci ante RO</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492.399,46</w:t>
            </w:r>
          </w:p>
        </w:tc>
      </w:tr>
      <w:tr w:rsidR="00F62FBB" w:rsidRPr="005D660C" w:rsidTr="00F62FBB">
        <w:trPr>
          <w:trHeight w:val="330"/>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62FBB" w:rsidRPr="005D660C" w:rsidRDefault="00F62FBB" w:rsidP="00F62FBB">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attivi eliminati</w:t>
            </w:r>
          </w:p>
        </w:tc>
        <w:tc>
          <w:tcPr>
            <w:tcW w:w="2369" w:type="pct"/>
            <w:tcBorders>
              <w:top w:val="nil"/>
              <w:left w:val="nil"/>
              <w:bottom w:val="single" w:sz="4" w:space="0" w:color="auto"/>
              <w:right w:val="single" w:sz="4" w:space="0" w:color="auto"/>
            </w:tcBorders>
            <w:shd w:val="clear" w:color="auto" w:fill="FFFFFF" w:themeFill="background1"/>
            <w:noWrap/>
            <w:vAlign w:val="center"/>
            <w:hideMark/>
          </w:tcPr>
          <w:p w:rsidR="00F62FBB" w:rsidRPr="00C73269" w:rsidRDefault="00F62FBB" w:rsidP="00F62FBB">
            <w:pPr>
              <w:spacing w:after="0" w:line="240" w:lineRule="auto"/>
              <w:jc w:val="right"/>
              <w:rPr>
                <w:rFonts w:ascii="Calibri" w:eastAsia="Times New Roman" w:hAnsi="Calibri" w:cs="Calibri"/>
                <w:b/>
                <w:bCs/>
                <w:sz w:val="18"/>
                <w:szCs w:val="18"/>
                <w:lang w:eastAsia="it-IT"/>
              </w:rPr>
            </w:pPr>
            <w:r w:rsidRPr="00C73269">
              <w:rPr>
                <w:rFonts w:ascii="Calibri" w:eastAsia="Times New Roman" w:hAnsi="Calibri" w:cs="Calibri"/>
                <w:b/>
                <w:bCs/>
                <w:sz w:val="18"/>
                <w:szCs w:val="18"/>
                <w:lang w:eastAsia="it-IT"/>
              </w:rPr>
              <w:t>99.233.919,86</w:t>
            </w:r>
          </w:p>
        </w:tc>
      </w:tr>
      <w:tr w:rsidR="00F62FBB" w:rsidRPr="005D660C" w:rsidTr="00F62FBB">
        <w:trPr>
          <w:trHeight w:val="223"/>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maggiori entrate ante RO</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168,85</w:t>
            </w:r>
          </w:p>
        </w:tc>
      </w:tr>
      <w:tr w:rsidR="00F62FBB" w:rsidRPr="005D660C" w:rsidTr="00F62FBB">
        <w:trPr>
          <w:trHeight w:val="2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0F243E" w:themeFill="text2" w:themeFillShade="80"/>
            <w:hideMark/>
          </w:tcPr>
          <w:p w:rsidR="00F62FBB" w:rsidRPr="005D660C" w:rsidRDefault="00F62FBB" w:rsidP="00F62FBB">
            <w:pPr>
              <w:spacing w:after="0" w:line="240" w:lineRule="auto"/>
              <w:jc w:val="center"/>
              <w:rPr>
                <w:rFonts w:ascii="Bodoni MT" w:eastAsia="Times New Roman" w:hAnsi="Bodoni MT" w:cs="Arial"/>
                <w:b/>
                <w:bCs/>
                <w:sz w:val="20"/>
                <w:szCs w:val="20"/>
                <w:lang w:eastAsia="it-IT"/>
              </w:rPr>
            </w:pPr>
            <w:r w:rsidRPr="005D660C">
              <w:rPr>
                <w:rFonts w:ascii="Bodoni MT" w:eastAsia="Times New Roman" w:hAnsi="Bodoni MT" w:cs="Arial"/>
                <w:b/>
                <w:bCs/>
                <w:sz w:val="20"/>
                <w:szCs w:val="20"/>
                <w:lang w:eastAsia="it-IT"/>
              </w:rPr>
              <w:t>Residui passivi eliminati -Allegati B1) e B2) alla DGR n.26/48/2017</w:t>
            </w:r>
          </w:p>
        </w:tc>
      </w:tr>
      <w:tr w:rsidR="00F62FBB" w:rsidRPr="005D660C" w:rsidTr="00F62FBB">
        <w:trPr>
          <w:trHeight w:val="217"/>
          <w:jc w:val="center"/>
        </w:trPr>
        <w:tc>
          <w:tcPr>
            <w:tcW w:w="2631" w:type="pct"/>
            <w:tcBorders>
              <w:top w:val="nil"/>
              <w:left w:val="single" w:sz="4" w:space="0" w:color="auto"/>
              <w:bottom w:val="single" w:sz="4" w:space="0" w:color="auto"/>
              <w:right w:val="single" w:sz="4" w:space="0" w:color="auto"/>
            </w:tcBorders>
            <w:shd w:val="clear" w:color="auto" w:fill="0F243E" w:themeFill="text2" w:themeFillShade="80"/>
            <w:noWrap/>
            <w:hideMark/>
          </w:tcPr>
          <w:p w:rsidR="00F62FBB" w:rsidRPr="005D660C" w:rsidRDefault="00F62FBB" w:rsidP="00F62FBB">
            <w:pPr>
              <w:spacing w:after="0" w:line="240" w:lineRule="auto"/>
              <w:jc w:val="center"/>
              <w:rPr>
                <w:rFonts w:ascii="Bodoni MT" w:eastAsia="Times New Roman" w:hAnsi="Bodoni MT" w:cs="Arial"/>
                <w:b/>
                <w:bCs/>
                <w:color w:val="F2F2F2"/>
                <w:sz w:val="20"/>
                <w:szCs w:val="20"/>
                <w:lang w:eastAsia="it-IT"/>
              </w:rPr>
            </w:pPr>
            <w:r w:rsidRPr="005D660C">
              <w:rPr>
                <w:rFonts w:ascii="Bodoni MT" w:eastAsia="Times New Roman" w:hAnsi="Bodoni MT" w:cs="Arial"/>
                <w:b/>
                <w:bCs/>
                <w:color w:val="F2F2F2"/>
                <w:sz w:val="20"/>
                <w:szCs w:val="20"/>
                <w:lang w:eastAsia="it-IT"/>
              </w:rPr>
              <w:t>RP ELIMINATI</w:t>
            </w:r>
          </w:p>
        </w:tc>
        <w:tc>
          <w:tcPr>
            <w:tcW w:w="2369" w:type="pct"/>
            <w:tcBorders>
              <w:top w:val="nil"/>
              <w:left w:val="nil"/>
              <w:bottom w:val="single" w:sz="4" w:space="0" w:color="auto"/>
              <w:right w:val="single" w:sz="4" w:space="0" w:color="auto"/>
            </w:tcBorders>
            <w:shd w:val="clear" w:color="auto" w:fill="0F243E" w:themeFill="text2" w:themeFillShade="80"/>
            <w:noWrap/>
            <w:hideMark/>
          </w:tcPr>
          <w:p w:rsidR="00F62FBB" w:rsidRPr="005D660C" w:rsidRDefault="00F62FBB" w:rsidP="00F62FBB">
            <w:pPr>
              <w:spacing w:after="0" w:line="240" w:lineRule="auto"/>
              <w:jc w:val="center"/>
              <w:rPr>
                <w:rFonts w:ascii="Bodoni MT" w:eastAsia="Times New Roman" w:hAnsi="Bodoni MT" w:cs="Arial"/>
                <w:b/>
                <w:bCs/>
                <w:color w:val="F2F2F2"/>
                <w:sz w:val="20"/>
                <w:szCs w:val="20"/>
                <w:lang w:eastAsia="it-IT"/>
              </w:rPr>
            </w:pPr>
            <w:r w:rsidRPr="005D660C">
              <w:rPr>
                <w:rFonts w:ascii="Bodoni MT" w:eastAsia="Times New Roman" w:hAnsi="Bodoni MT" w:cs="Arial"/>
                <w:b/>
                <w:bCs/>
                <w:color w:val="F2F2F2"/>
                <w:sz w:val="20"/>
                <w:szCs w:val="20"/>
                <w:lang w:eastAsia="it-IT"/>
              </w:rPr>
              <w:t>IMPORTO</w:t>
            </w:r>
          </w:p>
        </w:tc>
      </w:tr>
      <w:tr w:rsidR="00F62FBB" w:rsidRPr="005D660C" w:rsidTr="00F62FBB">
        <w:trPr>
          <w:trHeight w:val="237"/>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dalla gestione della competenza</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eastAsia="Times New Roman" w:cstheme="minorHAnsi"/>
                <w:sz w:val="18"/>
                <w:szCs w:val="18"/>
                <w:lang w:eastAsia="it-IT"/>
              </w:rPr>
            </w:pPr>
            <w:r w:rsidRPr="00C73269">
              <w:rPr>
                <w:rFonts w:eastAsia="Times New Roman" w:cstheme="minorHAnsi"/>
                <w:sz w:val="18"/>
                <w:szCs w:val="18"/>
                <w:lang w:eastAsia="it-IT"/>
              </w:rPr>
              <w:t>44.256.842,15</w:t>
            </w:r>
          </w:p>
        </w:tc>
      </w:tr>
      <w:tr w:rsidR="00F62FBB" w:rsidRPr="005D660C" w:rsidTr="00F62FBB">
        <w:trPr>
          <w:trHeight w:val="269"/>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stralci ante RO</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eastAsia="Times New Roman" w:cstheme="minorHAnsi"/>
                <w:sz w:val="18"/>
                <w:szCs w:val="18"/>
                <w:lang w:eastAsia="it-IT"/>
              </w:rPr>
            </w:pPr>
            <w:r w:rsidRPr="00C73269">
              <w:rPr>
                <w:rFonts w:eastAsia="Times New Roman" w:cstheme="minorHAnsi"/>
                <w:sz w:val="18"/>
                <w:szCs w:val="18"/>
                <w:lang w:eastAsia="it-IT"/>
              </w:rPr>
              <w:t>2.747.039,11</w:t>
            </w:r>
          </w:p>
        </w:tc>
      </w:tr>
      <w:tr w:rsidR="00F62FBB" w:rsidRPr="005D660C" w:rsidTr="00F62FBB">
        <w:trPr>
          <w:trHeight w:val="270"/>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dalla gestione dei residui</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eastAsia="Times New Roman" w:cstheme="minorHAnsi"/>
                <w:sz w:val="18"/>
                <w:szCs w:val="18"/>
                <w:lang w:eastAsia="it-IT"/>
              </w:rPr>
            </w:pPr>
            <w:r w:rsidRPr="00C73269">
              <w:rPr>
                <w:rFonts w:eastAsia="Times New Roman" w:cstheme="minorHAnsi"/>
                <w:sz w:val="18"/>
                <w:szCs w:val="18"/>
                <w:lang w:eastAsia="it-IT"/>
              </w:rPr>
              <w:t>59.722.008,26</w:t>
            </w:r>
          </w:p>
        </w:tc>
      </w:tr>
      <w:tr w:rsidR="00F62FBB" w:rsidRPr="005D660C" w:rsidTr="00F62FBB">
        <w:trPr>
          <w:trHeight w:val="270"/>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hideMark/>
          </w:tcPr>
          <w:p w:rsidR="00F62FBB" w:rsidRPr="005D660C" w:rsidRDefault="00F62FBB" w:rsidP="00F62FBB">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stralci ante RO</w:t>
            </w:r>
          </w:p>
        </w:tc>
        <w:tc>
          <w:tcPr>
            <w:tcW w:w="2369" w:type="pct"/>
            <w:tcBorders>
              <w:top w:val="nil"/>
              <w:left w:val="nil"/>
              <w:bottom w:val="single" w:sz="4" w:space="0" w:color="auto"/>
              <w:right w:val="single" w:sz="4" w:space="0" w:color="auto"/>
            </w:tcBorders>
            <w:shd w:val="clear" w:color="auto" w:fill="auto"/>
            <w:noWrap/>
            <w:vAlign w:val="center"/>
            <w:hideMark/>
          </w:tcPr>
          <w:p w:rsidR="00F62FBB" w:rsidRPr="00C73269" w:rsidRDefault="00F62FBB" w:rsidP="00F62FBB">
            <w:pPr>
              <w:spacing w:after="0" w:line="240" w:lineRule="auto"/>
              <w:jc w:val="right"/>
              <w:rPr>
                <w:rFonts w:eastAsia="Times New Roman" w:cstheme="minorHAnsi"/>
                <w:sz w:val="18"/>
                <w:szCs w:val="18"/>
                <w:lang w:eastAsia="it-IT"/>
              </w:rPr>
            </w:pPr>
            <w:r w:rsidRPr="00C73269">
              <w:rPr>
                <w:rFonts w:eastAsia="Times New Roman" w:cstheme="minorHAnsi"/>
                <w:sz w:val="18"/>
                <w:szCs w:val="18"/>
                <w:lang w:eastAsia="it-IT"/>
              </w:rPr>
              <w:t>3.922.162,36</w:t>
            </w:r>
          </w:p>
        </w:tc>
      </w:tr>
      <w:tr w:rsidR="00F62FBB" w:rsidRPr="005D660C" w:rsidTr="00F62FBB">
        <w:trPr>
          <w:trHeight w:val="139"/>
          <w:jc w:val="center"/>
        </w:trPr>
        <w:tc>
          <w:tcPr>
            <w:tcW w:w="2631" w:type="pct"/>
            <w:tcBorders>
              <w:top w:val="nil"/>
              <w:left w:val="single" w:sz="4" w:space="0" w:color="auto"/>
              <w:bottom w:val="single" w:sz="4" w:space="0" w:color="auto"/>
              <w:right w:val="single" w:sz="4" w:space="0" w:color="auto"/>
            </w:tcBorders>
            <w:shd w:val="clear" w:color="auto" w:fill="95B3D7" w:themeFill="accent1" w:themeFillTint="99"/>
            <w:noWrap/>
            <w:hideMark/>
          </w:tcPr>
          <w:p w:rsidR="00F62FBB" w:rsidRPr="005D660C" w:rsidRDefault="00F62FBB" w:rsidP="00F62FBB">
            <w:pPr>
              <w:spacing w:after="0" w:line="240" w:lineRule="auto"/>
              <w:jc w:val="center"/>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 residui passivi eliminati</w:t>
            </w:r>
          </w:p>
        </w:tc>
        <w:tc>
          <w:tcPr>
            <w:tcW w:w="2369" w:type="pct"/>
            <w:tcBorders>
              <w:top w:val="nil"/>
              <w:left w:val="nil"/>
              <w:bottom w:val="single" w:sz="4" w:space="0" w:color="auto"/>
              <w:right w:val="single" w:sz="4" w:space="0" w:color="auto"/>
            </w:tcBorders>
            <w:shd w:val="clear" w:color="auto" w:fill="FFFFFF" w:themeFill="background1"/>
            <w:noWrap/>
            <w:vAlign w:val="center"/>
            <w:hideMark/>
          </w:tcPr>
          <w:p w:rsidR="00F62FBB" w:rsidRPr="00C73269" w:rsidRDefault="00F62FBB" w:rsidP="00F62FBB">
            <w:pPr>
              <w:spacing w:after="0" w:line="240" w:lineRule="auto"/>
              <w:jc w:val="right"/>
              <w:rPr>
                <w:rFonts w:eastAsia="Times New Roman" w:cstheme="minorHAnsi"/>
                <w:b/>
                <w:bCs/>
                <w:sz w:val="18"/>
                <w:szCs w:val="18"/>
                <w:lang w:eastAsia="it-IT"/>
              </w:rPr>
            </w:pPr>
            <w:r w:rsidRPr="00C73269">
              <w:rPr>
                <w:rFonts w:eastAsia="Times New Roman" w:cstheme="minorHAnsi"/>
                <w:b/>
                <w:bCs/>
                <w:sz w:val="18"/>
                <w:szCs w:val="18"/>
                <w:lang w:eastAsia="it-IT"/>
              </w:rPr>
              <w:t>110.648.051,88</w:t>
            </w:r>
          </w:p>
        </w:tc>
      </w:tr>
    </w:tbl>
    <w:p w:rsidR="00F62FBB" w:rsidRPr="00AD5BF7" w:rsidRDefault="00F62FBB" w:rsidP="00F62FBB">
      <w:pPr>
        <w:pStyle w:val="Didascalia"/>
        <w:rPr>
          <w:bCs w:val="0"/>
          <w:sz w:val="24"/>
          <w:szCs w:val="24"/>
        </w:rPr>
      </w:pPr>
      <w:bookmarkStart w:id="174" w:name="_Toc499040970"/>
      <w:bookmarkStart w:id="175" w:name="_Toc507422491"/>
      <w:r>
        <w:lastRenderedPageBreak/>
        <w:t xml:space="preserve">Tabella </w:t>
      </w:r>
      <w:r w:rsidR="00B90472">
        <w:fldChar w:fldCharType="begin"/>
      </w:r>
      <w:r w:rsidR="00B90472">
        <w:instrText xml:space="preserve"> SEQ Tabella \* ARABIC </w:instrText>
      </w:r>
      <w:r w:rsidR="00B90472">
        <w:fldChar w:fldCharType="separate"/>
      </w:r>
      <w:r w:rsidR="008616B3">
        <w:rPr>
          <w:noProof/>
        </w:rPr>
        <w:t>23</w:t>
      </w:r>
      <w:r w:rsidR="00B90472">
        <w:rPr>
          <w:noProof/>
        </w:rPr>
        <w:fldChar w:fldCharType="end"/>
      </w:r>
      <w:r>
        <w:rPr>
          <w:b w:val="0"/>
          <w:bCs w:val="0"/>
        </w:rPr>
        <w:t xml:space="preserve"> </w:t>
      </w:r>
      <w:r w:rsidRPr="00AD5BF7">
        <w:rPr>
          <w:bCs w:val="0"/>
        </w:rPr>
        <w:t>-</w:t>
      </w:r>
      <w:r w:rsidRPr="00AD5BF7">
        <w:rPr>
          <w:bCs w:val="0"/>
          <w:sz w:val="24"/>
          <w:szCs w:val="24"/>
        </w:rPr>
        <w:t xml:space="preserve"> </w:t>
      </w:r>
      <w:r w:rsidRPr="00B7211A">
        <w:rPr>
          <w:bCs w:val="0"/>
        </w:rPr>
        <w:t>Confronto stralci esercizi 2015 - 2016</w:t>
      </w:r>
      <w:bookmarkEnd w:id="174"/>
      <w:bookmarkEnd w:id="175"/>
    </w:p>
    <w:tbl>
      <w:tblPr>
        <w:tblW w:w="5000" w:type="pct"/>
        <w:jc w:val="center"/>
        <w:tblCellMar>
          <w:left w:w="70" w:type="dxa"/>
          <w:right w:w="70" w:type="dxa"/>
        </w:tblCellMar>
        <w:tblLook w:val="04A0" w:firstRow="1" w:lastRow="0" w:firstColumn="1" w:lastColumn="0" w:noHBand="0" w:noVBand="1"/>
      </w:tblPr>
      <w:tblGrid>
        <w:gridCol w:w="3872"/>
        <w:gridCol w:w="2063"/>
        <w:gridCol w:w="2063"/>
        <w:gridCol w:w="2063"/>
      </w:tblGrid>
      <w:tr w:rsidR="00F62FBB" w:rsidRPr="005D660C" w:rsidTr="00F62FBB">
        <w:trPr>
          <w:trHeight w:val="315"/>
          <w:jc w:val="center"/>
        </w:trPr>
        <w:tc>
          <w:tcPr>
            <w:tcW w:w="1924"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F62FBB" w:rsidRPr="005D660C" w:rsidRDefault="00F62FBB" w:rsidP="00F62FBB">
            <w:pPr>
              <w:spacing w:after="0" w:line="240" w:lineRule="auto"/>
              <w:jc w:val="center"/>
              <w:rPr>
                <w:rFonts w:ascii="Bodoni MT" w:eastAsia="Times New Roman" w:hAnsi="Bodoni MT" w:cs="Arial"/>
                <w:color w:val="FFFFFF"/>
                <w:sz w:val="20"/>
                <w:szCs w:val="20"/>
                <w:lang w:eastAsia="it-IT"/>
              </w:rPr>
            </w:pPr>
            <w:r w:rsidRPr="005D660C">
              <w:rPr>
                <w:rFonts w:ascii="Bodoni MT" w:eastAsia="Times New Roman" w:hAnsi="Bodoni MT" w:cs="Arial"/>
                <w:color w:val="FFFFFF"/>
                <w:sz w:val="20"/>
                <w:szCs w:val="20"/>
                <w:lang w:eastAsia="it-IT"/>
              </w:rPr>
              <w:t>Voce</w:t>
            </w:r>
          </w:p>
        </w:tc>
        <w:tc>
          <w:tcPr>
            <w:tcW w:w="102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F62FBB" w:rsidRPr="005D660C" w:rsidRDefault="00F62FBB" w:rsidP="00F62FBB">
            <w:pPr>
              <w:spacing w:after="0" w:line="240" w:lineRule="auto"/>
              <w:jc w:val="center"/>
              <w:rPr>
                <w:rFonts w:ascii="Bodoni MT" w:eastAsia="Times New Roman" w:hAnsi="Bodoni MT" w:cs="Arial"/>
                <w:color w:val="FFFFFF"/>
                <w:sz w:val="20"/>
                <w:szCs w:val="20"/>
                <w:lang w:eastAsia="it-IT"/>
              </w:rPr>
            </w:pPr>
            <w:r w:rsidRPr="005D660C">
              <w:rPr>
                <w:rFonts w:ascii="Bodoni MT" w:eastAsia="Times New Roman" w:hAnsi="Bodoni MT" w:cs="Arial"/>
                <w:color w:val="FFFFFF"/>
                <w:sz w:val="20"/>
                <w:szCs w:val="20"/>
                <w:lang w:eastAsia="it-IT"/>
              </w:rPr>
              <w:t>2015</w:t>
            </w:r>
          </w:p>
        </w:tc>
        <w:tc>
          <w:tcPr>
            <w:tcW w:w="102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F62FBB" w:rsidRPr="005D660C" w:rsidRDefault="00F62FBB" w:rsidP="00F62FBB">
            <w:pPr>
              <w:spacing w:after="0" w:line="240" w:lineRule="auto"/>
              <w:jc w:val="center"/>
              <w:rPr>
                <w:rFonts w:ascii="Bodoni MT" w:eastAsia="Times New Roman" w:hAnsi="Bodoni MT" w:cs="Arial"/>
                <w:color w:val="FFFFFF"/>
                <w:sz w:val="20"/>
                <w:szCs w:val="20"/>
                <w:lang w:eastAsia="it-IT"/>
              </w:rPr>
            </w:pPr>
            <w:r w:rsidRPr="005D660C">
              <w:rPr>
                <w:rFonts w:ascii="Bodoni MT" w:eastAsia="Times New Roman" w:hAnsi="Bodoni MT" w:cs="Arial"/>
                <w:color w:val="FFFFFF"/>
                <w:sz w:val="20"/>
                <w:szCs w:val="20"/>
                <w:lang w:eastAsia="it-IT"/>
              </w:rPr>
              <w:t>2016</w:t>
            </w:r>
          </w:p>
        </w:tc>
        <w:tc>
          <w:tcPr>
            <w:tcW w:w="102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F62FBB" w:rsidRPr="005D660C" w:rsidRDefault="00F62FBB" w:rsidP="00F62FBB">
            <w:pPr>
              <w:spacing w:after="0" w:line="240" w:lineRule="auto"/>
              <w:jc w:val="center"/>
              <w:rPr>
                <w:rFonts w:ascii="Bodoni MT" w:eastAsia="Times New Roman" w:hAnsi="Bodoni MT" w:cs="Arial"/>
                <w:color w:val="FFFFFF"/>
                <w:sz w:val="20"/>
                <w:szCs w:val="20"/>
                <w:lang w:eastAsia="it-IT"/>
              </w:rPr>
            </w:pPr>
            <w:r w:rsidRPr="005D660C">
              <w:rPr>
                <w:rFonts w:ascii="Bodoni MT" w:eastAsia="Times New Roman" w:hAnsi="Bodoni MT" w:cs="Arial"/>
                <w:color w:val="FFFFFF"/>
                <w:sz w:val="20"/>
                <w:szCs w:val="20"/>
                <w:lang w:eastAsia="it-IT"/>
              </w:rPr>
              <w:t>Differenza</w:t>
            </w:r>
          </w:p>
        </w:tc>
      </w:tr>
      <w:tr w:rsidR="00F62FBB" w:rsidRPr="005D660C" w:rsidTr="00F62FBB">
        <w:trPr>
          <w:trHeight w:val="241"/>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Residui attivi degli esercizi precedenti stralciati</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112.481.666,17</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73.143.350,02</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-39.338.316,15</w:t>
            </w:r>
          </w:p>
        </w:tc>
      </w:tr>
      <w:tr w:rsidR="00F62FBB" w:rsidRPr="005D660C" w:rsidTr="00F62FBB">
        <w:trPr>
          <w:trHeight w:val="270"/>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Residui attivi della competenza stralciati</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526.778.295,32</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26.090.569,84</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-500.687.725,48</w:t>
            </w:r>
          </w:p>
        </w:tc>
      </w:tr>
      <w:tr w:rsidR="00F62FBB" w:rsidRPr="005D660C" w:rsidTr="00F62FBB">
        <w:trPr>
          <w:trHeight w:val="405"/>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 xml:space="preserve">Residui passivi degli esercizi precedenti stralciati </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33.559.360,54</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63.644.170,62</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30.084.810,08</w:t>
            </w:r>
          </w:p>
        </w:tc>
      </w:tr>
      <w:tr w:rsidR="00F62FBB" w:rsidRPr="005D660C" w:rsidTr="00F62FBB">
        <w:trPr>
          <w:trHeight w:val="270"/>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F62FBB" w:rsidRPr="005D660C" w:rsidRDefault="00F62FBB" w:rsidP="00F62FBB">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Residui passivi della competenza stralciati</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174.742.799,52</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47.003.881,26</w:t>
            </w:r>
          </w:p>
        </w:tc>
        <w:tc>
          <w:tcPr>
            <w:tcW w:w="1025" w:type="pct"/>
            <w:tcBorders>
              <w:top w:val="nil"/>
              <w:left w:val="nil"/>
              <w:bottom w:val="single" w:sz="4" w:space="0" w:color="auto"/>
              <w:right w:val="single" w:sz="4" w:space="0" w:color="auto"/>
            </w:tcBorders>
            <w:shd w:val="clear" w:color="auto" w:fill="auto"/>
            <w:vAlign w:val="center"/>
            <w:hideMark/>
          </w:tcPr>
          <w:p w:rsidR="00F62FBB" w:rsidRPr="00C73269" w:rsidRDefault="00F62FBB" w:rsidP="00F62FBB">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-127.738.918,26</w:t>
            </w:r>
          </w:p>
        </w:tc>
      </w:tr>
    </w:tbl>
    <w:p w:rsidR="00F62FBB" w:rsidRPr="005D660C" w:rsidRDefault="00F62FBB" w:rsidP="00F62FBB">
      <w:pPr>
        <w:spacing w:line="360" w:lineRule="auto"/>
        <w:jc w:val="both"/>
        <w:rPr>
          <w:rFonts w:ascii="Bodoni MT" w:hAnsi="Bodoni MT"/>
          <w:sz w:val="20"/>
          <w:szCs w:val="20"/>
        </w:rPr>
      </w:pPr>
      <w:r w:rsidRPr="005D660C">
        <w:rPr>
          <w:rFonts w:ascii="Bodoni MT" w:hAnsi="Bodoni MT"/>
          <w:sz w:val="20"/>
          <w:szCs w:val="20"/>
        </w:rPr>
        <w:t>Fonte: RAS – Relazione sulla gestione 2016</w:t>
      </w:r>
    </w:p>
    <w:p w:rsidR="00F62FBB" w:rsidRPr="00F62FBB" w:rsidRDefault="00F62FBB" w:rsidP="00F62FBB">
      <w:pPr>
        <w:pStyle w:val="CdcTesto"/>
      </w:pPr>
      <w:r w:rsidRPr="005D660C">
        <w:t>Il confronto con l’esercizio precedente mostra una sensibile riduzione degli stralci dei residui attivi, sia di quelli relativi ad anni precedenti (-40 milioni circa), sia di quelli della competenza (-500 milioni). Con riguardo ai residui passivi, si evidenzia un incremento nelle cancellazioni di quelli provenienti da esercizi precedenti (+30 milioni circa), mentre si sono molto ridotti gli stralci della competenza (-128 milioni circa rispetto al 2015).</w:t>
      </w:r>
    </w:p>
    <w:p w:rsidR="00E72D49" w:rsidRPr="00161FD5" w:rsidRDefault="005D660C"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5D660C">
        <w:rPr>
          <w:rFonts w:ascii="Bodoni MT" w:eastAsiaTheme="minorEastAsia" w:hAnsi="Bodoni MT" w:cs="Bodoni MT"/>
          <w:b/>
          <w:color w:val="000000"/>
          <w:sz w:val="24"/>
          <w:szCs w:val="24"/>
        </w:rPr>
        <w:t>I residui attivi eliminati</w:t>
      </w:r>
      <w:r w:rsidRPr="005D660C">
        <w:rPr>
          <w:rFonts w:ascii="Bodoni MT" w:eastAsiaTheme="minorEastAsia" w:hAnsi="Bodoni MT" w:cs="Bodoni MT"/>
          <w:color w:val="000000"/>
          <w:sz w:val="24"/>
          <w:szCs w:val="24"/>
        </w:rPr>
        <w:t xml:space="preserve"> in sede di riaccertamento sono stati complessivamente pari a € 99.233.919,86 di cui € 26.090.569,84 derivanti dalla competenza 2016 (Allegato A1) e € 73.143.350,02 derivanti dalla gestione dei residui (Allegato A2). Nell’importo derivante dalla gestione dei residui sono computati anche stralci effettuati anteriormente al riaccertam</w:t>
      </w:r>
      <w:r w:rsidR="00E72D49">
        <w:rPr>
          <w:rFonts w:ascii="Bodoni MT" w:eastAsiaTheme="minorEastAsia" w:hAnsi="Bodoni MT" w:cs="Bodoni MT"/>
          <w:color w:val="000000"/>
          <w:sz w:val="24"/>
          <w:szCs w:val="24"/>
        </w:rPr>
        <w:t>ento ordinario per € 492.399,</w:t>
      </w:r>
      <w:r w:rsidR="00E72D49" w:rsidRPr="00161FD5">
        <w:rPr>
          <w:rFonts w:ascii="Bodoni MT" w:eastAsiaTheme="minorEastAsia" w:hAnsi="Bodoni MT" w:cs="Bodoni MT"/>
          <w:sz w:val="24"/>
          <w:szCs w:val="24"/>
        </w:rPr>
        <w:t>46, di cui € 481.500,00 provenienti dal Titolo II-</w:t>
      </w:r>
      <w:r w:rsidR="00E72D49" w:rsidRPr="00161FD5">
        <w:rPr>
          <w:rFonts w:ascii="Bodoni MT" w:eastAsiaTheme="minorEastAsia" w:hAnsi="Bodoni MT" w:cs="Bodoni MT"/>
          <w:i/>
          <w:sz w:val="24"/>
          <w:szCs w:val="24"/>
        </w:rPr>
        <w:t>Trasferimenti correnti</w:t>
      </w:r>
      <w:r w:rsidR="00E72D49" w:rsidRPr="00161FD5">
        <w:rPr>
          <w:rFonts w:ascii="Bodoni MT" w:eastAsiaTheme="minorEastAsia" w:hAnsi="Bodoni MT" w:cs="Bodoni MT"/>
          <w:sz w:val="24"/>
          <w:szCs w:val="24"/>
        </w:rPr>
        <w:t>.</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Dalle informazioni acquisite in sede istruttoria</w:t>
      </w:r>
      <w:r w:rsidRPr="00161FD5">
        <w:rPr>
          <w:rStyle w:val="Rimandonotaapidipagina"/>
          <w:rFonts w:ascii="Bodoni MT" w:eastAsiaTheme="minorEastAsia" w:hAnsi="Bodoni MT" w:cs="Bodoni MT"/>
          <w:sz w:val="24"/>
          <w:szCs w:val="24"/>
        </w:rPr>
        <w:footnoteReference w:id="97"/>
      </w:r>
      <w:r w:rsidRPr="00161FD5">
        <w:rPr>
          <w:rFonts w:ascii="Bodoni MT" w:eastAsiaTheme="minorEastAsia" w:hAnsi="Bodoni MT" w:cs="Bodoni MT"/>
          <w:sz w:val="24"/>
          <w:szCs w:val="24"/>
        </w:rPr>
        <w:t xml:space="preserve"> emerge che gli stralci attivi riguardano quasi esclusivamente assegnazioni statali e UE, e, in gran parte, si tratta di residui del Titolo IV-</w:t>
      </w:r>
      <w:r w:rsidRPr="00161FD5">
        <w:rPr>
          <w:rFonts w:ascii="Bodoni MT" w:eastAsiaTheme="minorEastAsia" w:hAnsi="Bodoni MT" w:cs="Bodoni MT"/>
          <w:i/>
          <w:sz w:val="24"/>
          <w:szCs w:val="24"/>
        </w:rPr>
        <w:t xml:space="preserve">Entrate in conto capitale </w:t>
      </w:r>
      <w:r w:rsidRPr="00161FD5">
        <w:rPr>
          <w:rFonts w:ascii="Bodoni MT" w:eastAsiaTheme="minorEastAsia" w:hAnsi="Bodoni MT" w:cs="Bodoni MT"/>
          <w:sz w:val="24"/>
          <w:szCs w:val="24"/>
        </w:rPr>
        <w:t xml:space="preserve">(pari al 77,83% degli stralci complessivi). </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 xml:space="preserve">Fra quelli del Titolo IV provenienti dagli esercizi precedenti, si evidenziano alcuni residui riconducibili a interventi finanziati con fondi UE e assegnazioni statali per un importo complessivo di € 58.341.649,89, riguardanti il programma PAC, che la Regione riferisce essere stati riprogrammati e finanziati con pari accertamento sempre </w:t>
      </w:r>
      <w:r w:rsidR="007F2C73" w:rsidRPr="00161FD5">
        <w:rPr>
          <w:rFonts w:ascii="Bodoni MT" w:eastAsiaTheme="minorEastAsia" w:hAnsi="Bodoni MT" w:cs="Bodoni MT"/>
          <w:sz w:val="24"/>
          <w:szCs w:val="24"/>
        </w:rPr>
        <w:t>a valere sul programma</w:t>
      </w:r>
      <w:r w:rsidRPr="00161FD5">
        <w:rPr>
          <w:rFonts w:ascii="Bodoni MT" w:eastAsiaTheme="minorEastAsia" w:hAnsi="Bodoni MT" w:cs="Bodoni MT"/>
          <w:sz w:val="24"/>
          <w:szCs w:val="24"/>
        </w:rPr>
        <w:t xml:space="preserve"> PAC. </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Fra i residui attivi provenienti dalla competenza (tutti ascrivibili ai Titoli II e IV), si segnalano stralci per “mancato impegno nei corrispondenti capitoli di spesa”, fra i quali quello relativo al ODS (Obiettivo di Servizio) SERVIZI DI CURA PER GLI ANZIANI/2016</w:t>
      </w:r>
      <w:r w:rsidR="00997B2E" w:rsidRPr="00161FD5">
        <w:rPr>
          <w:rFonts w:ascii="Bodoni MT" w:eastAsiaTheme="minorEastAsia" w:hAnsi="Bodoni MT" w:cs="Bodoni MT"/>
          <w:sz w:val="24"/>
          <w:szCs w:val="24"/>
        </w:rPr>
        <w:t xml:space="preserve"> di importo pari a € </w:t>
      </w:r>
      <w:r w:rsidRPr="00161FD5">
        <w:rPr>
          <w:rFonts w:ascii="Bodoni MT" w:eastAsiaTheme="minorEastAsia" w:hAnsi="Bodoni MT" w:cs="Bodoni MT"/>
          <w:sz w:val="24"/>
          <w:szCs w:val="24"/>
        </w:rPr>
        <w:t xml:space="preserve">6.089.137,00, e quelli riguardanti il programma “Garanzia Giovani”, dell’importo complessivo di 2 </w:t>
      </w:r>
      <w:r w:rsidR="00942712">
        <w:rPr>
          <w:rFonts w:ascii="Bodoni MT" w:eastAsiaTheme="minorEastAsia" w:hAnsi="Bodoni MT" w:cs="Bodoni MT"/>
          <w:sz w:val="24"/>
          <w:szCs w:val="24"/>
        </w:rPr>
        <w:t>milioni</w:t>
      </w:r>
      <w:r w:rsidRPr="00161FD5">
        <w:rPr>
          <w:rFonts w:ascii="Bodoni MT" w:eastAsiaTheme="minorEastAsia" w:hAnsi="Bodoni MT" w:cs="Bodoni MT"/>
          <w:sz w:val="24"/>
          <w:szCs w:val="24"/>
        </w:rPr>
        <w:t xml:space="preserve"> di euro circa, di cui 1,7 </w:t>
      </w:r>
      <w:r w:rsidR="00922051" w:rsidRPr="001228FE">
        <w:rPr>
          <w:rFonts w:ascii="Bodoni MT" w:hAnsi="Bodoni MT"/>
          <w:sz w:val="24"/>
          <w:szCs w:val="24"/>
        </w:rPr>
        <w:t>milioni</w:t>
      </w:r>
      <w:r w:rsidR="00922051" w:rsidRPr="001228FE">
        <w:rPr>
          <w:rFonts w:ascii="Bodoni MT" w:hAnsi="Bodoni MT"/>
        </w:rPr>
        <w:t xml:space="preserve"> </w:t>
      </w:r>
      <w:r w:rsidRPr="00161FD5">
        <w:rPr>
          <w:rFonts w:ascii="Bodoni MT" w:eastAsiaTheme="minorEastAsia" w:hAnsi="Bodoni MT" w:cs="Bodoni MT"/>
          <w:sz w:val="24"/>
          <w:szCs w:val="24"/>
        </w:rPr>
        <w:t xml:space="preserve">di euro circa stralciati per mancato impegno di spesa. Sulla base di quanto riferito dalla RAS, residua il dubbio che tali risorse possano essere recuperate o se invece debbano considerarsi perse definitivamente. </w:t>
      </w:r>
    </w:p>
    <w:p w:rsidR="00E72D49" w:rsidRPr="00161FD5" w:rsidRDefault="0013706B"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lastRenderedPageBreak/>
        <w:t>Fra i residui del Titolo IV se ne</w:t>
      </w:r>
      <w:r w:rsidR="00E72D49" w:rsidRPr="00161FD5">
        <w:rPr>
          <w:rFonts w:ascii="Bodoni MT" w:eastAsiaTheme="minorEastAsia" w:hAnsi="Bodoni MT" w:cs="Bodoni MT"/>
          <w:sz w:val="24"/>
          <w:szCs w:val="24"/>
        </w:rPr>
        <w:t xml:space="preserve"> evidenzia </w:t>
      </w:r>
      <w:r w:rsidRPr="00161FD5">
        <w:rPr>
          <w:rFonts w:ascii="Bodoni MT" w:eastAsiaTheme="minorEastAsia" w:hAnsi="Bodoni MT" w:cs="Bodoni MT"/>
          <w:sz w:val="24"/>
          <w:szCs w:val="24"/>
        </w:rPr>
        <w:t>un</w:t>
      </w:r>
      <w:r w:rsidR="00E72D49" w:rsidRPr="00161FD5">
        <w:rPr>
          <w:rFonts w:ascii="Bodoni MT" w:eastAsiaTheme="minorEastAsia" w:hAnsi="Bodoni MT" w:cs="Bodoni MT"/>
          <w:sz w:val="24"/>
          <w:szCs w:val="24"/>
        </w:rPr>
        <w:t xml:space="preserve">o risalente al 2015, di complessivi € 5.446.744,36, riguardante un’assegnazione statale per la realizzazione del Piano regionale per il superamento degli Ospedali Psichiatrici Giudiziari. Il residuo è stato stralciato perché nell'esercizio 2016, pur in presenza dell'atto di assegnazione del finanziamento, </w:t>
      </w:r>
      <w:r w:rsidR="00E72D49" w:rsidRPr="00161FD5">
        <w:rPr>
          <w:rFonts w:ascii="Bodoni MT" w:eastAsiaTheme="minorEastAsia" w:hAnsi="Bodoni MT" w:cs="Bodoni MT"/>
          <w:i/>
          <w:sz w:val="24"/>
          <w:szCs w:val="24"/>
        </w:rPr>
        <w:t>“non sussistevano i presupposti per il riconoscimento delle somme da parte del Ministero</w:t>
      </w:r>
      <w:r w:rsidR="00E72D49" w:rsidRPr="00161FD5">
        <w:rPr>
          <w:rFonts w:ascii="Bodoni MT" w:eastAsiaTheme="minorEastAsia" w:hAnsi="Bodoni MT" w:cs="Bodoni MT"/>
          <w:sz w:val="24"/>
          <w:szCs w:val="24"/>
        </w:rPr>
        <w:t xml:space="preserve">”, legati all'approvazione del Piano. </w:t>
      </w:r>
      <w:r w:rsidRPr="00161FD5">
        <w:rPr>
          <w:rFonts w:ascii="Bodoni MT" w:eastAsiaTheme="minorEastAsia" w:hAnsi="Bodoni MT" w:cs="Bodoni MT"/>
          <w:sz w:val="24"/>
          <w:szCs w:val="24"/>
        </w:rPr>
        <w:t xml:space="preserve">Le ragioni di tale stralcio potrebbero derivare dal mancato completamento da parte della </w:t>
      </w:r>
      <w:r w:rsidR="00E72D49" w:rsidRPr="00161FD5">
        <w:rPr>
          <w:rFonts w:ascii="Bodoni MT" w:eastAsiaTheme="minorEastAsia" w:hAnsi="Bodoni MT" w:cs="Bodoni MT"/>
          <w:sz w:val="24"/>
          <w:szCs w:val="24"/>
        </w:rPr>
        <w:t xml:space="preserve">Regione </w:t>
      </w:r>
      <w:r w:rsidRPr="00161FD5">
        <w:rPr>
          <w:rFonts w:ascii="Bodoni MT" w:eastAsiaTheme="minorEastAsia" w:hAnsi="Bodoni MT" w:cs="Bodoni MT"/>
          <w:sz w:val="24"/>
          <w:szCs w:val="24"/>
        </w:rPr>
        <w:t>delle</w:t>
      </w:r>
      <w:r w:rsidR="00E72D49" w:rsidRPr="00161FD5">
        <w:rPr>
          <w:rFonts w:ascii="Bodoni MT" w:eastAsiaTheme="minorEastAsia" w:hAnsi="Bodoni MT" w:cs="Bodoni MT"/>
          <w:sz w:val="24"/>
          <w:szCs w:val="24"/>
        </w:rPr>
        <w:t xml:space="preserve"> attività/iniziative necessarie per conseguire il finanziamento. Viene riferito, pertanto, che l'accertamento verrà riadottato all'atto dell'approvazione di detto Piano. </w:t>
      </w:r>
    </w:p>
    <w:p w:rsidR="005D660C" w:rsidRPr="00161FD5" w:rsidRDefault="005D660C" w:rsidP="005D660C">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 xml:space="preserve">Nella </w:t>
      </w:r>
      <w:r w:rsidR="00D20DA7" w:rsidRPr="00161FD5">
        <w:rPr>
          <w:rFonts w:ascii="Bodoni MT" w:eastAsiaTheme="minorEastAsia" w:hAnsi="Bodoni MT" w:cs="Bodoni MT"/>
          <w:sz w:val="24"/>
          <w:szCs w:val="24"/>
        </w:rPr>
        <w:t xml:space="preserve">Relazione </w:t>
      </w:r>
      <w:r w:rsidR="007F2C73" w:rsidRPr="00161FD5">
        <w:rPr>
          <w:rFonts w:ascii="Bodoni MT" w:eastAsiaTheme="minorEastAsia" w:hAnsi="Bodoni MT" w:cs="Bodoni MT"/>
          <w:sz w:val="24"/>
          <w:szCs w:val="24"/>
        </w:rPr>
        <w:t>sulla gestione si riferisce che</w:t>
      </w:r>
      <w:r w:rsidRPr="00161FD5">
        <w:rPr>
          <w:rFonts w:ascii="Bodoni MT" w:eastAsiaTheme="minorEastAsia" w:hAnsi="Bodoni MT" w:cs="Bodoni MT"/>
          <w:sz w:val="24"/>
          <w:szCs w:val="24"/>
        </w:rPr>
        <w:t xml:space="preserve"> in occasione del riaccertamento ordinario sono stati rilevati maggiori residui attivi per € 168,85</w:t>
      </w:r>
      <w:r w:rsidR="0013706B" w:rsidRPr="00161FD5">
        <w:rPr>
          <w:rFonts w:ascii="Bodoni MT" w:eastAsiaTheme="minorEastAsia" w:hAnsi="Bodoni MT" w:cs="Bodoni MT"/>
          <w:sz w:val="24"/>
          <w:szCs w:val="24"/>
        </w:rPr>
        <w:t>, tale importo viene sottratto da</w:t>
      </w:r>
      <w:r w:rsidRPr="00161FD5">
        <w:rPr>
          <w:rFonts w:ascii="Bodoni MT" w:eastAsiaTheme="minorEastAsia" w:hAnsi="Bodoni MT" w:cs="Bodoni MT"/>
          <w:sz w:val="24"/>
          <w:szCs w:val="24"/>
        </w:rPr>
        <w:t>i minori residui attivi riaccertati indicati nel conto del bilancio “Entrate”</w:t>
      </w:r>
      <w:r w:rsidRPr="00161FD5">
        <w:rPr>
          <w:rFonts w:ascii="Bodoni MT" w:eastAsiaTheme="minorEastAsia" w:hAnsi="Bodoni MT" w:cs="Bodoni MT"/>
          <w:sz w:val="24"/>
          <w:szCs w:val="24"/>
          <w:vertAlign w:val="superscript"/>
        </w:rPr>
        <w:footnoteReference w:id="98"/>
      </w:r>
      <w:r w:rsidRPr="00161FD5">
        <w:rPr>
          <w:rFonts w:ascii="Bodoni MT" w:eastAsiaTheme="minorEastAsia" w:hAnsi="Bodoni MT" w:cs="Bodoni MT"/>
          <w:sz w:val="24"/>
          <w:szCs w:val="24"/>
        </w:rPr>
        <w:t xml:space="preserve">, </w:t>
      </w:r>
      <w:r w:rsidR="0013706B" w:rsidRPr="00161FD5">
        <w:rPr>
          <w:rFonts w:ascii="Bodoni MT" w:eastAsiaTheme="minorEastAsia" w:hAnsi="Bodoni MT" w:cs="Bodoni MT"/>
          <w:sz w:val="24"/>
          <w:szCs w:val="24"/>
        </w:rPr>
        <w:t>che ri</w:t>
      </w:r>
      <w:r w:rsidRPr="00161FD5">
        <w:rPr>
          <w:rFonts w:ascii="Bodoni MT" w:eastAsiaTheme="minorEastAsia" w:hAnsi="Bodoni MT" w:cs="Bodoni MT"/>
          <w:sz w:val="24"/>
          <w:szCs w:val="24"/>
        </w:rPr>
        <w:t>s</w:t>
      </w:r>
      <w:r w:rsidR="0013706B" w:rsidRPr="00161FD5">
        <w:rPr>
          <w:rFonts w:ascii="Bodoni MT" w:eastAsiaTheme="minorEastAsia" w:hAnsi="Bodoni MT" w:cs="Bodoni MT"/>
          <w:sz w:val="24"/>
          <w:szCs w:val="24"/>
        </w:rPr>
        <w:t>ulta</w:t>
      </w:r>
      <w:r w:rsidRPr="00161FD5">
        <w:rPr>
          <w:rFonts w:ascii="Bodoni MT" w:eastAsiaTheme="minorEastAsia" w:hAnsi="Bodoni MT" w:cs="Bodoni MT"/>
          <w:sz w:val="24"/>
          <w:szCs w:val="24"/>
        </w:rPr>
        <w:t>no pari a € 173.143.181,17</w:t>
      </w:r>
      <w:r w:rsidR="0013706B" w:rsidRPr="00161FD5">
        <w:rPr>
          <w:rFonts w:ascii="Bodoni MT" w:eastAsiaTheme="minorEastAsia" w:hAnsi="Bodoni MT" w:cs="Bodoni MT"/>
          <w:sz w:val="24"/>
          <w:szCs w:val="24"/>
        </w:rPr>
        <w:t>.</w:t>
      </w:r>
      <w:r w:rsidRPr="00161FD5">
        <w:rPr>
          <w:rFonts w:ascii="Bodoni MT" w:eastAsiaTheme="minorEastAsia" w:hAnsi="Bodoni MT" w:cs="Bodoni MT"/>
          <w:sz w:val="24"/>
          <w:szCs w:val="24"/>
        </w:rPr>
        <w:t xml:space="preserve"> </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b/>
          <w:color w:val="000000"/>
          <w:sz w:val="24"/>
          <w:szCs w:val="24"/>
        </w:rPr>
        <w:t>I residui passivi eliminati</w:t>
      </w:r>
      <w:r w:rsidRPr="005D660C">
        <w:rPr>
          <w:rFonts w:ascii="Bodoni MT" w:eastAsiaTheme="minorEastAsia" w:hAnsi="Bodoni MT" w:cs="Bodoni MT"/>
          <w:color w:val="000000"/>
          <w:sz w:val="24"/>
          <w:szCs w:val="24"/>
        </w:rPr>
        <w:t xml:space="preserve"> sono stati invece complessivamente pari a </w:t>
      </w:r>
      <w:r w:rsidRPr="005D660C">
        <w:rPr>
          <w:rFonts w:ascii="Bodoni MT" w:eastAsiaTheme="minorEastAsia" w:hAnsi="Bodoni MT" w:cs="Bodoni MT"/>
          <w:b/>
          <w:color w:val="000000"/>
          <w:sz w:val="24"/>
          <w:szCs w:val="24"/>
        </w:rPr>
        <w:t>€ 110.648.051,88,</w:t>
      </w:r>
      <w:r w:rsidRPr="005D660C">
        <w:rPr>
          <w:rFonts w:ascii="Bodoni MT" w:eastAsiaTheme="minorEastAsia" w:hAnsi="Bodoni MT" w:cs="Bodoni MT"/>
          <w:color w:val="000000"/>
          <w:sz w:val="24"/>
          <w:szCs w:val="24"/>
        </w:rPr>
        <w:t xml:space="preserve"> di cui €</w:t>
      </w:r>
      <w:r w:rsidR="00D7087F">
        <w:rPr>
          <w:rFonts w:ascii="Bodoni MT" w:eastAsiaTheme="minorEastAsia" w:hAnsi="Bodoni MT" w:cs="Bodoni MT"/>
          <w:color w:val="000000"/>
          <w:sz w:val="24"/>
          <w:szCs w:val="24"/>
        </w:rPr>
        <w:t> </w:t>
      </w:r>
      <w:r w:rsidRPr="005D660C">
        <w:rPr>
          <w:rFonts w:ascii="Bodoni MT" w:eastAsiaTheme="minorEastAsia" w:hAnsi="Bodoni MT" w:cs="Bodoni MT"/>
          <w:color w:val="000000"/>
          <w:sz w:val="24"/>
          <w:szCs w:val="24"/>
        </w:rPr>
        <w:t>47.003.881,26 (comprensivi di € 2.747.039,11 relativi a stralci operati anteriormente al riaccertamento ordinario) dalla gestione di competenza, e € 63.644.170,62 dalla gestione dei residui, comprensivi anche dell’importo di € 3.922.162,36 relativo a stralci effettuati anteriormente al riaccertamento ordinario.</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i/>
          <w:sz w:val="24"/>
          <w:szCs w:val="24"/>
        </w:rPr>
      </w:pPr>
      <w:r w:rsidRPr="00161FD5">
        <w:rPr>
          <w:rFonts w:ascii="Bodoni MT" w:eastAsiaTheme="minorEastAsia" w:hAnsi="Bodoni MT" w:cs="Bodoni MT"/>
          <w:sz w:val="24"/>
          <w:szCs w:val="24"/>
        </w:rPr>
        <w:t>L’analisi dei dati acquisiti in sede istruttoria consente di affermare che il 69% dei residui passivi stralciati riguarda le spese del Titolo II “Spese in conto capitale” (assegnazioni statali). Tra quelli di importo più rilevante si segnala lo stralcio di €</w:t>
      </w:r>
      <w:r w:rsidR="00FE63D6">
        <w:rPr>
          <w:rFonts w:ascii="Bodoni MT" w:eastAsiaTheme="minorEastAsia" w:hAnsi="Bodoni MT" w:cs="Bodoni MT"/>
          <w:sz w:val="24"/>
          <w:szCs w:val="24"/>
        </w:rPr>
        <w:t xml:space="preserve"> </w:t>
      </w:r>
      <w:r w:rsidRPr="00161FD5">
        <w:rPr>
          <w:rFonts w:ascii="Bodoni MT" w:eastAsiaTheme="minorEastAsia" w:hAnsi="Bodoni MT" w:cs="Bodoni MT"/>
          <w:sz w:val="24"/>
          <w:szCs w:val="24"/>
        </w:rPr>
        <w:t xml:space="preserve">23.133.223,00 sul Cap. SC02.0213, concernente la “Programmazione FSC 2007-2013” per interventi di edilizia universitaria, cui si aggiunge lo stralcio di € 2.570.358,00 di assegnazioni statali per il 2015, sempre sul Cap. SC02.0213, avente la stessa finalità. Gli importi sono stati stralciati perché </w:t>
      </w:r>
      <w:r w:rsidRPr="00161FD5">
        <w:rPr>
          <w:rFonts w:ascii="Bodoni MT" w:eastAsiaTheme="minorEastAsia" w:hAnsi="Bodoni MT" w:cs="Bodoni MT"/>
          <w:i/>
          <w:sz w:val="24"/>
          <w:szCs w:val="24"/>
        </w:rPr>
        <w:t xml:space="preserve">“definanziati per l’impossibilità a raggiungere l’OGV entro il 31/12/2015”. </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i/>
          <w:sz w:val="24"/>
          <w:szCs w:val="24"/>
        </w:rPr>
      </w:pPr>
      <w:r w:rsidRPr="00161FD5">
        <w:rPr>
          <w:rFonts w:ascii="Bodoni MT" w:eastAsiaTheme="minorEastAsia" w:hAnsi="Bodoni MT" w:cs="Bodoni MT"/>
          <w:sz w:val="24"/>
          <w:szCs w:val="24"/>
        </w:rPr>
        <w:t>Ancora si segnalano i residui risalenti al 2015 relativi a fondi regionali sul Cap. SC06.1607, di €</w:t>
      </w:r>
      <w:r w:rsidR="00EE1A80">
        <w:rPr>
          <w:rFonts w:ascii="Bodoni MT" w:eastAsiaTheme="minorEastAsia" w:hAnsi="Bodoni MT" w:cs="Bodoni MT"/>
          <w:sz w:val="24"/>
          <w:szCs w:val="24"/>
        </w:rPr>
        <w:t> </w:t>
      </w:r>
      <w:r w:rsidRPr="00161FD5">
        <w:rPr>
          <w:rFonts w:ascii="Bodoni MT" w:eastAsiaTheme="minorEastAsia" w:hAnsi="Bodoni MT" w:cs="Bodoni MT"/>
          <w:sz w:val="24"/>
          <w:szCs w:val="24"/>
        </w:rPr>
        <w:t xml:space="preserve">9.655.087,84 e di € 13.436.572,74, riguardanti l’iniziativa “Fondo anticipazioni ammortizzatori in deroga”, inizialmente iscritta nel bilancio 2013. La Regione ha riferito che tale iniziativa </w:t>
      </w:r>
      <w:r w:rsidR="003F71D8" w:rsidRPr="00161FD5">
        <w:rPr>
          <w:rFonts w:ascii="Bodoni MT" w:eastAsiaTheme="minorEastAsia" w:hAnsi="Bodoni MT" w:cs="Bodoni MT"/>
          <w:i/>
          <w:sz w:val="24"/>
          <w:szCs w:val="24"/>
        </w:rPr>
        <w:t>“</w:t>
      </w:r>
      <w:r w:rsidRPr="00161FD5">
        <w:rPr>
          <w:rFonts w:ascii="Bodoni MT" w:eastAsiaTheme="minorEastAsia" w:hAnsi="Bodoni MT" w:cs="Bodoni MT"/>
          <w:i/>
          <w:sz w:val="24"/>
          <w:szCs w:val="24"/>
        </w:rPr>
        <w:t>prevedeva un intervento finanziato in parte con somme statali per € 90.807.331,16 e in parte con risorse regionali per 30.000.000,00 di euro. Nell’esercizio 2016, a conclusione dell’iniziativa, sui capitoli di fondi regionali sussistevano economie di spesa per complessivi € 23.091.660,58. Con la direttiva dell’assessore del Lavoro n. 0002340 del 30.12.2016 si invitava il Direttore del Servizio lavoro a provvedere al disimpegno delle risorse stanziate (imp. n. 3150022479 di € 9.655.0</w:t>
      </w:r>
      <w:r w:rsidR="00FE63D6">
        <w:rPr>
          <w:rFonts w:ascii="Bodoni MT" w:eastAsiaTheme="minorEastAsia" w:hAnsi="Bodoni MT" w:cs="Bodoni MT"/>
          <w:i/>
          <w:sz w:val="24"/>
          <w:szCs w:val="24"/>
        </w:rPr>
        <w:t xml:space="preserve">87,84 e imp. n. 3150022480 di </w:t>
      </w:r>
      <w:r w:rsidR="00FE63D6">
        <w:rPr>
          <w:rFonts w:ascii="Bodoni MT" w:eastAsiaTheme="minorEastAsia" w:hAnsi="Bodoni MT" w:cs="Bodoni MT"/>
          <w:i/>
          <w:sz w:val="24"/>
          <w:szCs w:val="24"/>
        </w:rPr>
        <w:lastRenderedPageBreak/>
        <w:t>€ </w:t>
      </w:r>
      <w:r w:rsidRPr="00161FD5">
        <w:rPr>
          <w:rFonts w:ascii="Bodoni MT" w:eastAsiaTheme="minorEastAsia" w:hAnsi="Bodoni MT" w:cs="Bodoni MT"/>
          <w:i/>
          <w:sz w:val="24"/>
          <w:szCs w:val="24"/>
        </w:rPr>
        <w:t xml:space="preserve">13.436.572,74) per destinarle alle finalità indicate nella L.R. 32/2016. Il Direttore del Servizio, provvedeva con determinazione n. 5874 del 30.12.2016 al disimpegno delle somme con la conseguente economia formale. (Le risorse sono pertanto </w:t>
      </w:r>
      <w:r w:rsidR="003F71D8" w:rsidRPr="00161FD5">
        <w:rPr>
          <w:rFonts w:ascii="Bodoni MT" w:eastAsiaTheme="minorEastAsia" w:hAnsi="Bodoni MT" w:cs="Bodoni MT"/>
          <w:i/>
          <w:sz w:val="24"/>
          <w:szCs w:val="24"/>
        </w:rPr>
        <w:t>confluite nell'avanzo vincolato</w:t>
      </w:r>
      <w:r w:rsidRPr="00161FD5">
        <w:rPr>
          <w:rFonts w:ascii="Bodoni MT" w:eastAsiaTheme="minorEastAsia" w:hAnsi="Bodoni MT" w:cs="Bodoni MT"/>
          <w:i/>
          <w:sz w:val="24"/>
          <w:szCs w:val="24"/>
        </w:rPr>
        <w:t>)”.</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Sul Cap.SC07.0629, risulta stralciato l’importo di € 5.839.833,93 relativo a contributi ex art. 3 della L</w:t>
      </w:r>
      <w:r w:rsidR="00EE1A80">
        <w:rPr>
          <w:rFonts w:ascii="Bodoni MT" w:eastAsiaTheme="minorEastAsia" w:hAnsi="Bodoni MT" w:cs="Bodoni MT"/>
          <w:sz w:val="24"/>
          <w:szCs w:val="24"/>
        </w:rPr>
        <w:t>.</w:t>
      </w:r>
      <w:r w:rsidRPr="00161FD5">
        <w:rPr>
          <w:rFonts w:ascii="Bodoni MT" w:eastAsiaTheme="minorEastAsia" w:hAnsi="Bodoni MT" w:cs="Bodoni MT"/>
          <w:sz w:val="24"/>
          <w:szCs w:val="24"/>
        </w:rPr>
        <w:t>R</w:t>
      </w:r>
      <w:r w:rsidR="00EE1A80">
        <w:rPr>
          <w:rFonts w:ascii="Bodoni MT" w:eastAsiaTheme="minorEastAsia" w:hAnsi="Bodoni MT" w:cs="Bodoni MT"/>
          <w:sz w:val="24"/>
          <w:szCs w:val="24"/>
        </w:rPr>
        <w:t>.</w:t>
      </w:r>
      <w:r w:rsidRPr="00161FD5">
        <w:rPr>
          <w:rFonts w:ascii="Bodoni MT" w:eastAsiaTheme="minorEastAsia" w:hAnsi="Bodoni MT" w:cs="Bodoni MT"/>
          <w:sz w:val="24"/>
          <w:szCs w:val="24"/>
        </w:rPr>
        <w:t xml:space="preserve"> 10/2010 in favore degli aeroporti sardi per la "destagionalizzazione" dei collegamenti aerei e l’impegno risulta aperto per la quota massima relativa all'annualità 2013. L'importo stralciato, non è supportato da obbligazione giuridica in quanto eccedente l’importo confermato con la L.R. 10</w:t>
      </w:r>
      <w:r w:rsidR="0041784F" w:rsidRPr="00161FD5">
        <w:rPr>
          <w:rFonts w:ascii="Bodoni MT" w:eastAsiaTheme="minorEastAsia" w:hAnsi="Bodoni MT" w:cs="Bodoni MT"/>
          <w:sz w:val="24"/>
          <w:szCs w:val="24"/>
        </w:rPr>
        <w:t>/2010</w:t>
      </w:r>
      <w:r w:rsidRPr="00161FD5">
        <w:rPr>
          <w:rFonts w:ascii="Bodoni MT" w:eastAsiaTheme="minorEastAsia" w:hAnsi="Bodoni MT" w:cs="Bodoni MT"/>
          <w:sz w:val="24"/>
          <w:szCs w:val="24"/>
        </w:rPr>
        <w:t xml:space="preserve"> citata.</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Da evidenziare anche il residuo di € 2.452.732,60 (Cap. SC04.1429) riguardante assegnazioni statali relativi al POR FESR 2007-2013, a favore del Consorzio Industriale Provinciale dell’Ogliastra per realizzare l’intervento di “Ampliamento e adeguamento del centro consortile per la valorizzazione e lo stoccaggio dei materiali provenienti dalla raccolta differenziata”, successivamente delegato con DDS n. 629 in data 24/07/2009.</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 xml:space="preserve">Al riguardo la Regione riferisce che detto Consorzio, pur dovendo realizzare l’opera entro e non oltre il 31/12/2015 ai sensi dei regolamenti comunitari attinenti al PO FESR 2007-2013, non ha provveduto a rendicontare alcuna spesa o a comunicare eventuale OGV. </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 xml:space="preserve">Tale situazione di stallo è stata acclarata </w:t>
      </w:r>
      <w:r w:rsidR="002A11E2">
        <w:rPr>
          <w:rFonts w:ascii="Bodoni MT" w:eastAsiaTheme="minorEastAsia" w:hAnsi="Bodoni MT" w:cs="Bodoni MT"/>
          <w:sz w:val="24"/>
          <w:szCs w:val="24"/>
        </w:rPr>
        <w:t xml:space="preserve">(dalla Regione) </w:t>
      </w:r>
      <w:r w:rsidRPr="00161FD5">
        <w:rPr>
          <w:rFonts w:ascii="Bodoni MT" w:eastAsiaTheme="minorEastAsia" w:hAnsi="Bodoni MT" w:cs="Bodoni MT"/>
          <w:sz w:val="24"/>
          <w:szCs w:val="24"/>
        </w:rPr>
        <w:t>in fase istruttoria nel 2016, per cui in occasione del riaccertamento ordinario dei residui passivi, con DDS n. 81 del 09.03.2017 è stato disposto, tra l’altro, il disimpegno della somma di € 2.452.732,60 sopra citata.</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Si segnala, infine, il residuo di € 2.471.848,75 riguardante corrispettivi contrattuali per i collegamenti marittimi con le isole minor</w:t>
      </w:r>
      <w:r w:rsidR="00E54D02">
        <w:rPr>
          <w:rFonts w:ascii="Bodoni MT" w:eastAsiaTheme="minorEastAsia" w:hAnsi="Bodoni MT" w:cs="Bodoni MT"/>
          <w:sz w:val="24"/>
          <w:szCs w:val="24"/>
        </w:rPr>
        <w:t>i</w:t>
      </w:r>
      <w:r w:rsidRPr="00161FD5">
        <w:rPr>
          <w:rFonts w:ascii="Bodoni MT" w:eastAsiaTheme="minorEastAsia" w:hAnsi="Bodoni MT" w:cs="Bodoni MT"/>
          <w:sz w:val="24"/>
          <w:szCs w:val="24"/>
        </w:rPr>
        <w:t xml:space="preserve"> svolti dalla SAREMAR</w:t>
      </w:r>
      <w:r w:rsidR="00FE67AB" w:rsidRPr="00161FD5">
        <w:rPr>
          <w:rFonts w:ascii="Bodoni MT" w:eastAsiaTheme="minorEastAsia" w:hAnsi="Bodoni MT" w:cs="Bodoni MT"/>
          <w:sz w:val="24"/>
          <w:szCs w:val="24"/>
        </w:rPr>
        <w:t>,</w:t>
      </w:r>
      <w:r w:rsidRPr="00161FD5">
        <w:rPr>
          <w:rFonts w:ascii="Bodoni MT" w:eastAsiaTheme="minorEastAsia" w:hAnsi="Bodoni MT" w:cs="Bodoni MT"/>
          <w:sz w:val="24"/>
          <w:szCs w:val="24"/>
        </w:rPr>
        <w:t xml:space="preserve"> stralciato </w:t>
      </w:r>
      <w:r w:rsidR="00FE67AB" w:rsidRPr="00161FD5">
        <w:rPr>
          <w:rFonts w:ascii="Bodoni MT" w:eastAsiaTheme="minorEastAsia" w:hAnsi="Bodoni MT" w:cs="Bodoni MT"/>
          <w:sz w:val="24"/>
          <w:szCs w:val="24"/>
        </w:rPr>
        <w:t xml:space="preserve">in quanto la sottostante </w:t>
      </w:r>
      <w:r w:rsidRPr="00161FD5">
        <w:rPr>
          <w:rFonts w:ascii="Bodoni MT" w:eastAsiaTheme="minorEastAsia" w:hAnsi="Bodoni MT" w:cs="Bodoni MT"/>
          <w:sz w:val="24"/>
          <w:szCs w:val="24"/>
        </w:rPr>
        <w:t>obbligazione giuridica, è risultata insussistente.</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b/>
          <w:sz w:val="24"/>
          <w:szCs w:val="24"/>
        </w:rPr>
      </w:pPr>
      <w:r w:rsidRPr="00161FD5">
        <w:rPr>
          <w:rFonts w:ascii="Bodoni MT" w:eastAsiaTheme="minorEastAsia" w:hAnsi="Bodoni MT" w:cs="Bodoni MT"/>
          <w:sz w:val="24"/>
          <w:szCs w:val="24"/>
        </w:rPr>
        <w:t>Desta perplessità, per la rilevanza economica delle sue finalità, lo stralcio del residuo di un milione di euro di fondi regionali stanziati in applicazione dell’art.</w:t>
      </w:r>
      <w:r w:rsidR="0041784F" w:rsidRPr="00161FD5">
        <w:rPr>
          <w:rFonts w:ascii="Bodoni MT" w:eastAsiaTheme="minorEastAsia" w:hAnsi="Bodoni MT" w:cs="Bodoni MT"/>
          <w:sz w:val="24"/>
          <w:szCs w:val="24"/>
        </w:rPr>
        <w:t xml:space="preserve"> </w:t>
      </w:r>
      <w:r w:rsidRPr="00161FD5">
        <w:rPr>
          <w:rFonts w:ascii="Bodoni MT" w:eastAsiaTheme="minorEastAsia" w:hAnsi="Bodoni MT" w:cs="Bodoni MT"/>
          <w:sz w:val="24"/>
          <w:szCs w:val="24"/>
        </w:rPr>
        <w:t>3, comma 40, della L.R. n.</w:t>
      </w:r>
      <w:r w:rsidR="0041784F" w:rsidRPr="00161FD5">
        <w:rPr>
          <w:rFonts w:ascii="Bodoni MT" w:eastAsiaTheme="minorEastAsia" w:hAnsi="Bodoni MT" w:cs="Bodoni MT"/>
          <w:sz w:val="24"/>
          <w:szCs w:val="24"/>
        </w:rPr>
        <w:t xml:space="preserve"> </w:t>
      </w:r>
      <w:r w:rsidRPr="00161FD5">
        <w:rPr>
          <w:rFonts w:ascii="Bodoni MT" w:eastAsiaTheme="minorEastAsia" w:hAnsi="Bodoni MT" w:cs="Bodoni MT"/>
          <w:sz w:val="24"/>
          <w:szCs w:val="24"/>
        </w:rPr>
        <w:t>6/2012 (legge finanziaria 2012) per favorire</w:t>
      </w:r>
      <w:r w:rsidRPr="00161FD5">
        <w:t xml:space="preserve"> </w:t>
      </w:r>
      <w:r w:rsidRPr="00161FD5">
        <w:rPr>
          <w:rFonts w:ascii="Bodoni MT" w:eastAsiaTheme="minorEastAsia" w:hAnsi="Bodoni MT" w:cs="Bodoni MT"/>
          <w:sz w:val="24"/>
          <w:szCs w:val="24"/>
        </w:rPr>
        <w:t>ed accelerare un recupero di competitività delle aziende che operano nei comparti dell'acquacoltura intensiva, della mitilicoltura</w:t>
      </w:r>
      <w:r w:rsidR="007F2C73" w:rsidRPr="00161FD5">
        <w:rPr>
          <w:rFonts w:ascii="Bodoni MT" w:eastAsiaTheme="minorEastAsia" w:hAnsi="Bodoni MT" w:cs="Bodoni MT"/>
          <w:sz w:val="24"/>
          <w:szCs w:val="24"/>
        </w:rPr>
        <w:t>,</w:t>
      </w:r>
      <w:r w:rsidRPr="00161FD5">
        <w:rPr>
          <w:rFonts w:ascii="Bodoni MT" w:eastAsiaTheme="minorEastAsia" w:hAnsi="Bodoni MT" w:cs="Bodoni MT"/>
          <w:sz w:val="24"/>
          <w:szCs w:val="24"/>
        </w:rPr>
        <w:t xml:space="preserve"> dell'ostricoltura all'interno del territorio regionale e/o nelle acque territoriali prospicienti. La legge prevedeva il finanziamento annuo di 1.000.000 </w:t>
      </w:r>
      <w:r w:rsidR="007F2C73" w:rsidRPr="00161FD5">
        <w:rPr>
          <w:rFonts w:ascii="Bodoni MT" w:eastAsiaTheme="minorEastAsia" w:hAnsi="Bodoni MT" w:cs="Bodoni MT"/>
          <w:sz w:val="24"/>
          <w:szCs w:val="24"/>
        </w:rPr>
        <w:t xml:space="preserve">di euro </w:t>
      </w:r>
      <w:r w:rsidRPr="00161FD5">
        <w:rPr>
          <w:rFonts w:ascii="Bodoni MT" w:eastAsiaTheme="minorEastAsia" w:hAnsi="Bodoni MT" w:cs="Bodoni MT"/>
          <w:sz w:val="24"/>
          <w:szCs w:val="24"/>
        </w:rPr>
        <w:t>per la concessione di aiuti economici (de minimis)</w:t>
      </w:r>
      <w:r w:rsidRPr="00161FD5">
        <w:t xml:space="preserve"> </w:t>
      </w:r>
      <w:r w:rsidRPr="00161FD5">
        <w:rPr>
          <w:rFonts w:ascii="Bodoni MT" w:eastAsiaTheme="minorEastAsia" w:hAnsi="Bodoni MT" w:cs="Bodoni MT"/>
          <w:sz w:val="24"/>
          <w:szCs w:val="24"/>
        </w:rPr>
        <w:t>a favore di piccole e</w:t>
      </w:r>
      <w:r w:rsidR="007F2C73" w:rsidRPr="00161FD5">
        <w:rPr>
          <w:rFonts w:ascii="Bodoni MT" w:eastAsiaTheme="minorEastAsia" w:hAnsi="Bodoni MT" w:cs="Bodoni MT"/>
          <w:sz w:val="24"/>
          <w:szCs w:val="24"/>
        </w:rPr>
        <w:t xml:space="preserve"> medie imprese che esercitano le suddette </w:t>
      </w:r>
      <w:r w:rsidRPr="00161FD5">
        <w:rPr>
          <w:rFonts w:ascii="Bodoni MT" w:eastAsiaTheme="minorEastAsia" w:hAnsi="Bodoni MT" w:cs="Bodoni MT"/>
          <w:sz w:val="24"/>
          <w:szCs w:val="24"/>
        </w:rPr>
        <w:t>attività come attività prevalente e/o esclusiva all'interno del territorio regionale e/o nelle acque territoriali prospicienti la Sardegna.</w:t>
      </w:r>
      <w:r w:rsidRPr="00161FD5">
        <w:t xml:space="preserve"> </w:t>
      </w:r>
      <w:r w:rsidRPr="00161FD5">
        <w:rPr>
          <w:rFonts w:ascii="Bodoni MT" w:eastAsiaTheme="minorEastAsia" w:hAnsi="Bodoni MT" w:cs="Bodoni MT"/>
          <w:sz w:val="24"/>
          <w:szCs w:val="24"/>
        </w:rPr>
        <w:t xml:space="preserve">L'agenzia regionale ARGEA Sardegna doveva procedere all'espletamento delle procedure degli aiuti ai beneficiari che </w:t>
      </w:r>
      <w:r w:rsidRPr="00161FD5">
        <w:rPr>
          <w:rFonts w:ascii="Bodoni MT" w:eastAsiaTheme="minorEastAsia" w:hAnsi="Bodoni MT" w:cs="Bodoni MT"/>
          <w:sz w:val="24"/>
          <w:szCs w:val="24"/>
        </w:rPr>
        <w:lastRenderedPageBreak/>
        <w:t>ne avessero fatto richiesta entro il limite massimo di novanta giorni dalla data di entrata in vigore della legge.</w:t>
      </w:r>
      <w:r w:rsidRPr="00161FD5">
        <w:rPr>
          <w:rFonts w:ascii="Bodoni MT" w:eastAsiaTheme="minorEastAsia" w:hAnsi="Bodoni MT" w:cs="Bodoni MT"/>
          <w:b/>
          <w:sz w:val="24"/>
          <w:szCs w:val="24"/>
        </w:rPr>
        <w:t xml:space="preserve"> La Regione riferisce di aver provveduto al disimpegno del suddetto residuo in quanto l'Agenzia ARGEA Sardegna non ha comunicato il ricevimento di richieste di beneficio pervenute entro il termine di 90 giorni stabilito dalla stessa Legge Regionale.</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Infine si indica l’ulteriore stralcio del residuo afferente al Cap.SC04.1421 conseguente alla revoca del finanziamento di un milione di euro (fondi UE) a favore del Comune di San Giovanni Suergiu per interventi di efficienza energetica e illuminazione pubblica. Il finanziamento risulta essere stato revocato poiché il Comune non avrebbe trasmesso entro i termini stabiliti il provvedimento di approvazione del progetto esecutivo.</w:t>
      </w:r>
    </w:p>
    <w:p w:rsidR="00E72D49" w:rsidRPr="00161FD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61FD5">
        <w:rPr>
          <w:rFonts w:ascii="Bodoni MT" w:eastAsiaTheme="minorEastAsia" w:hAnsi="Bodoni MT" w:cs="Bodoni MT"/>
          <w:sz w:val="24"/>
          <w:szCs w:val="24"/>
        </w:rPr>
        <w:t xml:space="preserve">Va aggiunto che il quadro di notizie </w:t>
      </w:r>
      <w:r w:rsidR="00FE67AB" w:rsidRPr="00161FD5">
        <w:rPr>
          <w:rFonts w:ascii="Bodoni MT" w:eastAsiaTheme="minorEastAsia" w:hAnsi="Bodoni MT" w:cs="Bodoni MT"/>
          <w:sz w:val="24"/>
          <w:szCs w:val="24"/>
        </w:rPr>
        <w:t>a carattere contabile</w:t>
      </w:r>
      <w:r w:rsidRPr="00161FD5">
        <w:rPr>
          <w:rFonts w:ascii="Bodoni MT" w:eastAsiaTheme="minorEastAsia" w:hAnsi="Bodoni MT" w:cs="Bodoni MT"/>
          <w:sz w:val="24"/>
          <w:szCs w:val="24"/>
        </w:rPr>
        <w:t>, come sopra riferito, dovrebbe essere integrato (con la dovuta attenzione) con le notizie di carattere giuridico sostanziale, relative alle problematiche sottostanti, ovvero a</w:t>
      </w:r>
      <w:r w:rsidR="00FE67AB" w:rsidRPr="00161FD5">
        <w:rPr>
          <w:rFonts w:ascii="Bodoni MT" w:eastAsiaTheme="minorEastAsia" w:hAnsi="Bodoni MT" w:cs="Bodoni MT"/>
          <w:sz w:val="24"/>
          <w:szCs w:val="24"/>
        </w:rPr>
        <w:t>lle posizioni di</w:t>
      </w:r>
      <w:r w:rsidRPr="00161FD5">
        <w:rPr>
          <w:rFonts w:ascii="Bodoni MT" w:eastAsiaTheme="minorEastAsia" w:hAnsi="Bodoni MT" w:cs="Bodoni MT"/>
          <w:sz w:val="24"/>
          <w:szCs w:val="24"/>
        </w:rPr>
        <w:t xml:space="preserve"> interess</w:t>
      </w:r>
      <w:r w:rsidR="00FE67AB" w:rsidRPr="00161FD5">
        <w:rPr>
          <w:rFonts w:ascii="Bodoni MT" w:eastAsiaTheme="minorEastAsia" w:hAnsi="Bodoni MT" w:cs="Bodoni MT"/>
          <w:sz w:val="24"/>
          <w:szCs w:val="24"/>
        </w:rPr>
        <w:t>e</w:t>
      </w:r>
      <w:r w:rsidRPr="00161FD5">
        <w:rPr>
          <w:rFonts w:ascii="Bodoni MT" w:eastAsiaTheme="minorEastAsia" w:hAnsi="Bodoni MT" w:cs="Bodoni MT"/>
          <w:sz w:val="24"/>
          <w:szCs w:val="24"/>
        </w:rPr>
        <w:t xml:space="preserve"> d</w:t>
      </w:r>
      <w:r w:rsidR="00FE67AB" w:rsidRPr="00161FD5">
        <w:rPr>
          <w:rFonts w:ascii="Bodoni MT" w:eastAsiaTheme="minorEastAsia" w:hAnsi="Bodoni MT" w:cs="Bodoni MT"/>
          <w:sz w:val="24"/>
          <w:szCs w:val="24"/>
        </w:rPr>
        <w:t>e</w:t>
      </w:r>
      <w:r w:rsidRPr="00161FD5">
        <w:rPr>
          <w:rFonts w:ascii="Bodoni MT" w:eastAsiaTheme="minorEastAsia" w:hAnsi="Bodoni MT" w:cs="Bodoni MT"/>
          <w:sz w:val="24"/>
          <w:szCs w:val="24"/>
        </w:rPr>
        <w:t>i soggetti pubblici o privati incisi dalla cancellazione degli impegni.</w:t>
      </w:r>
    </w:p>
    <w:p w:rsidR="005D660C" w:rsidRPr="005D660C" w:rsidRDefault="005D660C" w:rsidP="00503AC8">
      <w:pPr>
        <w:pStyle w:val="Titolo3"/>
      </w:pPr>
      <w:bookmarkStart w:id="176" w:name="_Toc499040933"/>
      <w:bookmarkStart w:id="177" w:name="_Toc507422637"/>
      <w:r w:rsidRPr="005D660C">
        <w:t>Le reimputazioni di crediti e debiti</w:t>
      </w:r>
      <w:bookmarkEnd w:id="176"/>
      <w:bookmarkEnd w:id="177"/>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Con la delibera di riaccertamento ordinario, si è proceduto anche alla reimputazione agli esercizi 2017 e successivi dei crediti accertati nell’esercizio 2016 di cui è stata verificata l’inesigibilità nello stesso esercizio. I </w:t>
      </w:r>
      <w:r w:rsidRPr="005D660C">
        <w:rPr>
          <w:rFonts w:ascii="Bodoni MT" w:eastAsiaTheme="minorEastAsia" w:hAnsi="Bodoni MT" w:cs="Bodoni MT"/>
          <w:b/>
          <w:color w:val="000000"/>
          <w:sz w:val="24"/>
          <w:szCs w:val="24"/>
        </w:rPr>
        <w:t xml:space="preserve">crediti reimputati </w:t>
      </w:r>
      <w:r w:rsidRPr="005D660C">
        <w:rPr>
          <w:rFonts w:ascii="Bodoni MT" w:eastAsiaTheme="minorEastAsia" w:hAnsi="Bodoni MT" w:cs="Bodoni MT"/>
          <w:color w:val="000000"/>
          <w:sz w:val="24"/>
          <w:szCs w:val="24"/>
        </w:rPr>
        <w:t xml:space="preserve">che non hanno dato origine al FPV, riportati nell’Allegato E della citata delibera, ammontano a </w:t>
      </w:r>
      <w:r w:rsidRPr="005D660C">
        <w:rPr>
          <w:rFonts w:ascii="Bodoni MT" w:eastAsiaTheme="minorEastAsia" w:hAnsi="Bodoni MT" w:cs="Bodoni MT"/>
          <w:b/>
          <w:color w:val="000000"/>
          <w:sz w:val="24"/>
          <w:szCs w:val="24"/>
        </w:rPr>
        <w:t>€ 131.886.895,64.</w:t>
      </w:r>
      <w:r w:rsidRPr="005D660C">
        <w:rPr>
          <w:rFonts w:ascii="Bodoni MT" w:eastAsiaTheme="minorEastAsia" w:hAnsi="Bodoni MT" w:cs="Bodoni MT"/>
          <w:color w:val="000000"/>
          <w:sz w:val="24"/>
          <w:szCs w:val="24"/>
        </w:rPr>
        <w:t xml:space="preserve"> Nella delibera di riaccertamento viene specificato che “…</w:t>
      </w:r>
      <w:r w:rsidRPr="00F217D3">
        <w:rPr>
          <w:rFonts w:ascii="Bodoni MT" w:eastAsiaTheme="minorEastAsia" w:hAnsi="Bodoni MT" w:cs="Bodoni MT"/>
          <w:i/>
          <w:color w:val="000000"/>
          <w:sz w:val="24"/>
          <w:szCs w:val="24"/>
        </w:rPr>
        <w:t>le entrate reimputate nell’esercizio 2017 senza vincolo di destinazione che ammontano a euro 249.697,71…sono accantonate nella parte spesa del bilancio in un capitolo di avanzo tecnico non vincolato, che potrà essere destinato con successiva legge regionale di variazione. Inoltre le entrate vincolate reimputate negli esercizi 2017 e 2019 che ammontano rispettivamente a euro 468.135,17 e euro 128.016.778,25 sono accantonate nella parte spesa del bilancio in distinti capitoli di avanzo tecnico vincolato e con successivo provvedimento di variazione di bilancio potranno essere allocate negli specifici capitoli di spesa vincolati alla suddetta entrata, sulla base degli interventi a specifica destinazione che dovranno essere impegnati.</w:t>
      </w:r>
      <w:r w:rsidRPr="005D660C">
        <w:rPr>
          <w:rFonts w:ascii="Bodoni MT" w:eastAsiaTheme="minorEastAsia" w:hAnsi="Bodoni MT" w:cs="Bodoni MT"/>
          <w:color w:val="000000"/>
          <w:sz w:val="24"/>
          <w:szCs w:val="24"/>
        </w:rPr>
        <w:t>” La differenza, pari a € 3.152.284,51, è stata utilizzata a copertura dei debiti reimputati non coperti dal FPV (Allegato F e Allegato L).</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Con la stessa delibera si è proceduto a </w:t>
      </w:r>
      <w:r w:rsidRPr="005D660C">
        <w:rPr>
          <w:rFonts w:ascii="Bodoni MT" w:eastAsiaTheme="minorEastAsia" w:hAnsi="Bodoni MT" w:cs="Bodoni MT"/>
          <w:b/>
          <w:color w:val="000000"/>
          <w:sz w:val="24"/>
          <w:szCs w:val="24"/>
        </w:rPr>
        <w:t xml:space="preserve">reimputare all’esercizio 2017 e successivi i debiti </w:t>
      </w:r>
      <w:r w:rsidRPr="005D660C">
        <w:rPr>
          <w:rFonts w:ascii="Bodoni MT" w:eastAsiaTheme="minorEastAsia" w:hAnsi="Bodoni MT" w:cs="Bodoni MT"/>
          <w:color w:val="000000"/>
          <w:sz w:val="24"/>
          <w:szCs w:val="24"/>
        </w:rPr>
        <w:t xml:space="preserve">di cui all’Allegato F, quantificati complessivamente in </w:t>
      </w:r>
      <w:r w:rsidRPr="005D660C">
        <w:rPr>
          <w:rFonts w:ascii="Bodoni MT" w:eastAsiaTheme="minorEastAsia" w:hAnsi="Bodoni MT" w:cs="Bodoni MT"/>
          <w:b/>
          <w:color w:val="000000"/>
          <w:sz w:val="24"/>
          <w:szCs w:val="24"/>
        </w:rPr>
        <w:t>€ 558.977.451,90</w:t>
      </w:r>
      <w:r w:rsidRPr="005D660C">
        <w:rPr>
          <w:rFonts w:ascii="Bodoni MT" w:eastAsiaTheme="minorEastAsia" w:hAnsi="Bodoni MT" w:cs="Bodoni MT"/>
          <w:color w:val="000000"/>
          <w:sz w:val="24"/>
          <w:szCs w:val="24"/>
        </w:rPr>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lastRenderedPageBreak/>
        <w:t>Nella tabella che segue si espongono i crediti e i debiti per anno di reimputazione e distinti per provenienza.</w:t>
      </w:r>
    </w:p>
    <w:p w:rsidR="005D660C" w:rsidRPr="00AD5BF7" w:rsidRDefault="00CC7DE8" w:rsidP="00D437D0">
      <w:pPr>
        <w:pStyle w:val="Didascalia"/>
        <w:spacing w:before="0"/>
        <w:rPr>
          <w:bCs w:val="0"/>
          <w:sz w:val="24"/>
          <w:szCs w:val="24"/>
        </w:rPr>
      </w:pPr>
      <w:bookmarkStart w:id="178" w:name="_Toc499040971"/>
      <w:bookmarkStart w:id="179" w:name="_Toc507422492"/>
      <w:r>
        <w:t xml:space="preserve">Tabella </w:t>
      </w:r>
      <w:r w:rsidR="00B90472">
        <w:fldChar w:fldCharType="begin"/>
      </w:r>
      <w:r w:rsidR="00B90472">
        <w:instrText xml:space="preserve"> SEQ Tabella \* ARABIC </w:instrText>
      </w:r>
      <w:r w:rsidR="00B90472">
        <w:fldChar w:fldCharType="separate"/>
      </w:r>
      <w:r w:rsidR="008616B3">
        <w:rPr>
          <w:noProof/>
        </w:rPr>
        <w:t>24</w:t>
      </w:r>
      <w:r w:rsidR="00B90472">
        <w:rPr>
          <w:noProof/>
        </w:rPr>
        <w:fldChar w:fldCharType="end"/>
      </w:r>
      <w:r w:rsidR="005D660C" w:rsidRPr="005D660C">
        <w:rPr>
          <w:b w:val="0"/>
          <w:bCs w:val="0"/>
        </w:rPr>
        <w:t xml:space="preserve"> </w:t>
      </w:r>
      <w:r w:rsidR="005D660C" w:rsidRPr="00AD5BF7">
        <w:rPr>
          <w:bCs w:val="0"/>
          <w:sz w:val="24"/>
          <w:szCs w:val="24"/>
        </w:rPr>
        <w:t xml:space="preserve">– </w:t>
      </w:r>
      <w:r w:rsidR="005D660C" w:rsidRPr="00AD5BF7">
        <w:rPr>
          <w:bCs w:val="0"/>
        </w:rPr>
        <w:t>Riaccertamento ordinario 2016-Reimputazione entrate e spese (DGR</w:t>
      </w:r>
      <w:r w:rsidR="005D660C" w:rsidRPr="00AD5BF7">
        <w:rPr>
          <w:rFonts w:eastAsia="Times New Roman" w:cs="Arial"/>
          <w:lang w:eastAsia="it-IT"/>
        </w:rPr>
        <w:t xml:space="preserve"> n.</w:t>
      </w:r>
      <w:r w:rsidR="00F62FBB">
        <w:rPr>
          <w:rFonts w:eastAsia="Times New Roman" w:cs="Arial"/>
          <w:lang w:eastAsia="it-IT"/>
        </w:rPr>
        <w:t xml:space="preserve"> </w:t>
      </w:r>
      <w:r w:rsidR="005D660C" w:rsidRPr="00AD5BF7">
        <w:rPr>
          <w:rFonts w:eastAsia="Times New Roman" w:cs="Arial"/>
          <w:lang w:eastAsia="it-IT"/>
        </w:rPr>
        <w:t>26/48/2017)</w:t>
      </w:r>
      <w:bookmarkEnd w:id="178"/>
      <w:bookmarkEnd w:id="179"/>
    </w:p>
    <w:tbl>
      <w:tblPr>
        <w:tblW w:w="5071" w:type="pct"/>
        <w:tblCellMar>
          <w:left w:w="70" w:type="dxa"/>
          <w:right w:w="70" w:type="dxa"/>
        </w:tblCellMar>
        <w:tblLook w:val="04A0" w:firstRow="1" w:lastRow="0" w:firstColumn="1" w:lastColumn="0" w:noHBand="0" w:noVBand="1"/>
      </w:tblPr>
      <w:tblGrid>
        <w:gridCol w:w="2155"/>
        <w:gridCol w:w="1898"/>
        <w:gridCol w:w="2016"/>
        <w:gridCol w:w="2157"/>
        <w:gridCol w:w="1978"/>
      </w:tblGrid>
      <w:tr w:rsidR="005D660C" w:rsidRPr="00D20DA7" w:rsidTr="00EE1A80">
        <w:trPr>
          <w:trHeight w:val="227"/>
        </w:trPr>
        <w:tc>
          <w:tcPr>
            <w:tcW w:w="1056"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405F6" w:rsidRPr="00D20DA7" w:rsidRDefault="00D20DA7" w:rsidP="001405F6">
            <w:pPr>
              <w:spacing w:after="0" w:line="240" w:lineRule="auto"/>
              <w:jc w:val="center"/>
              <w:rPr>
                <w:rFonts w:ascii="Bodoni MT" w:eastAsia="Times New Roman" w:hAnsi="Bodoni MT" w:cs="Arial"/>
                <w:b/>
                <w:bCs/>
                <w:color w:val="FFFFFF"/>
                <w:sz w:val="18"/>
                <w:szCs w:val="18"/>
                <w:lang w:eastAsia="it-IT"/>
              </w:rPr>
            </w:pPr>
            <w:r w:rsidRPr="00D20DA7">
              <w:rPr>
                <w:rFonts w:ascii="Bodoni MT" w:eastAsia="Times New Roman" w:hAnsi="Bodoni MT" w:cs="Arial"/>
                <w:b/>
                <w:bCs/>
                <w:color w:val="FFFFFF"/>
                <w:sz w:val="18"/>
                <w:szCs w:val="18"/>
                <w:lang w:eastAsia="it-IT"/>
              </w:rPr>
              <w:t>Entrate reimputate al 2017 e successivi</w:t>
            </w:r>
            <w:r w:rsidR="001405F6">
              <w:rPr>
                <w:rFonts w:ascii="Bodoni MT" w:eastAsia="Times New Roman" w:hAnsi="Bodoni MT" w:cs="Arial"/>
                <w:b/>
                <w:bCs/>
                <w:color w:val="FFFFFF"/>
                <w:sz w:val="18"/>
                <w:szCs w:val="18"/>
                <w:lang w:eastAsia="it-IT"/>
              </w:rPr>
              <w:t xml:space="preserve"> di cui</w:t>
            </w:r>
          </w:p>
        </w:tc>
        <w:tc>
          <w:tcPr>
            <w:tcW w:w="93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D20DA7" w:rsidRDefault="005D660C" w:rsidP="005D660C">
            <w:pPr>
              <w:spacing w:after="0" w:line="240" w:lineRule="auto"/>
              <w:jc w:val="center"/>
              <w:rPr>
                <w:rFonts w:ascii="Bodoni MT" w:eastAsia="Times New Roman" w:hAnsi="Bodoni MT" w:cs="Arial"/>
                <w:b/>
                <w:bCs/>
                <w:color w:val="FFFFFF"/>
                <w:sz w:val="18"/>
                <w:szCs w:val="18"/>
                <w:lang w:eastAsia="it-IT"/>
              </w:rPr>
            </w:pPr>
            <w:r w:rsidRPr="00D20DA7">
              <w:rPr>
                <w:rFonts w:ascii="Bodoni MT" w:eastAsia="Times New Roman" w:hAnsi="Bodoni MT" w:cs="Arial"/>
                <w:b/>
                <w:bCs/>
                <w:color w:val="FFFFFF"/>
                <w:sz w:val="18"/>
                <w:szCs w:val="18"/>
                <w:lang w:eastAsia="it-IT"/>
              </w:rPr>
              <w:t>allegato E)</w:t>
            </w:r>
          </w:p>
        </w:tc>
        <w:tc>
          <w:tcPr>
            <w:tcW w:w="98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sz w:val="18"/>
                <w:szCs w:val="18"/>
                <w:lang w:eastAsia="it-IT"/>
              </w:rPr>
            </w:pPr>
            <w:r w:rsidRPr="00D20DA7">
              <w:rPr>
                <w:rFonts w:ascii="Bodoni MT" w:eastAsia="Times New Roman" w:hAnsi="Bodoni MT" w:cs="Arial"/>
                <w:b/>
                <w:bCs/>
                <w:color w:val="FFFFFF"/>
                <w:sz w:val="18"/>
                <w:szCs w:val="18"/>
                <w:lang w:eastAsia="it-IT"/>
              </w:rPr>
              <w:t>di cui: dalla competenza 2016</w:t>
            </w:r>
          </w:p>
        </w:tc>
        <w:tc>
          <w:tcPr>
            <w:tcW w:w="1057"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sz w:val="18"/>
                <w:szCs w:val="18"/>
                <w:lang w:eastAsia="it-IT"/>
              </w:rPr>
            </w:pPr>
            <w:r w:rsidRPr="00D20DA7">
              <w:rPr>
                <w:rFonts w:ascii="Bodoni MT" w:eastAsia="Times New Roman" w:hAnsi="Bodoni MT" w:cs="Arial"/>
                <w:b/>
                <w:bCs/>
                <w:color w:val="FFFFFF"/>
                <w:sz w:val="18"/>
                <w:szCs w:val="18"/>
                <w:lang w:eastAsia="it-IT"/>
              </w:rPr>
              <w:t>di cui: da riacc.to ordinario 2015</w:t>
            </w:r>
          </w:p>
        </w:tc>
        <w:tc>
          <w:tcPr>
            <w:tcW w:w="970"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sz w:val="18"/>
                <w:szCs w:val="18"/>
                <w:lang w:eastAsia="it-IT"/>
              </w:rPr>
            </w:pPr>
            <w:r w:rsidRPr="00D20DA7">
              <w:rPr>
                <w:rFonts w:ascii="Bodoni MT" w:eastAsia="Times New Roman" w:hAnsi="Bodoni MT" w:cs="Arial"/>
                <w:b/>
                <w:bCs/>
                <w:color w:val="FFFFFF"/>
                <w:sz w:val="18"/>
                <w:szCs w:val="18"/>
                <w:lang w:eastAsia="it-IT"/>
              </w:rPr>
              <w:t>di cui: da riacc.to straordinario 2015</w:t>
            </w: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Crediti reimputati al 2017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3.870.117,39</w:t>
            </w:r>
          </w:p>
        </w:tc>
        <w:tc>
          <w:tcPr>
            <w:tcW w:w="988"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3.870.117,39</w:t>
            </w:r>
          </w:p>
        </w:tc>
        <w:tc>
          <w:tcPr>
            <w:tcW w:w="1057"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970"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Crediti reimputati al 2018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w:t>
            </w:r>
          </w:p>
        </w:tc>
        <w:tc>
          <w:tcPr>
            <w:tcW w:w="988"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1057"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970"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Crediti reimputati al 2019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128.016.778,25</w:t>
            </w:r>
          </w:p>
        </w:tc>
        <w:tc>
          <w:tcPr>
            <w:tcW w:w="988"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128.016.778,25</w:t>
            </w:r>
          </w:p>
        </w:tc>
        <w:tc>
          <w:tcPr>
            <w:tcW w:w="1057"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970" w:type="pct"/>
            <w:tcBorders>
              <w:top w:val="nil"/>
              <w:left w:val="nil"/>
              <w:bottom w:val="single" w:sz="4" w:space="0" w:color="auto"/>
              <w:right w:val="single" w:sz="4" w:space="0" w:color="auto"/>
            </w:tcBorders>
            <w:shd w:val="clear" w:color="000000" w:fill="FFFFFF"/>
            <w:noWrap/>
            <w:vAlign w:val="center"/>
          </w:tcPr>
          <w:p w:rsidR="005D660C" w:rsidRPr="00D20DA7" w:rsidRDefault="005D660C" w:rsidP="005D660C">
            <w:pPr>
              <w:spacing w:after="0" w:line="240" w:lineRule="auto"/>
              <w:jc w:val="center"/>
              <w:rPr>
                <w:rFonts w:ascii="Calibri" w:eastAsia="Times New Roman" w:hAnsi="Calibri" w:cs="Calibri"/>
                <w:sz w:val="18"/>
                <w:szCs w:val="18"/>
                <w:lang w:eastAsia="it-IT"/>
              </w:rPr>
            </w:pP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D660C" w:rsidRPr="00D20DA7" w:rsidRDefault="005D660C" w:rsidP="001405F6">
            <w:pPr>
              <w:spacing w:after="0" w:line="240" w:lineRule="auto"/>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 xml:space="preserve">Totale </w:t>
            </w:r>
          </w:p>
        </w:tc>
        <w:tc>
          <w:tcPr>
            <w:tcW w:w="93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131.886.895,64</w:t>
            </w:r>
          </w:p>
        </w:tc>
        <w:tc>
          <w:tcPr>
            <w:tcW w:w="988"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131.886.895,64</w:t>
            </w:r>
          </w:p>
        </w:tc>
        <w:tc>
          <w:tcPr>
            <w:tcW w:w="1057" w:type="pct"/>
            <w:tcBorders>
              <w:top w:val="nil"/>
              <w:left w:val="nil"/>
              <w:bottom w:val="single" w:sz="4" w:space="0" w:color="auto"/>
              <w:right w:val="single" w:sz="4" w:space="0" w:color="auto"/>
            </w:tcBorders>
            <w:shd w:val="clear" w:color="auto" w:fill="auto"/>
            <w:noWrap/>
            <w:vAlign w:val="center"/>
          </w:tcPr>
          <w:p w:rsidR="005D660C" w:rsidRPr="00D20DA7" w:rsidRDefault="005D660C" w:rsidP="005D660C">
            <w:pPr>
              <w:spacing w:after="0" w:line="240" w:lineRule="auto"/>
              <w:jc w:val="center"/>
              <w:rPr>
                <w:rFonts w:ascii="Calibri" w:eastAsia="Times New Roman" w:hAnsi="Calibri" w:cs="Calibri"/>
                <w:b/>
                <w:bCs/>
                <w:sz w:val="18"/>
                <w:szCs w:val="18"/>
                <w:lang w:eastAsia="it-IT"/>
              </w:rPr>
            </w:pPr>
          </w:p>
        </w:tc>
        <w:tc>
          <w:tcPr>
            <w:tcW w:w="970" w:type="pct"/>
            <w:tcBorders>
              <w:top w:val="nil"/>
              <w:left w:val="nil"/>
              <w:bottom w:val="single" w:sz="4" w:space="0" w:color="auto"/>
              <w:right w:val="single" w:sz="4" w:space="0" w:color="auto"/>
            </w:tcBorders>
            <w:shd w:val="clear" w:color="auto" w:fill="auto"/>
            <w:noWrap/>
            <w:vAlign w:val="center"/>
          </w:tcPr>
          <w:p w:rsidR="005D660C" w:rsidRPr="00D20DA7" w:rsidRDefault="005D660C" w:rsidP="005D660C">
            <w:pPr>
              <w:spacing w:after="0" w:line="240" w:lineRule="auto"/>
              <w:jc w:val="center"/>
              <w:rPr>
                <w:rFonts w:ascii="Calibri" w:eastAsia="Times New Roman" w:hAnsi="Calibri" w:cs="Calibri"/>
                <w:b/>
                <w:bCs/>
                <w:sz w:val="18"/>
                <w:szCs w:val="18"/>
                <w:lang w:eastAsia="it-IT"/>
              </w:rPr>
            </w:pP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0F243E" w:themeFill="text2" w:themeFillShade="80"/>
            <w:vAlign w:val="center"/>
            <w:hideMark/>
          </w:tcPr>
          <w:p w:rsidR="001405F6" w:rsidRPr="00D20DA7" w:rsidRDefault="00D20DA7" w:rsidP="001405F6">
            <w:pPr>
              <w:spacing w:after="0" w:line="240" w:lineRule="auto"/>
              <w:jc w:val="center"/>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Uscite reimputate al 2017 e successivi</w:t>
            </w:r>
            <w:r w:rsidR="001405F6">
              <w:rPr>
                <w:rFonts w:ascii="Bodoni MT" w:eastAsia="Times New Roman" w:hAnsi="Bodoni MT" w:cs="Arial"/>
                <w:b/>
                <w:bCs/>
                <w:color w:val="FFFFFF" w:themeColor="background1"/>
                <w:sz w:val="18"/>
                <w:szCs w:val="18"/>
                <w:lang w:eastAsia="it-IT"/>
              </w:rPr>
              <w:t xml:space="preserve"> di cui</w:t>
            </w:r>
          </w:p>
        </w:tc>
        <w:tc>
          <w:tcPr>
            <w:tcW w:w="930"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D20DA7"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allegato F)</w:t>
            </w:r>
          </w:p>
        </w:tc>
        <w:tc>
          <w:tcPr>
            <w:tcW w:w="988" w:type="pct"/>
            <w:tcBorders>
              <w:top w:val="nil"/>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di cui: dalla competenza 2016</w:t>
            </w:r>
          </w:p>
        </w:tc>
        <w:tc>
          <w:tcPr>
            <w:tcW w:w="1057" w:type="pct"/>
            <w:tcBorders>
              <w:top w:val="nil"/>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di cui: da riacc.to ordinario 2015</w:t>
            </w:r>
          </w:p>
        </w:tc>
        <w:tc>
          <w:tcPr>
            <w:tcW w:w="970" w:type="pct"/>
            <w:tcBorders>
              <w:top w:val="nil"/>
              <w:left w:val="nil"/>
              <w:bottom w:val="single" w:sz="4" w:space="0" w:color="auto"/>
              <w:right w:val="single" w:sz="4" w:space="0" w:color="auto"/>
            </w:tcBorders>
            <w:shd w:val="clear" w:color="auto" w:fill="0F243E" w:themeFill="text2" w:themeFillShade="80"/>
            <w:vAlign w:val="center"/>
            <w:hideMark/>
          </w:tcPr>
          <w:p w:rsidR="005D660C" w:rsidRPr="00D20DA7" w:rsidRDefault="005D660C" w:rsidP="005D660C">
            <w:pPr>
              <w:spacing w:after="0" w:line="240" w:lineRule="auto"/>
              <w:jc w:val="center"/>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di cui: da riacc.to straordinario 2015</w:t>
            </w: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Debiti reimputati al 2017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535.304.179,11</w:t>
            </w:r>
          </w:p>
        </w:tc>
        <w:tc>
          <w:tcPr>
            <w:tcW w:w="988"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88.121.616,34</w:t>
            </w:r>
          </w:p>
        </w:tc>
        <w:tc>
          <w:tcPr>
            <w:tcW w:w="1057"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12.828.536,49</w:t>
            </w:r>
          </w:p>
        </w:tc>
        <w:tc>
          <w:tcPr>
            <w:tcW w:w="97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434.354.026,28</w:t>
            </w: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Debiti reimputati al 2018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17.159.872,79</w:t>
            </w:r>
          </w:p>
        </w:tc>
        <w:tc>
          <w:tcPr>
            <w:tcW w:w="988"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6.282.502,41</w:t>
            </w:r>
          </w:p>
        </w:tc>
        <w:tc>
          <w:tcPr>
            <w:tcW w:w="1057"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97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10.877.370,38</w:t>
            </w: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D20DA7" w:rsidRDefault="005D660C" w:rsidP="005D660C">
            <w:pPr>
              <w:spacing w:after="0" w:line="240" w:lineRule="auto"/>
              <w:rPr>
                <w:rFonts w:ascii="Bodoni MT" w:eastAsia="Times New Roman" w:hAnsi="Bodoni MT" w:cs="Arial"/>
                <w:color w:val="FFFFFF" w:themeColor="background1"/>
                <w:sz w:val="18"/>
                <w:szCs w:val="18"/>
                <w:lang w:eastAsia="it-IT"/>
              </w:rPr>
            </w:pPr>
            <w:r w:rsidRPr="00D20DA7">
              <w:rPr>
                <w:rFonts w:ascii="Bodoni MT" w:eastAsia="Times New Roman" w:hAnsi="Bodoni MT" w:cs="Arial"/>
                <w:color w:val="FFFFFF" w:themeColor="background1"/>
                <w:sz w:val="18"/>
                <w:szCs w:val="18"/>
                <w:lang w:eastAsia="it-IT"/>
              </w:rPr>
              <w:t xml:space="preserve">Debiti reimputati al 2019  </w:t>
            </w:r>
          </w:p>
        </w:tc>
        <w:tc>
          <w:tcPr>
            <w:tcW w:w="930" w:type="pct"/>
            <w:tcBorders>
              <w:top w:val="nil"/>
              <w:left w:val="nil"/>
              <w:bottom w:val="single" w:sz="4" w:space="0" w:color="auto"/>
              <w:right w:val="single" w:sz="4" w:space="0" w:color="auto"/>
            </w:tcBorders>
            <w:shd w:val="clear" w:color="000000" w:fill="FFFFFF"/>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6.513.400,00</w:t>
            </w:r>
          </w:p>
        </w:tc>
        <w:tc>
          <w:tcPr>
            <w:tcW w:w="988"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1057"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p>
        </w:tc>
        <w:tc>
          <w:tcPr>
            <w:tcW w:w="97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sz w:val="18"/>
                <w:szCs w:val="18"/>
                <w:lang w:eastAsia="it-IT"/>
              </w:rPr>
            </w:pPr>
            <w:r w:rsidRPr="00D20DA7">
              <w:rPr>
                <w:rFonts w:ascii="Calibri" w:eastAsia="Times New Roman" w:hAnsi="Calibri" w:cs="Calibri"/>
                <w:sz w:val="18"/>
                <w:szCs w:val="18"/>
                <w:lang w:eastAsia="it-IT"/>
              </w:rPr>
              <w:t>6.513.400,00</w:t>
            </w:r>
          </w:p>
        </w:tc>
      </w:tr>
      <w:tr w:rsidR="005D660C" w:rsidRPr="00D20DA7" w:rsidTr="00EE1A80">
        <w:trPr>
          <w:trHeight w:val="227"/>
        </w:trPr>
        <w:tc>
          <w:tcPr>
            <w:tcW w:w="1056" w:type="pct"/>
            <w:tcBorders>
              <w:top w:val="nil"/>
              <w:left w:val="single" w:sz="4" w:space="0" w:color="auto"/>
              <w:bottom w:val="single" w:sz="4" w:space="0" w:color="auto"/>
              <w:right w:val="single" w:sz="4" w:space="0" w:color="auto"/>
            </w:tcBorders>
            <w:shd w:val="clear" w:color="auto" w:fill="95B3D7" w:themeFill="accent1" w:themeFillTint="99"/>
            <w:noWrap/>
            <w:hideMark/>
          </w:tcPr>
          <w:p w:rsidR="005D660C" w:rsidRPr="00D20DA7" w:rsidRDefault="005D660C" w:rsidP="005D660C">
            <w:pPr>
              <w:spacing w:after="0" w:line="240" w:lineRule="auto"/>
              <w:rPr>
                <w:rFonts w:ascii="Bodoni MT" w:eastAsia="Times New Roman" w:hAnsi="Bodoni MT" w:cs="Arial"/>
                <w:b/>
                <w:bCs/>
                <w:color w:val="FFFFFF" w:themeColor="background1"/>
                <w:sz w:val="18"/>
                <w:szCs w:val="18"/>
                <w:lang w:eastAsia="it-IT"/>
              </w:rPr>
            </w:pPr>
            <w:r w:rsidRPr="00D20DA7">
              <w:rPr>
                <w:rFonts w:ascii="Bodoni MT" w:eastAsia="Times New Roman" w:hAnsi="Bodoni MT" w:cs="Arial"/>
                <w:b/>
                <w:bCs/>
                <w:color w:val="FFFFFF" w:themeColor="background1"/>
                <w:sz w:val="18"/>
                <w:szCs w:val="18"/>
                <w:lang w:eastAsia="it-IT"/>
              </w:rPr>
              <w:t>Totale</w:t>
            </w:r>
          </w:p>
        </w:tc>
        <w:tc>
          <w:tcPr>
            <w:tcW w:w="93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558.977.451,90</w:t>
            </w:r>
          </w:p>
        </w:tc>
        <w:tc>
          <w:tcPr>
            <w:tcW w:w="988"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94.404.118,75</w:t>
            </w:r>
          </w:p>
        </w:tc>
        <w:tc>
          <w:tcPr>
            <w:tcW w:w="1057"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12.828.536,49</w:t>
            </w:r>
          </w:p>
        </w:tc>
        <w:tc>
          <w:tcPr>
            <w:tcW w:w="970" w:type="pct"/>
            <w:tcBorders>
              <w:top w:val="nil"/>
              <w:left w:val="nil"/>
              <w:bottom w:val="single" w:sz="4" w:space="0" w:color="auto"/>
              <w:right w:val="single" w:sz="4" w:space="0" w:color="auto"/>
            </w:tcBorders>
            <w:shd w:val="clear" w:color="auto" w:fill="auto"/>
            <w:noWrap/>
            <w:vAlign w:val="center"/>
            <w:hideMark/>
          </w:tcPr>
          <w:p w:rsidR="005D660C" w:rsidRPr="00D20DA7" w:rsidRDefault="005D660C" w:rsidP="005D660C">
            <w:pPr>
              <w:spacing w:after="0" w:line="240" w:lineRule="auto"/>
              <w:jc w:val="center"/>
              <w:rPr>
                <w:rFonts w:ascii="Calibri" w:eastAsia="Times New Roman" w:hAnsi="Calibri" w:cs="Calibri"/>
                <w:b/>
                <w:bCs/>
                <w:sz w:val="18"/>
                <w:szCs w:val="18"/>
                <w:lang w:eastAsia="it-IT"/>
              </w:rPr>
            </w:pPr>
            <w:r w:rsidRPr="00D20DA7">
              <w:rPr>
                <w:rFonts w:ascii="Calibri" w:eastAsia="Times New Roman" w:hAnsi="Calibri" w:cs="Calibri"/>
                <w:b/>
                <w:bCs/>
                <w:sz w:val="18"/>
                <w:szCs w:val="18"/>
                <w:lang w:eastAsia="it-IT"/>
              </w:rPr>
              <w:t>451.744.796,66</w:t>
            </w:r>
          </w:p>
        </w:tc>
      </w:tr>
    </w:tbl>
    <w:p w:rsidR="005D660C" w:rsidRPr="005D660C" w:rsidRDefault="005D660C" w:rsidP="005D660C">
      <w:pPr>
        <w:spacing w:line="360" w:lineRule="auto"/>
        <w:jc w:val="both"/>
        <w:rPr>
          <w:rFonts w:ascii="Bodoni MT" w:hAnsi="Bodoni MT"/>
          <w:sz w:val="24"/>
          <w:szCs w:val="24"/>
        </w:rPr>
      </w:pPr>
      <w:r w:rsidRPr="005D660C">
        <w:rPr>
          <w:rFonts w:ascii="Bodoni MT" w:hAnsi="Bodoni MT"/>
          <w:sz w:val="18"/>
          <w:szCs w:val="18"/>
        </w:rPr>
        <w:t>Fonte: Elaborazione Cdc su dati forniti dalla RAS</w:t>
      </w:r>
    </w:p>
    <w:p w:rsidR="00161FD5"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Come si evince dalla tabella, </w:t>
      </w:r>
      <w:r w:rsidRPr="00FF3300">
        <w:rPr>
          <w:rFonts w:ascii="Bodoni MT" w:eastAsiaTheme="minorEastAsia" w:hAnsi="Bodoni MT" w:cs="Bodoni MT"/>
          <w:b/>
          <w:color w:val="000000"/>
          <w:sz w:val="24"/>
          <w:szCs w:val="24"/>
        </w:rPr>
        <w:t>i debiti reimputati derivano per € 451.744.796,66 (circa l’81% del totale) dal riaccertamento straordinario dei residui effettuato nel 2015</w:t>
      </w:r>
      <w:r w:rsidRPr="005D660C">
        <w:rPr>
          <w:rFonts w:ascii="Bodoni MT" w:eastAsiaTheme="minorEastAsia" w:hAnsi="Bodoni MT" w:cs="Bodoni MT"/>
          <w:color w:val="000000"/>
          <w:sz w:val="24"/>
          <w:szCs w:val="24"/>
        </w:rPr>
        <w:t xml:space="preserve">. </w:t>
      </w:r>
      <w:r w:rsidRPr="00F217D3">
        <w:rPr>
          <w:rFonts w:ascii="Bodoni MT" w:eastAsiaTheme="minorEastAsia" w:hAnsi="Bodoni MT" w:cs="Bodoni MT"/>
          <w:b/>
          <w:color w:val="000000"/>
          <w:sz w:val="24"/>
          <w:szCs w:val="24"/>
        </w:rPr>
        <w:t>Si tratta quindi della terza volta che, per tali debiti, viene verificata l’inesigibilità nell’esercizio di imputazione e la necessità di rettificare la relativa scadenza</w:t>
      </w:r>
      <w:r w:rsidRPr="005D660C">
        <w:rPr>
          <w:rFonts w:ascii="Bodoni MT" w:eastAsiaTheme="minorEastAsia" w:hAnsi="Bodoni MT" w:cs="Bodoni MT"/>
          <w:color w:val="000000"/>
          <w:sz w:val="24"/>
          <w:szCs w:val="24"/>
        </w:rPr>
        <w:t xml:space="preserve">. </w:t>
      </w:r>
      <w:r w:rsidR="00161FD5">
        <w:rPr>
          <w:rFonts w:ascii="Bodoni MT" w:eastAsiaTheme="minorEastAsia" w:hAnsi="Bodoni MT" w:cs="Bodoni MT"/>
          <w:color w:val="000000"/>
          <w:sz w:val="24"/>
          <w:szCs w:val="24"/>
        </w:rPr>
        <w:t>Si ravvisa, a questo punto, la opportunità che si affronti con apposita verifica l’analisi delle partite creditorie e debitorie oggetto di reimputazione, scrutinando le condizioni finanziarie e organizzative (propri degli uffici preposti) che ne hanno determinato il differimento.</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Al proposito non si possono che ribadire le </w:t>
      </w:r>
      <w:r w:rsidRPr="00161FD5">
        <w:rPr>
          <w:rFonts w:ascii="Bodoni MT" w:eastAsiaTheme="minorEastAsia" w:hAnsi="Bodoni MT" w:cs="Bodoni MT"/>
          <w:color w:val="000000"/>
          <w:sz w:val="24"/>
          <w:szCs w:val="24"/>
        </w:rPr>
        <w:t>osserva</w:t>
      </w:r>
      <w:r w:rsidR="00FE67AB" w:rsidRPr="00161FD5">
        <w:rPr>
          <w:rFonts w:ascii="Bodoni MT" w:eastAsiaTheme="minorEastAsia" w:hAnsi="Bodoni MT" w:cs="Bodoni MT"/>
          <w:color w:val="000000"/>
          <w:sz w:val="24"/>
          <w:szCs w:val="24"/>
        </w:rPr>
        <w:t>zioni moss</w:t>
      </w:r>
      <w:r w:rsidRPr="00161FD5">
        <w:rPr>
          <w:rFonts w:ascii="Bodoni MT" w:eastAsiaTheme="minorEastAsia" w:hAnsi="Bodoni MT" w:cs="Bodoni MT"/>
          <w:color w:val="000000"/>
          <w:sz w:val="24"/>
          <w:szCs w:val="24"/>
        </w:rPr>
        <w:t>e</w:t>
      </w:r>
      <w:r w:rsidRPr="005D660C">
        <w:rPr>
          <w:rFonts w:ascii="Bodoni MT" w:eastAsiaTheme="minorEastAsia" w:hAnsi="Bodoni MT" w:cs="Bodoni MT"/>
          <w:color w:val="000000"/>
          <w:sz w:val="24"/>
          <w:szCs w:val="24"/>
        </w:rPr>
        <w:t xml:space="preserve"> in sede di parifica del rendiconto RAS 2015, relative alla non corretta individuazione dell’esercizio di esigibilità degli accertamenti e degli impegni reimputati in sede di riaccertamento straordinario.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 debiti reimputati sono coperti per € 555.762.438,72 dal FPV (Allegato I) e per € 3.152.284,51, come detto nel paragrafo precedente, da crediti reimputati che non generano FPV, per un totale di € 555.825.167,39. La differenza, pari a € 62.728,67, è stata stralciata dai residui passivi finanziati da FPV a seguito delle modifiche dei cronoprogrammi</w:t>
      </w:r>
      <w:r w:rsidRPr="005D660C">
        <w:rPr>
          <w:rFonts w:ascii="Bodoni MT" w:eastAsiaTheme="minorEastAsia" w:hAnsi="Bodoni MT" w:cs="Bodoni MT"/>
          <w:color w:val="000000"/>
          <w:sz w:val="24"/>
          <w:szCs w:val="24"/>
          <w:vertAlign w:val="superscript"/>
        </w:rPr>
        <w:footnoteReference w:id="99"/>
      </w:r>
      <w:r w:rsidRPr="005D660C">
        <w:rPr>
          <w:rFonts w:ascii="Bodoni MT" w:eastAsiaTheme="minorEastAsia" w:hAnsi="Bodoni MT" w:cs="Bodoni MT"/>
          <w:color w:val="000000"/>
          <w:sz w:val="24"/>
          <w:szCs w:val="24"/>
        </w:rPr>
        <w:t>.</w:t>
      </w:r>
    </w:p>
    <w:p w:rsidR="005D660C" w:rsidRPr="00AD5BF7" w:rsidRDefault="00AD5BF7" w:rsidP="00AD5BF7">
      <w:pPr>
        <w:pStyle w:val="Didascalia"/>
        <w:rPr>
          <w:bCs w:val="0"/>
          <w:sz w:val="24"/>
          <w:szCs w:val="24"/>
        </w:rPr>
      </w:pPr>
      <w:bookmarkStart w:id="180" w:name="_Toc507422493"/>
      <w:r>
        <w:t xml:space="preserve">Tabella </w:t>
      </w:r>
      <w:r w:rsidR="00B90472">
        <w:fldChar w:fldCharType="begin"/>
      </w:r>
      <w:r w:rsidR="00B90472">
        <w:instrText xml:space="preserve"> SEQ Tabella \* ARABIC </w:instrText>
      </w:r>
      <w:r w:rsidR="00B90472">
        <w:fldChar w:fldCharType="separate"/>
      </w:r>
      <w:r w:rsidR="008616B3">
        <w:rPr>
          <w:noProof/>
        </w:rPr>
        <w:t>25</w:t>
      </w:r>
      <w:r w:rsidR="00B90472">
        <w:rPr>
          <w:noProof/>
        </w:rPr>
        <w:fldChar w:fldCharType="end"/>
      </w:r>
      <w:r w:rsidRPr="005D660C">
        <w:rPr>
          <w:b w:val="0"/>
          <w:bCs w:val="0"/>
        </w:rPr>
        <w:t xml:space="preserve"> </w:t>
      </w:r>
      <w:r w:rsidRPr="00AD5BF7">
        <w:rPr>
          <w:bCs w:val="0"/>
        </w:rPr>
        <w:t>-</w:t>
      </w:r>
      <w:r w:rsidRPr="00AD5BF7">
        <w:rPr>
          <w:bCs w:val="0"/>
          <w:sz w:val="24"/>
          <w:szCs w:val="24"/>
        </w:rPr>
        <w:t xml:space="preserve"> </w:t>
      </w:r>
      <w:r w:rsidRPr="00B7211A">
        <w:rPr>
          <w:bCs w:val="0"/>
        </w:rPr>
        <w:t>Confronto reimputazioni esercizi 2015 – 2016</w:t>
      </w:r>
      <w:bookmarkEnd w:id="180"/>
    </w:p>
    <w:tbl>
      <w:tblPr>
        <w:tblW w:w="5000" w:type="pct"/>
        <w:jc w:val="center"/>
        <w:tblCellMar>
          <w:left w:w="70" w:type="dxa"/>
          <w:right w:w="70" w:type="dxa"/>
        </w:tblCellMar>
        <w:tblLook w:val="04A0" w:firstRow="1" w:lastRow="0" w:firstColumn="1" w:lastColumn="0" w:noHBand="0" w:noVBand="1"/>
      </w:tblPr>
      <w:tblGrid>
        <w:gridCol w:w="3872"/>
        <w:gridCol w:w="2063"/>
        <w:gridCol w:w="2063"/>
        <w:gridCol w:w="2063"/>
      </w:tblGrid>
      <w:tr w:rsidR="005D660C" w:rsidRPr="005D660C" w:rsidTr="00646EDA">
        <w:trPr>
          <w:trHeight w:val="315"/>
          <w:jc w:val="center"/>
        </w:trPr>
        <w:tc>
          <w:tcPr>
            <w:tcW w:w="1924" w:type="pct"/>
            <w:tcBorders>
              <w:top w:val="single" w:sz="4" w:space="0" w:color="auto"/>
              <w:left w:val="single" w:sz="4" w:space="0" w:color="auto"/>
              <w:bottom w:val="single" w:sz="4" w:space="0" w:color="auto"/>
              <w:right w:val="single" w:sz="4" w:space="0" w:color="auto"/>
            </w:tcBorders>
            <w:shd w:val="clear" w:color="auto" w:fill="0F243E" w:themeFill="text2" w:themeFillShade="80"/>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Voce</w:t>
            </w:r>
          </w:p>
        </w:tc>
        <w:tc>
          <w:tcPr>
            <w:tcW w:w="1025" w:type="pct"/>
            <w:tcBorders>
              <w:top w:val="single" w:sz="4" w:space="0" w:color="auto"/>
              <w:left w:val="nil"/>
              <w:bottom w:val="single" w:sz="4" w:space="0" w:color="auto"/>
              <w:right w:val="single" w:sz="4" w:space="0" w:color="auto"/>
            </w:tcBorders>
            <w:shd w:val="clear" w:color="auto" w:fill="0F243E" w:themeFill="text2" w:themeFillShade="80"/>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2015</w:t>
            </w:r>
          </w:p>
        </w:tc>
        <w:tc>
          <w:tcPr>
            <w:tcW w:w="1025" w:type="pct"/>
            <w:tcBorders>
              <w:top w:val="single" w:sz="4" w:space="0" w:color="auto"/>
              <w:left w:val="nil"/>
              <w:bottom w:val="single" w:sz="4" w:space="0" w:color="auto"/>
              <w:right w:val="single" w:sz="4" w:space="0" w:color="auto"/>
            </w:tcBorders>
            <w:shd w:val="clear" w:color="auto" w:fill="0F243E" w:themeFill="text2" w:themeFillShade="80"/>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2016</w:t>
            </w:r>
          </w:p>
        </w:tc>
        <w:tc>
          <w:tcPr>
            <w:tcW w:w="1025" w:type="pct"/>
            <w:tcBorders>
              <w:top w:val="single" w:sz="4" w:space="0" w:color="auto"/>
              <w:left w:val="nil"/>
              <w:bottom w:val="single" w:sz="4" w:space="0" w:color="auto"/>
              <w:right w:val="single" w:sz="4" w:space="0" w:color="auto"/>
            </w:tcBorders>
            <w:shd w:val="clear" w:color="auto" w:fill="0F243E" w:themeFill="text2" w:themeFillShade="80"/>
            <w:hideMark/>
          </w:tcPr>
          <w:p w:rsidR="005D660C" w:rsidRPr="005D660C" w:rsidRDefault="005D660C" w:rsidP="005D660C">
            <w:pPr>
              <w:spacing w:after="0" w:line="240" w:lineRule="auto"/>
              <w:jc w:val="center"/>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Differenza</w:t>
            </w:r>
          </w:p>
        </w:tc>
      </w:tr>
      <w:tr w:rsidR="005D660C" w:rsidRPr="005D660C" w:rsidTr="005D660C">
        <w:trPr>
          <w:trHeight w:val="270"/>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Crediti reimputati all'anno successivo</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752.600.644,85</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131.886.895,64</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-620.713.749,21</w:t>
            </w:r>
          </w:p>
        </w:tc>
      </w:tr>
      <w:tr w:rsidR="005D660C" w:rsidRPr="005D660C" w:rsidTr="005D660C">
        <w:trPr>
          <w:trHeight w:val="270"/>
          <w:jc w:val="center"/>
        </w:trPr>
        <w:tc>
          <w:tcPr>
            <w:tcW w:w="19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Debiti reimputati all'anno successivo</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706.732.883,78</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558.977.451,90</w:t>
            </w:r>
          </w:p>
        </w:tc>
        <w:tc>
          <w:tcPr>
            <w:tcW w:w="1025" w:type="pct"/>
            <w:tcBorders>
              <w:top w:val="nil"/>
              <w:left w:val="nil"/>
              <w:bottom w:val="single" w:sz="4" w:space="0" w:color="auto"/>
              <w:right w:val="single" w:sz="4" w:space="0" w:color="auto"/>
            </w:tcBorders>
            <w:shd w:val="clear" w:color="auto" w:fill="auto"/>
            <w:vAlign w:val="center"/>
            <w:hideMark/>
          </w:tcPr>
          <w:p w:rsidR="005D660C" w:rsidRPr="00C73269" w:rsidRDefault="005D660C" w:rsidP="005D660C">
            <w:pPr>
              <w:spacing w:after="0" w:line="240" w:lineRule="auto"/>
              <w:jc w:val="center"/>
              <w:rPr>
                <w:rFonts w:ascii="Calibri" w:eastAsia="Times New Roman" w:hAnsi="Calibri" w:cs="Calibri"/>
                <w:sz w:val="18"/>
                <w:szCs w:val="18"/>
                <w:lang w:eastAsia="it-IT"/>
              </w:rPr>
            </w:pPr>
            <w:r w:rsidRPr="00C73269">
              <w:rPr>
                <w:rFonts w:ascii="Calibri" w:eastAsia="Times New Roman" w:hAnsi="Calibri" w:cs="Calibri"/>
                <w:sz w:val="18"/>
                <w:szCs w:val="18"/>
                <w:lang w:eastAsia="it-IT"/>
              </w:rPr>
              <w:t>-147.755.431,88</w:t>
            </w:r>
          </w:p>
        </w:tc>
      </w:tr>
    </w:tbl>
    <w:p w:rsidR="005D660C" w:rsidRPr="005D660C" w:rsidRDefault="005D660C" w:rsidP="005D660C">
      <w:pPr>
        <w:spacing w:line="360" w:lineRule="auto"/>
        <w:rPr>
          <w:rFonts w:ascii="Bodoni MT" w:hAnsi="Bodoni MT"/>
          <w:sz w:val="20"/>
          <w:szCs w:val="20"/>
        </w:rPr>
      </w:pPr>
      <w:r w:rsidRPr="005D660C">
        <w:rPr>
          <w:rFonts w:ascii="Bodoni MT" w:hAnsi="Bodoni MT"/>
          <w:sz w:val="20"/>
          <w:szCs w:val="20"/>
        </w:rPr>
        <w:t>Fonte: RAS Relazione sulla gestione 2016</w:t>
      </w:r>
    </w:p>
    <w:p w:rsidR="005D660C" w:rsidRDefault="005D660C" w:rsidP="00D20DA7">
      <w:pPr>
        <w:pStyle w:val="CdcTesto"/>
      </w:pPr>
      <w:r w:rsidRPr="005D660C">
        <w:lastRenderedPageBreak/>
        <w:t>Con riguardo alle reimputazioni, il confronto con l’esercizio precedente mostra un miglioramento soprattutto in riferimento alle reimputazioni attive. Meno significativa è invece la riduzione delle reimputazioni passive che, come già osservato, mostra ancora le carenze delle attività di verifica condotte in sede di riaccertamento straordinario.</w:t>
      </w:r>
    </w:p>
    <w:p w:rsidR="00D20DA7" w:rsidRDefault="00D20DA7" w:rsidP="00D20DA7">
      <w:pPr>
        <w:pStyle w:val="CdcTesto"/>
      </w:pPr>
      <w:r>
        <w:t>Le risultanze della gestione/movimentazione dei residui attivi segnalano un</w:t>
      </w:r>
      <w:r w:rsidR="00F334AD">
        <w:t xml:space="preserve"> </w:t>
      </w:r>
      <w:r w:rsidR="00F334AD" w:rsidRPr="00161FD5">
        <w:t>non puntu</w:t>
      </w:r>
      <w:r w:rsidRPr="00161FD5">
        <w:t>a</w:t>
      </w:r>
      <w:r w:rsidR="00F334AD" w:rsidRPr="00161FD5">
        <w:t>le adeguamento</w:t>
      </w:r>
      <w:r>
        <w:t xml:space="preserve"> al principio di competenza finanziaria cui avrebbe dovuto uniformarsi la gestione del bilancio 2016.</w:t>
      </w:r>
    </w:p>
    <w:p w:rsidR="00D20DA7" w:rsidRDefault="00D20DA7" w:rsidP="00D20DA7">
      <w:pPr>
        <w:pStyle w:val="CdcTesto"/>
      </w:pPr>
      <w:r>
        <w:t>Inoltre l’assenza di indicazioni (anche nei documenti a corredo del rendiconto) in ordine alle cause di carattere organizzativo-gestionale che hanno determinato le risultanze in esame, non favorisce l’adozione di proficui strumenti correttivi.</w:t>
      </w:r>
    </w:p>
    <w:p w:rsidR="00D20DA7" w:rsidRDefault="00D20DA7" w:rsidP="00D20DA7">
      <w:pPr>
        <w:pStyle w:val="CdcTesto"/>
      </w:pPr>
      <w:r>
        <w:t>Si consideri anche l’importanza rivestita dalle somme attive stralciate, per le quali risulta di estremo interesse informativo disporre di notizie in ordine alle ragioni sostanziali a sostegno delle loro eliminazione dalle scritture.</w:t>
      </w:r>
    </w:p>
    <w:p w:rsidR="00D20DA7" w:rsidRDefault="00D20DA7" w:rsidP="00D20DA7">
      <w:pPr>
        <w:pStyle w:val="CdcTesto"/>
      </w:pPr>
      <w:r>
        <w:t>A conforto delle precedenti osservazioni,</w:t>
      </w:r>
      <w:r w:rsidRPr="00EF4A9F">
        <w:t xml:space="preserve"> </w:t>
      </w:r>
      <w:r>
        <w:t xml:space="preserve">a conferma delle difficoltà incontrate dai preposti Centri di responsabilità nelle operazioni di smaltimento, in ultimo si fa rilevare che tra i residui attivi </w:t>
      </w:r>
      <w:r w:rsidRPr="00EF4A9F">
        <w:rPr>
          <w:i/>
        </w:rPr>
        <w:t>di anzianità superiore a cinque anni di maggiore consistenza</w:t>
      </w:r>
      <w:r>
        <w:t xml:space="preserve">, riportati nella Relazione sulla gestione (paragrafo 3.11.2, All. 19 al Rendiconto 2016) si ripropongono numerosi casi già segnalati come tali in sede di rendiconto 2015. Mentre tra i residui passivi, analogamente richiamati dalla Relazione sulla gestione, </w:t>
      </w:r>
      <w:r w:rsidRPr="00EF4A9F">
        <w:rPr>
          <w:i/>
        </w:rPr>
        <w:t>di anzianità superiore ai cinque anni di maggiore consistenza</w:t>
      </w:r>
      <w:r>
        <w:t>, destano perplessità le somme a valere sui fondi PO FESR 2007-2013, in ordine ai quali non è dato rinvenire quale sia il soggetto beneficiario, quali ragioni si frappongono alla definizione delle partite contabili e, infine, con quali conseguenze per il ritardo in sede di riconoscimento dei rimborsi UE.</w:t>
      </w:r>
    </w:p>
    <w:p w:rsidR="00D20DA7" w:rsidRPr="005D660C" w:rsidRDefault="00D20DA7" w:rsidP="00D437D0">
      <w:pPr>
        <w:spacing w:after="120" w:line="360" w:lineRule="auto"/>
        <w:jc w:val="both"/>
        <w:rPr>
          <w:rFonts w:ascii="Bodoni MT" w:hAnsi="Bodoni MT"/>
          <w:sz w:val="24"/>
          <w:szCs w:val="24"/>
        </w:rPr>
      </w:pPr>
      <w:r>
        <w:rPr>
          <w:rFonts w:ascii="Bodoni MT" w:eastAsiaTheme="minorEastAsia" w:hAnsi="Bodoni MT" w:cs="Bodoni MT"/>
          <w:color w:val="000000"/>
          <w:sz w:val="24"/>
          <w:szCs w:val="24"/>
        </w:rPr>
        <w:t>Si tenga conto, infine, del fatto che la reiscrizione delle partite contabili a residuo e le reimputazioni di partite che erano state ritenute esigibili, non solo segnalano scarsa aderenza alle finalità della competenza potenziata, ma sono destinate ad appesantire le successive manovre di bilancio, sia in sede programmatoria-previsionale che gestionale.</w:t>
      </w:r>
    </w:p>
    <w:p w:rsidR="005D660C" w:rsidRPr="005D660C" w:rsidRDefault="005D660C" w:rsidP="00D437D0">
      <w:pPr>
        <w:pStyle w:val="Titolo3"/>
        <w:spacing w:before="240"/>
      </w:pPr>
      <w:bookmarkStart w:id="181" w:name="_Toc499040934"/>
      <w:bookmarkStart w:id="182" w:name="_Toc507422638"/>
      <w:r w:rsidRPr="005D660C">
        <w:t>I residui attivi</w:t>
      </w:r>
      <w:bookmarkEnd w:id="181"/>
      <w:bookmarkEnd w:id="182"/>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Come illustrato nel paragrafo precedente, con la delibera di riaccertamento la Giunta ha provveduto a ri</w:t>
      </w:r>
      <w:r w:rsidR="00025F0A">
        <w:rPr>
          <w:rFonts w:ascii="Bodoni MT" w:eastAsiaTheme="minorEastAsia" w:hAnsi="Bodoni MT" w:cs="Bodoni MT"/>
          <w:color w:val="000000"/>
          <w:sz w:val="24"/>
          <w:szCs w:val="24"/>
        </w:rPr>
        <w:t>determinare i residui attivi all’</w:t>
      </w:r>
      <w:r w:rsidR="00D20DA7">
        <w:rPr>
          <w:rFonts w:ascii="Bodoni MT" w:eastAsiaTheme="minorEastAsia" w:hAnsi="Bodoni MT" w:cs="Bodoni MT"/>
          <w:color w:val="000000"/>
          <w:sz w:val="24"/>
          <w:szCs w:val="24"/>
        </w:rPr>
        <w:t>01/01/2017</w:t>
      </w:r>
      <w:r w:rsidRPr="005D660C">
        <w:rPr>
          <w:rFonts w:ascii="Bodoni MT" w:eastAsiaTheme="minorEastAsi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lastRenderedPageBreak/>
        <w:t>I residui attivi al 1° gennaio 2016 ammontavano a € 877.695.708,38</w:t>
      </w:r>
      <w:r w:rsidR="001731A5">
        <w:rPr>
          <w:rFonts w:ascii="Bodoni MT" w:eastAsiaTheme="minorEastAsia" w:hAnsi="Bodoni MT" w:cs="Bodoni MT"/>
          <w:color w:val="000000"/>
          <w:sz w:val="24"/>
          <w:szCs w:val="24"/>
        </w:rPr>
        <w:t xml:space="preserve"> derivanti dalla competenza 2015 per </w:t>
      </w:r>
      <w:r w:rsidR="00E643DA">
        <w:rPr>
          <w:rFonts w:ascii="Bodoni MT" w:eastAsiaTheme="minorEastAsia" w:hAnsi="Bodoni MT" w:cs="Bodoni MT"/>
          <w:color w:val="000000"/>
          <w:sz w:val="24"/>
          <w:szCs w:val="24"/>
        </w:rPr>
        <w:t>€</w:t>
      </w:r>
      <w:r w:rsidR="001731A5">
        <w:rPr>
          <w:rFonts w:ascii="Bodoni MT" w:eastAsiaTheme="minorEastAsia" w:hAnsi="Bodoni MT" w:cs="Bodoni MT"/>
          <w:color w:val="000000"/>
          <w:sz w:val="24"/>
          <w:szCs w:val="24"/>
        </w:rPr>
        <w:t xml:space="preserve"> 759.932.885,38 e degli esercizi precedenti per </w:t>
      </w:r>
      <w:r w:rsidR="00E643DA">
        <w:rPr>
          <w:rFonts w:ascii="Bodoni MT" w:eastAsiaTheme="minorEastAsia" w:hAnsi="Bodoni MT" w:cs="Bodoni MT"/>
          <w:color w:val="000000"/>
          <w:sz w:val="24"/>
          <w:szCs w:val="24"/>
        </w:rPr>
        <w:t>€</w:t>
      </w:r>
      <w:r w:rsidR="001731A5">
        <w:rPr>
          <w:rFonts w:ascii="Bodoni MT" w:eastAsiaTheme="minorEastAsia" w:hAnsi="Bodoni MT" w:cs="Bodoni MT"/>
          <w:color w:val="000000"/>
          <w:sz w:val="24"/>
          <w:szCs w:val="24"/>
        </w:rPr>
        <w:t xml:space="preserve"> </w:t>
      </w:r>
      <w:r w:rsidR="00B77D9A">
        <w:rPr>
          <w:rFonts w:ascii="Bodoni MT" w:eastAsiaTheme="minorEastAsia" w:hAnsi="Bodoni MT" w:cs="Bodoni MT"/>
          <w:color w:val="000000"/>
          <w:sz w:val="24"/>
          <w:szCs w:val="24"/>
        </w:rPr>
        <w:t>117.762.823,00</w:t>
      </w:r>
      <w:r w:rsidRPr="005D660C">
        <w:rPr>
          <w:rFonts w:ascii="Bodoni MT" w:eastAsiaTheme="minorEastAsia" w:hAnsi="Bodoni MT" w:cs="Bodoni MT"/>
          <w:color w:val="000000"/>
          <w:sz w:val="24"/>
          <w:szCs w:val="24"/>
        </w:rPr>
        <w:t xml:space="preserve">. Nel corso dell’esercizio si sono effettuate riscossioni per € 379.395.363,04 e riaccertamenti complessivi per € 804.552.527,21.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highlight w:val="yellow"/>
        </w:rPr>
      </w:pPr>
      <w:r w:rsidRPr="005D660C">
        <w:rPr>
          <w:rFonts w:ascii="Bodoni MT" w:eastAsiaTheme="minorEastAsia" w:hAnsi="Bodoni MT" w:cs="Bodoni MT"/>
          <w:color w:val="000000"/>
          <w:sz w:val="24"/>
          <w:szCs w:val="24"/>
        </w:rPr>
        <w:t xml:space="preserve">A seguito del riaccertamento ordinario sono stati riconosciuti assolutamente </w:t>
      </w:r>
      <w:r w:rsidRPr="00D20DA7">
        <w:rPr>
          <w:rFonts w:ascii="Bodoni MT" w:eastAsiaTheme="minorEastAsia" w:hAnsi="Bodoni MT" w:cs="Bodoni MT"/>
          <w:b/>
          <w:color w:val="000000"/>
          <w:sz w:val="24"/>
          <w:szCs w:val="24"/>
        </w:rPr>
        <w:t xml:space="preserve">inesigibili o insussistenti, quindi da eliminare dalle scritture contabili, crediti per 73,14 </w:t>
      </w:r>
      <w:r w:rsidR="00C73269" w:rsidRPr="00C73269">
        <w:rPr>
          <w:rFonts w:ascii="Bodoni MT" w:eastAsiaTheme="majorEastAsia" w:hAnsi="Bodoni MT" w:cs="Bodoni MT"/>
          <w:b/>
          <w:color w:val="000000"/>
          <w:sz w:val="24"/>
          <w:szCs w:val="24"/>
        </w:rPr>
        <w:t>milioni</w:t>
      </w:r>
      <w:r w:rsidR="00C73269" w:rsidRPr="005D660C">
        <w:rPr>
          <w:rFonts w:ascii="Bodoni MT" w:eastAsiaTheme="majorEastAsia" w:hAnsi="Bodoni MT" w:cs="Bodoni MT"/>
          <w:color w:val="000000"/>
          <w:sz w:val="24"/>
          <w:szCs w:val="24"/>
        </w:rPr>
        <w:t xml:space="preserve"> </w:t>
      </w:r>
      <w:r w:rsidRPr="00D20DA7">
        <w:rPr>
          <w:rFonts w:ascii="Bodoni MT" w:eastAsiaTheme="minorEastAsia" w:hAnsi="Bodoni MT" w:cs="Bodoni MT"/>
          <w:b/>
          <w:color w:val="000000"/>
          <w:sz w:val="24"/>
          <w:szCs w:val="24"/>
        </w:rPr>
        <w:t>di euro</w:t>
      </w:r>
      <w:r w:rsidRPr="005D660C">
        <w:rPr>
          <w:rFonts w:ascii="Bodoni MT" w:eastAsiaTheme="minorEastAsia" w:hAnsi="Bodoni MT" w:cs="Bodoni MT"/>
          <w:color w:val="000000"/>
          <w:sz w:val="24"/>
          <w:szCs w:val="24"/>
        </w:rPr>
        <w:t xml:space="preserve">. </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I residui attivi provenienti dall’esercizio </w:t>
      </w:r>
      <w:r w:rsidR="001731A5">
        <w:rPr>
          <w:rFonts w:ascii="Bodoni MT" w:eastAsiaTheme="minorEastAsia" w:hAnsi="Bodoni MT" w:cs="Bodoni MT"/>
          <w:color w:val="000000"/>
          <w:sz w:val="24"/>
          <w:szCs w:val="24"/>
        </w:rPr>
        <w:t>2016</w:t>
      </w:r>
      <w:r w:rsidR="00922051">
        <w:rPr>
          <w:rFonts w:ascii="Bodoni MT" w:eastAsiaTheme="minorEastAsia" w:hAnsi="Bodoni MT" w:cs="Bodoni MT"/>
          <w:color w:val="000000"/>
          <w:sz w:val="24"/>
          <w:szCs w:val="24"/>
        </w:rPr>
        <w:t xml:space="preserve"> da riportare </w:t>
      </w:r>
      <w:r w:rsidR="001731A5">
        <w:rPr>
          <w:rFonts w:ascii="Bodoni MT" w:eastAsiaTheme="minorEastAsia" w:hAnsi="Bodoni MT" w:cs="Bodoni MT"/>
          <w:color w:val="000000"/>
          <w:sz w:val="24"/>
          <w:szCs w:val="24"/>
        </w:rPr>
        <w:t>all’01.01.2017</w:t>
      </w:r>
      <w:r w:rsidRPr="005D660C">
        <w:rPr>
          <w:rFonts w:ascii="Bodoni MT" w:eastAsiaTheme="minorEastAsia" w:hAnsi="Bodoni MT" w:cs="Bodoni MT"/>
          <w:color w:val="000000"/>
          <w:sz w:val="24"/>
          <w:szCs w:val="24"/>
        </w:rPr>
        <w:t xml:space="preserve"> ammontano a € 425.157.164,17, con una riduzione del 51,55% rispetto ai residui iniziali</w:t>
      </w:r>
      <w:r w:rsidR="00F334AD">
        <w:rPr>
          <w:rFonts w:ascii="Bodoni MT" w:eastAsiaTheme="minorEastAsia" w:hAnsi="Bodoni MT" w:cs="Bodoni MT"/>
          <w:color w:val="000000"/>
          <w:sz w:val="24"/>
          <w:szCs w:val="24"/>
        </w:rPr>
        <w:t xml:space="preserve"> </w:t>
      </w:r>
      <w:r w:rsidR="00F334AD" w:rsidRPr="00161FD5">
        <w:rPr>
          <w:rFonts w:ascii="Bodoni MT" w:eastAsiaTheme="minorEastAsia" w:hAnsi="Bodoni MT" w:cs="Bodoni MT"/>
          <w:color w:val="000000"/>
          <w:sz w:val="24"/>
          <w:szCs w:val="24"/>
        </w:rPr>
        <w:t>del 2016</w:t>
      </w:r>
      <w:r w:rsidRPr="005D660C">
        <w:rPr>
          <w:rFonts w:ascii="Bodoni MT" w:eastAsiaTheme="minorEastAsia" w:hAnsi="Bodoni MT" w:cs="Bodoni MT"/>
          <w:color w:val="000000"/>
          <w:sz w:val="24"/>
          <w:szCs w:val="24"/>
        </w:rPr>
        <w:t xml:space="preserve">. Si osserva però un aumento notevole rispetto ai residui </w:t>
      </w:r>
      <w:r w:rsidR="001731A5">
        <w:rPr>
          <w:rFonts w:ascii="Bodoni MT" w:eastAsiaTheme="minorEastAsia" w:hAnsi="Bodoni MT" w:cs="Bodoni MT"/>
          <w:color w:val="000000"/>
          <w:sz w:val="24"/>
          <w:szCs w:val="24"/>
        </w:rPr>
        <w:t xml:space="preserve">provenienti dagli esercizi 2014 e precedenti, </w:t>
      </w:r>
      <w:r w:rsidRPr="005D660C">
        <w:rPr>
          <w:rFonts w:ascii="Bodoni MT" w:eastAsiaTheme="minorEastAsia" w:hAnsi="Bodoni MT" w:cs="Bodoni MT"/>
          <w:color w:val="000000"/>
          <w:sz w:val="24"/>
          <w:szCs w:val="24"/>
        </w:rPr>
        <w:t xml:space="preserve">conservati al 31/12/2015 (che erano pari a € 117.762.823,00). </w:t>
      </w:r>
    </w:p>
    <w:p w:rsidR="005D660C" w:rsidRPr="005D660C" w:rsidRDefault="00F334AD"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161FD5">
        <w:rPr>
          <w:rFonts w:ascii="Bodoni MT" w:eastAsiaTheme="minorEastAsia" w:hAnsi="Bodoni MT" w:cs="Bodoni MT"/>
          <w:b/>
          <w:color w:val="000000"/>
          <w:sz w:val="24"/>
          <w:szCs w:val="24"/>
        </w:rPr>
        <w:t>Da</w:t>
      </w:r>
      <w:r w:rsidR="005D660C" w:rsidRPr="00161FD5">
        <w:rPr>
          <w:rFonts w:ascii="Bodoni MT" w:eastAsiaTheme="minorEastAsia" w:hAnsi="Bodoni MT" w:cs="Bodoni MT"/>
          <w:b/>
          <w:color w:val="000000"/>
          <w:sz w:val="24"/>
          <w:szCs w:val="24"/>
        </w:rPr>
        <w:t>ll</w:t>
      </w:r>
      <w:r w:rsidR="005D660C" w:rsidRPr="00D20DA7">
        <w:rPr>
          <w:rFonts w:ascii="Bodoni MT" w:eastAsiaTheme="minorEastAsia" w:hAnsi="Bodoni MT" w:cs="Bodoni MT"/>
          <w:b/>
          <w:color w:val="000000"/>
          <w:sz w:val="24"/>
          <w:szCs w:val="24"/>
        </w:rPr>
        <w:t xml:space="preserve">a competenza (2016) si sono formati residui attivi per 1.411,71 </w:t>
      </w:r>
      <w:r w:rsidR="00E643DA">
        <w:rPr>
          <w:rFonts w:ascii="Bodoni MT" w:eastAsiaTheme="minorEastAsia" w:hAnsi="Bodoni MT" w:cs="Bodoni MT"/>
          <w:b/>
          <w:color w:val="000000"/>
          <w:sz w:val="24"/>
          <w:szCs w:val="24"/>
        </w:rPr>
        <w:t>milioni</w:t>
      </w:r>
      <w:r w:rsidR="005D660C" w:rsidRPr="00D20DA7">
        <w:rPr>
          <w:rFonts w:ascii="Bodoni MT" w:eastAsiaTheme="minorEastAsia" w:hAnsi="Bodoni MT" w:cs="Bodoni MT"/>
          <w:b/>
          <w:color w:val="000000"/>
          <w:sz w:val="24"/>
          <w:szCs w:val="24"/>
        </w:rPr>
        <w:t xml:space="preserve"> di euro</w:t>
      </w:r>
      <w:r w:rsidR="005D660C" w:rsidRPr="005D660C">
        <w:rPr>
          <w:rFonts w:ascii="Bodoni MT" w:eastAsiaTheme="minorEastAsia" w:hAnsi="Bodoni MT" w:cs="Bodoni MT"/>
          <w:color w:val="000000"/>
          <w:sz w:val="24"/>
          <w:szCs w:val="24"/>
        </w:rPr>
        <w:t xml:space="preserve">, in misura molto maggiore rispetto a quelli generati dalla competenza 2015, che ammontavano a 759,93 </w:t>
      </w:r>
      <w:r w:rsidR="00E643DA">
        <w:rPr>
          <w:rFonts w:ascii="Bodoni MT" w:eastAsiaTheme="minorEastAsia" w:hAnsi="Bodoni MT" w:cs="Bodoni MT"/>
          <w:color w:val="000000"/>
          <w:sz w:val="24"/>
          <w:szCs w:val="24"/>
        </w:rPr>
        <w:t>milioni</w:t>
      </w:r>
      <w:r w:rsidR="005D660C" w:rsidRPr="005D660C">
        <w:rPr>
          <w:rFonts w:ascii="Bodoni MT" w:eastAsiaTheme="minorEastAsia" w:hAnsi="Bodoni MT" w:cs="Bodoni MT"/>
          <w:color w:val="000000"/>
          <w:sz w:val="24"/>
          <w:szCs w:val="24"/>
        </w:rPr>
        <w:t xml:space="preserve"> di euro.</w:t>
      </w:r>
    </w:p>
    <w:p w:rsidR="005D660C" w:rsidRPr="00F334AD"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highlight w:val="green"/>
        </w:rPr>
      </w:pPr>
      <w:r w:rsidRPr="005D660C">
        <w:rPr>
          <w:rFonts w:ascii="Bodoni MT" w:eastAsiaTheme="minorEastAsia" w:hAnsi="Bodoni MT" w:cs="Bodoni MT"/>
          <w:color w:val="000000"/>
          <w:sz w:val="24"/>
          <w:szCs w:val="24"/>
        </w:rPr>
        <w:t xml:space="preserve">I residui attivi più consistenti sono iscritti nel Titolo I delle Entrate (527,513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eastAsiaTheme="minorEastAsia" w:hAnsi="Bodoni MT" w:cs="Bodoni MT"/>
          <w:color w:val="000000"/>
          <w:sz w:val="24"/>
          <w:szCs w:val="24"/>
        </w:rPr>
        <w:t xml:space="preserve">di euro) e nel Titolo IV (790,628 </w:t>
      </w:r>
      <w:r w:rsidR="00E643DA">
        <w:rPr>
          <w:rFonts w:ascii="Bodoni MT" w:eastAsiaTheme="minorEastAsia" w:hAnsi="Bodoni MT" w:cs="Bodoni MT"/>
          <w:color w:val="000000"/>
          <w:sz w:val="24"/>
          <w:szCs w:val="24"/>
        </w:rPr>
        <w:t>milioni</w:t>
      </w:r>
      <w:r w:rsidRPr="005D660C">
        <w:rPr>
          <w:rFonts w:ascii="Bodoni MT" w:eastAsiaTheme="minorEastAsia" w:hAnsi="Bodoni MT" w:cs="Bodoni MT"/>
          <w:color w:val="000000"/>
          <w:sz w:val="24"/>
          <w:szCs w:val="24"/>
        </w:rPr>
        <w:t xml:space="preserve"> di euro). Per il Titolo IV in particolare, si evidenzia un’alta propensione a generare residui (87,97%)</w:t>
      </w:r>
      <w:r w:rsidRPr="005D660C">
        <w:rPr>
          <w:rFonts w:ascii="Bodoni MT" w:eastAsiaTheme="minorEastAsia" w:hAnsi="Bodoni MT" w:cs="Bodoni MT"/>
          <w:color w:val="000000"/>
          <w:sz w:val="24"/>
          <w:szCs w:val="24"/>
          <w:vertAlign w:val="superscript"/>
        </w:rPr>
        <w:footnoteReference w:id="100"/>
      </w:r>
      <w:r w:rsidRPr="005D660C">
        <w:rPr>
          <w:rFonts w:ascii="Bodoni MT" w:eastAsiaTheme="minorEastAsia" w:hAnsi="Bodoni MT" w:cs="Bodoni MT"/>
          <w:color w:val="000000"/>
          <w:sz w:val="24"/>
          <w:szCs w:val="24"/>
        </w:rPr>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Sommando ai residui della competenza 2016 quelli derivanti dagli esercizi pregressi, </w:t>
      </w:r>
      <w:r w:rsidRPr="00F217D3">
        <w:rPr>
          <w:rFonts w:ascii="Bodoni MT" w:eastAsiaTheme="minorEastAsia" w:hAnsi="Bodoni MT" w:cs="Bodoni MT"/>
          <w:b/>
          <w:color w:val="000000"/>
          <w:sz w:val="24"/>
          <w:szCs w:val="24"/>
        </w:rPr>
        <w:t>si ha</w:t>
      </w:r>
      <w:r w:rsidRPr="005D660C">
        <w:rPr>
          <w:rFonts w:ascii="Bodoni MT" w:eastAsiaTheme="minorEastAsia" w:hAnsi="Bodoni MT" w:cs="Bodoni MT"/>
          <w:color w:val="000000"/>
          <w:sz w:val="24"/>
          <w:szCs w:val="24"/>
        </w:rPr>
        <w:t xml:space="preserve"> </w:t>
      </w:r>
      <w:r w:rsidRPr="00F217D3">
        <w:rPr>
          <w:rFonts w:ascii="Bodoni MT" w:eastAsiaTheme="minorEastAsia" w:hAnsi="Bodoni MT" w:cs="Bodoni MT"/>
          <w:b/>
          <w:color w:val="000000"/>
          <w:sz w:val="24"/>
          <w:szCs w:val="24"/>
        </w:rPr>
        <w:t>l’ammontare complessivo dei residui attivi da ripo</w:t>
      </w:r>
      <w:r w:rsidR="00025F0A" w:rsidRPr="00F217D3">
        <w:rPr>
          <w:rFonts w:ascii="Bodoni MT" w:eastAsiaTheme="minorEastAsia" w:hAnsi="Bodoni MT" w:cs="Bodoni MT"/>
          <w:b/>
          <w:color w:val="000000"/>
          <w:sz w:val="24"/>
          <w:szCs w:val="24"/>
        </w:rPr>
        <w:t>rtare al nuovo esercizio pari a</w:t>
      </w:r>
      <w:r w:rsidRPr="00F217D3">
        <w:rPr>
          <w:rFonts w:ascii="Bodoni MT" w:eastAsiaTheme="minorEastAsia" w:hAnsi="Bodoni MT" w:cs="Bodoni MT"/>
          <w:b/>
          <w:color w:val="000000"/>
          <w:sz w:val="24"/>
          <w:szCs w:val="24"/>
        </w:rPr>
        <w:t xml:space="preserve"> € 1.836.868.992,22 più che raddoppiati rispetto ai residui finali del 2015</w:t>
      </w:r>
      <w:r w:rsidRPr="005D660C">
        <w:rPr>
          <w:rFonts w:ascii="Bodoni MT" w:eastAsiaTheme="minorEastAsia" w:hAnsi="Bodoni MT" w:cs="Bodoni MT"/>
          <w:color w:val="000000"/>
          <w:sz w:val="24"/>
          <w:szCs w:val="24"/>
        </w:rPr>
        <w:t xml:space="preserve">. </w:t>
      </w:r>
    </w:p>
    <w:p w:rsidR="005D660C" w:rsidRDefault="005D660C" w:rsidP="00335ECD">
      <w:pPr>
        <w:spacing w:after="0" w:line="360" w:lineRule="auto"/>
        <w:jc w:val="both"/>
        <w:rPr>
          <w:rFonts w:ascii="Bodoni MT" w:hAnsi="Bodoni MT"/>
          <w:sz w:val="24"/>
          <w:szCs w:val="24"/>
        </w:rPr>
      </w:pPr>
      <w:r w:rsidRPr="005D660C">
        <w:rPr>
          <w:rFonts w:ascii="Bodoni MT" w:hAnsi="Bodoni MT"/>
          <w:sz w:val="24"/>
          <w:szCs w:val="24"/>
        </w:rPr>
        <w:t>L’analisi dei residui attivi per tipologia di entrata, effettuata dalla RAS</w:t>
      </w:r>
      <w:r w:rsidRPr="005D660C">
        <w:rPr>
          <w:rFonts w:ascii="Bodoni MT" w:hAnsi="Bodoni MT"/>
          <w:sz w:val="24"/>
          <w:szCs w:val="24"/>
          <w:vertAlign w:val="superscript"/>
        </w:rPr>
        <w:footnoteReference w:id="101"/>
      </w:r>
      <w:r w:rsidRPr="005D660C">
        <w:rPr>
          <w:rFonts w:ascii="Bodoni MT" w:hAnsi="Bodoni MT"/>
          <w:sz w:val="24"/>
          <w:szCs w:val="24"/>
        </w:rPr>
        <w:t xml:space="preserve">, ha evidenziato che la voce più consistente in termini di accertamento (Tributi devoluti e regolati alle Autonomie speciali), pari a 5.866,675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hAnsi="Bodoni MT"/>
          <w:sz w:val="24"/>
          <w:szCs w:val="24"/>
        </w:rPr>
        <w:t xml:space="preserve">di euro, ha generato residui per 429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hAnsi="Bodoni MT"/>
          <w:sz w:val="24"/>
          <w:szCs w:val="24"/>
        </w:rPr>
        <w:t xml:space="preserve">di euro. La seconda tipologia più consistente in termini di accertamento riguarda i contributi agli investimenti che ha generato residui per il 90,43% del suo ammontare (866,26 </w:t>
      </w:r>
      <w:r w:rsidR="00922051" w:rsidRPr="001228FE">
        <w:rPr>
          <w:rFonts w:ascii="Bodoni MT" w:hAnsi="Bodoni MT"/>
          <w:sz w:val="24"/>
          <w:szCs w:val="24"/>
        </w:rPr>
        <w:t>milioni</w:t>
      </w:r>
      <w:r w:rsidR="00922051" w:rsidRPr="001228FE">
        <w:rPr>
          <w:rFonts w:ascii="Bodoni MT" w:hAnsi="Bodoni MT"/>
        </w:rPr>
        <w:t xml:space="preserve"> </w:t>
      </w:r>
      <w:r w:rsidRPr="005D660C">
        <w:rPr>
          <w:rFonts w:ascii="Bodoni MT" w:hAnsi="Bodoni MT"/>
          <w:sz w:val="24"/>
          <w:szCs w:val="24"/>
        </w:rPr>
        <w:t>di euro).</w:t>
      </w:r>
      <w:r w:rsidR="00A73BCA">
        <w:rPr>
          <w:rFonts w:ascii="Bodoni MT" w:hAnsi="Bodoni MT"/>
          <w:sz w:val="24"/>
          <w:szCs w:val="24"/>
        </w:rPr>
        <w:t xml:space="preserve">  </w:t>
      </w:r>
    </w:p>
    <w:p w:rsidR="00D30429" w:rsidRDefault="00D30429" w:rsidP="00335ECD">
      <w:pPr>
        <w:pStyle w:val="Didascalia"/>
        <w:spacing w:before="0"/>
      </w:pPr>
      <w:r>
        <w:br w:type="page"/>
      </w:r>
    </w:p>
    <w:p w:rsidR="00335ECD" w:rsidRDefault="00335ECD" w:rsidP="00335ECD">
      <w:pPr>
        <w:pStyle w:val="Didascalia"/>
        <w:spacing w:before="0"/>
        <w:rPr>
          <w:sz w:val="24"/>
          <w:szCs w:val="24"/>
        </w:rPr>
      </w:pPr>
      <w:bookmarkStart w:id="183" w:name="_Toc507422494"/>
      <w:r>
        <w:lastRenderedPageBreak/>
        <w:t xml:space="preserve">Tabella </w:t>
      </w:r>
      <w:r w:rsidR="00B90472">
        <w:fldChar w:fldCharType="begin"/>
      </w:r>
      <w:r w:rsidR="00B90472">
        <w:instrText xml:space="preserve"> SEQ Tabella \* ARABIC </w:instrText>
      </w:r>
      <w:r w:rsidR="00B90472">
        <w:fldChar w:fldCharType="separate"/>
      </w:r>
      <w:r w:rsidR="008616B3">
        <w:rPr>
          <w:noProof/>
        </w:rPr>
        <w:t>26</w:t>
      </w:r>
      <w:r w:rsidR="00B90472">
        <w:rPr>
          <w:noProof/>
        </w:rPr>
        <w:fldChar w:fldCharType="end"/>
      </w:r>
      <w:r w:rsidR="0062154E">
        <w:rPr>
          <w:noProof/>
        </w:rPr>
        <w:t xml:space="preserve"> </w:t>
      </w:r>
      <w:r w:rsidR="003B4FF5">
        <w:rPr>
          <w:noProof/>
        </w:rPr>
        <w:t xml:space="preserve">– </w:t>
      </w:r>
      <w:r w:rsidR="00CC57CD">
        <w:rPr>
          <w:noProof/>
        </w:rPr>
        <w:t xml:space="preserve">Entrate - Esercizi </w:t>
      </w:r>
      <w:r w:rsidR="003B4FF5" w:rsidRPr="003B4FF5">
        <w:rPr>
          <w:noProof/>
        </w:rPr>
        <w:t>2015/2016 - Gestione dei residui</w:t>
      </w:r>
      <w:bookmarkEnd w:id="183"/>
    </w:p>
    <w:tbl>
      <w:tblPr>
        <w:tblW w:w="5192" w:type="pct"/>
        <w:tblCellMar>
          <w:left w:w="70" w:type="dxa"/>
          <w:right w:w="70" w:type="dxa"/>
        </w:tblCellMar>
        <w:tblLook w:val="04A0" w:firstRow="1" w:lastRow="0" w:firstColumn="1" w:lastColumn="0" w:noHBand="0" w:noVBand="1"/>
      </w:tblPr>
      <w:tblGrid>
        <w:gridCol w:w="1089"/>
        <w:gridCol w:w="2415"/>
        <w:gridCol w:w="2177"/>
        <w:gridCol w:w="2110"/>
        <w:gridCol w:w="2656"/>
      </w:tblGrid>
      <w:tr w:rsidR="00335ECD" w:rsidRPr="00D437D0" w:rsidTr="0062154E">
        <w:trPr>
          <w:trHeight w:val="281"/>
        </w:trPr>
        <w:tc>
          <w:tcPr>
            <w:tcW w:w="521"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35ECD" w:rsidRPr="00D437D0" w:rsidRDefault="0062154E" w:rsidP="0062154E">
            <w:pPr>
              <w:spacing w:after="0" w:line="240" w:lineRule="auto"/>
              <w:jc w:val="center"/>
              <w:rPr>
                <w:rFonts w:ascii="Bodoni MT" w:eastAsia="Times New Roman" w:hAnsi="Bodoni MT" w:cs="Calibri"/>
                <w:b/>
                <w:bCs/>
                <w:color w:val="FFFFFF"/>
                <w:sz w:val="14"/>
                <w:szCs w:val="14"/>
                <w:lang w:eastAsia="it-IT"/>
              </w:rPr>
            </w:pPr>
            <w:r>
              <w:rPr>
                <w:rFonts w:ascii="Bodoni MT" w:eastAsia="Times New Roman" w:hAnsi="Bodoni MT" w:cs="Calibri"/>
                <w:b/>
                <w:bCs/>
                <w:color w:val="FFFFFF"/>
                <w:sz w:val="14"/>
                <w:szCs w:val="14"/>
                <w:lang w:eastAsia="it-IT"/>
              </w:rPr>
              <w:t>TITOLO</w:t>
            </w:r>
          </w:p>
        </w:tc>
        <w:tc>
          <w:tcPr>
            <w:tcW w:w="1156" w:type="pct"/>
            <w:tcBorders>
              <w:top w:val="single" w:sz="4" w:space="0" w:color="auto"/>
              <w:left w:val="nil"/>
              <w:bottom w:val="single" w:sz="4" w:space="0" w:color="auto"/>
              <w:right w:val="single" w:sz="4" w:space="0" w:color="auto"/>
            </w:tcBorders>
            <w:shd w:val="clear" w:color="auto" w:fill="0F243E" w:themeFill="text2" w:themeFillShade="80"/>
            <w:noWrap/>
            <w:vAlign w:val="bottom"/>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 </w:t>
            </w:r>
          </w:p>
        </w:tc>
        <w:tc>
          <w:tcPr>
            <w:tcW w:w="1042"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35ECD" w:rsidRPr="00D437D0" w:rsidRDefault="00335ECD" w:rsidP="00335ECD">
            <w:pPr>
              <w:spacing w:after="0" w:line="240" w:lineRule="auto"/>
              <w:jc w:val="center"/>
              <w:rPr>
                <w:rFonts w:ascii="Calibri" w:eastAsia="Times New Roman" w:hAnsi="Calibri" w:cs="Calibri"/>
                <w:b/>
                <w:bCs/>
                <w:color w:val="FFFFFF"/>
                <w:sz w:val="14"/>
                <w:szCs w:val="14"/>
                <w:lang w:eastAsia="it-IT"/>
              </w:rPr>
            </w:pPr>
            <w:r w:rsidRPr="00D437D0">
              <w:rPr>
                <w:rFonts w:ascii="Calibri" w:eastAsia="Times New Roman" w:hAnsi="Calibri" w:cs="Calibri"/>
                <w:b/>
                <w:bCs/>
                <w:color w:val="FFFFFF"/>
                <w:sz w:val="14"/>
                <w:szCs w:val="14"/>
                <w:lang w:eastAsia="it-IT"/>
              </w:rPr>
              <w:t>2015</w:t>
            </w:r>
          </w:p>
        </w:tc>
        <w:tc>
          <w:tcPr>
            <w:tcW w:w="10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35ECD" w:rsidRPr="00D437D0" w:rsidRDefault="00335ECD" w:rsidP="00335ECD">
            <w:pPr>
              <w:spacing w:after="0" w:line="240" w:lineRule="auto"/>
              <w:jc w:val="center"/>
              <w:rPr>
                <w:rFonts w:ascii="Calibri" w:eastAsia="Times New Roman" w:hAnsi="Calibri" w:cs="Calibri"/>
                <w:b/>
                <w:bCs/>
                <w:color w:val="FFFFFF"/>
                <w:sz w:val="14"/>
                <w:szCs w:val="14"/>
                <w:lang w:eastAsia="it-IT"/>
              </w:rPr>
            </w:pPr>
            <w:r w:rsidRPr="00D437D0">
              <w:rPr>
                <w:rFonts w:ascii="Calibri" w:eastAsia="Times New Roman" w:hAnsi="Calibri" w:cs="Calibri"/>
                <w:b/>
                <w:bCs/>
                <w:color w:val="FFFFFF"/>
                <w:sz w:val="14"/>
                <w:szCs w:val="14"/>
                <w:lang w:eastAsia="it-IT"/>
              </w:rPr>
              <w:t>2016</w:t>
            </w:r>
          </w:p>
        </w:tc>
        <w:tc>
          <w:tcPr>
            <w:tcW w:w="1271"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35ECD" w:rsidRPr="00D437D0" w:rsidRDefault="00335ECD" w:rsidP="00335ECD">
            <w:pPr>
              <w:spacing w:after="0" w:line="240" w:lineRule="auto"/>
              <w:jc w:val="center"/>
              <w:rPr>
                <w:rFonts w:ascii="Calibri" w:eastAsia="Times New Roman" w:hAnsi="Calibri" w:cs="Calibri"/>
                <w:b/>
                <w:bCs/>
                <w:color w:val="FFFFFF"/>
                <w:sz w:val="14"/>
                <w:szCs w:val="14"/>
                <w:lang w:eastAsia="it-IT"/>
              </w:rPr>
            </w:pPr>
            <w:r w:rsidRPr="00D437D0">
              <w:rPr>
                <w:rFonts w:ascii="Calibri" w:eastAsia="Times New Roman" w:hAnsi="Calibri" w:cs="Calibri"/>
                <w:b/>
                <w:bCs/>
                <w:color w:val="FFFFFF"/>
                <w:sz w:val="14"/>
                <w:szCs w:val="14"/>
                <w:lang w:eastAsia="it-IT"/>
              </w:rPr>
              <w:t>Var. % 2016/2015</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I</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530.201.815,71</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340.161.896,90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-35,84</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426.910.435,71</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338.038.832,80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-20,82</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-103.291.380,00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2.123.064,10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-102,06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397.667.793,04</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261.376.450,77</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-34,27</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397.667.793,04</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261.376.450,77</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-34,27</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29.242.642,67</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76.662.382,03</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162,16</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II</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63.799.503,42</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71.263.993,42</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11,70</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63.799.503,41</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67.401.430,29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5,65</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-0,01</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3.862.563,13</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-38.625.631.400,00</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51.201.644,75</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16.100.037,49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-68,56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51.201.644,75</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16.100.037,49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-68,56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12.597.858,66</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51.301.392,80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307,22</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III</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38.748.118,42</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106.118.199,12</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173,87</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32.407.375,79</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105.255.103,31</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224,79</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-6.340.742,63</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863.095,81</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-113,61</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2.248.593,03</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18.615.175,95</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727,86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2.248.593,03</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18.615.175,95</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727,86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30.158.782,76</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86.639.927,36</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187,28</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IV</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348.073.810,11</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358.819.869,74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3,09</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345.524.463,82</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292.525.479,30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-15,34</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-2.549.346,29</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66.294.390,44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-2.700,45</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300.713.261,18</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82.504.185,49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-72,56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300.713.261,18</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82.504.185,49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-72,56</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44.811.202,64</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210.021.293,81</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368,68</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V</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VI</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271" w:type="pct"/>
            <w:tcBorders>
              <w:top w:val="nil"/>
              <w:left w:val="nil"/>
              <w:bottom w:val="single" w:sz="4" w:space="0" w:color="auto"/>
              <w:right w:val="single" w:sz="4" w:space="0" w:color="auto"/>
            </w:tcBorders>
            <w:shd w:val="clear" w:color="000000" w:fill="FFFFFF"/>
            <w:noWrap/>
            <w:vAlign w:val="center"/>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Titolo IX</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2.057.729,75</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1.331.749,20</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-35,28</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1.757.540,59</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1.331.681,51</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-24,23</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-300.189,16</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67,69</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-100,02</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805.204,32</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799.513,34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-0,71</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805.204,32</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799.513,34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-0,71</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952.336,27</w:t>
            </w:r>
          </w:p>
        </w:tc>
        <w:tc>
          <w:tcPr>
            <w:tcW w:w="1010"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532.168,17</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-44,12</w:t>
            </w:r>
          </w:p>
        </w:tc>
      </w:tr>
      <w:tr w:rsidR="00335ECD" w:rsidRPr="00D437D0" w:rsidTr="0062154E">
        <w:trPr>
          <w:trHeight w:val="19"/>
        </w:trPr>
        <w:tc>
          <w:tcPr>
            <w:tcW w:w="521" w:type="pct"/>
            <w:vMerge w:val="restart"/>
            <w:tcBorders>
              <w:top w:val="nil"/>
              <w:left w:val="single" w:sz="4" w:space="0" w:color="auto"/>
              <w:bottom w:val="single" w:sz="4" w:space="0" w:color="auto"/>
              <w:right w:val="single" w:sz="4" w:space="0" w:color="auto"/>
            </w:tcBorders>
            <w:shd w:val="clear" w:color="auto" w:fill="95B3D7" w:themeFill="accent1" w:themeFillTint="99"/>
            <w:noWrap/>
            <w:textDirection w:val="btLr"/>
            <w:vAlign w:val="center"/>
            <w:hideMark/>
          </w:tcPr>
          <w:p w:rsidR="00335ECD" w:rsidRPr="00D437D0" w:rsidRDefault="00335ECD" w:rsidP="00335ECD">
            <w:pPr>
              <w:spacing w:after="0" w:line="240" w:lineRule="auto"/>
              <w:jc w:val="center"/>
              <w:rPr>
                <w:rFonts w:ascii="Bodoni MT" w:eastAsia="Times New Roman" w:hAnsi="Bodoni MT" w:cs="Calibri"/>
                <w:b/>
                <w:bCs/>
                <w:color w:val="FFFFFF"/>
                <w:sz w:val="14"/>
                <w:szCs w:val="14"/>
                <w:lang w:eastAsia="it-IT"/>
              </w:rPr>
            </w:pPr>
            <w:r w:rsidRPr="00D437D0">
              <w:rPr>
                <w:rFonts w:ascii="Bodoni MT" w:eastAsia="Times New Roman" w:hAnsi="Bodoni MT" w:cs="Calibri"/>
                <w:b/>
                <w:bCs/>
                <w:color w:val="FFFFFF"/>
                <w:sz w:val="14"/>
                <w:szCs w:val="14"/>
                <w:lang w:eastAsia="it-IT"/>
              </w:rPr>
              <w:t>Totale Residui</w:t>
            </w: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attivi al 1/1</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982.880.977,41</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877.695.708,38</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-10,70</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Accertamenti</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870.399.319,32</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804.552.527,21</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-7,57</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Magg./Min. entr.</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-112.481.658,09</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73.143.181,17</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-165,03</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Riscossioni</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752.636.496,32</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379.395.363,04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-49,59</w:t>
            </w: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Versamenti</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0,00</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379.395.363,04</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p>
        </w:tc>
      </w:tr>
      <w:tr w:rsidR="00335ECD" w:rsidRPr="00D437D0" w:rsidTr="0062154E">
        <w:trPr>
          <w:trHeight w:val="19"/>
        </w:trPr>
        <w:tc>
          <w:tcPr>
            <w:tcW w:w="521"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sz w:val="14"/>
                <w:szCs w:val="14"/>
                <w:lang w:eastAsia="it-IT"/>
              </w:rPr>
            </w:pPr>
          </w:p>
        </w:tc>
        <w:tc>
          <w:tcPr>
            <w:tcW w:w="1156" w:type="pct"/>
            <w:tcBorders>
              <w:top w:val="nil"/>
              <w:left w:val="nil"/>
              <w:bottom w:val="single" w:sz="4" w:space="0" w:color="auto"/>
              <w:right w:val="single" w:sz="4" w:space="0" w:color="auto"/>
            </w:tcBorders>
            <w:shd w:val="clear" w:color="auto" w:fill="95B3D7" w:themeFill="accent1" w:themeFillTint="99"/>
            <w:noWrap/>
            <w:vAlign w:val="bottom"/>
            <w:hideMark/>
          </w:tcPr>
          <w:p w:rsidR="00335ECD" w:rsidRPr="00D437D0" w:rsidRDefault="00335ECD" w:rsidP="00335ECD">
            <w:pPr>
              <w:spacing w:after="0" w:line="240" w:lineRule="auto"/>
              <w:rPr>
                <w:rFonts w:ascii="Bodoni MT" w:eastAsia="Times New Roman" w:hAnsi="Bodoni MT" w:cs="Calibri"/>
                <w:color w:val="FFFFFF"/>
                <w:sz w:val="14"/>
                <w:szCs w:val="14"/>
                <w:lang w:eastAsia="it-IT"/>
              </w:rPr>
            </w:pPr>
            <w:r w:rsidRPr="00D437D0">
              <w:rPr>
                <w:rFonts w:ascii="Bodoni MT" w:eastAsia="Times New Roman" w:hAnsi="Bodoni MT" w:cs="Calibri"/>
                <w:color w:val="FFFFFF"/>
                <w:sz w:val="14"/>
                <w:szCs w:val="14"/>
                <w:lang w:eastAsia="it-IT"/>
              </w:rPr>
              <w:t>Residui dei residui</w:t>
            </w:r>
          </w:p>
        </w:tc>
        <w:tc>
          <w:tcPr>
            <w:tcW w:w="1042"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117.762.823,00</w:t>
            </w:r>
          </w:p>
        </w:tc>
        <w:tc>
          <w:tcPr>
            <w:tcW w:w="1010" w:type="pct"/>
            <w:tcBorders>
              <w:top w:val="nil"/>
              <w:left w:val="nil"/>
              <w:bottom w:val="single" w:sz="4" w:space="0" w:color="auto"/>
              <w:right w:val="single" w:sz="4" w:space="0" w:color="auto"/>
            </w:tcBorders>
            <w:shd w:val="clear" w:color="000000" w:fill="FFFFFF"/>
            <w:noWrap/>
            <w:vAlign w:val="bottom"/>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425.157.164,17</w:t>
            </w:r>
          </w:p>
        </w:tc>
        <w:tc>
          <w:tcPr>
            <w:tcW w:w="1271" w:type="pct"/>
            <w:tcBorders>
              <w:top w:val="nil"/>
              <w:left w:val="nil"/>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jc w:val="right"/>
              <w:rPr>
                <w:rFonts w:ascii="Calibri" w:eastAsia="Times New Roman" w:hAnsi="Calibri" w:cs="Calibri"/>
                <w:sz w:val="14"/>
                <w:szCs w:val="14"/>
                <w:lang w:eastAsia="it-IT"/>
              </w:rPr>
            </w:pPr>
            <w:r w:rsidRPr="00D437D0">
              <w:rPr>
                <w:rFonts w:ascii="Calibri" w:eastAsia="Times New Roman" w:hAnsi="Calibri" w:cs="Calibri"/>
                <w:sz w:val="14"/>
                <w:szCs w:val="14"/>
                <w:lang w:eastAsia="it-IT"/>
              </w:rPr>
              <w:t>261,03</w:t>
            </w:r>
          </w:p>
        </w:tc>
      </w:tr>
      <w:tr w:rsidR="00335ECD" w:rsidRPr="00D437D0" w:rsidTr="00D437D0">
        <w:trPr>
          <w:trHeight w:val="19"/>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35ECD" w:rsidRPr="00D437D0" w:rsidRDefault="00335ECD" w:rsidP="00335ECD">
            <w:pPr>
              <w:spacing w:after="0" w:line="240" w:lineRule="auto"/>
              <w:rPr>
                <w:rFonts w:ascii="Bodoni MT" w:eastAsia="Times New Roman" w:hAnsi="Bodoni MT" w:cs="Calibri"/>
                <w:sz w:val="14"/>
                <w:szCs w:val="14"/>
                <w:lang w:eastAsia="it-IT"/>
              </w:rPr>
            </w:pPr>
            <w:r w:rsidRPr="00D437D0">
              <w:rPr>
                <w:rFonts w:ascii="Bodoni MT" w:eastAsia="Times New Roman" w:hAnsi="Bodoni MT" w:cs="Calibri"/>
                <w:sz w:val="14"/>
                <w:szCs w:val="14"/>
                <w:lang w:eastAsia="it-IT"/>
              </w:rPr>
              <w:t>Residui al 1/1 2015 dopo riaccertamento straordinario RESIDUI</w:t>
            </w:r>
          </w:p>
        </w:tc>
      </w:tr>
    </w:tbl>
    <w:p w:rsidR="001731A5" w:rsidRPr="005D660C" w:rsidRDefault="001731A5" w:rsidP="00D30429">
      <w:pPr>
        <w:pStyle w:val="Titolo4"/>
        <w:spacing w:before="480"/>
      </w:pPr>
      <w:bookmarkStart w:id="184" w:name="_Toc507422639"/>
      <w:r>
        <w:t>L’analisi dell’anzianità dei residui attivi</w:t>
      </w:r>
      <w:bookmarkEnd w:id="184"/>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La tabella che segue evidenzia, distintamente per anno di provenienza e per titolo, i residui attivi riaccertati in sede di rendiconto 2016, pari complessivamente a € 1.836.868.992,22.   </w:t>
      </w:r>
    </w:p>
    <w:p w:rsidR="00D30429" w:rsidRDefault="00D30429" w:rsidP="00C05880">
      <w:pPr>
        <w:pStyle w:val="Didascalia"/>
      </w:pPr>
      <w:r>
        <w:br w:type="page"/>
      </w:r>
    </w:p>
    <w:p w:rsidR="00D20DA7" w:rsidRDefault="00C05880" w:rsidP="00C05880">
      <w:pPr>
        <w:pStyle w:val="Didascalia"/>
      </w:pPr>
      <w:bookmarkStart w:id="185" w:name="_Toc507422495"/>
      <w:r>
        <w:lastRenderedPageBreak/>
        <w:t xml:space="preserve">Tabella </w:t>
      </w:r>
      <w:r w:rsidR="00B90472">
        <w:fldChar w:fldCharType="begin"/>
      </w:r>
      <w:r w:rsidR="00B90472">
        <w:instrText xml:space="preserve"> SEQ Tabella \* ARABIC </w:instrText>
      </w:r>
      <w:r w:rsidR="00B90472">
        <w:fldChar w:fldCharType="separate"/>
      </w:r>
      <w:r w:rsidR="008616B3">
        <w:rPr>
          <w:noProof/>
        </w:rPr>
        <w:t>27</w:t>
      </w:r>
      <w:r w:rsidR="00B90472">
        <w:rPr>
          <w:noProof/>
        </w:rPr>
        <w:fldChar w:fldCharType="end"/>
      </w:r>
      <w:r w:rsidR="00D20DA7">
        <w:t xml:space="preserve"> – </w:t>
      </w:r>
      <w:r w:rsidR="001405F6">
        <w:t xml:space="preserve">Residui </w:t>
      </w:r>
      <w:r w:rsidR="00D20DA7">
        <w:t>attivi riaccertati al 31.12.2016 per titolo e anno di provenienza</w:t>
      </w:r>
      <w:bookmarkEnd w:id="185"/>
    </w:p>
    <w:tbl>
      <w:tblPr>
        <w:tblW w:w="5000" w:type="pct"/>
        <w:jc w:val="center"/>
        <w:tblCellMar>
          <w:left w:w="70" w:type="dxa"/>
          <w:right w:w="70" w:type="dxa"/>
        </w:tblCellMar>
        <w:tblLook w:val="04A0" w:firstRow="1" w:lastRow="0" w:firstColumn="1" w:lastColumn="0" w:noHBand="0" w:noVBand="1"/>
      </w:tblPr>
      <w:tblGrid>
        <w:gridCol w:w="589"/>
        <w:gridCol w:w="624"/>
        <w:gridCol w:w="481"/>
        <w:gridCol w:w="481"/>
        <w:gridCol w:w="481"/>
        <w:gridCol w:w="537"/>
        <w:gridCol w:w="624"/>
        <w:gridCol w:w="624"/>
        <w:gridCol w:w="481"/>
        <w:gridCol w:w="481"/>
        <w:gridCol w:w="537"/>
        <w:gridCol w:w="481"/>
        <w:gridCol w:w="624"/>
        <w:gridCol w:w="624"/>
        <w:gridCol w:w="710"/>
        <w:gridCol w:w="841"/>
        <w:gridCol w:w="841"/>
      </w:tblGrid>
      <w:tr w:rsidR="00922051" w:rsidRPr="001731A5" w:rsidTr="00D30429">
        <w:trPr>
          <w:trHeight w:val="285"/>
          <w:jc w:val="center"/>
        </w:trPr>
        <w:tc>
          <w:tcPr>
            <w:tcW w:w="5000" w:type="pct"/>
            <w:gridSpan w:val="17"/>
            <w:tcBorders>
              <w:top w:val="nil"/>
              <w:left w:val="nil"/>
              <w:bottom w:val="nil"/>
              <w:right w:val="nil"/>
            </w:tcBorders>
            <w:shd w:val="clear" w:color="auto" w:fill="auto"/>
            <w:noWrap/>
            <w:vAlign w:val="bottom"/>
            <w:hideMark/>
          </w:tcPr>
          <w:p w:rsidR="00922051" w:rsidRPr="001731A5" w:rsidRDefault="00922051" w:rsidP="00922051">
            <w:pPr>
              <w:spacing w:after="0" w:line="240" w:lineRule="auto"/>
              <w:jc w:val="right"/>
              <w:rPr>
                <w:rFonts w:ascii="Bodoni MT" w:eastAsia="Times New Roman" w:hAnsi="Bodoni MT" w:cs="Arial"/>
                <w:sz w:val="16"/>
                <w:szCs w:val="16"/>
                <w:lang w:eastAsia="it-IT"/>
              </w:rPr>
            </w:pPr>
            <w:r w:rsidRPr="001731A5">
              <w:rPr>
                <w:rFonts w:ascii="Bodoni MT" w:eastAsia="Times New Roman" w:hAnsi="Bodoni MT" w:cs="Arial"/>
                <w:sz w:val="16"/>
                <w:szCs w:val="16"/>
                <w:lang w:eastAsia="it-IT"/>
              </w:rPr>
              <w:t>(importi in migliaia di euro)</w:t>
            </w:r>
          </w:p>
        </w:tc>
      </w:tr>
      <w:tr w:rsidR="001731A5" w:rsidRPr="001731A5" w:rsidTr="00D30429">
        <w:trPr>
          <w:trHeight w:val="255"/>
          <w:jc w:val="center"/>
        </w:trPr>
        <w:tc>
          <w:tcPr>
            <w:tcW w:w="293"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 </w:t>
            </w:r>
          </w:p>
        </w:tc>
        <w:tc>
          <w:tcPr>
            <w:tcW w:w="3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2002</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2003</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2004</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2005</w:t>
            </w:r>
          </w:p>
        </w:tc>
        <w:tc>
          <w:tcPr>
            <w:tcW w:w="267"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2006</w:t>
            </w:r>
          </w:p>
        </w:tc>
        <w:tc>
          <w:tcPr>
            <w:tcW w:w="3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2007</w:t>
            </w:r>
          </w:p>
        </w:tc>
        <w:tc>
          <w:tcPr>
            <w:tcW w:w="3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2008</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2009</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2010</w:t>
            </w:r>
          </w:p>
        </w:tc>
        <w:tc>
          <w:tcPr>
            <w:tcW w:w="267"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2011</w:t>
            </w:r>
          </w:p>
        </w:tc>
        <w:tc>
          <w:tcPr>
            <w:tcW w:w="2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2012</w:t>
            </w:r>
          </w:p>
        </w:tc>
        <w:tc>
          <w:tcPr>
            <w:tcW w:w="3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2013</w:t>
            </w:r>
          </w:p>
        </w:tc>
        <w:tc>
          <w:tcPr>
            <w:tcW w:w="31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2014</w:t>
            </w:r>
          </w:p>
        </w:tc>
        <w:tc>
          <w:tcPr>
            <w:tcW w:w="353"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2015</w:t>
            </w:r>
          </w:p>
        </w:tc>
        <w:tc>
          <w:tcPr>
            <w:tcW w:w="41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2016</w:t>
            </w:r>
          </w:p>
        </w:tc>
        <w:tc>
          <w:tcPr>
            <w:tcW w:w="41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E72D49" w:rsidRPr="001731A5" w:rsidRDefault="00E72D49" w:rsidP="001F2FD8">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Totale</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1</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29.243</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47.420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527.513</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604.175</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2</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110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150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9.379</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2.176</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43</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146</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45</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485</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38.766</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78.439</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129.740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3</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17</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39</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427</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132</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58</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138</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183</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7.420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4.636</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16.131</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57.458</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15.110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101.750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4</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10.987</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13.680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18.147</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119</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75</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167.013</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790.628</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1.000.650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5</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6</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7</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TIT 9</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151</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379</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22</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554</w:t>
            </w:r>
          </w:p>
        </w:tc>
      </w:tr>
      <w:tr w:rsidR="001731A5" w:rsidRPr="001731A5" w:rsidTr="00D30429">
        <w:trPr>
          <w:trHeight w:val="255"/>
          <w:jc w:val="center"/>
        </w:trPr>
        <w:tc>
          <w:tcPr>
            <w:tcW w:w="2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E72D49" w:rsidRPr="00F90E63" w:rsidRDefault="00E72D49" w:rsidP="001F2FD8">
            <w:pPr>
              <w:spacing w:after="0" w:line="240" w:lineRule="auto"/>
              <w:jc w:val="center"/>
              <w:rPr>
                <w:rFonts w:ascii="Bodoni MT" w:eastAsia="Times New Roman" w:hAnsi="Bodoni MT" w:cs="Arial"/>
                <w:b/>
                <w:bCs/>
                <w:color w:val="FFFFFF" w:themeColor="background1"/>
                <w:sz w:val="16"/>
                <w:szCs w:val="16"/>
                <w:lang w:eastAsia="it-IT"/>
              </w:rPr>
            </w:pPr>
            <w:r w:rsidRPr="00F90E63">
              <w:rPr>
                <w:rFonts w:ascii="Bodoni MT" w:eastAsia="Times New Roman" w:hAnsi="Bodoni MT" w:cs="Arial"/>
                <w:b/>
                <w:bCs/>
                <w:color w:val="FFFFFF" w:themeColor="background1"/>
                <w:sz w:val="16"/>
                <w:szCs w:val="16"/>
                <w:lang w:eastAsia="it-IT"/>
              </w:rPr>
              <w:t>Totale</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10.987</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127</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39</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577</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9.511</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15.857</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18.206</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138</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226</w:t>
            </w:r>
          </w:p>
        </w:tc>
        <w:tc>
          <w:tcPr>
            <w:tcW w:w="267"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7.420</w:t>
            </w:r>
          </w:p>
        </w:tc>
        <w:tc>
          <w:tcPr>
            <w:tcW w:w="239"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146</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34.045</w:t>
            </w:r>
          </w:p>
        </w:tc>
        <w:tc>
          <w:tcPr>
            <w:tcW w:w="310"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16.842</w:t>
            </w:r>
          </w:p>
        </w:tc>
        <w:tc>
          <w:tcPr>
            <w:tcW w:w="353"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311.036</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1.411.712</w:t>
            </w:r>
          </w:p>
        </w:tc>
        <w:tc>
          <w:tcPr>
            <w:tcW w:w="418" w:type="pct"/>
            <w:tcBorders>
              <w:top w:val="nil"/>
              <w:left w:val="nil"/>
              <w:bottom w:val="single" w:sz="4" w:space="0" w:color="auto"/>
              <w:right w:val="single" w:sz="4" w:space="0" w:color="auto"/>
            </w:tcBorders>
            <w:shd w:val="clear" w:color="auto" w:fill="auto"/>
            <w:noWrap/>
            <w:vAlign w:val="bottom"/>
            <w:hideMark/>
          </w:tcPr>
          <w:p w:rsidR="00E72D49" w:rsidRPr="001731A5" w:rsidRDefault="00E72D49" w:rsidP="001F2FD8">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1.836.869</w:t>
            </w:r>
          </w:p>
        </w:tc>
      </w:tr>
    </w:tbl>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16"/>
          <w:szCs w:val="16"/>
        </w:rPr>
      </w:pPr>
      <w:r w:rsidRPr="001731A5">
        <w:rPr>
          <w:rFonts w:ascii="Bodoni MT" w:eastAsiaTheme="minorEastAsia" w:hAnsi="Bodoni MT" w:cs="Bodoni MT"/>
          <w:sz w:val="16"/>
          <w:szCs w:val="16"/>
        </w:rPr>
        <w:t>Fonte: Elaborazione Cdc su dati RAS.</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 xml:space="preserve">Da tale tabella risulta che i residui attivi </w:t>
      </w:r>
      <w:r w:rsidR="007F2C73" w:rsidRPr="001731A5">
        <w:rPr>
          <w:rFonts w:ascii="Bodoni MT" w:eastAsiaTheme="minorEastAsia" w:hAnsi="Bodoni MT" w:cs="Bodoni MT"/>
          <w:sz w:val="24"/>
          <w:szCs w:val="24"/>
        </w:rPr>
        <w:t xml:space="preserve">conservati </w:t>
      </w:r>
      <w:r w:rsidRPr="001731A5">
        <w:rPr>
          <w:rFonts w:ascii="Bodoni MT" w:eastAsiaTheme="minorEastAsia" w:hAnsi="Bodoni MT" w:cs="Bodoni MT"/>
          <w:sz w:val="24"/>
          <w:szCs w:val="24"/>
        </w:rPr>
        <w:t>sono prevalentemente riferiti alle entrate del titolo IV</w:t>
      </w:r>
      <w:r w:rsidR="007F2C73" w:rsidRPr="001731A5">
        <w:rPr>
          <w:rFonts w:ascii="Bodoni MT" w:eastAsiaTheme="minorEastAsia" w:hAnsi="Bodoni MT" w:cs="Bodoni MT"/>
          <w:sz w:val="24"/>
          <w:szCs w:val="24"/>
        </w:rPr>
        <w:t xml:space="preserve"> “Entrate in conto/capitale” </w:t>
      </w:r>
      <w:r w:rsidRPr="001731A5">
        <w:rPr>
          <w:rFonts w:ascii="Bodoni MT" w:eastAsiaTheme="minorEastAsia" w:hAnsi="Bodoni MT" w:cs="Bodoni MT"/>
          <w:sz w:val="24"/>
          <w:szCs w:val="24"/>
        </w:rPr>
        <w:t xml:space="preserve">(54,48%) e del </w:t>
      </w:r>
      <w:r w:rsidR="00922051" w:rsidRPr="001731A5">
        <w:rPr>
          <w:rFonts w:ascii="Bodoni MT" w:eastAsiaTheme="minorEastAsia" w:hAnsi="Bodoni MT" w:cs="Bodoni MT"/>
          <w:sz w:val="24"/>
          <w:szCs w:val="24"/>
        </w:rPr>
        <w:t xml:space="preserve">Titolo </w:t>
      </w:r>
      <w:r w:rsidRPr="001731A5">
        <w:rPr>
          <w:rFonts w:ascii="Bodoni MT" w:eastAsiaTheme="minorEastAsia" w:hAnsi="Bodoni MT" w:cs="Bodoni MT"/>
          <w:sz w:val="24"/>
          <w:szCs w:val="24"/>
        </w:rPr>
        <w:t xml:space="preserve">I </w:t>
      </w:r>
      <w:r w:rsidR="007F2C73" w:rsidRPr="001731A5">
        <w:rPr>
          <w:rFonts w:ascii="Bodoni MT" w:eastAsiaTheme="minorEastAsia" w:hAnsi="Bodoni MT" w:cs="Bodoni MT"/>
          <w:sz w:val="24"/>
          <w:szCs w:val="24"/>
        </w:rPr>
        <w:t xml:space="preserve">“Entrate correnti di natura tributaria, contributiva e perequativa” </w:t>
      </w:r>
      <w:r w:rsidRPr="001731A5">
        <w:rPr>
          <w:rFonts w:ascii="Bodoni MT" w:eastAsiaTheme="minorEastAsia" w:hAnsi="Bodoni MT" w:cs="Bodoni MT"/>
          <w:sz w:val="24"/>
          <w:szCs w:val="24"/>
        </w:rPr>
        <w:t xml:space="preserve">(32,89%). </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 xml:space="preserve">Riguardo alla composizione per anno di formazione, si evidenzia una notevole incidenza dei residui della competenza, pari al 76,85%, e di quelli provenienti da accertamenti assunti nel 2015 (16,93%) mentre più contenuta risulta quella riferita agli altri esercizi. In particolare, i residui attivi risalenti agli esercizi </w:t>
      </w:r>
      <w:r w:rsidR="00006277">
        <w:rPr>
          <w:rFonts w:ascii="Bodoni MT" w:eastAsiaTheme="minorEastAsia" w:hAnsi="Bodoni MT" w:cs="Bodoni MT"/>
          <w:sz w:val="24"/>
          <w:szCs w:val="24"/>
        </w:rPr>
        <w:t>antecedenti al 2012 ammontano a</w:t>
      </w:r>
      <w:r w:rsidRPr="001731A5">
        <w:rPr>
          <w:rFonts w:ascii="Bodoni MT" w:eastAsiaTheme="minorEastAsia" w:hAnsi="Bodoni MT" w:cs="Bodoni MT"/>
          <w:sz w:val="24"/>
          <w:szCs w:val="24"/>
        </w:rPr>
        <w:t xml:space="preserve"> € 63.088.966,31 e rappresentano il 3,43% del totale.</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Con riguardo a tali ultimi residui, nella Relazione sulla gestione si riportano le motivazioni del mantenimento in bilancio di quelli di maggiore entità. In parti</w:t>
      </w:r>
      <w:r w:rsidR="00646EDA" w:rsidRPr="001731A5">
        <w:rPr>
          <w:rFonts w:ascii="Bodoni MT" w:eastAsiaTheme="minorEastAsia" w:hAnsi="Bodoni MT" w:cs="Bodoni MT"/>
          <w:sz w:val="24"/>
          <w:szCs w:val="24"/>
        </w:rPr>
        <w:t>colare, sul residuo attivo di € </w:t>
      </w:r>
      <w:r w:rsidRPr="001731A5">
        <w:rPr>
          <w:rFonts w:ascii="Bodoni MT" w:eastAsiaTheme="minorEastAsia" w:hAnsi="Bodoni MT" w:cs="Bodoni MT"/>
          <w:sz w:val="24"/>
          <w:szCs w:val="24"/>
        </w:rPr>
        <w:t>10.986.752,43, proveniente dall’esercizio 2002, si riferisce che trattasi di assegnazioni statali attribuite ai sensi delle delibere CIPE n.</w:t>
      </w:r>
      <w:r w:rsidR="00646EDA" w:rsidRPr="001731A5">
        <w:rPr>
          <w:rFonts w:ascii="Bodoni MT" w:eastAsiaTheme="minorEastAsia" w:hAnsi="Bodoni MT" w:cs="Bodoni MT"/>
          <w:sz w:val="24"/>
          <w:szCs w:val="24"/>
        </w:rPr>
        <w:t xml:space="preserve"> </w:t>
      </w:r>
      <w:r w:rsidRPr="001731A5">
        <w:rPr>
          <w:rFonts w:ascii="Bodoni MT" w:eastAsiaTheme="minorEastAsia" w:hAnsi="Bodoni MT" w:cs="Bodoni MT"/>
          <w:sz w:val="24"/>
          <w:szCs w:val="24"/>
        </w:rPr>
        <w:t>70/1998 e n.</w:t>
      </w:r>
      <w:r w:rsidR="00646EDA" w:rsidRPr="001731A5">
        <w:rPr>
          <w:rFonts w:ascii="Bodoni MT" w:eastAsiaTheme="minorEastAsia" w:hAnsi="Bodoni MT" w:cs="Bodoni MT"/>
          <w:sz w:val="24"/>
          <w:szCs w:val="24"/>
        </w:rPr>
        <w:t xml:space="preserve"> </w:t>
      </w:r>
      <w:r w:rsidRPr="001731A5">
        <w:rPr>
          <w:rFonts w:ascii="Bodoni MT" w:eastAsiaTheme="minorEastAsia" w:hAnsi="Bodoni MT" w:cs="Bodoni MT"/>
          <w:sz w:val="24"/>
          <w:szCs w:val="24"/>
        </w:rPr>
        <w:t xml:space="preserve">52/1999, da erogarsi a stato di avanzamento della spesa. A tutt’oggi gli interventi finanziati risulterebbero ancora monitorati dal MEF. </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 xml:space="preserve">Sui residui provenienti dall’esercizio 2007, l’importo complessivo di € 14.489.837 riguarda residui in attesa di conferma da parte del Ministero delle infrastrutture, cui sono state chieste informazioni in merito ai provvedimenti di pagamento (con nota della RAS del 05/04/2017). </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Dall’esercizio 2006 proviene un residuo attivo di €</w:t>
      </w:r>
      <w:r w:rsidR="00462FCB">
        <w:rPr>
          <w:rFonts w:ascii="Bodoni MT" w:eastAsiaTheme="minorEastAsia" w:hAnsi="Bodoni MT" w:cs="Bodoni MT"/>
          <w:sz w:val="24"/>
          <w:szCs w:val="24"/>
        </w:rPr>
        <w:t xml:space="preserve"> </w:t>
      </w:r>
      <w:r w:rsidRPr="001731A5">
        <w:rPr>
          <w:rFonts w:ascii="Bodoni MT" w:eastAsiaTheme="minorEastAsia" w:hAnsi="Bodoni MT" w:cs="Bodoni MT"/>
          <w:sz w:val="24"/>
          <w:szCs w:val="24"/>
        </w:rPr>
        <w:t>8.570.750,26 riguardante assegnazioni statali del Fondo Sanitario Nazionale per la realizzazione del Piano Nazionale di Prevenzione per il quale, con nota n.</w:t>
      </w:r>
      <w:r w:rsidR="00646EDA" w:rsidRPr="001731A5">
        <w:rPr>
          <w:rFonts w:ascii="Bodoni MT" w:eastAsiaTheme="minorEastAsia" w:hAnsi="Bodoni MT" w:cs="Bodoni MT"/>
          <w:sz w:val="24"/>
          <w:szCs w:val="24"/>
        </w:rPr>
        <w:t xml:space="preserve"> </w:t>
      </w:r>
      <w:r w:rsidRPr="001731A5">
        <w:rPr>
          <w:rFonts w:ascii="Bodoni MT" w:eastAsiaTheme="minorEastAsia" w:hAnsi="Bodoni MT" w:cs="Bodoni MT"/>
          <w:sz w:val="24"/>
          <w:szCs w:val="24"/>
        </w:rPr>
        <w:t xml:space="preserve">21390 </w:t>
      </w:r>
      <w:r w:rsidR="00646EDA" w:rsidRPr="001731A5">
        <w:rPr>
          <w:rFonts w:ascii="Bodoni MT" w:eastAsiaTheme="minorEastAsia" w:hAnsi="Bodoni MT" w:cs="Bodoni MT"/>
          <w:sz w:val="24"/>
          <w:szCs w:val="24"/>
        </w:rPr>
        <w:t>del 29/07/2016 il Direttore Genera</w:t>
      </w:r>
      <w:r w:rsidRPr="001731A5">
        <w:rPr>
          <w:rFonts w:ascii="Bodoni MT" w:eastAsiaTheme="minorEastAsia" w:hAnsi="Bodoni MT" w:cs="Bodoni MT"/>
          <w:sz w:val="24"/>
          <w:szCs w:val="24"/>
        </w:rPr>
        <w:t xml:space="preserve">le della Sanità ha avviato un’interlocuzione coi ministeri competenti </w:t>
      </w:r>
      <w:r w:rsidR="007F2C73" w:rsidRPr="001731A5">
        <w:rPr>
          <w:rFonts w:ascii="Bodoni MT" w:eastAsiaTheme="minorEastAsia" w:hAnsi="Bodoni MT" w:cs="Bodoni MT"/>
          <w:sz w:val="24"/>
          <w:szCs w:val="24"/>
        </w:rPr>
        <w:t>“</w:t>
      </w:r>
      <w:r w:rsidRPr="001731A5">
        <w:rPr>
          <w:rFonts w:ascii="Bodoni MT" w:eastAsiaTheme="minorEastAsia" w:hAnsi="Bodoni MT" w:cs="Bodoni MT"/>
          <w:b/>
          <w:sz w:val="24"/>
          <w:szCs w:val="24"/>
        </w:rPr>
        <w:t>anche come atto interruttivo della prescrizion</w:t>
      </w:r>
      <w:r w:rsidR="00646EDA" w:rsidRPr="001731A5">
        <w:rPr>
          <w:rFonts w:ascii="Bodoni MT" w:eastAsiaTheme="minorEastAsia" w:hAnsi="Bodoni MT" w:cs="Bodoni MT"/>
          <w:b/>
          <w:sz w:val="24"/>
          <w:szCs w:val="24"/>
        </w:rPr>
        <w:t>e</w:t>
      </w:r>
      <w:r w:rsidR="007F2C73" w:rsidRPr="001731A5">
        <w:rPr>
          <w:rFonts w:ascii="Bodoni MT" w:eastAsiaTheme="minorEastAsia" w:hAnsi="Bodoni MT" w:cs="Bodoni MT"/>
          <w:sz w:val="24"/>
          <w:szCs w:val="24"/>
        </w:rPr>
        <w:t>”</w:t>
      </w:r>
      <w:r w:rsidR="00646EDA" w:rsidRPr="001731A5">
        <w:rPr>
          <w:rFonts w:ascii="Bodoni MT" w:eastAsiaTheme="minorEastAsia" w:hAnsi="Bodoni MT" w:cs="Bodoni MT"/>
          <w:sz w:val="24"/>
          <w:szCs w:val="24"/>
        </w:rPr>
        <w:t>. Anche il residuo attivo di € </w:t>
      </w:r>
      <w:r w:rsidRPr="001731A5">
        <w:rPr>
          <w:rFonts w:ascii="Bodoni MT" w:eastAsiaTheme="minorEastAsia" w:hAnsi="Bodoni MT" w:cs="Bodoni MT"/>
          <w:sz w:val="24"/>
          <w:szCs w:val="24"/>
        </w:rPr>
        <w:t>1.366.010,85, proveniente dall’esercizio 2007, riguarda il Fondo Sanitario Nazionale. Al fine del suo mantenimento in bilancio l’Assessorato Sanità, con nota n.</w:t>
      </w:r>
      <w:r w:rsidR="00646EDA" w:rsidRPr="001731A5">
        <w:rPr>
          <w:rFonts w:ascii="Bodoni MT" w:eastAsiaTheme="minorEastAsia" w:hAnsi="Bodoni MT" w:cs="Bodoni MT"/>
          <w:sz w:val="24"/>
          <w:szCs w:val="24"/>
        </w:rPr>
        <w:t xml:space="preserve"> </w:t>
      </w:r>
      <w:r w:rsidRPr="001731A5">
        <w:rPr>
          <w:rFonts w:ascii="Bodoni MT" w:eastAsiaTheme="minorEastAsia" w:hAnsi="Bodoni MT" w:cs="Bodoni MT"/>
          <w:sz w:val="24"/>
          <w:szCs w:val="24"/>
        </w:rPr>
        <w:t>20161 del 18/07/2016, ha chiesto al MEF e al Ministero della Salute informazioni su detto credito ma, alla data di stesura della Relazione sulla gestione, non è pervenuta nota di riscontro dai ministeri.</w:t>
      </w:r>
    </w:p>
    <w:p w:rsidR="00E72D49" w:rsidRPr="001731A5" w:rsidRDefault="00E72D49" w:rsidP="00E72D49">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lastRenderedPageBreak/>
        <w:t xml:space="preserve">Dalla gestione 2008 provengono i residui di € 17.907.494,00 e di € 240.000,00 relativi ad assegnazioni statali per la realizzazione di interventi e studi di fattibilità nel settore della viabilità, attribuite alla Regione con il III Atto Integrativo APQ Viabilità del 29/11/2007, che sono stati conservati in bilancio perché riguardano interventi ancora in corso o appena terminati. </w:t>
      </w:r>
    </w:p>
    <w:p w:rsidR="00D20DA7" w:rsidRPr="001731A5" w:rsidRDefault="00E72D49" w:rsidP="00E72D49">
      <w:pPr>
        <w:pStyle w:val="CdcTesto"/>
        <w:rPr>
          <w:color w:val="auto"/>
        </w:rPr>
      </w:pPr>
      <w:r w:rsidRPr="001731A5">
        <w:rPr>
          <w:color w:val="auto"/>
        </w:rPr>
        <w:t xml:space="preserve">Il residuo attivo proveniente dal 2011 pari a € 7.938.620,00 riguarda un rimborso IVA richiesto all’Agenzia delle Entrate scaturente dalla dichiarazione dei redditi relativa alla gestione liquidatoria dell’E.S.A.F. (Modello </w:t>
      </w:r>
      <w:r w:rsidRPr="001731A5">
        <w:rPr>
          <w:caps/>
          <w:color w:val="auto"/>
        </w:rPr>
        <w:t>Unico</w:t>
      </w:r>
      <w:r w:rsidRPr="001731A5">
        <w:rPr>
          <w:color w:val="auto"/>
        </w:rPr>
        <w:t xml:space="preserve"> 2011). L’accertamento si riferisce a una quota di quanto richiesto nel Modello </w:t>
      </w:r>
      <w:r w:rsidRPr="001731A5">
        <w:rPr>
          <w:caps/>
          <w:color w:val="auto"/>
        </w:rPr>
        <w:t>Unico</w:t>
      </w:r>
      <w:r w:rsidRPr="001731A5">
        <w:rPr>
          <w:color w:val="auto"/>
        </w:rPr>
        <w:t xml:space="preserve"> 2011 e risultava già come credito nel Modello </w:t>
      </w:r>
      <w:r w:rsidRPr="001731A5">
        <w:rPr>
          <w:caps/>
          <w:color w:val="auto"/>
        </w:rPr>
        <w:t>Unico</w:t>
      </w:r>
      <w:r w:rsidRPr="001731A5">
        <w:rPr>
          <w:color w:val="auto"/>
        </w:rPr>
        <w:t xml:space="preserve"> 2008.</w:t>
      </w:r>
    </w:p>
    <w:p w:rsidR="005D660C" w:rsidRPr="005D660C" w:rsidRDefault="00CF6AE2" w:rsidP="00AD5BF7">
      <w:pPr>
        <w:pStyle w:val="Titolo3"/>
      </w:pPr>
      <w:bookmarkStart w:id="186" w:name="_Toc499040935"/>
      <w:bookmarkStart w:id="187" w:name="_Toc507422640"/>
      <w:r>
        <w:t>I r</w:t>
      </w:r>
      <w:r w:rsidR="00AD5BF7" w:rsidRPr="005D660C">
        <w:t xml:space="preserve">esidui </w:t>
      </w:r>
      <w:r w:rsidR="005D660C" w:rsidRPr="005D660C">
        <w:t>passivi</w:t>
      </w:r>
      <w:bookmarkEnd w:id="186"/>
      <w:bookmarkEnd w:id="187"/>
    </w:p>
    <w:p w:rsidR="00D20DA7" w:rsidRDefault="005D660C" w:rsidP="00A73BCA">
      <w:pPr>
        <w:pStyle w:val="CdcTesto"/>
        <w:tabs>
          <w:tab w:val="left" w:pos="1276"/>
        </w:tabs>
      </w:pPr>
      <w:r w:rsidRPr="005D660C">
        <w:t>I residui passivi a</w:t>
      </w:r>
      <w:r w:rsidR="00025F0A">
        <w:t>l 1° gennaio 2016 ammontavano a</w:t>
      </w:r>
      <w:r w:rsidRPr="005D660C">
        <w:t xml:space="preserve"> € 1.502.234.081,67. Nel corso dell’esercizio tali residui sono stati pagati per € 1.111.236.015,18 e cancellati, a seguito del riaccertamento ordinario al 31/12/2016, per € 63.644.170,62. </w:t>
      </w:r>
      <w:r w:rsidR="00A73BCA" w:rsidRPr="001731A5">
        <w:t xml:space="preserve">Si rileva quindi, che la mole iniziale dei residui attivi risultava ben inferiore a quella dei residui passivi con una forbice di oltre 600 milioni e che nell’esercizio si è assistito ad una </w:t>
      </w:r>
      <w:r w:rsidR="001731A5">
        <w:t>significativa</w:t>
      </w:r>
      <w:r w:rsidR="00A73BCA" w:rsidRPr="001731A5">
        <w:t xml:space="preserve"> movimentazione delle partite passive pregresse.</w:t>
      </w:r>
    </w:p>
    <w:p w:rsidR="005D660C" w:rsidRPr="005D660C" w:rsidRDefault="005D660C" w:rsidP="00D20DA7">
      <w:pPr>
        <w:pStyle w:val="CdcTesto"/>
      </w:pPr>
      <w:r w:rsidRPr="00D20DA7">
        <w:rPr>
          <w:b/>
        </w:rPr>
        <w:t>I residui passivi pregressi da riportare al 2017 ammontano pertanto a € 327.353.895,87</w:t>
      </w:r>
      <w:r w:rsidRPr="005D660C">
        <w:t xml:space="preserve">, con un indice di smaltimento del 78% circa e con un valore pressoché identico a quello registrato nell’esercizio precedente. I Titoli col maggior carico di residui sono quelli relativi alle spese correnti e alle spese in conto capitale. Il Titolo I “Spese correnti”, con un carico di residui pari a 1.191,766 </w:t>
      </w:r>
      <w:r w:rsidR="003B4FF5">
        <w:t>milioni</w:t>
      </w:r>
      <w:r w:rsidRPr="005D660C">
        <w:t xml:space="preserve"> di euro, ha registrato una </w:t>
      </w:r>
      <w:r w:rsidR="00507014">
        <w:t>e</w:t>
      </w:r>
      <w:r w:rsidRPr="005D660C">
        <w:t>le</w:t>
      </w:r>
      <w:r w:rsidR="00507014">
        <w:t>vata</w:t>
      </w:r>
      <w:r w:rsidRPr="005D660C">
        <w:t xml:space="preserve"> capacità di pagamento (84,85%)</w:t>
      </w:r>
      <w:r w:rsidR="00507014">
        <w:t xml:space="preserve">, </w:t>
      </w:r>
      <w:r w:rsidR="00507014" w:rsidRPr="001731A5">
        <w:t>come d’altra parte è fisiologico per tale tipologia, per la quale il ciclo di gestione dovrebbe esaurirsi nell’arco dell’esercizio</w:t>
      </w:r>
      <w:r w:rsidRPr="001731A5">
        <w:t>.</w:t>
      </w:r>
      <w:r w:rsidRPr="005D660C">
        <w:t xml:space="preserve"> Il Titolo II, invece, ha mostrato una più </w:t>
      </w:r>
      <w:r w:rsidR="00507014" w:rsidRPr="001731A5">
        <w:t>ridotta</w:t>
      </w:r>
      <w:r w:rsidR="00507014">
        <w:t xml:space="preserve"> </w:t>
      </w:r>
      <w:r w:rsidRPr="005D660C">
        <w:t xml:space="preserve">capacità di pagamento (33,40% pari a 96,291 </w:t>
      </w:r>
      <w:r w:rsidR="00462FCB" w:rsidRPr="001228FE">
        <w:t xml:space="preserve">milioni </w:t>
      </w:r>
      <w:r w:rsidRPr="005D660C">
        <w:t>di euro).</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 residui passivi formatisi nella competenza ammontano a €</w:t>
      </w:r>
      <w:r w:rsidR="00B409A7">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1.073.609.983,65, pari al 13,18% degli impegni</w:t>
      </w:r>
      <w:r w:rsidRPr="00025F0A">
        <w:rPr>
          <w:rFonts w:ascii="Bodoni MT" w:eastAsiaTheme="minorEastAsia" w:hAnsi="Bodoni MT" w:cs="Bodoni MT"/>
          <w:color w:val="000000"/>
          <w:sz w:val="24"/>
          <w:szCs w:val="24"/>
          <w:vertAlign w:val="superscript"/>
        </w:rPr>
        <w:footnoteReference w:id="102"/>
      </w:r>
      <w:r w:rsidRPr="005D660C">
        <w:rPr>
          <w:rFonts w:ascii="Bodoni MT" w:eastAsiaTheme="minorEastAsi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Sommando ai residui pregressi (€</w:t>
      </w:r>
      <w:r w:rsidR="00006277">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327.353.895,87) quelli der</w:t>
      </w:r>
      <w:r w:rsidR="00025F0A">
        <w:rPr>
          <w:rFonts w:ascii="Bodoni MT" w:eastAsiaTheme="minorEastAsia" w:hAnsi="Bodoni MT" w:cs="Bodoni MT"/>
          <w:color w:val="000000"/>
          <w:sz w:val="24"/>
          <w:szCs w:val="24"/>
        </w:rPr>
        <w:t>ivanti dalla competenza 2016 (€ </w:t>
      </w:r>
      <w:r w:rsidRPr="005D660C">
        <w:rPr>
          <w:rFonts w:ascii="Bodoni MT" w:eastAsiaTheme="minorEastAsia" w:hAnsi="Bodoni MT" w:cs="Bodoni MT"/>
          <w:color w:val="000000"/>
          <w:sz w:val="24"/>
          <w:szCs w:val="24"/>
        </w:rPr>
        <w:t xml:space="preserve">1.073.609.983,65) </w:t>
      </w:r>
      <w:r w:rsidRPr="00F217D3">
        <w:rPr>
          <w:rFonts w:ascii="Bodoni MT" w:eastAsiaTheme="minorEastAsia" w:hAnsi="Bodoni MT" w:cs="Bodoni MT"/>
          <w:b/>
          <w:color w:val="000000"/>
          <w:sz w:val="24"/>
          <w:szCs w:val="24"/>
        </w:rPr>
        <w:t>si ha l’ammontare complessivo dei residui passivi da ripo</w:t>
      </w:r>
      <w:r w:rsidR="00F90E63">
        <w:rPr>
          <w:rFonts w:ascii="Bodoni MT" w:eastAsiaTheme="minorEastAsia" w:hAnsi="Bodoni MT" w:cs="Bodoni MT"/>
          <w:b/>
          <w:color w:val="000000"/>
          <w:sz w:val="24"/>
          <w:szCs w:val="24"/>
        </w:rPr>
        <w:t>rtare al nuovo esercizio pari a</w:t>
      </w:r>
      <w:r w:rsidRPr="00F217D3">
        <w:rPr>
          <w:rFonts w:ascii="Bodoni MT" w:eastAsiaTheme="minorEastAsia" w:hAnsi="Bodoni MT" w:cs="Bodoni MT"/>
          <w:b/>
          <w:color w:val="000000"/>
          <w:sz w:val="24"/>
          <w:szCs w:val="24"/>
        </w:rPr>
        <w:t xml:space="preserve"> € 1.400.963.879,52</w:t>
      </w:r>
      <w:r w:rsidRPr="005D660C">
        <w:rPr>
          <w:rFonts w:ascii="Bodoni MT" w:eastAsiaTheme="minorEastAsia" w:hAnsi="Bodoni MT" w:cs="Bodoni MT"/>
          <w:color w:val="000000"/>
          <w:sz w:val="24"/>
          <w:szCs w:val="24"/>
        </w:rPr>
        <w:t xml:space="preserve">. </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La gestione dei residui presenta pertanto un saldo positivo di € 435.905.112,70.</w:t>
      </w:r>
    </w:p>
    <w:p w:rsidR="00D30429" w:rsidRDefault="00D30429" w:rsidP="00335ECD">
      <w:pPr>
        <w:pStyle w:val="Didascalia"/>
      </w:pPr>
      <w:r>
        <w:br w:type="page"/>
      </w:r>
    </w:p>
    <w:p w:rsidR="00335ECD" w:rsidRDefault="00335ECD" w:rsidP="00335ECD">
      <w:pPr>
        <w:pStyle w:val="Didascalia"/>
      </w:pPr>
      <w:bookmarkStart w:id="188" w:name="_Toc507422496"/>
      <w:r>
        <w:lastRenderedPageBreak/>
        <w:t xml:space="preserve">Tabella </w:t>
      </w:r>
      <w:r w:rsidR="00B90472">
        <w:fldChar w:fldCharType="begin"/>
      </w:r>
      <w:r w:rsidR="00B90472">
        <w:instrText xml:space="preserve"> SEQ Tabella \* ARABIC </w:instrText>
      </w:r>
      <w:r w:rsidR="00B90472">
        <w:fldChar w:fldCharType="separate"/>
      </w:r>
      <w:r w:rsidR="008616B3">
        <w:rPr>
          <w:noProof/>
        </w:rPr>
        <w:t>28</w:t>
      </w:r>
      <w:r w:rsidR="00B90472">
        <w:rPr>
          <w:noProof/>
        </w:rPr>
        <w:fldChar w:fldCharType="end"/>
      </w:r>
      <w:r w:rsidR="0062154E">
        <w:rPr>
          <w:noProof/>
        </w:rPr>
        <w:t xml:space="preserve"> - </w:t>
      </w:r>
      <w:r w:rsidR="00E81BAD">
        <w:rPr>
          <w:noProof/>
        </w:rPr>
        <w:t xml:space="preserve">Spesa - Esercizi </w:t>
      </w:r>
      <w:r w:rsidR="00E81BAD" w:rsidRPr="003B4FF5">
        <w:rPr>
          <w:noProof/>
        </w:rPr>
        <w:t>2015/2016 - Gestione dei residui</w:t>
      </w:r>
      <w:bookmarkEnd w:id="188"/>
    </w:p>
    <w:tbl>
      <w:tblPr>
        <w:tblW w:w="4795" w:type="pct"/>
        <w:jc w:val="center"/>
        <w:tblCellMar>
          <w:left w:w="70" w:type="dxa"/>
          <w:right w:w="70" w:type="dxa"/>
        </w:tblCellMar>
        <w:tblLook w:val="04A0" w:firstRow="1" w:lastRow="0" w:firstColumn="1" w:lastColumn="0" w:noHBand="0" w:noVBand="1"/>
      </w:tblPr>
      <w:tblGrid>
        <w:gridCol w:w="1769"/>
        <w:gridCol w:w="2453"/>
        <w:gridCol w:w="2132"/>
        <w:gridCol w:w="2136"/>
        <w:gridCol w:w="1158"/>
      </w:tblGrid>
      <w:tr w:rsidR="00335ECD" w:rsidRPr="00335ECD" w:rsidTr="003655D8">
        <w:trPr>
          <w:trHeight w:val="20"/>
          <w:jc w:val="center"/>
        </w:trPr>
        <w:tc>
          <w:tcPr>
            <w:tcW w:w="917"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 </w:t>
            </w:r>
          </w:p>
        </w:tc>
        <w:tc>
          <w:tcPr>
            <w:tcW w:w="1271"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 </w:t>
            </w:r>
          </w:p>
        </w:tc>
        <w:tc>
          <w:tcPr>
            <w:tcW w:w="1105"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2015</w:t>
            </w:r>
          </w:p>
        </w:tc>
        <w:tc>
          <w:tcPr>
            <w:tcW w:w="1106"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2016</w:t>
            </w:r>
          </w:p>
        </w:tc>
        <w:tc>
          <w:tcPr>
            <w:tcW w:w="600"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 Var. 2016/2015</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I Spese correnti</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1.183.362.369,25</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1.191.766.204,68</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0,71%</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1.177.787.978,37</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1.166.746.940,41</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-0,94%</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5.574.390,88</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25.019.264,27</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348,83%</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897.673.756,99</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1.011.253.466,18</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12,65%</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280.114.221,38</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155.493.474,23</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-44,49%</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II Spese in conto capitale</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302.944.345,00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288.266.844,24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-4,84%</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276.812.732,36</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249.677.769,92</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-9,80%</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26.131.612,64</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38.589.074,32</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47,67%</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253.165.992,62</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96.291.297,06</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-61,97%</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23.646.739,74</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153.386.472,86</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548,66%</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III - Spese per incremento attività finanziarie</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0,00%</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0,00%</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3.802,44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0,00%</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IV - Rimborso prestiti</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V - Chiusura anticipazioni ricevute da istituto tesoriere/cassiere</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0,00</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 </w:t>
            </w:r>
          </w:p>
        </w:tc>
      </w:tr>
      <w:tr w:rsidR="00335ECD" w:rsidRPr="00335ECD" w:rsidTr="003655D8">
        <w:trPr>
          <w:trHeight w:val="20"/>
          <w:jc w:val="center"/>
        </w:trPr>
        <w:tc>
          <w:tcPr>
            <w:tcW w:w="917" w:type="pct"/>
            <w:vMerge w:val="restart"/>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Titolo VII - Uscite per conto terzi e partite di giro</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29.509.052,99</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22.197.230,31</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-24,78%</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27.655.695,97</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22.161.398,28</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-19,87%</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1.853.357,02</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35.832,03</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-98,07%</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9.114.656,28</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3.691.251,94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-59,50%</w:t>
            </w:r>
          </w:p>
        </w:tc>
      </w:tr>
      <w:tr w:rsidR="00335ECD" w:rsidRPr="00335ECD" w:rsidTr="003655D8">
        <w:trPr>
          <w:trHeight w:val="20"/>
          <w:jc w:val="center"/>
        </w:trPr>
        <w:tc>
          <w:tcPr>
            <w:tcW w:w="917" w:type="pct"/>
            <w:vMerge/>
            <w:tcBorders>
              <w:top w:val="nil"/>
              <w:left w:val="single" w:sz="4" w:space="0" w:color="auto"/>
              <w:bottom w:val="single" w:sz="4" w:space="0" w:color="000000"/>
              <w:right w:val="single" w:sz="4" w:space="0" w:color="auto"/>
            </w:tcBorders>
            <w:shd w:val="clear" w:color="auto" w:fill="0F243E" w:themeFill="text2" w:themeFillShade="80"/>
            <w:vAlign w:val="center"/>
            <w:hideMark/>
          </w:tcPr>
          <w:p w:rsidR="00335ECD" w:rsidRPr="00335ECD" w:rsidRDefault="00335ECD" w:rsidP="00335ECD">
            <w:pPr>
              <w:spacing w:after="0" w:line="240" w:lineRule="auto"/>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35ECD" w:rsidRPr="00D437D0" w:rsidRDefault="00335ECD"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18.541.039,69</w:t>
            </w:r>
          </w:p>
        </w:tc>
        <w:tc>
          <w:tcPr>
            <w:tcW w:w="1106"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right"/>
              <w:rPr>
                <w:rFonts w:ascii="Calibri" w:eastAsia="Times New Roman" w:hAnsi="Calibri" w:cs="Calibri"/>
                <w:color w:val="000000"/>
                <w:sz w:val="14"/>
                <w:szCs w:val="14"/>
                <w:lang w:eastAsia="it-IT"/>
              </w:rPr>
            </w:pPr>
            <w:r w:rsidRPr="00335ECD">
              <w:rPr>
                <w:rFonts w:ascii="Calibri" w:eastAsia="Times New Roman" w:hAnsi="Calibri" w:cs="Calibri"/>
                <w:color w:val="000000"/>
                <w:sz w:val="14"/>
                <w:szCs w:val="14"/>
                <w:lang w:eastAsia="it-IT"/>
              </w:rPr>
              <w:t>18.470.146,34</w:t>
            </w:r>
          </w:p>
        </w:tc>
        <w:tc>
          <w:tcPr>
            <w:tcW w:w="600" w:type="pct"/>
            <w:tcBorders>
              <w:top w:val="nil"/>
              <w:left w:val="nil"/>
              <w:bottom w:val="single" w:sz="4" w:space="0" w:color="auto"/>
              <w:right w:val="single" w:sz="4" w:space="0" w:color="auto"/>
            </w:tcBorders>
            <w:shd w:val="clear" w:color="000000" w:fill="FFFFFF"/>
            <w:noWrap/>
            <w:vAlign w:val="center"/>
            <w:hideMark/>
          </w:tcPr>
          <w:p w:rsidR="00335ECD" w:rsidRPr="00335ECD" w:rsidRDefault="00335ECD" w:rsidP="00335ECD">
            <w:pPr>
              <w:spacing w:after="0" w:line="240" w:lineRule="auto"/>
              <w:jc w:val="center"/>
              <w:rPr>
                <w:rFonts w:ascii="Calibri" w:eastAsia="Times New Roman" w:hAnsi="Calibri" w:cs="Calibri"/>
                <w:sz w:val="14"/>
                <w:szCs w:val="14"/>
                <w:lang w:eastAsia="it-IT"/>
              </w:rPr>
            </w:pPr>
            <w:r w:rsidRPr="00335ECD">
              <w:rPr>
                <w:rFonts w:ascii="Calibri" w:eastAsia="Times New Roman" w:hAnsi="Calibri" w:cs="Calibri"/>
                <w:sz w:val="14"/>
                <w:szCs w:val="14"/>
                <w:lang w:eastAsia="it-IT"/>
              </w:rPr>
              <w:t>-0,38%</w:t>
            </w:r>
          </w:p>
        </w:tc>
      </w:tr>
      <w:tr w:rsidR="003655D8" w:rsidRPr="00335ECD" w:rsidTr="003655D8">
        <w:trPr>
          <w:trHeight w:val="20"/>
          <w:jc w:val="center"/>
        </w:trPr>
        <w:tc>
          <w:tcPr>
            <w:tcW w:w="917" w:type="pct"/>
            <w:vMerge w:val="restart"/>
            <w:tcBorders>
              <w:top w:val="nil"/>
              <w:left w:val="single" w:sz="4" w:space="0" w:color="auto"/>
              <w:right w:val="single" w:sz="4" w:space="0" w:color="auto"/>
            </w:tcBorders>
            <w:shd w:val="clear" w:color="auto" w:fill="0F243E" w:themeFill="text2" w:themeFillShade="80"/>
            <w:vAlign w:val="center"/>
            <w:hideMark/>
          </w:tcPr>
          <w:p w:rsidR="003655D8" w:rsidRPr="00335ECD" w:rsidRDefault="003655D8" w:rsidP="003655D8">
            <w:pPr>
              <w:spacing w:after="0" w:line="240" w:lineRule="auto"/>
              <w:jc w:val="center"/>
              <w:rPr>
                <w:rFonts w:ascii="Bodoni MT" w:eastAsia="Times New Roman" w:hAnsi="Bodoni MT" w:cs="Calibri"/>
                <w:b/>
                <w:bCs/>
                <w:color w:val="FFFFFF"/>
                <w:sz w:val="14"/>
                <w:szCs w:val="14"/>
                <w:lang w:eastAsia="it-IT"/>
              </w:rPr>
            </w:pPr>
            <w:r w:rsidRPr="00335ECD">
              <w:rPr>
                <w:rFonts w:ascii="Bodoni MT" w:eastAsia="Times New Roman" w:hAnsi="Bodoni MT" w:cs="Calibri"/>
                <w:b/>
                <w:bCs/>
                <w:color w:val="FFFFFF"/>
                <w:sz w:val="14"/>
                <w:szCs w:val="14"/>
                <w:lang w:eastAsia="it-IT"/>
              </w:rPr>
              <w:t>TOTALE </w:t>
            </w: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655D8" w:rsidRPr="00D437D0" w:rsidRDefault="003655D8"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all'1/01</w:t>
            </w:r>
          </w:p>
        </w:tc>
        <w:tc>
          <w:tcPr>
            <w:tcW w:w="1105"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1.515.819.569,68</w:t>
            </w:r>
          </w:p>
        </w:tc>
        <w:tc>
          <w:tcPr>
            <w:tcW w:w="1106"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1.502.234.081,67</w:t>
            </w:r>
          </w:p>
        </w:tc>
        <w:tc>
          <w:tcPr>
            <w:tcW w:w="600"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center"/>
              <w:rPr>
                <w:rFonts w:ascii="Calibri" w:eastAsia="Times New Roman" w:hAnsi="Calibri" w:cs="Calibri"/>
                <w:sz w:val="14"/>
                <w:szCs w:val="14"/>
                <w:lang w:eastAsia="it-IT"/>
              </w:rPr>
            </w:pPr>
            <w:r w:rsidRPr="003655D8">
              <w:rPr>
                <w:rFonts w:ascii="Calibri" w:eastAsia="Times New Roman" w:hAnsi="Calibri" w:cs="Calibri"/>
                <w:sz w:val="14"/>
                <w:szCs w:val="14"/>
                <w:lang w:eastAsia="it-IT"/>
              </w:rPr>
              <w:t>-0,90%</w:t>
            </w:r>
          </w:p>
        </w:tc>
      </w:tr>
      <w:tr w:rsidR="003655D8" w:rsidRPr="00335ECD" w:rsidTr="003655D8">
        <w:trPr>
          <w:trHeight w:val="20"/>
          <w:jc w:val="center"/>
        </w:trPr>
        <w:tc>
          <w:tcPr>
            <w:tcW w:w="917" w:type="pct"/>
            <w:vMerge/>
            <w:tcBorders>
              <w:left w:val="single" w:sz="4" w:space="0" w:color="auto"/>
              <w:right w:val="single" w:sz="4" w:space="0" w:color="auto"/>
            </w:tcBorders>
            <w:shd w:val="clear" w:color="auto" w:fill="0F243E" w:themeFill="text2" w:themeFillShade="80"/>
            <w:vAlign w:val="bottom"/>
            <w:hideMark/>
          </w:tcPr>
          <w:p w:rsidR="003655D8" w:rsidRPr="00335ECD" w:rsidRDefault="003655D8" w:rsidP="00335ECD">
            <w:pPr>
              <w:spacing w:after="0" w:line="240" w:lineRule="auto"/>
              <w:jc w:val="center"/>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655D8" w:rsidRPr="00D437D0" w:rsidRDefault="003655D8"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Impegni complessivi</w:t>
            </w:r>
          </w:p>
        </w:tc>
        <w:tc>
          <w:tcPr>
            <w:tcW w:w="1105"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1.482.260.209,14</w:t>
            </w:r>
          </w:p>
        </w:tc>
        <w:tc>
          <w:tcPr>
            <w:tcW w:w="1106"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1.438.589.911,05</w:t>
            </w:r>
          </w:p>
        </w:tc>
        <w:tc>
          <w:tcPr>
            <w:tcW w:w="600"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center"/>
              <w:rPr>
                <w:rFonts w:ascii="Calibri" w:eastAsia="Times New Roman" w:hAnsi="Calibri" w:cs="Calibri"/>
                <w:sz w:val="14"/>
                <w:szCs w:val="14"/>
                <w:lang w:eastAsia="it-IT"/>
              </w:rPr>
            </w:pPr>
            <w:r w:rsidRPr="003655D8">
              <w:rPr>
                <w:rFonts w:ascii="Calibri" w:eastAsia="Times New Roman" w:hAnsi="Calibri" w:cs="Calibri"/>
                <w:sz w:val="14"/>
                <w:szCs w:val="14"/>
                <w:lang w:eastAsia="it-IT"/>
              </w:rPr>
              <w:t>-2,95%</w:t>
            </w:r>
          </w:p>
        </w:tc>
      </w:tr>
      <w:tr w:rsidR="003655D8" w:rsidRPr="00335ECD" w:rsidTr="003655D8">
        <w:trPr>
          <w:trHeight w:val="20"/>
          <w:jc w:val="center"/>
        </w:trPr>
        <w:tc>
          <w:tcPr>
            <w:tcW w:w="917" w:type="pct"/>
            <w:vMerge/>
            <w:tcBorders>
              <w:left w:val="single" w:sz="4" w:space="0" w:color="auto"/>
              <w:right w:val="single" w:sz="4" w:space="0" w:color="auto"/>
            </w:tcBorders>
            <w:shd w:val="clear" w:color="auto" w:fill="0F243E" w:themeFill="text2" w:themeFillShade="80"/>
            <w:vAlign w:val="bottom"/>
            <w:hideMark/>
          </w:tcPr>
          <w:p w:rsidR="003655D8" w:rsidRPr="00335ECD" w:rsidRDefault="003655D8" w:rsidP="00335ECD">
            <w:pPr>
              <w:spacing w:after="0" w:line="240" w:lineRule="auto"/>
              <w:jc w:val="center"/>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655D8" w:rsidRPr="00D437D0" w:rsidRDefault="003655D8"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Economie/Perenzioni</w:t>
            </w:r>
          </w:p>
        </w:tc>
        <w:tc>
          <w:tcPr>
            <w:tcW w:w="1105"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33.559.360,54</w:t>
            </w:r>
          </w:p>
        </w:tc>
        <w:tc>
          <w:tcPr>
            <w:tcW w:w="1106"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63.644.170,62</w:t>
            </w:r>
          </w:p>
        </w:tc>
        <w:tc>
          <w:tcPr>
            <w:tcW w:w="600"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center"/>
              <w:rPr>
                <w:rFonts w:ascii="Calibri" w:eastAsia="Times New Roman" w:hAnsi="Calibri" w:cs="Calibri"/>
                <w:sz w:val="14"/>
                <w:szCs w:val="14"/>
                <w:lang w:eastAsia="it-IT"/>
              </w:rPr>
            </w:pPr>
            <w:r w:rsidRPr="003655D8">
              <w:rPr>
                <w:rFonts w:ascii="Calibri" w:eastAsia="Times New Roman" w:hAnsi="Calibri" w:cs="Calibri"/>
                <w:sz w:val="14"/>
                <w:szCs w:val="14"/>
                <w:lang w:eastAsia="it-IT"/>
              </w:rPr>
              <w:t>89,65%</w:t>
            </w:r>
          </w:p>
        </w:tc>
      </w:tr>
      <w:tr w:rsidR="003655D8" w:rsidRPr="00335ECD" w:rsidTr="003655D8">
        <w:trPr>
          <w:trHeight w:val="20"/>
          <w:jc w:val="center"/>
        </w:trPr>
        <w:tc>
          <w:tcPr>
            <w:tcW w:w="917" w:type="pct"/>
            <w:vMerge/>
            <w:tcBorders>
              <w:left w:val="single" w:sz="4" w:space="0" w:color="auto"/>
              <w:right w:val="single" w:sz="4" w:space="0" w:color="auto"/>
            </w:tcBorders>
            <w:shd w:val="clear" w:color="auto" w:fill="0F243E" w:themeFill="text2" w:themeFillShade="80"/>
            <w:vAlign w:val="bottom"/>
            <w:hideMark/>
          </w:tcPr>
          <w:p w:rsidR="003655D8" w:rsidRPr="00335ECD" w:rsidRDefault="003655D8" w:rsidP="00335ECD">
            <w:pPr>
              <w:spacing w:after="0" w:line="240" w:lineRule="auto"/>
              <w:jc w:val="center"/>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655D8" w:rsidRPr="00D437D0" w:rsidRDefault="003655D8"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 xml:space="preserve">Pagamenti </w:t>
            </w:r>
          </w:p>
        </w:tc>
        <w:tc>
          <w:tcPr>
            <w:tcW w:w="1105"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1.159.954.405,89</w:t>
            </w:r>
          </w:p>
        </w:tc>
        <w:tc>
          <w:tcPr>
            <w:tcW w:w="1106"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1.111.236.015,18</w:t>
            </w:r>
          </w:p>
        </w:tc>
        <w:tc>
          <w:tcPr>
            <w:tcW w:w="600"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center"/>
              <w:rPr>
                <w:rFonts w:ascii="Calibri" w:eastAsia="Times New Roman" w:hAnsi="Calibri" w:cs="Calibri"/>
                <w:sz w:val="14"/>
                <w:szCs w:val="14"/>
                <w:lang w:eastAsia="it-IT"/>
              </w:rPr>
            </w:pPr>
            <w:r w:rsidRPr="003655D8">
              <w:rPr>
                <w:rFonts w:ascii="Calibri" w:eastAsia="Times New Roman" w:hAnsi="Calibri" w:cs="Calibri"/>
                <w:sz w:val="14"/>
                <w:szCs w:val="14"/>
                <w:lang w:eastAsia="it-IT"/>
              </w:rPr>
              <w:t>-4,20%</w:t>
            </w:r>
          </w:p>
        </w:tc>
      </w:tr>
      <w:tr w:rsidR="003655D8" w:rsidRPr="00335ECD" w:rsidTr="003655D8">
        <w:trPr>
          <w:trHeight w:val="20"/>
          <w:jc w:val="center"/>
        </w:trPr>
        <w:tc>
          <w:tcPr>
            <w:tcW w:w="917" w:type="pct"/>
            <w:vMerge/>
            <w:tcBorders>
              <w:left w:val="single" w:sz="4" w:space="0" w:color="auto"/>
              <w:bottom w:val="single" w:sz="4" w:space="0" w:color="auto"/>
              <w:right w:val="single" w:sz="4" w:space="0" w:color="auto"/>
            </w:tcBorders>
            <w:shd w:val="clear" w:color="auto" w:fill="0F243E" w:themeFill="text2" w:themeFillShade="80"/>
            <w:vAlign w:val="bottom"/>
            <w:hideMark/>
          </w:tcPr>
          <w:p w:rsidR="003655D8" w:rsidRPr="00335ECD" w:rsidRDefault="003655D8" w:rsidP="00335ECD">
            <w:pPr>
              <w:spacing w:after="0" w:line="240" w:lineRule="auto"/>
              <w:jc w:val="center"/>
              <w:rPr>
                <w:rFonts w:ascii="Bodoni MT" w:eastAsia="Times New Roman" w:hAnsi="Bodoni MT" w:cs="Calibri"/>
                <w:b/>
                <w:bCs/>
                <w:color w:val="FFFFFF"/>
                <w:sz w:val="14"/>
                <w:szCs w:val="14"/>
                <w:lang w:eastAsia="it-IT"/>
              </w:rPr>
            </w:pPr>
          </w:p>
        </w:tc>
        <w:tc>
          <w:tcPr>
            <w:tcW w:w="1271" w:type="pct"/>
            <w:tcBorders>
              <w:top w:val="nil"/>
              <w:left w:val="nil"/>
              <w:bottom w:val="single" w:sz="4" w:space="0" w:color="auto"/>
              <w:right w:val="single" w:sz="4" w:space="0" w:color="auto"/>
            </w:tcBorders>
            <w:shd w:val="clear" w:color="auto" w:fill="95B3D7" w:themeFill="accent1" w:themeFillTint="99"/>
            <w:vAlign w:val="center"/>
            <w:hideMark/>
          </w:tcPr>
          <w:p w:rsidR="003655D8" w:rsidRPr="00D437D0" w:rsidRDefault="003655D8" w:rsidP="00335ECD">
            <w:pPr>
              <w:spacing w:after="0" w:line="240" w:lineRule="auto"/>
              <w:rPr>
                <w:rFonts w:ascii="Bodoni MT" w:eastAsia="Times New Roman" w:hAnsi="Bodoni MT" w:cs="Calibri"/>
                <w:b/>
                <w:bCs/>
                <w:color w:val="FFFFFF" w:themeColor="background1"/>
                <w:sz w:val="16"/>
                <w:szCs w:val="16"/>
                <w:lang w:eastAsia="it-IT"/>
              </w:rPr>
            </w:pPr>
            <w:r w:rsidRPr="00D437D0">
              <w:rPr>
                <w:rFonts w:ascii="Bodoni MT" w:eastAsia="Times New Roman" w:hAnsi="Bodoni MT" w:cs="Calibri"/>
                <w:b/>
                <w:bCs/>
                <w:color w:val="FFFFFF" w:themeColor="background1"/>
                <w:sz w:val="16"/>
                <w:szCs w:val="16"/>
                <w:lang w:eastAsia="it-IT"/>
              </w:rPr>
              <w:t>Residui dei residui</w:t>
            </w:r>
          </w:p>
        </w:tc>
        <w:tc>
          <w:tcPr>
            <w:tcW w:w="1105"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322.305.803,25</w:t>
            </w:r>
          </w:p>
        </w:tc>
        <w:tc>
          <w:tcPr>
            <w:tcW w:w="1106"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right"/>
              <w:rPr>
                <w:rFonts w:ascii="Calibri" w:eastAsia="Times New Roman" w:hAnsi="Calibri" w:cs="Calibri"/>
                <w:b/>
                <w:bCs/>
                <w:sz w:val="14"/>
                <w:szCs w:val="14"/>
                <w:lang w:eastAsia="it-IT"/>
              </w:rPr>
            </w:pPr>
            <w:r w:rsidRPr="003655D8">
              <w:rPr>
                <w:rFonts w:ascii="Calibri" w:eastAsia="Times New Roman" w:hAnsi="Calibri" w:cs="Calibri"/>
                <w:b/>
                <w:bCs/>
                <w:sz w:val="14"/>
                <w:szCs w:val="14"/>
                <w:lang w:eastAsia="it-IT"/>
              </w:rPr>
              <w:t>327.353.895,87</w:t>
            </w:r>
          </w:p>
        </w:tc>
        <w:tc>
          <w:tcPr>
            <w:tcW w:w="600" w:type="pct"/>
            <w:tcBorders>
              <w:top w:val="nil"/>
              <w:left w:val="nil"/>
              <w:bottom w:val="single" w:sz="4" w:space="0" w:color="auto"/>
              <w:right w:val="single" w:sz="4" w:space="0" w:color="auto"/>
            </w:tcBorders>
            <w:shd w:val="clear" w:color="auto" w:fill="auto"/>
            <w:noWrap/>
            <w:vAlign w:val="center"/>
            <w:hideMark/>
          </w:tcPr>
          <w:p w:rsidR="003655D8" w:rsidRPr="003655D8" w:rsidRDefault="003655D8" w:rsidP="00335ECD">
            <w:pPr>
              <w:spacing w:after="0" w:line="240" w:lineRule="auto"/>
              <w:jc w:val="center"/>
              <w:rPr>
                <w:rFonts w:ascii="Calibri" w:eastAsia="Times New Roman" w:hAnsi="Calibri" w:cs="Calibri"/>
                <w:sz w:val="14"/>
                <w:szCs w:val="14"/>
                <w:lang w:eastAsia="it-IT"/>
              </w:rPr>
            </w:pPr>
            <w:r w:rsidRPr="003655D8">
              <w:rPr>
                <w:rFonts w:ascii="Calibri" w:eastAsia="Times New Roman" w:hAnsi="Calibri" w:cs="Calibri"/>
                <w:sz w:val="14"/>
                <w:szCs w:val="14"/>
                <w:lang w:eastAsia="it-IT"/>
              </w:rPr>
              <w:t>1,57%</w:t>
            </w:r>
          </w:p>
        </w:tc>
      </w:tr>
      <w:tr w:rsidR="00335ECD" w:rsidRPr="00D437D0" w:rsidTr="003655D8">
        <w:trPr>
          <w:trHeight w:val="20"/>
          <w:jc w:val="center"/>
        </w:trPr>
        <w:tc>
          <w:tcPr>
            <w:tcW w:w="4400" w:type="pct"/>
            <w:gridSpan w:val="4"/>
            <w:tcBorders>
              <w:top w:val="nil"/>
              <w:left w:val="nil"/>
              <w:bottom w:val="nil"/>
              <w:right w:val="nil"/>
            </w:tcBorders>
            <w:shd w:val="clear" w:color="auto" w:fill="auto"/>
            <w:noWrap/>
            <w:hideMark/>
          </w:tcPr>
          <w:p w:rsidR="00335ECD" w:rsidRPr="00D437D0" w:rsidRDefault="00335ECD" w:rsidP="00335ECD">
            <w:pPr>
              <w:spacing w:after="0" w:line="240" w:lineRule="auto"/>
              <w:rPr>
                <w:rFonts w:ascii="Bodoni MT" w:eastAsia="Times New Roman" w:hAnsi="Bodoni MT" w:cs="Calibri"/>
                <w:color w:val="000000"/>
                <w:sz w:val="16"/>
                <w:szCs w:val="16"/>
                <w:lang w:eastAsia="it-IT"/>
              </w:rPr>
            </w:pPr>
            <w:r w:rsidRPr="00D437D0">
              <w:rPr>
                <w:rFonts w:ascii="Bodoni MT" w:eastAsia="Times New Roman" w:hAnsi="Bodoni MT" w:cs="Calibri"/>
                <w:color w:val="000000"/>
                <w:sz w:val="16"/>
                <w:szCs w:val="16"/>
                <w:lang w:eastAsia="it-IT"/>
              </w:rPr>
              <w:t>N.B. Residui 2015 dopo il riaccertamento residui</w:t>
            </w:r>
          </w:p>
        </w:tc>
        <w:tc>
          <w:tcPr>
            <w:tcW w:w="600" w:type="pct"/>
            <w:tcBorders>
              <w:top w:val="nil"/>
              <w:left w:val="nil"/>
              <w:bottom w:val="nil"/>
              <w:right w:val="nil"/>
            </w:tcBorders>
            <w:shd w:val="clear" w:color="auto" w:fill="auto"/>
            <w:noWrap/>
            <w:hideMark/>
          </w:tcPr>
          <w:p w:rsidR="00335ECD" w:rsidRPr="00D437D0" w:rsidRDefault="00335ECD" w:rsidP="00335ECD">
            <w:pPr>
              <w:spacing w:after="0" w:line="240" w:lineRule="auto"/>
              <w:rPr>
                <w:rFonts w:ascii="Bodoni MT" w:eastAsia="Times New Roman" w:hAnsi="Bodoni MT" w:cs="Calibri"/>
                <w:color w:val="000000"/>
                <w:sz w:val="16"/>
                <w:szCs w:val="16"/>
                <w:lang w:eastAsia="it-IT"/>
              </w:rPr>
            </w:pPr>
          </w:p>
        </w:tc>
      </w:tr>
    </w:tbl>
    <w:p w:rsidR="00335ECD" w:rsidRPr="00335ECD" w:rsidRDefault="00335ECD" w:rsidP="00335ECD"/>
    <w:p w:rsidR="001731A5" w:rsidRDefault="001731A5" w:rsidP="001731A5">
      <w:pPr>
        <w:pStyle w:val="Titolo4"/>
        <w:rPr>
          <w:rFonts w:eastAsiaTheme="minorEastAsia"/>
        </w:rPr>
      </w:pPr>
      <w:bookmarkStart w:id="189" w:name="_Toc507422641"/>
      <w:r>
        <w:rPr>
          <w:rFonts w:eastAsiaTheme="minorEastAsia"/>
        </w:rPr>
        <w:t>L’analisi dell’anzianità dei residui passivi</w:t>
      </w:r>
      <w:bookmarkEnd w:id="189"/>
    </w:p>
    <w:p w:rsidR="001731A5" w:rsidRDefault="003F71D8" w:rsidP="00507014">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1731A5">
        <w:rPr>
          <w:rFonts w:ascii="Bodoni MT" w:eastAsiaTheme="minorEastAsia" w:hAnsi="Bodoni MT" w:cs="Bodoni MT"/>
          <w:sz w:val="24"/>
          <w:szCs w:val="24"/>
        </w:rPr>
        <w:t>La tabella che segue evidenzia, distintamente per anno di provenienza e per titolo, i residui passivi riaccertati in sede di rendiconto 2016, come comunicati dalla RAS.</w:t>
      </w:r>
      <w:r w:rsidR="00507014" w:rsidRPr="001731A5">
        <w:rPr>
          <w:rFonts w:ascii="Bodoni MT" w:eastAsiaTheme="minorEastAsia" w:hAnsi="Bodoni MT" w:cs="Bodoni MT"/>
          <w:sz w:val="24"/>
          <w:szCs w:val="24"/>
        </w:rPr>
        <w:t xml:space="preserve"> </w:t>
      </w:r>
      <w:r w:rsidR="00507014" w:rsidRPr="001731A5">
        <w:rPr>
          <w:rFonts w:ascii="Bodoni MT" w:eastAsiaTheme="minorEastAsia" w:hAnsi="Bodoni MT" w:cs="Bodoni MT"/>
          <w:color w:val="000000"/>
          <w:sz w:val="24"/>
          <w:szCs w:val="24"/>
        </w:rPr>
        <w:t>In sintesi la capacità di smaltire i vecchi residui risulta buona, mentre se ne formano dalla competenza oltre la soglia fisiologica.</w:t>
      </w:r>
    </w:p>
    <w:p w:rsidR="001405F6" w:rsidRPr="001731A5" w:rsidRDefault="00C05880" w:rsidP="00C05880">
      <w:pPr>
        <w:pStyle w:val="Didascalia"/>
        <w:rPr>
          <w:color w:val="auto"/>
        </w:rPr>
      </w:pPr>
      <w:bookmarkStart w:id="190" w:name="_Toc507422497"/>
      <w:r w:rsidRPr="001731A5">
        <w:rPr>
          <w:color w:val="auto"/>
        </w:rPr>
        <w:t xml:space="preserve">Tabella </w:t>
      </w:r>
      <w:r w:rsidR="009C738D" w:rsidRPr="001731A5">
        <w:rPr>
          <w:color w:val="auto"/>
        </w:rPr>
        <w:fldChar w:fldCharType="begin"/>
      </w:r>
      <w:r w:rsidR="009C738D" w:rsidRPr="001731A5">
        <w:rPr>
          <w:color w:val="auto"/>
        </w:rPr>
        <w:instrText xml:space="preserve"> SEQ Tabella \* ARABIC </w:instrText>
      </w:r>
      <w:r w:rsidR="009C738D" w:rsidRPr="001731A5">
        <w:rPr>
          <w:color w:val="auto"/>
        </w:rPr>
        <w:fldChar w:fldCharType="separate"/>
      </w:r>
      <w:r w:rsidR="008616B3">
        <w:rPr>
          <w:noProof/>
          <w:color w:val="auto"/>
        </w:rPr>
        <w:t>29</w:t>
      </w:r>
      <w:r w:rsidR="009C738D" w:rsidRPr="001731A5">
        <w:rPr>
          <w:noProof/>
          <w:color w:val="auto"/>
        </w:rPr>
        <w:fldChar w:fldCharType="end"/>
      </w:r>
      <w:r w:rsidR="001405F6" w:rsidRPr="001731A5">
        <w:rPr>
          <w:color w:val="auto"/>
        </w:rPr>
        <w:t xml:space="preserve"> - Residui passivi riaccertati al 31.12.2016 per titolo e anno di provenienza</w:t>
      </w:r>
      <w:bookmarkEnd w:id="190"/>
    </w:p>
    <w:tbl>
      <w:tblPr>
        <w:tblW w:w="10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6"/>
        <w:gridCol w:w="520"/>
        <w:gridCol w:w="520"/>
        <w:gridCol w:w="820"/>
        <w:gridCol w:w="640"/>
        <w:gridCol w:w="820"/>
        <w:gridCol w:w="720"/>
        <w:gridCol w:w="820"/>
        <w:gridCol w:w="900"/>
        <w:gridCol w:w="900"/>
        <w:gridCol w:w="1000"/>
        <w:gridCol w:w="1170"/>
        <w:gridCol w:w="1170"/>
      </w:tblGrid>
      <w:tr w:rsidR="001731A5" w:rsidRPr="001731A5" w:rsidTr="001731A5">
        <w:trPr>
          <w:trHeight w:val="285"/>
          <w:jc w:val="center"/>
        </w:trPr>
        <w:tc>
          <w:tcPr>
            <w:tcW w:w="10556" w:type="dxa"/>
            <w:gridSpan w:val="13"/>
            <w:tcBorders>
              <w:top w:val="nil"/>
              <w:left w:val="nil"/>
              <w:bottom w:val="nil"/>
              <w:right w:val="nil"/>
            </w:tcBorders>
            <w:shd w:val="clear" w:color="auto" w:fill="auto"/>
            <w:noWrap/>
            <w:vAlign w:val="center"/>
            <w:hideMark/>
          </w:tcPr>
          <w:p w:rsidR="001731A5" w:rsidRPr="001731A5" w:rsidRDefault="001731A5" w:rsidP="00646EDA">
            <w:pPr>
              <w:spacing w:after="0" w:line="240" w:lineRule="auto"/>
              <w:jc w:val="right"/>
              <w:rPr>
                <w:rFonts w:ascii="Bodoni MT" w:eastAsia="Times New Roman" w:hAnsi="Bodoni MT" w:cs="Arial"/>
                <w:sz w:val="16"/>
                <w:szCs w:val="16"/>
                <w:lang w:eastAsia="it-IT"/>
              </w:rPr>
            </w:pPr>
            <w:r w:rsidRPr="001731A5">
              <w:rPr>
                <w:rFonts w:ascii="Bodoni MT" w:eastAsia="Times New Roman" w:hAnsi="Bodoni MT" w:cs="Arial"/>
                <w:sz w:val="16"/>
                <w:szCs w:val="16"/>
                <w:lang w:eastAsia="it-IT"/>
              </w:rPr>
              <w:t>(importi in euro)</w:t>
            </w:r>
          </w:p>
        </w:tc>
      </w:tr>
      <w:tr w:rsidR="001731A5" w:rsidRPr="001731A5" w:rsidTr="001731A5">
        <w:trPr>
          <w:trHeight w:val="255"/>
          <w:jc w:val="center"/>
        </w:trPr>
        <w:tc>
          <w:tcPr>
            <w:tcW w:w="556"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 </w:t>
            </w:r>
          </w:p>
        </w:tc>
        <w:tc>
          <w:tcPr>
            <w:tcW w:w="5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2003</w:t>
            </w:r>
          </w:p>
        </w:tc>
        <w:tc>
          <w:tcPr>
            <w:tcW w:w="5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2007</w:t>
            </w:r>
          </w:p>
        </w:tc>
        <w:tc>
          <w:tcPr>
            <w:tcW w:w="8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2008</w:t>
            </w:r>
          </w:p>
        </w:tc>
        <w:tc>
          <w:tcPr>
            <w:tcW w:w="64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2009</w:t>
            </w:r>
          </w:p>
        </w:tc>
        <w:tc>
          <w:tcPr>
            <w:tcW w:w="8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2010</w:t>
            </w:r>
          </w:p>
        </w:tc>
        <w:tc>
          <w:tcPr>
            <w:tcW w:w="7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2011</w:t>
            </w:r>
          </w:p>
        </w:tc>
        <w:tc>
          <w:tcPr>
            <w:tcW w:w="82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2012</w:t>
            </w:r>
          </w:p>
        </w:tc>
        <w:tc>
          <w:tcPr>
            <w:tcW w:w="90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2013</w:t>
            </w:r>
          </w:p>
        </w:tc>
        <w:tc>
          <w:tcPr>
            <w:tcW w:w="90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2014</w:t>
            </w:r>
          </w:p>
        </w:tc>
        <w:tc>
          <w:tcPr>
            <w:tcW w:w="100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2015</w:t>
            </w:r>
          </w:p>
        </w:tc>
        <w:tc>
          <w:tcPr>
            <w:tcW w:w="117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2016</w:t>
            </w:r>
          </w:p>
        </w:tc>
        <w:tc>
          <w:tcPr>
            <w:tcW w:w="1170" w:type="dxa"/>
            <w:tcBorders>
              <w:top w:val="nil"/>
            </w:tcBorders>
            <w:shd w:val="clear" w:color="auto" w:fill="0F243E" w:themeFill="text2" w:themeFillShade="80"/>
            <w:noWrap/>
            <w:vAlign w:val="center"/>
            <w:hideMark/>
          </w:tcPr>
          <w:p w:rsidR="003F71D8" w:rsidRPr="001731A5" w:rsidRDefault="003F71D8" w:rsidP="00195CEC">
            <w:pPr>
              <w:spacing w:after="0" w:line="240" w:lineRule="auto"/>
              <w:jc w:val="center"/>
              <w:rPr>
                <w:rFonts w:ascii="Bodoni MT" w:eastAsia="Times New Roman" w:hAnsi="Bodoni MT" w:cs="Arial"/>
                <w:b/>
                <w:bCs/>
                <w:sz w:val="16"/>
                <w:szCs w:val="16"/>
                <w:lang w:eastAsia="it-IT"/>
              </w:rPr>
            </w:pPr>
            <w:r w:rsidRPr="001731A5">
              <w:rPr>
                <w:rFonts w:ascii="Bodoni MT" w:eastAsia="Times New Roman" w:hAnsi="Bodoni MT" w:cs="Arial"/>
                <w:b/>
                <w:bCs/>
                <w:sz w:val="16"/>
                <w:szCs w:val="16"/>
                <w:lang w:eastAsia="it-IT"/>
              </w:rPr>
              <w:t>TOTALE</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1</w:t>
            </w:r>
          </w:p>
        </w:tc>
        <w:tc>
          <w:tcPr>
            <w:tcW w:w="5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2.834</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2.091</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465</w:t>
            </w:r>
          </w:p>
        </w:tc>
        <w:tc>
          <w:tcPr>
            <w:tcW w:w="7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13.598</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403.952</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11.605.925</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14.873.217</w:t>
            </w:r>
          </w:p>
        </w:tc>
        <w:tc>
          <w:tcPr>
            <w:tcW w:w="10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128.591.392</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722.081.617</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877.575.092</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2</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5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1.712</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6.386.075</w:t>
            </w:r>
          </w:p>
        </w:tc>
        <w:tc>
          <w:tcPr>
            <w:tcW w:w="64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50.034</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7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183.668</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1.371.349</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2.511.951</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1.848.160</w:t>
            </w:r>
          </w:p>
        </w:tc>
        <w:tc>
          <w:tcPr>
            <w:tcW w:w="10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141.033.524</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350.479.931</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503.866.404</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3</w:t>
            </w:r>
          </w:p>
        </w:tc>
        <w:tc>
          <w:tcPr>
            <w:tcW w:w="520" w:type="dxa"/>
            <w:shd w:val="clear" w:color="auto" w:fill="auto"/>
            <w:noWrap/>
            <w:vAlign w:val="bottom"/>
            <w:hideMark/>
          </w:tcPr>
          <w:p w:rsidR="003F71D8" w:rsidRPr="001731A5" w:rsidRDefault="003F71D8" w:rsidP="00195CEC">
            <w:pPr>
              <w:spacing w:after="0" w:line="240" w:lineRule="auto"/>
              <w:rPr>
                <w:rFonts w:ascii="Arial" w:eastAsia="Times New Roman" w:hAnsi="Arial" w:cs="Arial"/>
                <w:sz w:val="20"/>
                <w:szCs w:val="20"/>
                <w:lang w:eastAsia="it-IT"/>
              </w:rPr>
            </w:pPr>
            <w:r w:rsidRPr="001731A5">
              <w:rPr>
                <w:rFonts w:ascii="Arial" w:eastAsia="Times New Roman" w:hAnsi="Arial" w:cs="Arial"/>
                <w:sz w:val="20"/>
                <w:szCs w:val="20"/>
                <w:lang w:eastAsia="it-IT"/>
              </w:rPr>
              <w:t> </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7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2.671</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1.132</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0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34.129</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37.931</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4</w:t>
            </w:r>
          </w:p>
        </w:tc>
        <w:tc>
          <w:tcPr>
            <w:tcW w:w="520" w:type="dxa"/>
            <w:shd w:val="clear" w:color="auto" w:fill="auto"/>
            <w:noWrap/>
            <w:vAlign w:val="bottom"/>
            <w:hideMark/>
          </w:tcPr>
          <w:p w:rsidR="003F71D8" w:rsidRPr="001731A5" w:rsidRDefault="003F71D8" w:rsidP="00195CEC">
            <w:pPr>
              <w:spacing w:after="0" w:line="240" w:lineRule="auto"/>
              <w:rPr>
                <w:rFonts w:ascii="Arial" w:eastAsia="Times New Roman" w:hAnsi="Arial" w:cs="Arial"/>
                <w:sz w:val="20"/>
                <w:szCs w:val="20"/>
                <w:lang w:eastAsia="it-IT"/>
              </w:rPr>
            </w:pPr>
            <w:r w:rsidRPr="001731A5">
              <w:rPr>
                <w:rFonts w:ascii="Arial" w:eastAsia="Times New Roman" w:hAnsi="Arial" w:cs="Arial"/>
                <w:sz w:val="20"/>
                <w:szCs w:val="20"/>
                <w:lang w:eastAsia="it-IT"/>
              </w:rPr>
              <w:t> </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7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0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5</w:t>
            </w:r>
          </w:p>
        </w:tc>
        <w:tc>
          <w:tcPr>
            <w:tcW w:w="520" w:type="dxa"/>
            <w:shd w:val="clear" w:color="auto" w:fill="auto"/>
            <w:noWrap/>
            <w:vAlign w:val="bottom"/>
            <w:hideMark/>
          </w:tcPr>
          <w:p w:rsidR="003F71D8" w:rsidRPr="001731A5" w:rsidRDefault="003F71D8" w:rsidP="00195CEC">
            <w:pPr>
              <w:spacing w:after="0" w:line="240" w:lineRule="auto"/>
              <w:rPr>
                <w:rFonts w:ascii="Arial" w:eastAsia="Times New Roman" w:hAnsi="Arial" w:cs="Arial"/>
                <w:sz w:val="20"/>
                <w:szCs w:val="20"/>
                <w:lang w:eastAsia="it-IT"/>
              </w:rPr>
            </w:pPr>
            <w:r w:rsidRPr="001731A5">
              <w:rPr>
                <w:rFonts w:ascii="Arial" w:eastAsia="Times New Roman" w:hAnsi="Arial" w:cs="Arial"/>
                <w:sz w:val="20"/>
                <w:szCs w:val="20"/>
                <w:lang w:eastAsia="it-IT"/>
              </w:rPr>
              <w:t> </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7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0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6</w:t>
            </w:r>
          </w:p>
        </w:tc>
        <w:tc>
          <w:tcPr>
            <w:tcW w:w="520" w:type="dxa"/>
            <w:shd w:val="clear" w:color="auto" w:fill="auto"/>
            <w:noWrap/>
            <w:vAlign w:val="bottom"/>
            <w:hideMark/>
          </w:tcPr>
          <w:p w:rsidR="003F71D8" w:rsidRPr="001731A5" w:rsidRDefault="003F71D8" w:rsidP="00195CEC">
            <w:pPr>
              <w:spacing w:after="0" w:line="240" w:lineRule="auto"/>
              <w:rPr>
                <w:rFonts w:ascii="Arial" w:eastAsia="Times New Roman" w:hAnsi="Arial" w:cs="Arial"/>
                <w:sz w:val="20"/>
                <w:szCs w:val="20"/>
                <w:lang w:eastAsia="it-IT"/>
              </w:rPr>
            </w:pPr>
            <w:r w:rsidRPr="001731A5">
              <w:rPr>
                <w:rFonts w:ascii="Arial" w:eastAsia="Times New Roman" w:hAnsi="Arial" w:cs="Arial"/>
                <w:sz w:val="20"/>
                <w:szCs w:val="20"/>
                <w:lang w:eastAsia="it-IT"/>
              </w:rPr>
              <w:t> </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7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9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00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0</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TIT 7</w:t>
            </w:r>
          </w:p>
        </w:tc>
        <w:tc>
          <w:tcPr>
            <w:tcW w:w="520" w:type="dxa"/>
            <w:shd w:val="clear" w:color="auto" w:fill="auto"/>
            <w:noWrap/>
            <w:vAlign w:val="bottom"/>
            <w:hideMark/>
          </w:tcPr>
          <w:p w:rsidR="003F71D8" w:rsidRPr="001731A5" w:rsidRDefault="003F71D8" w:rsidP="00195CEC">
            <w:pPr>
              <w:spacing w:after="0" w:line="240" w:lineRule="auto"/>
              <w:rPr>
                <w:rFonts w:ascii="Arial" w:eastAsia="Times New Roman" w:hAnsi="Arial" w:cs="Arial"/>
                <w:sz w:val="20"/>
                <w:szCs w:val="20"/>
                <w:lang w:eastAsia="it-IT"/>
              </w:rPr>
            </w:pPr>
            <w:r w:rsidRPr="001731A5">
              <w:rPr>
                <w:rFonts w:ascii="Arial" w:eastAsia="Times New Roman" w:hAnsi="Arial" w:cs="Arial"/>
                <w:sz w:val="20"/>
                <w:szCs w:val="20"/>
                <w:lang w:eastAsia="it-IT"/>
              </w:rPr>
              <w:t> </w:t>
            </w:r>
          </w:p>
        </w:tc>
        <w:tc>
          <w:tcPr>
            <w:tcW w:w="5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640" w:type="dxa"/>
            <w:shd w:val="clear" w:color="auto" w:fill="auto"/>
            <w:noWrap/>
            <w:vAlign w:val="bottom"/>
            <w:hideMark/>
          </w:tcPr>
          <w:p w:rsidR="003F71D8" w:rsidRPr="001731A5" w:rsidRDefault="003F71D8" w:rsidP="00195CEC">
            <w:pPr>
              <w:spacing w:after="0" w:line="240" w:lineRule="auto"/>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 </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7.060.937</w:t>
            </w:r>
          </w:p>
        </w:tc>
        <w:tc>
          <w:tcPr>
            <w:tcW w:w="7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4.722</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29.021</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8.907.410</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211.706</w:t>
            </w:r>
          </w:p>
        </w:tc>
        <w:tc>
          <w:tcPr>
            <w:tcW w:w="10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2.256.350</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1.014.307</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sz w:val="16"/>
                <w:szCs w:val="16"/>
                <w:lang w:eastAsia="it-IT"/>
              </w:rPr>
            </w:pPr>
            <w:r w:rsidRPr="001731A5">
              <w:rPr>
                <w:rFonts w:ascii="Calibri" w:eastAsia="Times New Roman" w:hAnsi="Calibri" w:cs="Calibri"/>
                <w:sz w:val="16"/>
                <w:szCs w:val="16"/>
                <w:lang w:eastAsia="it-IT"/>
              </w:rPr>
              <w:t>19.484.453</w:t>
            </w:r>
          </w:p>
        </w:tc>
      </w:tr>
      <w:tr w:rsidR="001731A5" w:rsidRPr="001731A5" w:rsidTr="00646EDA">
        <w:trPr>
          <w:trHeight w:val="255"/>
          <w:jc w:val="center"/>
        </w:trPr>
        <w:tc>
          <w:tcPr>
            <w:tcW w:w="556" w:type="dxa"/>
            <w:shd w:val="clear" w:color="auto" w:fill="95B3D7" w:themeFill="accent1" w:themeFillTint="99"/>
            <w:noWrap/>
            <w:vAlign w:val="center"/>
            <w:hideMark/>
          </w:tcPr>
          <w:p w:rsidR="003F71D8" w:rsidRPr="001731A5" w:rsidRDefault="003F71D8" w:rsidP="00195CEC">
            <w:pPr>
              <w:spacing w:after="0" w:line="240" w:lineRule="auto"/>
              <w:jc w:val="center"/>
              <w:rPr>
                <w:rFonts w:ascii="Bodoni MT" w:eastAsia="Times New Roman" w:hAnsi="Bodoni MT" w:cs="Arial"/>
                <w:b/>
                <w:bCs/>
                <w:color w:val="FFFFFF" w:themeColor="background1"/>
                <w:sz w:val="16"/>
                <w:szCs w:val="16"/>
                <w:lang w:eastAsia="it-IT"/>
              </w:rPr>
            </w:pPr>
            <w:r w:rsidRPr="001731A5">
              <w:rPr>
                <w:rFonts w:ascii="Bodoni MT" w:eastAsia="Times New Roman" w:hAnsi="Bodoni MT" w:cs="Arial"/>
                <w:b/>
                <w:bCs/>
                <w:color w:val="FFFFFF" w:themeColor="background1"/>
                <w:sz w:val="16"/>
                <w:szCs w:val="16"/>
                <w:lang w:eastAsia="it-IT"/>
              </w:rPr>
              <w:t>Totale</w:t>
            </w:r>
          </w:p>
        </w:tc>
        <w:tc>
          <w:tcPr>
            <w:tcW w:w="5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2.834</w:t>
            </w:r>
          </w:p>
        </w:tc>
        <w:tc>
          <w:tcPr>
            <w:tcW w:w="5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1.712</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6.388.166</w:t>
            </w:r>
          </w:p>
        </w:tc>
        <w:tc>
          <w:tcPr>
            <w:tcW w:w="64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50.034</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7.061.402</w:t>
            </w:r>
          </w:p>
        </w:tc>
        <w:tc>
          <w:tcPr>
            <w:tcW w:w="7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204.659</w:t>
            </w:r>
          </w:p>
        </w:tc>
        <w:tc>
          <w:tcPr>
            <w:tcW w:w="82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1.804.322</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23.026.418</w:t>
            </w:r>
          </w:p>
        </w:tc>
        <w:tc>
          <w:tcPr>
            <w:tcW w:w="9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16.933.084</w:t>
            </w:r>
          </w:p>
        </w:tc>
        <w:tc>
          <w:tcPr>
            <w:tcW w:w="100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271.881.266</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1.073.609.984</w:t>
            </w:r>
          </w:p>
        </w:tc>
        <w:tc>
          <w:tcPr>
            <w:tcW w:w="1170" w:type="dxa"/>
            <w:shd w:val="clear" w:color="auto" w:fill="auto"/>
            <w:noWrap/>
            <w:vAlign w:val="bottom"/>
            <w:hideMark/>
          </w:tcPr>
          <w:p w:rsidR="003F71D8" w:rsidRPr="001731A5" w:rsidRDefault="003F71D8" w:rsidP="00195CEC">
            <w:pPr>
              <w:spacing w:after="0" w:line="240" w:lineRule="auto"/>
              <w:jc w:val="right"/>
              <w:rPr>
                <w:rFonts w:ascii="Calibri" w:eastAsia="Times New Roman" w:hAnsi="Calibri" w:cs="Calibri"/>
                <w:b/>
                <w:bCs/>
                <w:sz w:val="16"/>
                <w:szCs w:val="16"/>
                <w:lang w:eastAsia="it-IT"/>
              </w:rPr>
            </w:pPr>
            <w:r w:rsidRPr="001731A5">
              <w:rPr>
                <w:rFonts w:ascii="Calibri" w:eastAsia="Times New Roman" w:hAnsi="Calibri" w:cs="Calibri"/>
                <w:b/>
                <w:bCs/>
                <w:sz w:val="16"/>
                <w:szCs w:val="16"/>
                <w:lang w:eastAsia="it-IT"/>
              </w:rPr>
              <w:t>1.400.963.880</w:t>
            </w:r>
          </w:p>
        </w:tc>
      </w:tr>
    </w:tbl>
    <w:p w:rsidR="003F71D8" w:rsidRPr="001731A5" w:rsidRDefault="00F90E63" w:rsidP="00F90E63">
      <w:pPr>
        <w:autoSpaceDE w:val="0"/>
        <w:autoSpaceDN w:val="0"/>
        <w:adjustRightInd w:val="0"/>
        <w:spacing w:after="120" w:line="360" w:lineRule="auto"/>
        <w:ind w:hanging="284"/>
        <w:jc w:val="both"/>
        <w:textAlignment w:val="center"/>
        <w:rPr>
          <w:rFonts w:ascii="Bodoni MT" w:eastAsiaTheme="minorEastAsia" w:hAnsi="Bodoni MT" w:cs="Bodoni MT"/>
          <w:sz w:val="16"/>
          <w:szCs w:val="16"/>
        </w:rPr>
      </w:pPr>
      <w:r>
        <w:rPr>
          <w:rFonts w:ascii="Bodoni MT" w:eastAsiaTheme="minorEastAsia" w:hAnsi="Bodoni MT" w:cs="Bodoni MT"/>
          <w:sz w:val="16"/>
          <w:szCs w:val="16"/>
        </w:rPr>
        <w:t>Fonte: Dati RAS</w:t>
      </w:r>
    </w:p>
    <w:p w:rsidR="003F71D8" w:rsidRPr="001731A5" w:rsidRDefault="003F71D8" w:rsidP="003F71D8">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lastRenderedPageBreak/>
        <w:t>Da tale tabella si evidenzia che il 62,64% dei residui passivi è riferibile alle spese correnti (</w:t>
      </w:r>
      <w:r w:rsidR="00E643DA" w:rsidRPr="001731A5">
        <w:rPr>
          <w:rFonts w:ascii="Bodoni MT" w:eastAsiaTheme="minorEastAsia" w:hAnsi="Bodoni MT" w:cs="Bodoni MT"/>
          <w:sz w:val="24"/>
          <w:szCs w:val="24"/>
        </w:rPr>
        <w:t xml:space="preserve">Titolo </w:t>
      </w:r>
      <w:r w:rsidRPr="001731A5">
        <w:rPr>
          <w:rFonts w:ascii="Bodoni MT" w:eastAsiaTheme="minorEastAsia" w:hAnsi="Bodoni MT" w:cs="Bodoni MT"/>
          <w:sz w:val="24"/>
          <w:szCs w:val="24"/>
        </w:rPr>
        <w:t>I), il 35,97% è relativo alle spese in conto capitale (</w:t>
      </w:r>
      <w:r w:rsidR="00462FCB" w:rsidRPr="001731A5">
        <w:rPr>
          <w:rFonts w:ascii="Bodoni MT" w:eastAsiaTheme="minorEastAsia" w:hAnsi="Bodoni MT" w:cs="Bodoni MT"/>
          <w:sz w:val="24"/>
          <w:szCs w:val="24"/>
        </w:rPr>
        <w:t xml:space="preserve">Titolo </w:t>
      </w:r>
      <w:r w:rsidRPr="001731A5">
        <w:rPr>
          <w:rFonts w:ascii="Bodoni MT" w:eastAsiaTheme="minorEastAsia" w:hAnsi="Bodoni MT" w:cs="Bodoni MT"/>
          <w:sz w:val="24"/>
          <w:szCs w:val="24"/>
        </w:rPr>
        <w:t>II), mentre il restante 1,39% è interamente ascrivibile ai servizi conto terzi (</w:t>
      </w:r>
      <w:r w:rsidR="00462FCB" w:rsidRPr="001731A5">
        <w:rPr>
          <w:rFonts w:ascii="Bodoni MT" w:eastAsiaTheme="minorEastAsia" w:hAnsi="Bodoni MT" w:cs="Bodoni MT"/>
          <w:sz w:val="24"/>
          <w:szCs w:val="24"/>
        </w:rPr>
        <w:t xml:space="preserve">Titolo </w:t>
      </w:r>
      <w:r w:rsidRPr="001731A5">
        <w:rPr>
          <w:rFonts w:ascii="Bodoni MT" w:eastAsiaTheme="minorEastAsia" w:hAnsi="Bodoni MT" w:cs="Bodoni MT"/>
          <w:sz w:val="24"/>
          <w:szCs w:val="24"/>
        </w:rPr>
        <w:t xml:space="preserve">VII).  </w:t>
      </w:r>
    </w:p>
    <w:p w:rsidR="003F71D8" w:rsidRPr="001731A5" w:rsidRDefault="003F71D8" w:rsidP="003F71D8">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 xml:space="preserve">Riguardo alla composizione per anno di formazione, si evidenzia una notevole incidenza dei residui della competenza, pari al 76,63%. I residui provenienti dal 2015 risultano pari al 19,41%, mentre più contenuta risulta l’incidenza riferita agli altri esercizi. In particolare, i residui passivi risalenti agli esercizi antecedenti al 2012 ammontano complessivamente a € 13.708.807 e rappresentano appena lo 0,98% del totale. </w:t>
      </w:r>
    </w:p>
    <w:p w:rsidR="003F71D8" w:rsidRPr="001731A5" w:rsidRDefault="003F71D8" w:rsidP="003F71D8">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Nella Relazione sulla gestione</w:t>
      </w:r>
      <w:r w:rsidRPr="001731A5">
        <w:rPr>
          <w:rStyle w:val="Rimandonotaapidipagina"/>
          <w:rFonts w:ascii="Bodoni MT" w:eastAsiaTheme="minorEastAsia" w:hAnsi="Bodoni MT" w:cs="Bodoni MT"/>
          <w:sz w:val="24"/>
          <w:szCs w:val="24"/>
        </w:rPr>
        <w:footnoteReference w:id="103"/>
      </w:r>
      <w:r w:rsidRPr="001731A5">
        <w:rPr>
          <w:rFonts w:ascii="Bodoni MT" w:eastAsiaTheme="minorEastAsia" w:hAnsi="Bodoni MT" w:cs="Bodoni MT"/>
          <w:sz w:val="24"/>
          <w:szCs w:val="24"/>
        </w:rPr>
        <w:t xml:space="preserve"> sono stati elencati i residui di anzianità superiore ai cinque anni, di maggiore consistenza, indicando la motivazione del loro mantenimento in bilancio. Tra questi risultano residui risalenti al 2008, di ammontare complessivo di € 4.292.034,36 (di cui € 3.638.334,36 imputati all’Assessorato Difesa Ambiente e riferiti al PO FESR 2007/2013, e € 653.700,00 imputati all’Assessorato dei Lavori Pubblici, sempre relativi al PO FESR 2007/2013). Per tali residui, si riferisce, è in corso l’istruttoria per la chiusura delle operazioni relative al Programma.</w:t>
      </w:r>
    </w:p>
    <w:p w:rsidR="003F71D8" w:rsidRPr="001731A5" w:rsidRDefault="003F71D8" w:rsidP="003F71D8">
      <w:pPr>
        <w:autoSpaceDE w:val="0"/>
        <w:autoSpaceDN w:val="0"/>
        <w:adjustRightInd w:val="0"/>
        <w:spacing w:after="120" w:line="360" w:lineRule="auto"/>
        <w:jc w:val="both"/>
        <w:textAlignment w:val="center"/>
        <w:rPr>
          <w:rFonts w:ascii="Bodoni MT" w:eastAsiaTheme="minorEastAsia" w:hAnsi="Bodoni MT" w:cs="Bodoni MT"/>
          <w:sz w:val="24"/>
          <w:szCs w:val="24"/>
        </w:rPr>
      </w:pPr>
      <w:r w:rsidRPr="001731A5">
        <w:rPr>
          <w:rFonts w:ascii="Bodoni MT" w:eastAsiaTheme="minorEastAsia" w:hAnsi="Bodoni MT" w:cs="Bodoni MT"/>
          <w:sz w:val="24"/>
          <w:szCs w:val="24"/>
        </w:rPr>
        <w:t xml:space="preserve">Nella Relazione </w:t>
      </w:r>
      <w:r w:rsidR="00F62FBB">
        <w:rPr>
          <w:rFonts w:ascii="Bodoni MT" w:eastAsiaTheme="minorEastAsia" w:hAnsi="Bodoni MT" w:cs="Bodoni MT"/>
          <w:sz w:val="24"/>
          <w:szCs w:val="24"/>
        </w:rPr>
        <w:t xml:space="preserve">si </w:t>
      </w:r>
      <w:r w:rsidR="00990BD9" w:rsidRPr="001731A5">
        <w:rPr>
          <w:rFonts w:ascii="Bodoni MT" w:eastAsiaTheme="minorEastAsia" w:hAnsi="Bodoni MT" w:cs="Bodoni MT"/>
          <w:sz w:val="24"/>
          <w:szCs w:val="24"/>
        </w:rPr>
        <w:t xml:space="preserve">precisa che </w:t>
      </w:r>
      <w:r w:rsidRPr="001731A5">
        <w:rPr>
          <w:rFonts w:ascii="Bodoni MT" w:eastAsiaTheme="minorEastAsia" w:hAnsi="Bodoni MT" w:cs="Bodoni MT"/>
          <w:sz w:val="24"/>
          <w:szCs w:val="24"/>
        </w:rPr>
        <w:t xml:space="preserve">il residuo di € 7.057.484,24 del 2010, imputato al Titolo VII “Partite di giro” </w:t>
      </w:r>
      <w:r w:rsidR="00990BD9" w:rsidRPr="001731A5">
        <w:rPr>
          <w:rFonts w:ascii="Bodoni MT" w:eastAsiaTheme="minorEastAsia" w:hAnsi="Bodoni MT" w:cs="Bodoni MT"/>
          <w:sz w:val="24"/>
          <w:szCs w:val="24"/>
        </w:rPr>
        <w:t xml:space="preserve">relativo allo </w:t>
      </w:r>
      <w:r w:rsidRPr="001731A5">
        <w:rPr>
          <w:rFonts w:ascii="Bodoni MT" w:eastAsiaTheme="minorEastAsia" w:hAnsi="Bodoni MT" w:cs="Bodoni MT"/>
          <w:sz w:val="24"/>
          <w:szCs w:val="24"/>
        </w:rPr>
        <w:t>svincolo depositi cauzionali non effettuato</w:t>
      </w:r>
      <w:r w:rsidR="00990BD9" w:rsidRPr="001731A5">
        <w:rPr>
          <w:rFonts w:ascii="Bodoni MT" w:eastAsiaTheme="minorEastAsia" w:hAnsi="Bodoni MT" w:cs="Bodoni MT"/>
          <w:sz w:val="24"/>
          <w:szCs w:val="24"/>
        </w:rPr>
        <w:t>,</w:t>
      </w:r>
      <w:r w:rsidRPr="001731A5">
        <w:rPr>
          <w:rFonts w:ascii="Bodoni MT" w:eastAsiaTheme="minorEastAsia" w:hAnsi="Bodoni MT" w:cs="Bodoni MT"/>
          <w:sz w:val="24"/>
          <w:szCs w:val="24"/>
        </w:rPr>
        <w:t xml:space="preserve"> </w:t>
      </w:r>
      <w:r w:rsidR="00990BD9" w:rsidRPr="00B77D9A">
        <w:rPr>
          <w:rFonts w:ascii="Bodoni MT" w:eastAsiaTheme="minorEastAsia" w:hAnsi="Bodoni MT" w:cs="Bodoni MT"/>
          <w:sz w:val="24"/>
          <w:szCs w:val="24"/>
        </w:rPr>
        <w:t>è stato mantenuto</w:t>
      </w:r>
      <w:r w:rsidR="00990BD9" w:rsidRPr="001731A5">
        <w:rPr>
          <w:rFonts w:ascii="Bodoni MT" w:eastAsiaTheme="minorEastAsia" w:hAnsi="Bodoni MT" w:cs="Bodoni MT"/>
          <w:sz w:val="24"/>
          <w:szCs w:val="24"/>
        </w:rPr>
        <w:t xml:space="preserve"> </w:t>
      </w:r>
      <w:r w:rsidRPr="001731A5">
        <w:rPr>
          <w:rFonts w:ascii="Bodoni MT" w:eastAsiaTheme="minorEastAsia" w:hAnsi="Bodoni MT" w:cs="Bodoni MT"/>
          <w:sz w:val="24"/>
          <w:szCs w:val="24"/>
        </w:rPr>
        <w:t>perché i relativi lavori sono ancora in corso.</w:t>
      </w:r>
    </w:p>
    <w:p w:rsidR="003F71D8" w:rsidRPr="001731A5" w:rsidRDefault="003F71D8" w:rsidP="003F71D8">
      <w:pPr>
        <w:spacing w:line="360" w:lineRule="auto"/>
        <w:jc w:val="both"/>
        <w:rPr>
          <w:rFonts w:ascii="Bodoni MT" w:hAnsi="Bodoni MT"/>
          <w:sz w:val="24"/>
          <w:szCs w:val="24"/>
        </w:rPr>
      </w:pPr>
      <w:r w:rsidRPr="001731A5">
        <w:rPr>
          <w:rFonts w:ascii="Bodoni MT" w:hAnsi="Bodoni MT"/>
          <w:sz w:val="24"/>
          <w:szCs w:val="24"/>
        </w:rPr>
        <w:t>Con riguardo ai residui conservati risalenti al 2012, si riferisce del mantenimento di residui dovuti a trasferimenti soggetti a rendicontazione per un importo complessivo di € 766.597,16, facenti capo all’Assessorato degli Enti Locali, oltre a un residuo di € 160.000 del bilancio dell’Assessorato dei Lavori pubblici afferente a contributi da erogarsi nel 2017 per opere in corso di realizzazione il cui beneficiario non ha ancora richiesto il pagamento.</w:t>
      </w:r>
    </w:p>
    <w:p w:rsidR="005D660C" w:rsidRPr="005D660C" w:rsidRDefault="005D660C" w:rsidP="00503AC8">
      <w:pPr>
        <w:pStyle w:val="Titolo2"/>
      </w:pPr>
      <w:bookmarkStart w:id="191" w:name="_Toc499040936"/>
      <w:bookmarkStart w:id="192" w:name="_Toc507422642"/>
      <w:r w:rsidRPr="005D660C">
        <w:t>I residui passivi perenti</w:t>
      </w:r>
      <w:bookmarkEnd w:id="191"/>
      <w:bookmarkEnd w:id="192"/>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L’art. 60 del D.Lgs. 118/2011 ha previsto l’abolizione dell’istituto della perenzione amministrativa a decorrere dal 2015 e la destinazione di una quota del risultato di amministrazione a copertura della re-iscrizione dei residui perenti pari almeno all’incidenza delle richieste di reiscrizione degli stessi negli ultimi tre esercizi. Si consideri che le somme andate in perenzione sono correlate a rapporti giuridici a suo tempo definiti in ragione dei quali è stato adottato l’impegno contabile, che </w:t>
      </w:r>
      <w:r w:rsidRPr="005D660C">
        <w:rPr>
          <w:rFonts w:ascii="Bodoni MT" w:eastAsiaTheme="minorEastAsia" w:hAnsi="Bodoni MT" w:cs="Bodoni MT"/>
          <w:color w:val="000000"/>
          <w:sz w:val="24"/>
          <w:szCs w:val="24"/>
        </w:rPr>
        <w:lastRenderedPageBreak/>
        <w:t xml:space="preserve">dovrebbero ancora rappresentare debiti da onorare. E’ da sottolineare che la </w:t>
      </w:r>
      <w:r w:rsidRPr="005D660C">
        <w:rPr>
          <w:rFonts w:ascii="Bodoni MT" w:eastAsiaTheme="minorEastAsia" w:hAnsi="Bodoni MT" w:cs="Bodoni MT"/>
          <w:b/>
          <w:color w:val="000000"/>
          <w:sz w:val="24"/>
          <w:szCs w:val="24"/>
        </w:rPr>
        <w:t>“perenzione amministrativa” opera su un piano contabile e non ha incidenza sul sottostante rapporto con il creditore, la cui posizione non è scalfita fino alla decorrenza del termine per la prescrizione</w:t>
      </w:r>
      <w:r w:rsidRPr="005D660C">
        <w:rPr>
          <w:rFonts w:ascii="Bodoni MT" w:eastAsiaTheme="minorEastAsia" w:hAnsi="Bodoni MT" w:cs="Bodoni MT"/>
          <w:color w:val="000000"/>
          <w:sz w:val="24"/>
          <w:szCs w:val="24"/>
        </w:rPr>
        <w:t xml:space="preserve"> (in tali termini Corte cost. n. 70/2012).</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In secondo luogo i</w:t>
      </w:r>
      <w:r w:rsidRPr="005D660C">
        <w:rPr>
          <w:rFonts w:ascii="Bodoni MT" w:eastAsiaTheme="minorEastAsia" w:hAnsi="Bodoni MT" w:cs="Bodoni MT"/>
          <w:b/>
          <w:color w:val="000000"/>
          <w:sz w:val="24"/>
          <w:szCs w:val="24"/>
        </w:rPr>
        <w:t xml:space="preserve"> residui passivi in esame permangono quali debiti patrimoniali </w:t>
      </w:r>
      <w:r w:rsidRPr="005D660C">
        <w:rPr>
          <w:rFonts w:ascii="Bodoni MT" w:eastAsiaTheme="minorEastAsia" w:hAnsi="Bodoni MT" w:cs="Bodoni MT"/>
          <w:color w:val="000000"/>
          <w:sz w:val="24"/>
          <w:szCs w:val="24"/>
        </w:rPr>
        <w:t>(da iscrivere nello stato patrimoniale) e determinano la consistenza del fondo residui perenti, comportando il conseguente accantonamento sul risultato di amministrazione.</w:t>
      </w:r>
    </w:p>
    <w:p w:rsidR="00F217D3" w:rsidRPr="00AD5BF7" w:rsidRDefault="00F217D3" w:rsidP="00F217D3">
      <w:pPr>
        <w:pStyle w:val="Didascalia"/>
        <w:rPr>
          <w:bCs w:val="0"/>
        </w:rPr>
      </w:pPr>
      <w:bookmarkStart w:id="193" w:name="_Toc499041002"/>
      <w:bookmarkStart w:id="194" w:name="_Toc507422721"/>
      <w:r>
        <w:t xml:space="preserve">Grafico </w:t>
      </w:r>
      <w:r w:rsidR="00B90472">
        <w:fldChar w:fldCharType="begin"/>
      </w:r>
      <w:r w:rsidR="00B90472">
        <w:instrText xml:space="preserve"> SEQ Grafico \* ARABIC </w:instrText>
      </w:r>
      <w:r w:rsidR="00B90472">
        <w:fldChar w:fldCharType="separate"/>
      </w:r>
      <w:r w:rsidR="008616B3">
        <w:rPr>
          <w:noProof/>
        </w:rPr>
        <w:t>18</w:t>
      </w:r>
      <w:r w:rsidR="00B90472">
        <w:rPr>
          <w:noProof/>
        </w:rPr>
        <w:fldChar w:fldCharType="end"/>
      </w:r>
      <w:r w:rsidRPr="005D660C">
        <w:rPr>
          <w:b w:val="0"/>
          <w:bCs w:val="0"/>
        </w:rPr>
        <w:t xml:space="preserve"> </w:t>
      </w:r>
      <w:r w:rsidRPr="00AD5BF7">
        <w:rPr>
          <w:bCs w:val="0"/>
        </w:rPr>
        <w:t>- Andamento accumulo residui perenti dal 2004 al 2016</w:t>
      </w:r>
      <w:bookmarkEnd w:id="193"/>
      <w:bookmarkEnd w:id="194"/>
    </w:p>
    <w:p w:rsidR="00F217D3" w:rsidRPr="005D660C" w:rsidRDefault="00F217D3" w:rsidP="00F217D3">
      <w:pPr>
        <w:autoSpaceDE w:val="0"/>
        <w:autoSpaceDN w:val="0"/>
        <w:adjustRightInd w:val="0"/>
        <w:spacing w:after="120" w:line="360" w:lineRule="auto"/>
        <w:jc w:val="center"/>
        <w:textAlignment w:val="center"/>
        <w:rPr>
          <w:rFonts w:ascii="Bodoni MT" w:eastAsiaTheme="minorEastAsia" w:hAnsi="Bodoni MT" w:cs="Bodoni MT"/>
          <w:color w:val="000000"/>
          <w:sz w:val="24"/>
          <w:szCs w:val="24"/>
        </w:rPr>
      </w:pPr>
      <w:r w:rsidRPr="005D660C">
        <w:rPr>
          <w:rFonts w:ascii="Bodoni MT" w:eastAsiaTheme="minorEastAsia" w:hAnsi="Bodoni MT" w:cs="Bodoni MT"/>
          <w:noProof/>
          <w:color w:val="000000"/>
          <w:sz w:val="24"/>
          <w:szCs w:val="24"/>
          <w:lang w:eastAsia="it-IT"/>
        </w:rPr>
        <w:drawing>
          <wp:inline distT="0" distB="0" distL="0" distR="0" wp14:anchorId="578EF2FF" wp14:editId="220D1201">
            <wp:extent cx="5518040" cy="2496063"/>
            <wp:effectExtent l="0" t="0" r="698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4012" cy="2507811"/>
                    </a:xfrm>
                    <a:prstGeom prst="rect">
                      <a:avLst/>
                    </a:prstGeom>
                    <a:noFill/>
                  </pic:spPr>
                </pic:pic>
              </a:graphicData>
            </a:graphic>
          </wp:inline>
        </w:drawing>
      </w:r>
    </w:p>
    <w:p w:rsidR="005D660C" w:rsidRPr="005D660C" w:rsidRDefault="005D660C" w:rsidP="00B77D9A">
      <w:pPr>
        <w:autoSpaceDE w:val="0"/>
        <w:autoSpaceDN w:val="0"/>
        <w:adjustRightInd w:val="0"/>
        <w:spacing w:before="360" w:after="120" w:line="360" w:lineRule="auto"/>
        <w:jc w:val="both"/>
        <w:textAlignment w:val="center"/>
        <w:rPr>
          <w:rFonts w:ascii="Bodoni MT" w:eastAsiaTheme="minorEastAsia" w:hAnsi="Bodoni MT" w:cs="Bodoni MT"/>
          <w:color w:val="000000"/>
          <w:sz w:val="24"/>
          <w:szCs w:val="24"/>
        </w:rPr>
      </w:pPr>
      <w:r w:rsidRPr="00BC3647">
        <w:rPr>
          <w:rFonts w:ascii="Bodoni MT" w:eastAsiaTheme="minorEastAsia" w:hAnsi="Bodoni MT" w:cs="Bodoni MT"/>
          <w:b/>
          <w:color w:val="000000"/>
          <w:sz w:val="24"/>
          <w:szCs w:val="24"/>
        </w:rPr>
        <w:t>Al 31/12/2015 i residui perenti ammontavano a € 1.766.201.800,21.</w:t>
      </w:r>
      <w:r w:rsidRPr="005D660C">
        <w:rPr>
          <w:rFonts w:ascii="Bodoni MT" w:eastAsiaTheme="minorEastAsia" w:hAnsi="Bodoni MT" w:cs="Bodoni MT"/>
          <w:color w:val="000000"/>
          <w:sz w:val="24"/>
          <w:szCs w:val="24"/>
        </w:rPr>
        <w:t xml:space="preserve"> L’accantonamento al Fondo per la loro reiscrizione è stato determinato in complessivi € 400.788.035,52, con una </w:t>
      </w:r>
      <w:r w:rsidR="001A22A0" w:rsidRPr="00B77D9A">
        <w:rPr>
          <w:rFonts w:ascii="Bodoni MT" w:eastAsiaTheme="minorEastAsia" w:hAnsi="Bodoni MT" w:cs="Bodoni MT"/>
          <w:color w:val="000000"/>
          <w:sz w:val="24"/>
          <w:szCs w:val="24"/>
        </w:rPr>
        <w:t xml:space="preserve">ridotta </w:t>
      </w:r>
      <w:r w:rsidRPr="00B77D9A">
        <w:rPr>
          <w:rFonts w:ascii="Bodoni MT" w:eastAsiaTheme="minorEastAsia" w:hAnsi="Bodoni MT" w:cs="Bodoni MT"/>
          <w:color w:val="000000"/>
          <w:sz w:val="24"/>
          <w:szCs w:val="24"/>
        </w:rPr>
        <w:t xml:space="preserve">percentuale di copertura garantita </w:t>
      </w:r>
      <w:r w:rsidR="001A22A0" w:rsidRPr="00B77D9A">
        <w:rPr>
          <w:rFonts w:ascii="Bodoni MT" w:eastAsiaTheme="minorEastAsia" w:hAnsi="Bodoni MT" w:cs="Bodoni MT"/>
          <w:color w:val="000000"/>
          <w:sz w:val="24"/>
          <w:szCs w:val="24"/>
        </w:rPr>
        <w:t>(</w:t>
      </w:r>
      <w:r w:rsidRPr="00B77D9A">
        <w:rPr>
          <w:rFonts w:ascii="Bodoni MT" w:eastAsiaTheme="minorEastAsia" w:hAnsi="Bodoni MT" w:cs="Bodoni MT"/>
          <w:color w:val="000000"/>
          <w:sz w:val="24"/>
          <w:szCs w:val="24"/>
        </w:rPr>
        <w:t>22,69%</w:t>
      </w:r>
      <w:r w:rsidR="001A22A0" w:rsidRPr="00B77D9A">
        <w:rPr>
          <w:rFonts w:ascii="Bodoni MT" w:eastAsiaTheme="minorEastAsia" w:hAnsi="Bodoni MT" w:cs="Bodoni MT"/>
          <w:color w:val="000000"/>
          <w:sz w:val="24"/>
          <w:szCs w:val="24"/>
        </w:rPr>
        <w:t>)</w:t>
      </w:r>
      <w:r w:rsidRPr="00B77D9A">
        <w:rPr>
          <w:rFonts w:ascii="Bodoni MT" w:eastAsiaTheme="minorEastAsia" w:hAnsi="Bodoni MT" w:cs="Bodoni MT"/>
          <w:color w:val="000000"/>
          <w:sz w:val="24"/>
          <w:szCs w:val="24"/>
        </w:rPr>
        <w:t xml:space="preserve">, ritenuta, in sede di parifica del rendiconto 2015, </w:t>
      </w:r>
      <w:r w:rsidR="001A22A0" w:rsidRPr="00B77D9A">
        <w:rPr>
          <w:rFonts w:ascii="Bodoni MT" w:eastAsiaTheme="minorEastAsia" w:hAnsi="Bodoni MT" w:cs="Bodoni MT"/>
          <w:color w:val="000000"/>
          <w:sz w:val="24"/>
          <w:szCs w:val="24"/>
        </w:rPr>
        <w:t>in</w:t>
      </w:r>
      <w:r w:rsidRPr="00B77D9A">
        <w:rPr>
          <w:rFonts w:ascii="Bodoni MT" w:eastAsiaTheme="minorEastAsia" w:hAnsi="Bodoni MT" w:cs="Bodoni MT"/>
          <w:color w:val="000000"/>
          <w:sz w:val="24"/>
          <w:szCs w:val="24"/>
        </w:rPr>
        <w:t>a</w:t>
      </w:r>
      <w:r w:rsidR="001A22A0" w:rsidRPr="00B77D9A">
        <w:rPr>
          <w:rFonts w:ascii="Bodoni MT" w:eastAsiaTheme="minorEastAsia" w:hAnsi="Bodoni MT" w:cs="Bodoni MT"/>
          <w:color w:val="000000"/>
          <w:sz w:val="24"/>
          <w:szCs w:val="24"/>
        </w:rPr>
        <w:t>deguata</w:t>
      </w:r>
      <w:r w:rsidRPr="00B77D9A">
        <w:rPr>
          <w:rFonts w:ascii="Bodoni MT" w:eastAsiaTheme="minorEastAsia" w:hAnsi="Bodoni MT" w:cs="Bodoni MT"/>
          <w:color w:val="000000"/>
          <w:sz w:val="24"/>
          <w:szCs w:val="24"/>
        </w:rPr>
        <w:t xml:space="preserve"> rispetto</w:t>
      </w:r>
      <w:r w:rsidRPr="005D660C">
        <w:rPr>
          <w:rFonts w:ascii="Bodoni MT" w:eastAsiaTheme="minorEastAsia" w:hAnsi="Bodoni MT" w:cs="Bodoni MT"/>
          <w:color w:val="000000"/>
          <w:sz w:val="24"/>
          <w:szCs w:val="24"/>
        </w:rPr>
        <w:t xml:space="preserve"> all’elevato volume dei residui perenti risultante dal conto del patrimonio, anche in considerazione del dettato normativo secondo il quale l’accantonamento al Fondo deve incrementarsi fino al 70% almeno dell’ammontare dei residui perenti.</w:t>
      </w:r>
    </w:p>
    <w:p w:rsidR="005D660C" w:rsidRPr="00B77D9A"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Nel corso del 2016 i residui perenti sono diminuiti di complessivi € 404.349.478,58, di cui € 135.610.425,30 per riassegnazioni di parte capitale, € 52.562.478,02 per riassegnazioni di parte corrente, e € 216.176.575,26 per cancellazioni. </w:t>
      </w:r>
      <w:r w:rsidRPr="00BC3647">
        <w:rPr>
          <w:rFonts w:ascii="Bodoni MT" w:eastAsiaTheme="minorEastAsia" w:hAnsi="Bodoni MT" w:cs="Bodoni MT"/>
          <w:b/>
          <w:color w:val="000000"/>
          <w:sz w:val="24"/>
          <w:szCs w:val="24"/>
        </w:rPr>
        <w:t xml:space="preserve">I residui perenti al 31/12/2016 </w:t>
      </w:r>
      <w:r w:rsidR="001A22A0" w:rsidRPr="00B77D9A">
        <w:rPr>
          <w:rFonts w:ascii="Bodoni MT" w:eastAsiaTheme="minorEastAsia" w:hAnsi="Bodoni MT" w:cs="Bodoni MT"/>
          <w:b/>
          <w:color w:val="000000"/>
          <w:sz w:val="24"/>
          <w:szCs w:val="24"/>
        </w:rPr>
        <w:t>ammo</w:t>
      </w:r>
      <w:r w:rsidRPr="00B77D9A">
        <w:rPr>
          <w:rFonts w:ascii="Bodoni MT" w:eastAsiaTheme="minorEastAsia" w:hAnsi="Bodoni MT" w:cs="Bodoni MT"/>
          <w:b/>
          <w:color w:val="000000"/>
          <w:sz w:val="24"/>
          <w:szCs w:val="24"/>
        </w:rPr>
        <w:t>n</w:t>
      </w:r>
      <w:r w:rsidR="001A22A0" w:rsidRPr="00B77D9A">
        <w:rPr>
          <w:rFonts w:ascii="Bodoni MT" w:eastAsiaTheme="minorEastAsia" w:hAnsi="Bodoni MT" w:cs="Bodoni MT"/>
          <w:b/>
          <w:color w:val="000000"/>
          <w:sz w:val="24"/>
          <w:szCs w:val="24"/>
        </w:rPr>
        <w:t>tan</w:t>
      </w:r>
      <w:r w:rsidRPr="00B77D9A">
        <w:rPr>
          <w:rFonts w:ascii="Bodoni MT" w:eastAsiaTheme="minorEastAsia" w:hAnsi="Bodoni MT" w:cs="Bodoni MT"/>
          <w:b/>
          <w:color w:val="000000"/>
          <w:sz w:val="24"/>
          <w:szCs w:val="24"/>
        </w:rPr>
        <w:t>o</w:t>
      </w:r>
      <w:r w:rsidRPr="00BC3647">
        <w:rPr>
          <w:rFonts w:ascii="Bodoni MT" w:eastAsiaTheme="minorEastAsia" w:hAnsi="Bodoni MT" w:cs="Bodoni MT"/>
          <w:b/>
          <w:color w:val="000000"/>
          <w:sz w:val="24"/>
          <w:szCs w:val="24"/>
        </w:rPr>
        <w:t xml:space="preserve"> pertanto </w:t>
      </w:r>
      <w:r w:rsidR="00B77D9A">
        <w:rPr>
          <w:rFonts w:ascii="Bodoni MT" w:eastAsiaTheme="minorEastAsia" w:hAnsi="Bodoni MT" w:cs="Bodoni MT"/>
          <w:b/>
          <w:color w:val="000000"/>
          <w:sz w:val="24"/>
          <w:szCs w:val="24"/>
        </w:rPr>
        <w:t>a € 1.363</w:t>
      </w:r>
      <w:r w:rsidRPr="00BC3647">
        <w:rPr>
          <w:rFonts w:ascii="Bodoni MT" w:eastAsiaTheme="minorEastAsia" w:hAnsi="Bodoni MT" w:cs="Bodoni MT"/>
          <w:b/>
          <w:color w:val="000000"/>
          <w:sz w:val="24"/>
          <w:szCs w:val="24"/>
        </w:rPr>
        <w:t>.</w:t>
      </w:r>
      <w:r w:rsidR="00B77D9A">
        <w:rPr>
          <w:rFonts w:ascii="Bodoni MT" w:eastAsiaTheme="minorEastAsia" w:hAnsi="Bodoni MT" w:cs="Bodoni MT"/>
          <w:b/>
          <w:color w:val="000000"/>
          <w:sz w:val="24"/>
          <w:szCs w:val="24"/>
        </w:rPr>
        <w:t>489</w:t>
      </w:r>
      <w:r w:rsidRPr="00BC3647">
        <w:rPr>
          <w:rFonts w:ascii="Bodoni MT" w:eastAsiaTheme="minorEastAsia" w:hAnsi="Bodoni MT" w:cs="Bodoni MT"/>
          <w:b/>
          <w:color w:val="000000"/>
          <w:sz w:val="24"/>
          <w:szCs w:val="24"/>
        </w:rPr>
        <w:t>.</w:t>
      </w:r>
      <w:r w:rsidR="00B77D9A">
        <w:rPr>
          <w:rFonts w:ascii="Bodoni MT" w:eastAsiaTheme="minorEastAsia" w:hAnsi="Bodoni MT" w:cs="Bodoni MT"/>
          <w:b/>
          <w:color w:val="000000"/>
          <w:sz w:val="24"/>
          <w:szCs w:val="24"/>
        </w:rPr>
        <w:t>033</w:t>
      </w:r>
      <w:r w:rsidRPr="00BC3647">
        <w:rPr>
          <w:rFonts w:ascii="Bodoni MT" w:eastAsiaTheme="minorEastAsia" w:hAnsi="Bodoni MT" w:cs="Bodoni MT"/>
          <w:b/>
          <w:color w:val="000000"/>
          <w:sz w:val="24"/>
          <w:szCs w:val="24"/>
        </w:rPr>
        <w:t>,</w:t>
      </w:r>
      <w:r w:rsidR="00B77D9A">
        <w:rPr>
          <w:rFonts w:ascii="Bodoni MT" w:eastAsiaTheme="minorEastAsia" w:hAnsi="Bodoni MT" w:cs="Bodoni MT"/>
          <w:b/>
          <w:color w:val="000000"/>
          <w:sz w:val="24"/>
          <w:szCs w:val="24"/>
        </w:rPr>
        <w:t>70</w:t>
      </w:r>
      <w:r w:rsidRPr="00BC3647">
        <w:rPr>
          <w:rFonts w:ascii="Bodoni MT" w:eastAsiaTheme="minorEastAsia" w:hAnsi="Bodoni MT" w:cs="Bodoni MT"/>
          <w:b/>
          <w:color w:val="000000"/>
          <w:sz w:val="24"/>
          <w:szCs w:val="24"/>
        </w:rPr>
        <w:t xml:space="preserve">, con una riduzione del 22,89% rispetto al valore registrato al 31/12/2015.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F438AA">
        <w:rPr>
          <w:rFonts w:ascii="Bodoni MT" w:eastAsiaTheme="minorEastAsia" w:hAnsi="Bodoni MT" w:cs="Bodoni MT"/>
          <w:b/>
          <w:color w:val="000000"/>
          <w:sz w:val="24"/>
          <w:szCs w:val="24"/>
        </w:rPr>
        <w:t>L’accantonamento al Fondo al 31/12/2016 è pari a € 480.946.000,00</w:t>
      </w:r>
      <w:r w:rsidRPr="005D660C">
        <w:rPr>
          <w:rFonts w:ascii="Bodoni MT" w:eastAsiaTheme="minorEastAsia" w:hAnsi="Bodoni MT" w:cs="Bodoni MT"/>
          <w:color w:val="000000"/>
          <w:sz w:val="24"/>
          <w:szCs w:val="24"/>
        </w:rPr>
        <w:t xml:space="preserve">, determinato incrementando del 20% il Fondo accantonato al 31/12/2015. La percentuale di copertura dei residui perenti al 31/12/2016 risulta del 35,31%, con un </w:t>
      </w:r>
      <w:r w:rsidR="005545B5">
        <w:rPr>
          <w:rFonts w:ascii="Bodoni MT" w:eastAsiaTheme="minorEastAsia" w:hAnsi="Bodoni MT" w:cs="Bodoni MT"/>
          <w:color w:val="000000"/>
          <w:sz w:val="24"/>
          <w:szCs w:val="24"/>
        </w:rPr>
        <w:t xml:space="preserve">incremento </w:t>
      </w:r>
      <w:r w:rsidRPr="005D660C">
        <w:rPr>
          <w:rFonts w:ascii="Bodoni MT" w:eastAsiaTheme="minorEastAsia" w:hAnsi="Bodoni MT" w:cs="Bodoni MT"/>
          <w:color w:val="000000"/>
          <w:sz w:val="24"/>
          <w:szCs w:val="24"/>
        </w:rPr>
        <w:t>del 12,62% rispetto all’esercizio precedente.</w:t>
      </w:r>
    </w:p>
    <w:p w:rsidR="005D660C" w:rsidRPr="005D660C" w:rsidRDefault="005D660C" w:rsidP="00503AC8">
      <w:pPr>
        <w:pStyle w:val="Titolo3"/>
      </w:pPr>
      <w:bookmarkStart w:id="195" w:name="_Toc499040937"/>
      <w:bookmarkStart w:id="196" w:name="_Toc507422643"/>
      <w:r w:rsidRPr="005D660C">
        <w:lastRenderedPageBreak/>
        <w:t>L’analisi delle procedure di smaltimento dei residui perenti</w:t>
      </w:r>
      <w:bookmarkEnd w:id="195"/>
      <w:r w:rsidR="00F217D3">
        <w:rPr>
          <w:rStyle w:val="Rimandonotaapidipagina"/>
        </w:rPr>
        <w:footnoteReference w:id="104"/>
      </w:r>
      <w:bookmarkEnd w:id="196"/>
    </w:p>
    <w:p w:rsidR="00AA5B6F" w:rsidRPr="00AA5B6F" w:rsidRDefault="00AA5B6F" w:rsidP="007D10C5">
      <w:pPr>
        <w:numPr>
          <w:ilvl w:val="0"/>
          <w:numId w:val="7"/>
        </w:numPr>
        <w:tabs>
          <w:tab w:val="left" w:pos="284"/>
        </w:tabs>
        <w:spacing w:after="160" w:line="360" w:lineRule="auto"/>
        <w:contextualSpacing/>
        <w:jc w:val="both"/>
        <w:rPr>
          <w:rStyle w:val="CdcTestoCarattere"/>
        </w:rPr>
      </w:pPr>
      <w:r w:rsidRPr="005D660C">
        <w:rPr>
          <w:rFonts w:ascii="Bodoni MT" w:hAnsi="Bodoni MT"/>
          <w:sz w:val="24"/>
          <w:szCs w:val="24"/>
        </w:rPr>
        <w:t>Considerata l’entità complessiva delle partite debitorie maturate dalla Regione, iscritte come perenzioni,</w:t>
      </w:r>
      <w:r>
        <w:rPr>
          <w:rFonts w:ascii="Bodoni MT" w:hAnsi="Bodoni MT"/>
          <w:sz w:val="24"/>
          <w:szCs w:val="24"/>
        </w:rPr>
        <w:t xml:space="preserve"> è stata avviata dalla Sezione di controllo </w:t>
      </w:r>
      <w:r w:rsidRPr="00142935">
        <w:rPr>
          <w:rFonts w:ascii="Bodoni MT" w:hAnsi="Bodoni MT"/>
          <w:b/>
          <w:sz w:val="24"/>
          <w:szCs w:val="24"/>
        </w:rPr>
        <w:t>apposita istruttoria, conclusasi con la deliberazione n. 90/2017/FRG</w:t>
      </w:r>
      <w:r>
        <w:rPr>
          <w:rFonts w:ascii="Bodoni MT" w:hAnsi="Bodoni MT"/>
          <w:sz w:val="24"/>
          <w:szCs w:val="24"/>
        </w:rPr>
        <w:t xml:space="preserve">. </w:t>
      </w:r>
      <w:r w:rsidRPr="00AA5B6F">
        <w:rPr>
          <w:rStyle w:val="CdcTestoCarattere"/>
        </w:rPr>
        <w:t xml:space="preserve">La ricognizione istruttoria ha preso avvio dal quadro contabile delle perenzioni “aperte” all’01/01/2016 quale risulta dalle scritture del rendiconto 2015 parificato e approvato. A seguito, quindi, delle notizie/acquisizioni fornite dalle Strutture assessoriali sono state scrutinate le </w:t>
      </w:r>
      <w:r w:rsidRPr="00F438AA">
        <w:rPr>
          <w:rStyle w:val="CdcTestoCarattere"/>
          <w:b/>
        </w:rPr>
        <w:t>attività di “smaltimento</w:t>
      </w:r>
      <w:r w:rsidRPr="00AA5B6F">
        <w:rPr>
          <w:rStyle w:val="CdcTestoCarattere"/>
        </w:rPr>
        <w:t>” delle perenzioni espletate nel corso del 2016 (e in parte del 2017).</w:t>
      </w:r>
      <w:r w:rsidR="00DC7B0E">
        <w:rPr>
          <w:rStyle w:val="CdcTestoCarattere"/>
        </w:rPr>
        <w:t xml:space="preserve"> </w:t>
      </w:r>
      <w:r w:rsidRPr="00AA5B6F">
        <w:rPr>
          <w:rStyle w:val="CdcTestoCarattere"/>
        </w:rPr>
        <w:t>L’istruttoria è stata orientata:</w:t>
      </w:r>
    </w:p>
    <w:p w:rsidR="00AA5B6F" w:rsidRPr="005D660C" w:rsidRDefault="00AA5B6F" w:rsidP="007D10C5">
      <w:pPr>
        <w:numPr>
          <w:ilvl w:val="0"/>
          <w:numId w:val="6"/>
        </w:numPr>
        <w:spacing w:after="160" w:line="360" w:lineRule="auto"/>
        <w:contextualSpacing/>
        <w:jc w:val="both"/>
        <w:rPr>
          <w:rFonts w:ascii="Bodoni MT" w:hAnsi="Bodoni MT"/>
          <w:sz w:val="24"/>
          <w:szCs w:val="24"/>
        </w:rPr>
      </w:pPr>
      <w:r w:rsidRPr="005D660C">
        <w:rPr>
          <w:rFonts w:ascii="Bodoni MT" w:hAnsi="Bodoni MT"/>
          <w:sz w:val="24"/>
          <w:szCs w:val="24"/>
        </w:rPr>
        <w:t>a considerare la quota di tali partite debitorie in carico a ciascun Assessorato;</w:t>
      </w:r>
    </w:p>
    <w:p w:rsidR="00AA5B6F" w:rsidRPr="005D660C" w:rsidRDefault="00AA5B6F" w:rsidP="007D10C5">
      <w:pPr>
        <w:numPr>
          <w:ilvl w:val="0"/>
          <w:numId w:val="6"/>
        </w:numPr>
        <w:spacing w:after="160" w:line="360" w:lineRule="auto"/>
        <w:contextualSpacing/>
        <w:jc w:val="both"/>
        <w:rPr>
          <w:rFonts w:ascii="Bodoni MT" w:hAnsi="Bodoni MT"/>
          <w:sz w:val="24"/>
          <w:szCs w:val="24"/>
        </w:rPr>
      </w:pPr>
      <w:r w:rsidRPr="005D660C">
        <w:rPr>
          <w:rFonts w:ascii="Bodoni MT" w:hAnsi="Bodoni MT"/>
          <w:sz w:val="24"/>
          <w:szCs w:val="24"/>
        </w:rPr>
        <w:t xml:space="preserve">a disaggregare la quota in </w:t>
      </w:r>
      <w:r w:rsidR="001A22A0" w:rsidRPr="00B77D9A">
        <w:rPr>
          <w:rFonts w:ascii="Bodoni MT" w:hAnsi="Bodoni MT"/>
          <w:sz w:val="24"/>
          <w:szCs w:val="24"/>
        </w:rPr>
        <w:t>relazione ai</w:t>
      </w:r>
      <w:r w:rsidR="001A22A0">
        <w:rPr>
          <w:rFonts w:ascii="Bodoni MT" w:hAnsi="Bodoni MT"/>
          <w:sz w:val="24"/>
          <w:szCs w:val="24"/>
        </w:rPr>
        <w:t xml:space="preserve"> </w:t>
      </w:r>
      <w:r w:rsidRPr="005D660C">
        <w:rPr>
          <w:rFonts w:ascii="Bodoni MT" w:hAnsi="Bodoni MT"/>
          <w:sz w:val="24"/>
          <w:szCs w:val="24"/>
        </w:rPr>
        <w:t>diversi soggetti creditori;</w:t>
      </w:r>
    </w:p>
    <w:p w:rsidR="00AA5B6F" w:rsidRPr="005D660C" w:rsidRDefault="00AA5B6F" w:rsidP="007D10C5">
      <w:pPr>
        <w:numPr>
          <w:ilvl w:val="0"/>
          <w:numId w:val="6"/>
        </w:numPr>
        <w:spacing w:after="160" w:line="360" w:lineRule="auto"/>
        <w:contextualSpacing/>
        <w:jc w:val="both"/>
        <w:rPr>
          <w:rFonts w:ascii="Bodoni MT" w:hAnsi="Bodoni MT"/>
          <w:sz w:val="24"/>
          <w:szCs w:val="24"/>
        </w:rPr>
      </w:pPr>
      <w:r w:rsidRPr="005D660C">
        <w:rPr>
          <w:rFonts w:ascii="Bodoni MT" w:hAnsi="Bodoni MT"/>
          <w:sz w:val="24"/>
          <w:szCs w:val="24"/>
        </w:rPr>
        <w:t>a distinguere le diverse modalità/procedure contabili previste per lo smaltimento (stralcio) dei debiti.</w:t>
      </w:r>
    </w:p>
    <w:p w:rsidR="00AA5B6F" w:rsidRPr="005D660C" w:rsidRDefault="00B77D9A" w:rsidP="007D10C5">
      <w:pPr>
        <w:numPr>
          <w:ilvl w:val="0"/>
          <w:numId w:val="8"/>
        </w:numPr>
        <w:tabs>
          <w:tab w:val="left" w:pos="284"/>
        </w:tabs>
        <w:spacing w:after="160" w:line="360" w:lineRule="auto"/>
        <w:contextualSpacing/>
        <w:jc w:val="both"/>
        <w:rPr>
          <w:rFonts w:ascii="Bodoni MT" w:hAnsi="Bodoni MT"/>
          <w:sz w:val="24"/>
          <w:szCs w:val="24"/>
        </w:rPr>
      </w:pPr>
      <w:r>
        <w:rPr>
          <w:rFonts w:ascii="Bodoni MT" w:hAnsi="Bodoni MT"/>
          <w:sz w:val="24"/>
          <w:szCs w:val="24"/>
        </w:rPr>
        <w:t>Va premesso che i</w:t>
      </w:r>
      <w:r w:rsidR="006030C3">
        <w:rPr>
          <w:rFonts w:ascii="Bodoni MT" w:hAnsi="Bodoni MT"/>
          <w:sz w:val="24"/>
          <w:szCs w:val="24"/>
        </w:rPr>
        <w:t xml:space="preserve"> </w:t>
      </w:r>
      <w:r>
        <w:rPr>
          <w:rFonts w:ascii="Bodoni MT" w:hAnsi="Bodoni MT"/>
          <w:sz w:val="24"/>
          <w:szCs w:val="24"/>
        </w:rPr>
        <w:t xml:space="preserve">dati contabili comunicati dagli Assessorati relativamente alle </w:t>
      </w:r>
      <w:r w:rsidR="006030C3">
        <w:rPr>
          <w:rFonts w:ascii="Bodoni MT" w:hAnsi="Bodoni MT"/>
          <w:sz w:val="24"/>
          <w:szCs w:val="24"/>
        </w:rPr>
        <w:t xml:space="preserve">attività svolte nel 2016 presentano lievi divergenze rispetto ai dati contenuti nelle scritture a rendiconto, in ragione delle diverse sequenze temporali delle relative rilevazioni finanziarie (da parte degli Assessorati e dei Servizi finanziari). </w:t>
      </w:r>
      <w:r w:rsidR="00AA5B6F" w:rsidRPr="005D660C">
        <w:rPr>
          <w:rFonts w:ascii="Bodoni MT" w:hAnsi="Bodoni MT"/>
          <w:sz w:val="24"/>
          <w:szCs w:val="24"/>
        </w:rPr>
        <w:t>Le notizie pervenute dagli Assessorati regionali nel corso</w:t>
      </w:r>
      <w:r w:rsidR="00F62FBB">
        <w:rPr>
          <w:rFonts w:ascii="Bodoni MT" w:hAnsi="Bodoni MT"/>
          <w:sz w:val="24"/>
          <w:szCs w:val="24"/>
        </w:rPr>
        <w:t xml:space="preserve"> dell’istruttoria</w:t>
      </w:r>
      <w:r w:rsidR="00AA5B6F" w:rsidRPr="005D660C">
        <w:rPr>
          <w:rFonts w:ascii="Bodoni MT" w:hAnsi="Bodoni MT"/>
          <w:sz w:val="24"/>
          <w:szCs w:val="24"/>
        </w:rPr>
        <w:t>, danno conto di un significativo impegno profuso dagli uffici (C</w:t>
      </w:r>
      <w:r w:rsidR="00F438AA">
        <w:rPr>
          <w:rFonts w:ascii="Bodoni MT" w:hAnsi="Bodoni MT"/>
          <w:sz w:val="24"/>
          <w:szCs w:val="24"/>
        </w:rPr>
        <w:t xml:space="preserve">entri di </w:t>
      </w:r>
      <w:r w:rsidR="00AA5B6F" w:rsidRPr="005D660C">
        <w:rPr>
          <w:rFonts w:ascii="Bodoni MT" w:hAnsi="Bodoni MT"/>
          <w:sz w:val="24"/>
          <w:szCs w:val="24"/>
        </w:rPr>
        <w:t>R</w:t>
      </w:r>
      <w:r w:rsidR="00F438AA">
        <w:rPr>
          <w:rFonts w:ascii="Bodoni MT" w:hAnsi="Bodoni MT"/>
          <w:sz w:val="24"/>
          <w:szCs w:val="24"/>
        </w:rPr>
        <w:t>esponsabilità, CdR</w:t>
      </w:r>
      <w:r w:rsidR="00AA5B6F" w:rsidRPr="005D660C">
        <w:rPr>
          <w:rFonts w:ascii="Bodoni MT" w:hAnsi="Bodoni MT"/>
          <w:sz w:val="24"/>
          <w:szCs w:val="24"/>
        </w:rPr>
        <w:t>) nel corso del 2016 e del primo semestre 2017. Ciascuna Direzione generale ha riferito sia le notizie strettamente contabili, provvedendo alla puntuale ricognizione delle partite debitorie iscritte tra le perenzioni, sia le problematiche/criticità di carattere organizzativo affrontate nei diversi esercizi finanziari.</w:t>
      </w:r>
    </w:p>
    <w:p w:rsidR="00AA5B6F" w:rsidRPr="005D660C" w:rsidRDefault="00AA5B6F" w:rsidP="00AA5B6F">
      <w:pPr>
        <w:spacing w:line="360" w:lineRule="auto"/>
        <w:jc w:val="both"/>
        <w:rPr>
          <w:rFonts w:ascii="Bodoni MT" w:hAnsi="Bodoni MT"/>
          <w:sz w:val="24"/>
          <w:szCs w:val="24"/>
        </w:rPr>
      </w:pPr>
      <w:r w:rsidRPr="005D660C">
        <w:rPr>
          <w:rFonts w:ascii="Bodoni MT" w:hAnsi="Bodoni MT"/>
          <w:sz w:val="24"/>
          <w:szCs w:val="24"/>
        </w:rPr>
        <w:t>Tutte le Direzioni generali hanno evidenziato che alla complessità delle procedure impiantate in attuazione del regime di armonizzazione dei conti pubblici (D.Lgs. 118/2011), si sono aggiunte quelle deputate alla ricognizione delle perenzioni, attesa la loro nuova configurazione contabile.</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Lo </w:t>
      </w:r>
      <w:r w:rsidRPr="005D660C">
        <w:rPr>
          <w:rFonts w:ascii="Bodoni MT" w:eastAsiaTheme="minorEastAsia" w:hAnsi="Bodoni MT" w:cs="Bodoni MT"/>
          <w:b/>
          <w:i/>
          <w:color w:val="000000"/>
          <w:sz w:val="24"/>
          <w:szCs w:val="24"/>
        </w:rPr>
        <w:t>smaltimento</w:t>
      </w:r>
      <w:r w:rsidRPr="005D660C">
        <w:rPr>
          <w:rFonts w:ascii="Bodoni MT" w:eastAsiaTheme="minorEastAsia" w:hAnsi="Bodoni MT" w:cs="Bodoni MT"/>
          <w:b/>
          <w:color w:val="000000"/>
          <w:sz w:val="24"/>
          <w:szCs w:val="24"/>
        </w:rPr>
        <w:t xml:space="preserve"> dei </w:t>
      </w:r>
      <w:r w:rsidR="001A22A0" w:rsidRPr="00B77D9A">
        <w:rPr>
          <w:rFonts w:ascii="Bodoni MT" w:eastAsiaTheme="minorEastAsia" w:hAnsi="Bodoni MT" w:cs="Bodoni MT"/>
          <w:b/>
          <w:color w:val="000000"/>
          <w:sz w:val="24"/>
          <w:szCs w:val="24"/>
        </w:rPr>
        <w:t>residui</w:t>
      </w:r>
      <w:r w:rsidR="001A22A0">
        <w:rPr>
          <w:rFonts w:ascii="Bodoni MT" w:eastAsiaTheme="minorEastAsia" w:hAnsi="Bodoni MT" w:cs="Bodoni MT"/>
          <w:b/>
          <w:color w:val="000000"/>
          <w:sz w:val="24"/>
          <w:szCs w:val="24"/>
        </w:rPr>
        <w:t xml:space="preserve"> </w:t>
      </w:r>
      <w:r w:rsidRPr="005D660C">
        <w:rPr>
          <w:rFonts w:ascii="Bodoni MT" w:eastAsiaTheme="minorEastAsia" w:hAnsi="Bodoni MT" w:cs="Bodoni MT"/>
          <w:b/>
          <w:color w:val="000000"/>
          <w:sz w:val="24"/>
          <w:szCs w:val="24"/>
        </w:rPr>
        <w:t xml:space="preserve">perenti ha interessato circa 384 milioni di euro di partite debitorie, </w:t>
      </w:r>
      <w:r w:rsidRPr="005D660C">
        <w:rPr>
          <w:rFonts w:ascii="Bodoni MT" w:eastAsiaTheme="minorEastAsia" w:hAnsi="Bodoni MT" w:cs="Bodoni MT"/>
          <w:color w:val="000000"/>
          <w:sz w:val="24"/>
          <w:szCs w:val="24"/>
        </w:rPr>
        <w:t>ovvero circa il 22% dell’intero importo registrato all’inizio dell’esercizio 2016, pervenendo ai seguenti esiti</w:t>
      </w:r>
      <w:r w:rsidR="003F71D8">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w:t>
      </w:r>
    </w:p>
    <w:p w:rsidR="005D660C" w:rsidRPr="005D660C" w:rsidRDefault="005D660C" w:rsidP="007D10C5">
      <w:pPr>
        <w:numPr>
          <w:ilvl w:val="0"/>
          <w:numId w:val="5"/>
        </w:numPr>
        <w:autoSpaceDE w:val="0"/>
        <w:autoSpaceDN w:val="0"/>
        <w:adjustRightInd w:val="0"/>
        <w:spacing w:after="0" w:line="360" w:lineRule="auto"/>
        <w:ind w:left="714" w:hanging="357"/>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cancellazioni per </w:t>
      </w:r>
      <w:r w:rsidRPr="005D660C">
        <w:rPr>
          <w:rFonts w:ascii="Bodoni MT" w:eastAsiaTheme="minorEastAsia" w:hAnsi="Bodoni MT" w:cs="Bodoni MT"/>
          <w:b/>
          <w:color w:val="000000"/>
          <w:sz w:val="24"/>
          <w:szCs w:val="24"/>
        </w:rPr>
        <w:t>obbligazioni ritenute insussistenti</w:t>
      </w:r>
      <w:r w:rsidRPr="005D660C">
        <w:rPr>
          <w:rFonts w:ascii="Bodoni MT" w:eastAsiaTheme="minorEastAsia" w:hAnsi="Bodoni MT" w:cs="Bodoni MT"/>
          <w:color w:val="000000"/>
          <w:sz w:val="24"/>
          <w:szCs w:val="24"/>
        </w:rPr>
        <w:t xml:space="preserve"> pari a circa 131 milioni di euro (</w:t>
      </w:r>
      <w:r w:rsidRPr="005D660C">
        <w:rPr>
          <w:rFonts w:ascii="Bodoni MT" w:eastAsiaTheme="minorEastAsia" w:hAnsi="Bodoni MT" w:cs="Bodoni MT"/>
          <w:b/>
          <w:color w:val="000000"/>
          <w:sz w:val="24"/>
          <w:szCs w:val="24"/>
        </w:rPr>
        <w:t>7%</w:t>
      </w:r>
      <w:r w:rsidRPr="005D660C">
        <w:rPr>
          <w:rFonts w:ascii="Bodoni MT" w:eastAsiaTheme="minorEastAsia" w:hAnsi="Bodoni MT" w:cs="Bodoni MT"/>
          <w:color w:val="000000"/>
          <w:sz w:val="24"/>
          <w:szCs w:val="24"/>
        </w:rPr>
        <w:t>);</w:t>
      </w:r>
    </w:p>
    <w:p w:rsidR="005D660C" w:rsidRPr="005D660C" w:rsidRDefault="005D660C" w:rsidP="007D10C5">
      <w:pPr>
        <w:numPr>
          <w:ilvl w:val="0"/>
          <w:numId w:val="5"/>
        </w:numPr>
        <w:autoSpaceDE w:val="0"/>
        <w:autoSpaceDN w:val="0"/>
        <w:adjustRightInd w:val="0"/>
        <w:spacing w:after="0" w:line="360" w:lineRule="auto"/>
        <w:ind w:left="714" w:hanging="357"/>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cancellazioni per </w:t>
      </w:r>
      <w:r w:rsidRPr="005D660C">
        <w:rPr>
          <w:rFonts w:ascii="Bodoni MT" w:eastAsiaTheme="minorEastAsia" w:hAnsi="Bodoni MT" w:cs="Bodoni MT"/>
          <w:b/>
          <w:color w:val="000000"/>
          <w:sz w:val="24"/>
          <w:szCs w:val="24"/>
        </w:rPr>
        <w:t>prescrizione del diritto di credito</w:t>
      </w:r>
      <w:r w:rsidRPr="005D660C">
        <w:rPr>
          <w:rFonts w:ascii="Bodoni MT" w:eastAsiaTheme="minorEastAsia" w:hAnsi="Bodoni MT" w:cs="Bodoni MT"/>
          <w:color w:val="000000"/>
          <w:sz w:val="24"/>
          <w:szCs w:val="24"/>
        </w:rPr>
        <w:t xml:space="preserve"> pari a circa 61 milioni di euro (</w:t>
      </w:r>
      <w:r w:rsidRPr="005D660C">
        <w:rPr>
          <w:rFonts w:ascii="Bodoni MT" w:eastAsiaTheme="minorEastAsia" w:hAnsi="Bodoni MT" w:cs="Bodoni MT"/>
          <w:b/>
          <w:color w:val="000000"/>
          <w:sz w:val="24"/>
          <w:szCs w:val="24"/>
        </w:rPr>
        <w:t>4%</w:t>
      </w:r>
      <w:r w:rsidRPr="005D660C">
        <w:rPr>
          <w:rFonts w:ascii="Bodoni MT" w:eastAsiaTheme="minorEastAsia" w:hAnsi="Bodoni MT" w:cs="Bodoni MT"/>
          <w:color w:val="000000"/>
          <w:sz w:val="24"/>
          <w:szCs w:val="24"/>
        </w:rPr>
        <w:t>);</w:t>
      </w:r>
    </w:p>
    <w:p w:rsidR="005D660C" w:rsidRPr="005D660C" w:rsidRDefault="005D660C" w:rsidP="007D10C5">
      <w:pPr>
        <w:numPr>
          <w:ilvl w:val="0"/>
          <w:numId w:val="5"/>
        </w:num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cancellazioni per </w:t>
      </w:r>
      <w:r w:rsidRPr="005D660C">
        <w:rPr>
          <w:rFonts w:ascii="Bodoni MT" w:eastAsiaTheme="minorEastAsia" w:hAnsi="Bodoni MT" w:cs="Bodoni MT"/>
          <w:b/>
          <w:color w:val="000000"/>
          <w:sz w:val="24"/>
          <w:szCs w:val="24"/>
        </w:rPr>
        <w:t xml:space="preserve">pagamenti di debiti </w:t>
      </w:r>
      <w:r w:rsidRPr="005D660C">
        <w:rPr>
          <w:rFonts w:ascii="Bodoni MT" w:eastAsiaTheme="minorEastAsia" w:hAnsi="Bodoni MT" w:cs="Bodoni MT"/>
          <w:color w:val="000000"/>
          <w:sz w:val="24"/>
          <w:szCs w:val="24"/>
        </w:rPr>
        <w:t>per circa 191 milioni di euro</w:t>
      </w:r>
      <w:r w:rsidRPr="005D660C">
        <w:rPr>
          <w:rFonts w:ascii="Bodoni MT" w:eastAsiaTheme="minorEastAsia" w:hAnsi="Bodoni MT" w:cs="Bodoni MT"/>
          <w:b/>
          <w:color w:val="000000"/>
          <w:sz w:val="24"/>
          <w:szCs w:val="24"/>
        </w:rPr>
        <w:t xml:space="preserve"> </w:t>
      </w:r>
      <w:r w:rsidRPr="005D660C">
        <w:rPr>
          <w:rFonts w:ascii="Bodoni MT" w:eastAsiaTheme="minorEastAsia" w:hAnsi="Bodoni MT" w:cs="Bodoni MT"/>
          <w:color w:val="000000"/>
          <w:sz w:val="24"/>
          <w:szCs w:val="24"/>
        </w:rPr>
        <w:t>(</w:t>
      </w:r>
      <w:r w:rsidRPr="005D660C">
        <w:rPr>
          <w:rFonts w:ascii="Bodoni MT" w:eastAsiaTheme="minorEastAsia" w:hAnsi="Bodoni MT" w:cs="Bodoni MT"/>
          <w:b/>
          <w:color w:val="000000"/>
          <w:sz w:val="24"/>
          <w:szCs w:val="24"/>
        </w:rPr>
        <w:t>11%</w:t>
      </w:r>
      <w:r w:rsidRPr="005D660C">
        <w:rPr>
          <w:rFonts w:ascii="Bodoni MT" w:eastAsiaTheme="minorEastAsi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lastRenderedPageBreak/>
        <w:t>La tabella n</w:t>
      </w:r>
      <w:r w:rsidR="004C20CE">
        <w:rPr>
          <w:rFonts w:ascii="Bodoni MT" w:eastAsiaTheme="minorEastAsia" w:hAnsi="Bodoni MT" w:cs="Bodoni MT"/>
          <w:color w:val="000000"/>
          <w:sz w:val="24"/>
          <w:szCs w:val="24"/>
        </w:rPr>
        <w:t xml:space="preserve">. 26 </w:t>
      </w:r>
      <w:r w:rsidRPr="005D660C">
        <w:rPr>
          <w:rFonts w:ascii="Bodoni MT" w:eastAsiaTheme="minorEastAsia" w:hAnsi="Bodoni MT" w:cs="Bodoni MT"/>
          <w:color w:val="000000"/>
          <w:sz w:val="24"/>
          <w:szCs w:val="24"/>
        </w:rPr>
        <w:t xml:space="preserve">espone </w:t>
      </w:r>
      <w:r w:rsidR="001A22A0">
        <w:rPr>
          <w:rFonts w:ascii="Bodoni MT" w:eastAsiaTheme="minorEastAsia" w:hAnsi="Bodoni MT" w:cs="Bodoni MT"/>
          <w:color w:val="000000"/>
          <w:sz w:val="24"/>
          <w:szCs w:val="24"/>
        </w:rPr>
        <w:t>l’</w:t>
      </w:r>
      <w:r w:rsidRPr="005D660C">
        <w:rPr>
          <w:rFonts w:ascii="Bodoni MT" w:eastAsiaTheme="minorEastAsia" w:hAnsi="Bodoni MT" w:cs="Bodoni MT"/>
          <w:color w:val="000000"/>
          <w:sz w:val="24"/>
          <w:szCs w:val="24"/>
        </w:rPr>
        <w:t>indice di smaltimento registrato da ciascun Assessorato nel corso del 2016 relativamente ai perenti di propria competenza. È necessario, però, considerare che ad elevati indici di smaltimento per Assessorato, corrispondono generalmente volumi di perenzioni più basse e viceversa. In ogni caso, atteso il carico di perenti anco</w:t>
      </w:r>
      <w:r w:rsidR="00AA5B6F">
        <w:rPr>
          <w:rFonts w:ascii="Bodoni MT" w:eastAsiaTheme="minorEastAsia" w:hAnsi="Bodoni MT" w:cs="Bodoni MT"/>
          <w:color w:val="000000"/>
          <w:sz w:val="24"/>
          <w:szCs w:val="24"/>
        </w:rPr>
        <w:t>ra in essere (pari a oltre 1,361</w:t>
      </w:r>
      <w:r w:rsidRPr="005D660C">
        <w:rPr>
          <w:rFonts w:ascii="Bodoni MT" w:eastAsiaTheme="minorEastAsia" w:hAnsi="Bodoni MT" w:cs="Bodoni MT"/>
          <w:color w:val="000000"/>
          <w:sz w:val="24"/>
          <w:szCs w:val="24"/>
        </w:rPr>
        <w:t xml:space="preserve"> miliardi di euro), resta sempre da considerare l’eventualità che i futuri bilanci della regione potrebbero essere esposti a criticità per la copertura finanziaria, dovendosi apprestare risorse sufficienti laddove le richieste di pagamento dei creditori dovessero sopraggiungere massivamente.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Tuttavia, la </w:t>
      </w:r>
      <w:r w:rsidR="00AA5B6F">
        <w:rPr>
          <w:rFonts w:ascii="Bodoni MT" w:eastAsiaTheme="minorEastAsia" w:hAnsi="Bodoni MT" w:cs="Bodoni MT"/>
          <w:color w:val="000000"/>
          <w:sz w:val="24"/>
          <w:szCs w:val="24"/>
        </w:rPr>
        <w:t>Corte</w:t>
      </w:r>
      <w:r w:rsidRPr="005D660C">
        <w:rPr>
          <w:rFonts w:ascii="Bodoni MT" w:eastAsiaTheme="minorEastAsia" w:hAnsi="Bodoni MT" w:cs="Bodoni MT"/>
          <w:color w:val="000000"/>
          <w:sz w:val="24"/>
          <w:szCs w:val="24"/>
        </w:rPr>
        <w:t xml:space="preserve"> deve preliminarmente osservare che, se sotto il profilo strettamente finanziario-contabile lo </w:t>
      </w:r>
      <w:r w:rsidRPr="005D660C">
        <w:rPr>
          <w:rFonts w:ascii="Bodoni MT" w:eastAsiaTheme="minorEastAsia" w:hAnsi="Bodoni MT" w:cs="Bodoni MT"/>
          <w:i/>
          <w:color w:val="000000"/>
          <w:sz w:val="24"/>
          <w:szCs w:val="24"/>
        </w:rPr>
        <w:t>smaltimento</w:t>
      </w:r>
      <w:r w:rsidRPr="005D660C">
        <w:rPr>
          <w:rFonts w:ascii="Bodoni MT" w:eastAsiaTheme="minorEastAsia" w:hAnsi="Bodoni MT" w:cs="Bodoni MT"/>
          <w:color w:val="000000"/>
          <w:sz w:val="24"/>
          <w:szCs w:val="24"/>
        </w:rPr>
        <w:t xml:space="preserve"> dei residui perenti </w:t>
      </w:r>
      <w:r w:rsidR="001A22A0">
        <w:rPr>
          <w:rFonts w:ascii="Bodoni MT" w:eastAsiaTheme="minorEastAsia" w:hAnsi="Bodoni MT" w:cs="Bodoni MT"/>
          <w:color w:val="000000"/>
          <w:sz w:val="24"/>
          <w:szCs w:val="24"/>
        </w:rPr>
        <w:t xml:space="preserve">è </w:t>
      </w:r>
      <w:r w:rsidRPr="005D660C">
        <w:rPr>
          <w:rFonts w:ascii="Bodoni MT" w:eastAsiaTheme="minorEastAsia" w:hAnsi="Bodoni MT" w:cs="Bodoni MT"/>
          <w:color w:val="000000"/>
          <w:sz w:val="24"/>
          <w:szCs w:val="24"/>
        </w:rPr>
        <w:t xml:space="preserve">da considerare positivamente (in quanto alleggerisce le scritture contabili di partite caratterizzate da incertezza), tuttavia tale riscontro non può </w:t>
      </w:r>
      <w:r w:rsidR="001A22A0" w:rsidRPr="006030C3">
        <w:rPr>
          <w:rFonts w:ascii="Bodoni MT" w:eastAsiaTheme="minorEastAsia" w:hAnsi="Bodoni MT" w:cs="Bodoni MT"/>
          <w:color w:val="000000"/>
          <w:sz w:val="24"/>
          <w:szCs w:val="24"/>
        </w:rPr>
        <w:t>essere valutato</w:t>
      </w:r>
      <w:r w:rsidR="001A22A0">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isolatamente, dovendosi, invece, coniugare con la verifica del grado di conseguimento degli obiettivi di realizzazione delle politiche di spesa, ovvero con gli obiettivi per i quali si sono a suo tempo disposte le autorizzazioni di bilancio. Pertanto, ad avviso della Sezione, l’elevata incidenza delle cancellazioni per obbligazioni ritenute insussistenti (a tanta distanza di tempo dalla loro assunzione) può indurre perplessità sia sulla consistenza e correttezza formale delle attività giuridico-amministrative a suo tempo assunte, sottostanti alle partite cancellate, sia sul grado di realizzazione e di effettività assicurato dalla gestione delle relative politiche di settore, venendo disposta con tanto ritardo l’eliminazione di interventi che si sarebbero dovuti realizzare da tempo. Pare ovvio, tra l’altro, che le cancellazioni di spesa (per effetto dei ritardi contabili in oggetto) precludono anche una tempestiva (utile) analisi funzionale e l’applicazione di correttivi.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A tale proposito meritano adeguata attenzione, per esempio, le significative cancellazioni per insussistenza disposte dall’</w:t>
      </w:r>
      <w:r w:rsidRPr="005D660C">
        <w:rPr>
          <w:rFonts w:ascii="Bodoni MT" w:eastAsiaTheme="minorEastAsia" w:hAnsi="Bodoni MT" w:cs="Bodoni MT"/>
          <w:b/>
          <w:color w:val="000000"/>
          <w:sz w:val="24"/>
          <w:szCs w:val="24"/>
        </w:rPr>
        <w:t>Assessorato Agricoltura</w:t>
      </w:r>
      <w:r w:rsidRPr="005D660C">
        <w:rPr>
          <w:rFonts w:ascii="Bodoni MT" w:eastAsiaTheme="minorEastAsia" w:hAnsi="Bodoni MT" w:cs="Bodoni MT"/>
          <w:color w:val="000000"/>
          <w:sz w:val="24"/>
          <w:szCs w:val="24"/>
        </w:rPr>
        <w:t xml:space="preserve"> (oltre 18 milioni di euro) a fronte dei pagamenti ora riconosciuti (circa  13 milioni di euro); le insussistenze accertate dall’</w:t>
      </w:r>
      <w:r w:rsidRPr="005D660C">
        <w:rPr>
          <w:rFonts w:ascii="Bodoni MT" w:eastAsiaTheme="minorEastAsia" w:hAnsi="Bodoni MT" w:cs="Bodoni MT"/>
          <w:b/>
          <w:color w:val="000000"/>
          <w:sz w:val="24"/>
          <w:szCs w:val="24"/>
        </w:rPr>
        <w:t>Assessorato al turismo</w:t>
      </w:r>
      <w:r w:rsidRPr="005D660C">
        <w:rPr>
          <w:rFonts w:ascii="Bodoni MT" w:eastAsiaTheme="minorEastAsia" w:hAnsi="Bodoni MT" w:cs="Bodoni MT"/>
          <w:color w:val="000000"/>
          <w:sz w:val="24"/>
          <w:szCs w:val="24"/>
        </w:rPr>
        <w:t xml:space="preserve"> (oltre </w:t>
      </w:r>
      <w:r w:rsidR="00344122">
        <w:rPr>
          <w:rFonts w:ascii="Bodoni MT" w:eastAsiaTheme="minorEastAsia" w:hAnsi="Bodoni MT" w:cs="Bodoni MT"/>
          <w:color w:val="000000"/>
          <w:sz w:val="24"/>
          <w:szCs w:val="24"/>
        </w:rPr>
        <w:t>35 milioni di euro) a fronte</w:t>
      </w:r>
      <w:r w:rsidRPr="005D660C">
        <w:rPr>
          <w:rFonts w:ascii="Bodoni MT" w:eastAsiaTheme="minorEastAsia" w:hAnsi="Bodoni MT" w:cs="Bodoni MT"/>
          <w:color w:val="000000"/>
          <w:sz w:val="24"/>
          <w:szCs w:val="24"/>
        </w:rPr>
        <w:t xml:space="preserve"> dei pagamenti ora riconosciuti (oltre 7 milioni di euro); </w:t>
      </w:r>
      <w:r w:rsidR="00F62FBB">
        <w:rPr>
          <w:rFonts w:ascii="Bodoni MT" w:eastAsiaTheme="minorEastAsia" w:hAnsi="Bodoni MT" w:cs="Bodoni MT"/>
          <w:color w:val="000000"/>
          <w:sz w:val="24"/>
          <w:szCs w:val="24"/>
        </w:rPr>
        <w:t>dal</w:t>
      </w:r>
      <w:r w:rsidRPr="005D660C">
        <w:rPr>
          <w:rFonts w:ascii="Bodoni MT" w:eastAsiaTheme="minorEastAsia" w:hAnsi="Bodoni MT" w:cs="Bodoni MT"/>
          <w:color w:val="000000"/>
          <w:sz w:val="24"/>
          <w:szCs w:val="24"/>
        </w:rPr>
        <w:t>l’</w:t>
      </w:r>
      <w:r w:rsidRPr="005D660C">
        <w:rPr>
          <w:rFonts w:ascii="Bodoni MT" w:eastAsiaTheme="minorEastAsia" w:hAnsi="Bodoni MT" w:cs="Bodoni MT"/>
          <w:b/>
          <w:color w:val="000000"/>
          <w:sz w:val="24"/>
          <w:szCs w:val="24"/>
        </w:rPr>
        <w:t>Assessorato all’industria</w:t>
      </w:r>
      <w:r w:rsidRPr="005D660C">
        <w:rPr>
          <w:rFonts w:ascii="Bodoni MT" w:eastAsiaTheme="minorEastAsia" w:hAnsi="Bodoni MT" w:cs="Bodoni MT"/>
          <w:color w:val="000000"/>
          <w:sz w:val="24"/>
          <w:szCs w:val="24"/>
        </w:rPr>
        <w:t xml:space="preserve"> che ora paga circa 4 milioni di residui e ne cancella per insussistenza oltre 10 milioni; </w:t>
      </w:r>
      <w:r w:rsidR="00F62FBB">
        <w:rPr>
          <w:rFonts w:ascii="Bodoni MT" w:eastAsiaTheme="minorEastAsia" w:hAnsi="Bodoni MT" w:cs="Bodoni MT"/>
          <w:color w:val="000000"/>
          <w:sz w:val="24"/>
          <w:szCs w:val="24"/>
        </w:rPr>
        <w:t>dal</w:t>
      </w:r>
      <w:r w:rsidRPr="005D660C">
        <w:rPr>
          <w:rFonts w:ascii="Bodoni MT" w:eastAsiaTheme="minorEastAsia" w:hAnsi="Bodoni MT" w:cs="Bodoni MT"/>
          <w:color w:val="000000"/>
          <w:sz w:val="24"/>
          <w:szCs w:val="24"/>
        </w:rPr>
        <w:t>l’</w:t>
      </w:r>
      <w:r w:rsidRPr="005D660C">
        <w:rPr>
          <w:rFonts w:ascii="Bodoni MT" w:eastAsiaTheme="minorEastAsia" w:hAnsi="Bodoni MT" w:cs="Bodoni MT"/>
          <w:b/>
          <w:color w:val="000000"/>
          <w:sz w:val="24"/>
          <w:szCs w:val="24"/>
        </w:rPr>
        <w:t>Assessorato al lavoro</w:t>
      </w:r>
      <w:r w:rsidR="00B409A7">
        <w:rPr>
          <w:rFonts w:ascii="Bodoni MT" w:eastAsiaTheme="minorEastAsia" w:hAnsi="Bodoni MT" w:cs="Bodoni MT"/>
          <w:color w:val="000000"/>
          <w:sz w:val="24"/>
          <w:szCs w:val="24"/>
        </w:rPr>
        <w:t xml:space="preserve"> che ora </w:t>
      </w:r>
      <w:r w:rsidRPr="005D660C">
        <w:rPr>
          <w:rFonts w:ascii="Bodoni MT" w:eastAsiaTheme="minorEastAsia" w:hAnsi="Bodoni MT" w:cs="Bodoni MT"/>
          <w:color w:val="000000"/>
          <w:sz w:val="24"/>
          <w:szCs w:val="24"/>
        </w:rPr>
        <w:t>riconosce pagamenti per 873,229 mila euro, ma ne cancella circa 2,5 milioni per insussistenze e oltre 2 milioni per prescrizione. Anche le cancellazioni dell’</w:t>
      </w:r>
      <w:r w:rsidRPr="005D660C">
        <w:rPr>
          <w:rFonts w:ascii="Bodoni MT" w:eastAsiaTheme="minorEastAsia" w:hAnsi="Bodoni MT" w:cs="Bodoni MT"/>
          <w:b/>
          <w:color w:val="000000"/>
          <w:sz w:val="24"/>
          <w:szCs w:val="24"/>
        </w:rPr>
        <w:t xml:space="preserve">Assessorato all’istruzione </w:t>
      </w:r>
      <w:r w:rsidRPr="005D660C">
        <w:rPr>
          <w:rFonts w:ascii="Bodoni MT" w:eastAsiaTheme="minorEastAsia" w:hAnsi="Bodoni MT" w:cs="Bodoni MT"/>
          <w:color w:val="000000"/>
          <w:sz w:val="24"/>
          <w:szCs w:val="24"/>
        </w:rPr>
        <w:t>meritano segnalazione, posto che ora pagano perenti per circa 16 milioni di euro, ma cancellano complessivamente oltre 14 milioni per insussistenze e prescrizioni. Analogamente l’</w:t>
      </w:r>
      <w:r w:rsidRPr="005D660C">
        <w:rPr>
          <w:rFonts w:ascii="Bodoni MT" w:eastAsiaTheme="minorEastAsia" w:hAnsi="Bodoni MT" w:cs="Bodoni MT"/>
          <w:b/>
          <w:color w:val="000000"/>
          <w:sz w:val="24"/>
          <w:szCs w:val="24"/>
        </w:rPr>
        <w:t>Assessorato alla sanità</w:t>
      </w:r>
      <w:r w:rsidRPr="005D660C">
        <w:rPr>
          <w:rFonts w:ascii="Bodoni MT" w:eastAsiaTheme="minorEastAsia" w:hAnsi="Bodoni MT" w:cs="Bodoni MT"/>
          <w:color w:val="000000"/>
          <w:sz w:val="24"/>
          <w:szCs w:val="24"/>
        </w:rPr>
        <w:t xml:space="preserve"> ora riconosce residui per circa 8 milioni di euro ma ne cancella oltre 12 milioni. </w:t>
      </w:r>
    </w:p>
    <w:p w:rsidR="005D660C" w:rsidRPr="005D660C" w:rsidRDefault="00F438AA"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lastRenderedPageBreak/>
        <w:t>L</w:t>
      </w:r>
      <w:r w:rsidR="005D660C" w:rsidRPr="005D660C">
        <w:rPr>
          <w:rFonts w:ascii="Bodoni MT" w:eastAsiaTheme="minorEastAsia" w:hAnsi="Bodoni MT" w:cs="Bodoni MT"/>
          <w:color w:val="000000"/>
          <w:sz w:val="24"/>
          <w:szCs w:val="24"/>
        </w:rPr>
        <w:t xml:space="preserve">e relazioni </w:t>
      </w:r>
      <w:r>
        <w:rPr>
          <w:rFonts w:ascii="Bodoni MT" w:eastAsiaTheme="minorEastAsia" w:hAnsi="Bodoni MT" w:cs="Bodoni MT"/>
          <w:color w:val="000000"/>
          <w:sz w:val="24"/>
          <w:szCs w:val="24"/>
        </w:rPr>
        <w:t>pervenute da</w:t>
      </w:r>
      <w:r w:rsidR="005D660C" w:rsidRPr="005D660C">
        <w:rPr>
          <w:rFonts w:ascii="Bodoni MT" w:eastAsiaTheme="minorEastAsia" w:hAnsi="Bodoni MT" w:cs="Bodoni MT"/>
          <w:color w:val="000000"/>
          <w:sz w:val="24"/>
          <w:szCs w:val="24"/>
        </w:rPr>
        <w:t xml:space="preserve">gli Assessorati regionali contengono numerosi spunti di analisi laddove illustrano che detti esiti contabili-gestionali dipendono principalmente dalle difficoltà di cassa (mancanza di risorse finanziarie o  limiti fissati alla spesa regionale) e dalla insufficiente o inefficace attività gestionale dei soggetti (pubblici o privati) delegati/incaricati dalla Regione alla realizzazione degli interventi di spesa (Enti locali, istituti scolastici, Agenzie regionali, società in house, aziende sanitarie, agenzie di formazione, banche, ecc.). A tale ultimo riguardo, però, la </w:t>
      </w:r>
      <w:r w:rsidR="00BC3647">
        <w:rPr>
          <w:rFonts w:ascii="Bodoni MT" w:eastAsiaTheme="minorEastAsia" w:hAnsi="Bodoni MT" w:cs="Bodoni MT"/>
          <w:color w:val="000000"/>
          <w:sz w:val="24"/>
          <w:szCs w:val="24"/>
        </w:rPr>
        <w:t xml:space="preserve">Corte </w:t>
      </w:r>
      <w:r w:rsidR="005D660C" w:rsidRPr="005D660C">
        <w:rPr>
          <w:rFonts w:ascii="Bodoni MT" w:eastAsiaTheme="minorEastAsia" w:hAnsi="Bodoni MT" w:cs="Bodoni MT"/>
          <w:color w:val="000000"/>
          <w:sz w:val="24"/>
          <w:szCs w:val="24"/>
        </w:rPr>
        <w:t>richiama i casi positivi segnalati da parte degli stessi Assessorati in cui l’azione di sollecito e supporto svolta dagli Uffici regionali, a vantaggio dei soggetti cui è demandata l’opera o l’intervento di pubblico interesse, ha condotto alla conclusione delle realizzazioni e alle prescritte rendicontazioni.</w:t>
      </w:r>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In conseguenza la </w:t>
      </w:r>
      <w:r w:rsidR="00BC3647">
        <w:rPr>
          <w:rFonts w:ascii="Bodoni MT" w:eastAsiaTheme="minorEastAsia" w:hAnsi="Bodoni MT" w:cs="Bodoni MT"/>
          <w:color w:val="000000"/>
          <w:sz w:val="24"/>
          <w:szCs w:val="24"/>
        </w:rPr>
        <w:t>Corte</w:t>
      </w:r>
      <w:r w:rsidRPr="005D660C">
        <w:rPr>
          <w:rFonts w:ascii="Bodoni MT" w:eastAsiaTheme="minorEastAsia" w:hAnsi="Bodoni MT" w:cs="Bodoni MT"/>
          <w:color w:val="000000"/>
          <w:sz w:val="24"/>
          <w:szCs w:val="24"/>
        </w:rPr>
        <w:t>, nel sottoporre all’attenzione dell’Amministrazione regionale le criticità</w:t>
      </w:r>
      <w:r w:rsidR="001A22A0">
        <w:rPr>
          <w:rFonts w:ascii="Bodoni MT" w:eastAsiaTheme="minorEastAsia" w:hAnsi="Bodoni MT" w:cs="Bodoni MT"/>
          <w:color w:val="000000"/>
          <w:sz w:val="24"/>
          <w:szCs w:val="24"/>
        </w:rPr>
        <w:t xml:space="preserve"> </w:t>
      </w:r>
      <w:r w:rsidR="001A22A0" w:rsidRPr="006030C3">
        <w:rPr>
          <w:rFonts w:ascii="Bodoni MT" w:eastAsiaTheme="minorEastAsia" w:hAnsi="Bodoni MT" w:cs="Bodoni MT"/>
          <w:color w:val="000000"/>
          <w:sz w:val="24"/>
          <w:szCs w:val="24"/>
        </w:rPr>
        <w:t>riscontrate</w:t>
      </w:r>
      <w:r w:rsidRPr="005D660C">
        <w:rPr>
          <w:rFonts w:ascii="Bodoni MT" w:eastAsiaTheme="minorEastAsia" w:hAnsi="Bodoni MT" w:cs="Bodoni MT"/>
          <w:color w:val="000000"/>
          <w:sz w:val="24"/>
          <w:szCs w:val="24"/>
        </w:rPr>
        <w:t xml:space="preserve">, raccomanda opportuni interventi organizzativi e di accelerazione delle procedure amministrative e contabili, auspicando, se del caso, </w:t>
      </w:r>
      <w:r w:rsidRPr="005D660C">
        <w:rPr>
          <w:rFonts w:ascii="Bodoni MT" w:eastAsiaTheme="minorEastAsia" w:hAnsi="Bodoni MT" w:cs="Bodoni MT"/>
          <w:b/>
          <w:color w:val="000000"/>
          <w:sz w:val="24"/>
          <w:szCs w:val="24"/>
        </w:rPr>
        <w:t>apposite iniziative di supporto</w:t>
      </w:r>
      <w:r w:rsidRPr="005D660C">
        <w:rPr>
          <w:rFonts w:ascii="Bodoni MT" w:eastAsiaTheme="minorEastAsia" w:hAnsi="Bodoni MT" w:cs="Bodoni MT"/>
          <w:color w:val="000000"/>
          <w:sz w:val="24"/>
          <w:szCs w:val="24"/>
        </w:rPr>
        <w:t xml:space="preserve"> </w:t>
      </w:r>
      <w:r w:rsidRPr="005D660C">
        <w:rPr>
          <w:rFonts w:ascii="Bodoni MT" w:eastAsiaTheme="minorEastAsia" w:hAnsi="Bodoni MT" w:cs="Bodoni MT"/>
          <w:b/>
          <w:color w:val="000000"/>
          <w:sz w:val="24"/>
          <w:szCs w:val="24"/>
        </w:rPr>
        <w:t>rivolte a promuovere i necessari (indispensabili) raccordi istituzionali/gestionali tra i diversi soggetti interessati alla realizzazione di politiche pubbliche,</w:t>
      </w:r>
      <w:r w:rsidR="00B409A7">
        <w:rPr>
          <w:rFonts w:ascii="Bodoni MT" w:eastAsiaTheme="minorEastAsia" w:hAnsi="Bodoni MT" w:cs="Bodoni MT"/>
          <w:color w:val="000000"/>
          <w:sz w:val="24"/>
          <w:szCs w:val="24"/>
        </w:rPr>
        <w:t xml:space="preserve"> quali</w:t>
      </w:r>
      <w:r w:rsidRPr="005D660C">
        <w:rPr>
          <w:rFonts w:ascii="Bodoni MT" w:eastAsiaTheme="minorEastAsia" w:hAnsi="Bodoni MT" w:cs="Bodoni MT"/>
          <w:color w:val="000000"/>
          <w:sz w:val="24"/>
          <w:szCs w:val="24"/>
        </w:rPr>
        <w:t>, in particolare, quelle della istruzione e formazione, del lavoro, della sanità, dello sviluppo locale, che rivestono primaria importanza per la crescita economico-sociale della Regione.</w:t>
      </w:r>
    </w:p>
    <w:p w:rsidR="006179BE" w:rsidRDefault="00C05880" w:rsidP="0071210B">
      <w:pPr>
        <w:pStyle w:val="Didascalia"/>
        <w:spacing w:before="120"/>
      </w:pPr>
      <w:bookmarkStart w:id="197" w:name="_Toc507422498"/>
      <w:r>
        <w:t xml:space="preserve">Tabella </w:t>
      </w:r>
      <w:r w:rsidR="00B90472">
        <w:fldChar w:fldCharType="begin"/>
      </w:r>
      <w:r w:rsidR="00B90472">
        <w:instrText xml:space="preserve"> S</w:instrText>
      </w:r>
      <w:r w:rsidR="00B90472">
        <w:instrText xml:space="preserve">EQ Tabella \* ARABIC </w:instrText>
      </w:r>
      <w:r w:rsidR="00B90472">
        <w:fldChar w:fldCharType="separate"/>
      </w:r>
      <w:r w:rsidR="008616B3">
        <w:rPr>
          <w:noProof/>
        </w:rPr>
        <w:t>30</w:t>
      </w:r>
      <w:r w:rsidR="00B90472">
        <w:rPr>
          <w:noProof/>
        </w:rPr>
        <w:fldChar w:fldCharType="end"/>
      </w:r>
      <w:r w:rsidR="00C04390">
        <w:t xml:space="preserve"> – </w:t>
      </w:r>
      <w:r w:rsidR="00C04390" w:rsidRPr="002C049A">
        <w:t xml:space="preserve">Perenzioni per </w:t>
      </w:r>
      <w:r w:rsidR="00C04390">
        <w:t xml:space="preserve">categoria </w:t>
      </w:r>
      <w:r w:rsidR="00C04390" w:rsidRPr="002C049A">
        <w:t>di creditori</w:t>
      </w:r>
      <w:r w:rsidR="00C04390">
        <w:t xml:space="preserve"> al 1° gennaio 2016</w:t>
      </w:r>
      <w:bookmarkEnd w:id="197"/>
    </w:p>
    <w:tbl>
      <w:tblPr>
        <w:tblW w:w="5027" w:type="pct"/>
        <w:jc w:val="center"/>
        <w:shd w:val="clear" w:color="auto" w:fill="FFFFFF"/>
        <w:tblCellMar>
          <w:left w:w="70" w:type="dxa"/>
          <w:right w:w="70" w:type="dxa"/>
        </w:tblCellMar>
        <w:tblLook w:val="04A0" w:firstRow="1" w:lastRow="0" w:firstColumn="1" w:lastColumn="0" w:noHBand="0" w:noVBand="1"/>
      </w:tblPr>
      <w:tblGrid>
        <w:gridCol w:w="6449"/>
        <w:gridCol w:w="3666"/>
      </w:tblGrid>
      <w:tr w:rsidR="00C04390" w:rsidRPr="00C04390" w:rsidTr="00006277">
        <w:trPr>
          <w:trHeight w:hRule="exact" w:val="263"/>
          <w:jc w:val="center"/>
        </w:trPr>
        <w:tc>
          <w:tcPr>
            <w:tcW w:w="3188" w:type="pct"/>
            <w:tcBorders>
              <w:top w:val="single" w:sz="4" w:space="0" w:color="auto"/>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Comuni e Unioni di Comuni</w:t>
            </w:r>
          </w:p>
        </w:tc>
        <w:tc>
          <w:tcPr>
            <w:tcW w:w="1812" w:type="pct"/>
            <w:tcBorders>
              <w:top w:val="single" w:sz="4" w:space="0" w:color="auto"/>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320.782.038,88</w:t>
            </w:r>
          </w:p>
        </w:tc>
      </w:tr>
      <w:tr w:rsidR="00C04390" w:rsidRPr="00C04390" w:rsidTr="00006277">
        <w:trPr>
          <w:trHeight w:hRule="exact" w:val="284"/>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Scuole, Ass. culturali e sportive</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31.851.624,92</w:t>
            </w:r>
          </w:p>
        </w:tc>
      </w:tr>
      <w:tr w:rsidR="00C04390" w:rsidRPr="00C04390" w:rsidTr="00006277">
        <w:trPr>
          <w:trHeight w:hRule="exact" w:val="288"/>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Aziende sanitarie</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109.581.698,76</w:t>
            </w:r>
          </w:p>
        </w:tc>
      </w:tr>
      <w:tr w:rsidR="00C04390" w:rsidRPr="00C04390" w:rsidTr="00006277">
        <w:trPr>
          <w:trHeight w:hRule="exact" w:val="278"/>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Abbanoa</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10.849.526,35</w:t>
            </w:r>
          </w:p>
        </w:tc>
      </w:tr>
      <w:tr w:rsidR="00C04390" w:rsidRPr="00C04390" w:rsidTr="00006277">
        <w:trPr>
          <w:trHeight w:hRule="exact" w:val="282"/>
          <w:jc w:val="center"/>
        </w:trPr>
        <w:tc>
          <w:tcPr>
            <w:tcW w:w="3188" w:type="pct"/>
            <w:tcBorders>
              <w:top w:val="nil"/>
              <w:left w:val="single" w:sz="4" w:space="0" w:color="auto"/>
              <w:bottom w:val="nil"/>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Agenzie Regionali</w:t>
            </w:r>
          </w:p>
        </w:tc>
        <w:tc>
          <w:tcPr>
            <w:tcW w:w="1812" w:type="pct"/>
            <w:tcBorders>
              <w:top w:val="single" w:sz="4" w:space="0" w:color="auto"/>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30.561.621,88</w:t>
            </w:r>
          </w:p>
        </w:tc>
      </w:tr>
      <w:tr w:rsidR="00C04390" w:rsidRPr="00C04390" w:rsidTr="00006277">
        <w:trPr>
          <w:trHeight w:hRule="exact" w:val="286"/>
          <w:jc w:val="center"/>
        </w:trPr>
        <w:tc>
          <w:tcPr>
            <w:tcW w:w="3188" w:type="pct"/>
            <w:tcBorders>
              <w:top w:val="single" w:sz="4" w:space="0" w:color="auto"/>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Amm. Provinciali e Comunità Montane</w:t>
            </w:r>
          </w:p>
        </w:tc>
        <w:tc>
          <w:tcPr>
            <w:tcW w:w="1812" w:type="pct"/>
            <w:tcBorders>
              <w:top w:val="single" w:sz="4" w:space="0" w:color="auto"/>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22.632.716,01</w:t>
            </w:r>
          </w:p>
        </w:tc>
      </w:tr>
      <w:tr w:rsidR="00C04390" w:rsidRPr="00C04390" w:rsidTr="00006277">
        <w:trPr>
          <w:trHeight w:hRule="exact" w:val="290"/>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ANAS Spa</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306.108.086,42</w:t>
            </w:r>
          </w:p>
        </w:tc>
      </w:tr>
      <w:tr w:rsidR="00C04390" w:rsidRPr="00C04390" w:rsidTr="00006277">
        <w:trPr>
          <w:trHeight w:hRule="exact" w:val="280"/>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Autorità d'Ambito</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237.716.521,36</w:t>
            </w:r>
          </w:p>
        </w:tc>
      </w:tr>
      <w:tr w:rsidR="00C04390" w:rsidRPr="00C04390" w:rsidTr="00006277">
        <w:trPr>
          <w:trHeight w:hRule="exact" w:val="283"/>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Banche</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65.986.599,18</w:t>
            </w:r>
          </w:p>
        </w:tc>
      </w:tr>
      <w:tr w:rsidR="00C04390" w:rsidRPr="00C04390" w:rsidTr="00006277">
        <w:trPr>
          <w:trHeight w:hRule="exact" w:val="274"/>
          <w:jc w:val="center"/>
        </w:trPr>
        <w:tc>
          <w:tcPr>
            <w:tcW w:w="3188" w:type="pct"/>
            <w:tcBorders>
              <w:top w:val="nil"/>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Persone fisiche ed Altri</w:t>
            </w:r>
          </w:p>
        </w:tc>
        <w:tc>
          <w:tcPr>
            <w:tcW w:w="1812" w:type="pct"/>
            <w:tcBorders>
              <w:top w:val="nil"/>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630.131.366,45</w:t>
            </w:r>
          </w:p>
        </w:tc>
      </w:tr>
      <w:tr w:rsidR="00C04390" w:rsidRPr="00C04390" w:rsidTr="00006277">
        <w:trPr>
          <w:trHeight w:hRule="exact" w:val="277"/>
          <w:jc w:val="center"/>
        </w:trPr>
        <w:tc>
          <w:tcPr>
            <w:tcW w:w="3188" w:type="pct"/>
            <w:tcBorders>
              <w:top w:val="single" w:sz="4" w:space="0" w:color="auto"/>
              <w:left w:val="single" w:sz="4" w:space="0" w:color="auto"/>
              <w:bottom w:val="single" w:sz="4" w:space="0" w:color="auto"/>
              <w:right w:val="single" w:sz="4" w:space="0" w:color="auto"/>
            </w:tcBorders>
            <w:shd w:val="clear" w:color="auto" w:fill="8EAADB"/>
            <w:noWrap/>
            <w:vAlign w:val="center"/>
            <w:hideMark/>
          </w:tcPr>
          <w:p w:rsidR="00C04390" w:rsidRPr="00C04390" w:rsidRDefault="00C04390" w:rsidP="00C660FF">
            <w:pPr>
              <w:autoSpaceDE w:val="0"/>
              <w:autoSpaceDN w:val="0"/>
              <w:adjustRightInd w:val="0"/>
              <w:spacing w:after="0" w:line="240" w:lineRule="auto"/>
              <w:textAlignment w:val="center"/>
              <w:rPr>
                <w:rFonts w:ascii="Bodoni MT" w:eastAsia="Times New Roman" w:hAnsi="Bodoni MT" w:cs="Bodoni MT"/>
                <w:color w:val="FFFFFF"/>
                <w:sz w:val="20"/>
                <w:szCs w:val="20"/>
              </w:rPr>
            </w:pPr>
            <w:r w:rsidRPr="00C04390">
              <w:rPr>
                <w:rFonts w:ascii="Bodoni MT" w:eastAsia="Times New Roman" w:hAnsi="Bodoni MT" w:cs="Bodoni MT"/>
                <w:color w:val="FFFFFF"/>
                <w:sz w:val="20"/>
                <w:szCs w:val="20"/>
              </w:rPr>
              <w:t>Totale importi aperti</w:t>
            </w:r>
          </w:p>
        </w:tc>
        <w:tc>
          <w:tcPr>
            <w:tcW w:w="1812" w:type="pct"/>
            <w:tcBorders>
              <w:top w:val="single" w:sz="4" w:space="0" w:color="auto"/>
              <w:left w:val="nil"/>
              <w:bottom w:val="single" w:sz="4" w:space="0" w:color="auto"/>
              <w:right w:val="single" w:sz="4" w:space="0" w:color="auto"/>
            </w:tcBorders>
            <w:shd w:val="clear" w:color="auto" w:fill="FFFFFF"/>
            <w:noWrap/>
            <w:vAlign w:val="center"/>
            <w:hideMark/>
          </w:tcPr>
          <w:p w:rsidR="00C04390" w:rsidRPr="0071210B" w:rsidRDefault="00C04390" w:rsidP="00006277">
            <w:pPr>
              <w:autoSpaceDE w:val="0"/>
              <w:autoSpaceDN w:val="0"/>
              <w:adjustRightInd w:val="0"/>
              <w:spacing w:after="0" w:line="240" w:lineRule="auto"/>
              <w:jc w:val="right"/>
              <w:textAlignment w:val="center"/>
              <w:rPr>
                <w:rFonts w:ascii="Calibri" w:eastAsia="Times New Roman" w:hAnsi="Calibri" w:cs="Calibri"/>
                <w:bCs/>
                <w:color w:val="000000"/>
                <w:sz w:val="18"/>
                <w:szCs w:val="18"/>
              </w:rPr>
            </w:pPr>
            <w:r w:rsidRPr="0071210B">
              <w:rPr>
                <w:rFonts w:ascii="Calibri" w:eastAsia="Times New Roman" w:hAnsi="Calibri" w:cs="Calibri"/>
                <w:bCs/>
                <w:color w:val="000000"/>
                <w:sz w:val="18"/>
                <w:szCs w:val="18"/>
              </w:rPr>
              <w:t>1.766.201.800,21</w:t>
            </w:r>
          </w:p>
        </w:tc>
      </w:tr>
    </w:tbl>
    <w:p w:rsidR="005D660C" w:rsidRPr="00AD5BF7" w:rsidRDefault="00C05880" w:rsidP="00C05880">
      <w:pPr>
        <w:pStyle w:val="Didascalia"/>
        <w:rPr>
          <w:bCs w:val="0"/>
        </w:rPr>
      </w:pPr>
      <w:bookmarkStart w:id="198" w:name="_Toc507422499"/>
      <w:r>
        <w:t xml:space="preserve">Tabella </w:t>
      </w:r>
      <w:r w:rsidR="00B90472">
        <w:fldChar w:fldCharType="begin"/>
      </w:r>
      <w:r w:rsidR="00B90472">
        <w:instrText xml:space="preserve"> SEQ Tabella \* ARABIC </w:instrText>
      </w:r>
      <w:r w:rsidR="00B90472">
        <w:fldChar w:fldCharType="separate"/>
      </w:r>
      <w:r w:rsidR="008616B3">
        <w:rPr>
          <w:noProof/>
        </w:rPr>
        <w:t>31</w:t>
      </w:r>
      <w:r w:rsidR="00B90472">
        <w:rPr>
          <w:noProof/>
        </w:rPr>
        <w:fldChar w:fldCharType="end"/>
      </w:r>
      <w:r w:rsidR="00AD5BF7" w:rsidRPr="005D660C">
        <w:rPr>
          <w:b w:val="0"/>
          <w:bCs w:val="0"/>
        </w:rPr>
        <w:t xml:space="preserve"> </w:t>
      </w:r>
      <w:r w:rsidR="00AD5BF7" w:rsidRPr="00AD5BF7">
        <w:rPr>
          <w:bCs w:val="0"/>
        </w:rPr>
        <w:t>- Movimentazione contabile e perenzioni aperte al 31 dicembre 2016</w:t>
      </w:r>
      <w:bookmarkEnd w:id="198"/>
    </w:p>
    <w:tbl>
      <w:tblPr>
        <w:tblW w:w="5000" w:type="pct"/>
        <w:jc w:val="center"/>
        <w:tblCellMar>
          <w:left w:w="70" w:type="dxa"/>
          <w:right w:w="70" w:type="dxa"/>
        </w:tblCellMar>
        <w:tblLook w:val="04A0" w:firstRow="1" w:lastRow="0" w:firstColumn="1" w:lastColumn="0" w:noHBand="0" w:noVBand="1"/>
      </w:tblPr>
      <w:tblGrid>
        <w:gridCol w:w="4071"/>
        <w:gridCol w:w="2865"/>
        <w:gridCol w:w="3125"/>
      </w:tblGrid>
      <w:tr w:rsidR="005D660C" w:rsidRPr="005A38B6" w:rsidTr="00C660FF">
        <w:trPr>
          <w:trHeight w:val="497"/>
          <w:jc w:val="center"/>
        </w:trPr>
        <w:tc>
          <w:tcPr>
            <w:tcW w:w="2023"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5D660C" w:rsidRPr="005A38B6" w:rsidRDefault="005D660C" w:rsidP="005D660C">
            <w:pPr>
              <w:spacing w:after="0" w:line="240" w:lineRule="auto"/>
              <w:jc w:val="center"/>
              <w:rPr>
                <w:rFonts w:ascii="Bodoni MT" w:eastAsia="Times New Roman" w:hAnsi="Bodoni MT" w:cs="Calibri"/>
                <w:b/>
                <w:bCs/>
                <w:color w:val="FFFFFF"/>
                <w:sz w:val="20"/>
                <w:szCs w:val="20"/>
                <w:lang w:eastAsia="it-IT"/>
              </w:rPr>
            </w:pPr>
            <w:r w:rsidRPr="005A38B6">
              <w:rPr>
                <w:rFonts w:ascii="Bodoni MT" w:eastAsia="Times New Roman" w:hAnsi="Bodoni MT" w:cs="Calibri"/>
                <w:b/>
                <w:bCs/>
                <w:color w:val="FFFFFF"/>
                <w:sz w:val="20"/>
                <w:szCs w:val="20"/>
                <w:lang w:eastAsia="it-IT"/>
              </w:rPr>
              <w:t>ASSESSORATO</w:t>
            </w:r>
          </w:p>
        </w:tc>
        <w:tc>
          <w:tcPr>
            <w:tcW w:w="1424"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5D660C" w:rsidRPr="005A38B6" w:rsidRDefault="00006277" w:rsidP="005D660C">
            <w:pPr>
              <w:spacing w:after="0" w:line="240" w:lineRule="auto"/>
              <w:jc w:val="center"/>
              <w:rPr>
                <w:rFonts w:ascii="Bodoni MT" w:eastAsia="Times New Roman" w:hAnsi="Bodoni MT" w:cs="Calibri"/>
                <w:b/>
                <w:bCs/>
                <w:color w:val="FFFFFF"/>
                <w:sz w:val="20"/>
                <w:szCs w:val="20"/>
                <w:lang w:eastAsia="it-IT"/>
              </w:rPr>
            </w:pPr>
            <w:r>
              <w:rPr>
                <w:rFonts w:ascii="Bodoni MT" w:eastAsia="Times New Roman" w:hAnsi="Bodoni MT" w:cs="Calibri"/>
                <w:b/>
                <w:bCs/>
                <w:color w:val="FFFFFF"/>
                <w:sz w:val="20"/>
                <w:szCs w:val="20"/>
                <w:lang w:eastAsia="it-IT"/>
              </w:rPr>
              <w:t>IMPORTO APERTO</w:t>
            </w:r>
            <w:r>
              <w:rPr>
                <w:rFonts w:ascii="Bodoni MT" w:eastAsia="Times New Roman" w:hAnsi="Bodoni MT" w:cs="Calibri"/>
                <w:b/>
                <w:bCs/>
                <w:color w:val="FFFFFF"/>
                <w:sz w:val="20"/>
                <w:szCs w:val="20"/>
                <w:lang w:eastAsia="it-IT"/>
              </w:rPr>
              <w:br/>
              <w:t xml:space="preserve">al </w:t>
            </w:r>
            <w:r w:rsidR="005D660C" w:rsidRPr="005A38B6">
              <w:rPr>
                <w:rFonts w:ascii="Bodoni MT" w:eastAsia="Times New Roman" w:hAnsi="Bodoni MT" w:cs="Calibri"/>
                <w:b/>
                <w:bCs/>
                <w:color w:val="FFFFFF"/>
                <w:sz w:val="20"/>
                <w:szCs w:val="20"/>
                <w:lang w:eastAsia="it-IT"/>
              </w:rPr>
              <w:t>1</w:t>
            </w:r>
            <w:r>
              <w:rPr>
                <w:rFonts w:ascii="Bodoni MT" w:eastAsia="Times New Roman" w:hAnsi="Bodoni MT" w:cs="Calibri"/>
                <w:b/>
                <w:bCs/>
                <w:color w:val="FFFFFF"/>
                <w:sz w:val="20"/>
                <w:szCs w:val="20"/>
                <w:lang w:eastAsia="it-IT"/>
              </w:rPr>
              <w:t>°</w:t>
            </w:r>
            <w:r w:rsidR="005D660C" w:rsidRPr="005A38B6">
              <w:rPr>
                <w:rFonts w:ascii="Bodoni MT" w:eastAsia="Times New Roman" w:hAnsi="Bodoni MT" w:cs="Calibri"/>
                <w:b/>
                <w:bCs/>
                <w:color w:val="FFFFFF"/>
                <w:sz w:val="20"/>
                <w:szCs w:val="20"/>
                <w:lang w:eastAsia="it-IT"/>
              </w:rPr>
              <w:t xml:space="preserve"> gennaio 2016</w:t>
            </w:r>
          </w:p>
        </w:tc>
        <w:tc>
          <w:tcPr>
            <w:tcW w:w="1553" w:type="pct"/>
            <w:tcBorders>
              <w:top w:val="single" w:sz="4" w:space="0" w:color="auto"/>
              <w:left w:val="nil"/>
              <w:bottom w:val="single" w:sz="4" w:space="0" w:color="auto"/>
              <w:right w:val="nil"/>
            </w:tcBorders>
            <w:shd w:val="clear" w:color="auto" w:fill="0F243E" w:themeFill="text2" w:themeFillShade="80"/>
            <w:vAlign w:val="center"/>
            <w:hideMark/>
          </w:tcPr>
          <w:p w:rsidR="005D660C" w:rsidRPr="005A38B6" w:rsidRDefault="005D660C" w:rsidP="005D660C">
            <w:pPr>
              <w:spacing w:after="0" w:line="240" w:lineRule="auto"/>
              <w:jc w:val="center"/>
              <w:rPr>
                <w:rFonts w:ascii="Bodoni MT" w:eastAsia="Times New Roman" w:hAnsi="Bodoni MT" w:cs="Calibri"/>
                <w:b/>
                <w:bCs/>
                <w:color w:val="FFFFFF"/>
                <w:sz w:val="20"/>
                <w:szCs w:val="20"/>
                <w:lang w:eastAsia="it-IT"/>
              </w:rPr>
            </w:pPr>
            <w:r w:rsidRPr="005A38B6">
              <w:rPr>
                <w:rFonts w:ascii="Bodoni MT" w:eastAsia="Times New Roman" w:hAnsi="Bodoni MT" w:cs="Calibri"/>
                <w:b/>
                <w:bCs/>
                <w:color w:val="FFFFFF"/>
                <w:sz w:val="20"/>
                <w:szCs w:val="20"/>
                <w:lang w:eastAsia="it-IT"/>
              </w:rPr>
              <w:t>IMPORTO APERTO</w:t>
            </w:r>
            <w:r w:rsidRPr="005A38B6">
              <w:rPr>
                <w:rFonts w:ascii="Bodoni MT" w:eastAsia="Times New Roman" w:hAnsi="Bodoni MT" w:cs="Calibri"/>
                <w:b/>
                <w:bCs/>
                <w:color w:val="FFFFFF"/>
                <w:sz w:val="20"/>
                <w:szCs w:val="20"/>
                <w:lang w:eastAsia="it-IT"/>
              </w:rPr>
              <w:br/>
              <w:t>al 31 dicembre 2016</w:t>
            </w:r>
          </w:p>
        </w:tc>
      </w:tr>
      <w:tr w:rsidR="005D660C" w:rsidRPr="005A38B6" w:rsidTr="005A38B6">
        <w:trPr>
          <w:trHeight w:val="135"/>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01 Presidenza</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156.205.590,40</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141.904.072,11</w:t>
            </w:r>
          </w:p>
        </w:tc>
      </w:tr>
      <w:tr w:rsidR="005D660C" w:rsidRPr="005A38B6" w:rsidTr="005A38B6">
        <w:trPr>
          <w:trHeight w:val="181"/>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02 Affari Generali</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1.174.523,31</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182.697,11</w:t>
            </w:r>
          </w:p>
        </w:tc>
      </w:tr>
      <w:tr w:rsidR="005D660C" w:rsidRPr="005A38B6" w:rsidTr="005A38B6">
        <w:trPr>
          <w:trHeight w:val="242"/>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03 Bilancio Programmazione</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18.614.085,66</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14.195.818,43</w:t>
            </w:r>
          </w:p>
        </w:tc>
      </w:tr>
      <w:tr w:rsidR="005D660C" w:rsidRPr="005A38B6" w:rsidTr="005A38B6">
        <w:trPr>
          <w:trHeight w:val="259"/>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04 Enti Locali</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102.333.226,93</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53.546.404,01</w:t>
            </w:r>
          </w:p>
        </w:tc>
      </w:tr>
      <w:tr w:rsidR="005D660C" w:rsidRPr="005A38B6" w:rsidTr="005A38B6">
        <w:trPr>
          <w:trHeight w:val="149"/>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05 Difesa Ambiente</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56.440.073,85</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45.279.719,07</w:t>
            </w:r>
          </w:p>
        </w:tc>
      </w:tr>
      <w:tr w:rsidR="005D660C" w:rsidRPr="005A38B6" w:rsidTr="005A38B6">
        <w:trPr>
          <w:trHeight w:val="195"/>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06 Agricoltura</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74.112.424,57</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42.474.529,56</w:t>
            </w:r>
          </w:p>
        </w:tc>
      </w:tr>
      <w:tr w:rsidR="005D660C" w:rsidRPr="005A38B6" w:rsidTr="005A38B6">
        <w:trPr>
          <w:trHeight w:val="255"/>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07 Turismo</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122.458.288,08</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78.416.250,77</w:t>
            </w:r>
          </w:p>
        </w:tc>
      </w:tr>
      <w:tr w:rsidR="005D660C" w:rsidRPr="005A38B6" w:rsidTr="005A38B6">
        <w:trPr>
          <w:trHeight w:val="117"/>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lastRenderedPageBreak/>
              <w:t>08 Lavori Pubblici</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924.316.474,44</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784.203.884,53</w:t>
            </w:r>
          </w:p>
        </w:tc>
      </w:tr>
      <w:tr w:rsidR="005D660C" w:rsidRPr="005A38B6" w:rsidTr="005A38B6">
        <w:trPr>
          <w:trHeight w:val="177"/>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09 Industria</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53.607.622,53</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18.154.276,10</w:t>
            </w:r>
          </w:p>
        </w:tc>
      </w:tr>
      <w:tr w:rsidR="005D660C" w:rsidRPr="005A38B6" w:rsidTr="005A38B6">
        <w:trPr>
          <w:trHeight w:val="224"/>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10 Lavoro</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21.749.437,37</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14.055.128,98</w:t>
            </w:r>
          </w:p>
        </w:tc>
      </w:tr>
      <w:tr w:rsidR="005D660C" w:rsidRPr="005A38B6" w:rsidTr="005A38B6">
        <w:trPr>
          <w:trHeight w:val="141"/>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11 Istruzione</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64.372.762,81</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36.503.816,96</w:t>
            </w:r>
          </w:p>
        </w:tc>
      </w:tr>
      <w:tr w:rsidR="005D660C" w:rsidRPr="005A38B6" w:rsidTr="005A38B6">
        <w:trPr>
          <w:trHeight w:val="187"/>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12 Igiene Sanità</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78.254.897,15</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57.740.755,32</w:t>
            </w:r>
          </w:p>
        </w:tc>
      </w:tr>
      <w:tr w:rsidR="005D660C" w:rsidRPr="005A38B6" w:rsidTr="005A38B6">
        <w:trPr>
          <w:trHeight w:val="247"/>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5D660C" w:rsidP="005D660C">
            <w:pPr>
              <w:spacing w:after="0" w:line="240" w:lineRule="auto"/>
              <w:rPr>
                <w:rFonts w:ascii="Bodoni MT" w:eastAsia="Times New Roman" w:hAnsi="Bodoni MT" w:cs="Calibri"/>
                <w:color w:val="FFFFFF"/>
                <w:sz w:val="20"/>
                <w:szCs w:val="20"/>
                <w:lang w:eastAsia="it-IT"/>
              </w:rPr>
            </w:pPr>
            <w:r w:rsidRPr="005A38B6">
              <w:rPr>
                <w:rFonts w:ascii="Bodoni MT" w:eastAsia="Times New Roman" w:hAnsi="Bodoni MT" w:cs="Calibri"/>
                <w:color w:val="FFFFFF"/>
                <w:sz w:val="20"/>
                <w:szCs w:val="20"/>
                <w:lang w:eastAsia="it-IT"/>
              </w:rPr>
              <w:t>13 Trasporti</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color w:val="000000"/>
                <w:sz w:val="20"/>
                <w:szCs w:val="20"/>
                <w:lang w:eastAsia="it-IT"/>
              </w:rPr>
            </w:pPr>
            <w:r w:rsidRPr="005A38B6">
              <w:rPr>
                <w:rFonts w:eastAsia="Times New Roman" w:cstheme="minorHAnsi"/>
                <w:color w:val="000000"/>
                <w:sz w:val="20"/>
                <w:szCs w:val="20"/>
                <w:lang w:eastAsia="it-IT"/>
              </w:rPr>
              <w:t>92.562.393,11</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sz w:val="20"/>
                <w:szCs w:val="20"/>
                <w:lang w:eastAsia="it-IT"/>
              </w:rPr>
            </w:pPr>
            <w:r w:rsidRPr="005A38B6">
              <w:rPr>
                <w:rFonts w:eastAsia="Times New Roman" w:cstheme="minorHAnsi"/>
                <w:sz w:val="20"/>
                <w:szCs w:val="20"/>
                <w:lang w:eastAsia="it-IT"/>
              </w:rPr>
              <w:t>76.831.680,75</w:t>
            </w:r>
          </w:p>
        </w:tc>
      </w:tr>
      <w:tr w:rsidR="005D660C" w:rsidRPr="005A38B6" w:rsidTr="005A38B6">
        <w:trPr>
          <w:trHeight w:val="123"/>
          <w:jc w:val="center"/>
        </w:trPr>
        <w:tc>
          <w:tcPr>
            <w:tcW w:w="2023"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A38B6" w:rsidRDefault="00411C4D" w:rsidP="005D660C">
            <w:pPr>
              <w:spacing w:after="0" w:line="240" w:lineRule="auto"/>
              <w:rPr>
                <w:rFonts w:ascii="Bodoni MT" w:eastAsia="Times New Roman" w:hAnsi="Bodoni MT" w:cs="Calibri"/>
                <w:b/>
                <w:bCs/>
                <w:color w:val="FFFFFF"/>
                <w:sz w:val="20"/>
                <w:szCs w:val="20"/>
                <w:lang w:eastAsia="it-IT"/>
              </w:rPr>
            </w:pPr>
            <w:r w:rsidRPr="005A38B6">
              <w:rPr>
                <w:rFonts w:ascii="Bodoni MT" w:eastAsia="Times New Roman" w:hAnsi="Bodoni MT" w:cs="Calibri"/>
                <w:b/>
                <w:bCs/>
                <w:color w:val="FFFFFF"/>
                <w:sz w:val="20"/>
                <w:szCs w:val="20"/>
                <w:lang w:eastAsia="it-IT"/>
              </w:rPr>
              <w:t>TOTALE</w:t>
            </w:r>
          </w:p>
        </w:tc>
        <w:tc>
          <w:tcPr>
            <w:tcW w:w="1424"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b/>
                <w:bCs/>
                <w:color w:val="000000"/>
                <w:sz w:val="20"/>
                <w:szCs w:val="20"/>
                <w:lang w:eastAsia="it-IT"/>
              </w:rPr>
            </w:pPr>
            <w:r w:rsidRPr="005A38B6">
              <w:rPr>
                <w:rFonts w:eastAsia="Times New Roman" w:cstheme="minorHAnsi"/>
                <w:b/>
                <w:bCs/>
                <w:color w:val="000000"/>
                <w:sz w:val="20"/>
                <w:szCs w:val="20"/>
                <w:lang w:eastAsia="it-IT"/>
              </w:rPr>
              <w:t>1.766.201.800,21</w:t>
            </w:r>
          </w:p>
        </w:tc>
        <w:tc>
          <w:tcPr>
            <w:tcW w:w="1553" w:type="pct"/>
            <w:tcBorders>
              <w:top w:val="nil"/>
              <w:left w:val="nil"/>
              <w:bottom w:val="single" w:sz="4" w:space="0" w:color="auto"/>
              <w:right w:val="single" w:sz="4" w:space="0" w:color="auto"/>
            </w:tcBorders>
            <w:shd w:val="clear" w:color="000000" w:fill="FFFFFF"/>
            <w:noWrap/>
            <w:vAlign w:val="center"/>
            <w:hideMark/>
          </w:tcPr>
          <w:p w:rsidR="005D660C" w:rsidRPr="005A38B6" w:rsidRDefault="005D660C" w:rsidP="005A38B6">
            <w:pPr>
              <w:spacing w:after="0" w:line="240" w:lineRule="auto"/>
              <w:jc w:val="right"/>
              <w:rPr>
                <w:rFonts w:eastAsia="Times New Roman" w:cstheme="minorHAnsi"/>
                <w:b/>
                <w:bCs/>
                <w:sz w:val="20"/>
                <w:szCs w:val="20"/>
                <w:lang w:eastAsia="it-IT"/>
              </w:rPr>
            </w:pPr>
            <w:r w:rsidRPr="005A38B6">
              <w:rPr>
                <w:rFonts w:eastAsia="Times New Roman" w:cstheme="minorHAnsi"/>
                <w:b/>
                <w:bCs/>
                <w:sz w:val="20"/>
                <w:szCs w:val="20"/>
                <w:lang w:eastAsia="it-IT"/>
              </w:rPr>
              <w:t>1.363.489.033,70</w:t>
            </w:r>
          </w:p>
        </w:tc>
      </w:tr>
    </w:tbl>
    <w:p w:rsidR="005D660C" w:rsidRPr="00AD5BF7" w:rsidRDefault="00C05880" w:rsidP="00411C4D">
      <w:pPr>
        <w:pStyle w:val="Didascalia"/>
        <w:spacing w:before="600"/>
        <w:rPr>
          <w:bCs w:val="0"/>
        </w:rPr>
      </w:pPr>
      <w:bookmarkStart w:id="199" w:name="_Toc507422500"/>
      <w:r>
        <w:t xml:space="preserve">Tabella </w:t>
      </w:r>
      <w:r w:rsidR="00B90472">
        <w:fldChar w:fldCharType="begin"/>
      </w:r>
      <w:r w:rsidR="00B90472">
        <w:instrText xml:space="preserve"> SEQ Tabella \* ARABIC </w:instrText>
      </w:r>
      <w:r w:rsidR="00B90472">
        <w:fldChar w:fldCharType="separate"/>
      </w:r>
      <w:r w:rsidR="008616B3">
        <w:rPr>
          <w:noProof/>
        </w:rPr>
        <w:t>32</w:t>
      </w:r>
      <w:r w:rsidR="00B90472">
        <w:rPr>
          <w:noProof/>
        </w:rPr>
        <w:fldChar w:fldCharType="end"/>
      </w:r>
      <w:r w:rsidR="00AD5BF7" w:rsidRPr="005D660C">
        <w:rPr>
          <w:b w:val="0"/>
          <w:bCs w:val="0"/>
        </w:rPr>
        <w:t xml:space="preserve"> </w:t>
      </w:r>
      <w:r w:rsidR="00AD5BF7" w:rsidRPr="00AD5BF7">
        <w:rPr>
          <w:bCs w:val="0"/>
        </w:rPr>
        <w:t>- Cancellazioni perenzioni esercizio 2016 per Assessorati</w:t>
      </w:r>
      <w:bookmarkEnd w:id="199"/>
    </w:p>
    <w:tbl>
      <w:tblPr>
        <w:tblW w:w="5000" w:type="pct"/>
        <w:jc w:val="center"/>
        <w:tblCellMar>
          <w:left w:w="70" w:type="dxa"/>
          <w:right w:w="70" w:type="dxa"/>
        </w:tblCellMar>
        <w:tblLook w:val="0000" w:firstRow="0" w:lastRow="0" w:firstColumn="0" w:lastColumn="0" w:noHBand="0" w:noVBand="0"/>
      </w:tblPr>
      <w:tblGrid>
        <w:gridCol w:w="6186"/>
        <w:gridCol w:w="3875"/>
      </w:tblGrid>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01 Presidenza</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14.948.545,66</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02 Affari Generali</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991.826,20</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03 Bilancio Programmazione</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4.418.272,23</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04 Enti Locali</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48.786.822,91</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05 Difesa Ambiente</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11.159.499,46</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06 Agricoltura</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31.637.895,01</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07 Turismo</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43.888.861,85</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08 Lavori Pubblici</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140.112.589,91</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09 Industria</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14.894.130,83</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10 Lavoro</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5.384.929,33</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11 Istruzione</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31.375.350,84</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12 Igiene Sanità</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20.514.141,83</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color w:val="FFFFFF"/>
                <w:sz w:val="20"/>
                <w:szCs w:val="20"/>
              </w:rPr>
            </w:pPr>
            <w:r w:rsidRPr="005A38B6">
              <w:rPr>
                <w:rFonts w:ascii="Bodoni MT" w:eastAsia="Calibri" w:hAnsi="Bodoni MT" w:cs="Bodoni MT"/>
                <w:color w:val="FFFFFF"/>
                <w:sz w:val="20"/>
                <w:szCs w:val="20"/>
              </w:rPr>
              <w:t>13 Trasporti</w:t>
            </w:r>
          </w:p>
        </w:tc>
        <w:tc>
          <w:tcPr>
            <w:tcW w:w="1926" w:type="pct"/>
            <w:tcBorders>
              <w:top w:val="single" w:sz="6" w:space="0" w:color="auto"/>
              <w:left w:val="single" w:sz="6" w:space="0" w:color="auto"/>
              <w:bottom w:val="single" w:sz="6" w:space="0" w:color="auto"/>
              <w:right w:val="single" w:sz="6" w:space="0" w:color="auto"/>
            </w:tcBorders>
            <w:shd w:val="solid" w:color="FFFFFF" w:fill="auto"/>
            <w:vAlign w:val="center"/>
          </w:tcPr>
          <w:p w:rsidR="005D660C" w:rsidRPr="00B95465" w:rsidRDefault="005D660C" w:rsidP="005A38B6">
            <w:pPr>
              <w:autoSpaceDE w:val="0"/>
              <w:autoSpaceDN w:val="0"/>
              <w:adjustRightInd w:val="0"/>
              <w:spacing w:after="0" w:line="240" w:lineRule="auto"/>
              <w:jc w:val="right"/>
              <w:rPr>
                <w:rFonts w:eastAsia="Calibri" w:cstheme="minorHAnsi"/>
                <w:color w:val="000000"/>
                <w:sz w:val="20"/>
                <w:szCs w:val="20"/>
              </w:rPr>
            </w:pPr>
            <w:r w:rsidRPr="00B95465">
              <w:rPr>
                <w:rFonts w:eastAsia="Calibri" w:cstheme="minorHAnsi"/>
                <w:color w:val="000000"/>
                <w:sz w:val="20"/>
                <w:szCs w:val="20"/>
              </w:rPr>
              <w:t>15.730.712,36</w:t>
            </w:r>
          </w:p>
        </w:tc>
      </w:tr>
      <w:tr w:rsidR="005D660C" w:rsidRPr="005A38B6" w:rsidTr="005A38B6">
        <w:trPr>
          <w:trHeight w:val="290"/>
          <w:jc w:val="center"/>
        </w:trPr>
        <w:tc>
          <w:tcPr>
            <w:tcW w:w="3074" w:type="pct"/>
            <w:tcBorders>
              <w:top w:val="single" w:sz="6" w:space="0" w:color="auto"/>
              <w:left w:val="single" w:sz="6" w:space="0" w:color="auto"/>
              <w:bottom w:val="single" w:sz="6" w:space="0" w:color="auto"/>
              <w:right w:val="single" w:sz="6" w:space="0" w:color="auto"/>
            </w:tcBorders>
            <w:shd w:val="clear" w:color="auto" w:fill="8EAADB"/>
            <w:vAlign w:val="center"/>
          </w:tcPr>
          <w:p w:rsidR="005D660C" w:rsidRPr="005A38B6" w:rsidRDefault="005D660C" w:rsidP="005A38B6">
            <w:pPr>
              <w:autoSpaceDE w:val="0"/>
              <w:autoSpaceDN w:val="0"/>
              <w:adjustRightInd w:val="0"/>
              <w:spacing w:after="0" w:line="240" w:lineRule="auto"/>
              <w:rPr>
                <w:rFonts w:ascii="Bodoni MT" w:eastAsia="Calibri" w:hAnsi="Bodoni MT" w:cs="Bodoni MT"/>
                <w:b/>
                <w:bCs/>
                <w:color w:val="FFFFFF"/>
                <w:sz w:val="20"/>
                <w:szCs w:val="20"/>
              </w:rPr>
            </w:pPr>
            <w:r w:rsidRPr="005A38B6">
              <w:rPr>
                <w:rFonts w:ascii="Bodoni MT" w:eastAsia="Calibri" w:hAnsi="Bodoni MT" w:cs="Bodoni MT"/>
                <w:b/>
                <w:bCs/>
                <w:color w:val="FFFFFF"/>
                <w:sz w:val="20"/>
                <w:szCs w:val="20"/>
              </w:rPr>
              <w:t>TOTALE</w:t>
            </w:r>
          </w:p>
        </w:tc>
        <w:tc>
          <w:tcPr>
            <w:tcW w:w="1926" w:type="pct"/>
            <w:tcBorders>
              <w:top w:val="single" w:sz="6" w:space="0" w:color="auto"/>
              <w:left w:val="single" w:sz="6" w:space="0" w:color="auto"/>
              <w:bottom w:val="single" w:sz="6" w:space="0" w:color="auto"/>
              <w:right w:val="single" w:sz="6" w:space="0" w:color="auto"/>
            </w:tcBorders>
            <w:vAlign w:val="center"/>
          </w:tcPr>
          <w:p w:rsidR="005D660C" w:rsidRPr="00B95465" w:rsidRDefault="005D660C" w:rsidP="005A38B6">
            <w:pPr>
              <w:autoSpaceDE w:val="0"/>
              <w:autoSpaceDN w:val="0"/>
              <w:adjustRightInd w:val="0"/>
              <w:spacing w:after="0" w:line="240" w:lineRule="auto"/>
              <w:jc w:val="right"/>
              <w:rPr>
                <w:rFonts w:eastAsia="Calibri" w:cstheme="minorHAnsi"/>
                <w:b/>
                <w:bCs/>
                <w:color w:val="000000"/>
                <w:sz w:val="20"/>
                <w:szCs w:val="20"/>
              </w:rPr>
            </w:pPr>
            <w:r w:rsidRPr="00B95465">
              <w:rPr>
                <w:rFonts w:eastAsia="Calibri" w:cstheme="minorHAnsi"/>
                <w:b/>
                <w:bCs/>
                <w:color w:val="000000"/>
                <w:sz w:val="20"/>
                <w:szCs w:val="20"/>
              </w:rPr>
              <w:t>383.843.578,42</w:t>
            </w:r>
          </w:p>
        </w:tc>
      </w:tr>
    </w:tbl>
    <w:p w:rsidR="005D660C" w:rsidRPr="005D660C" w:rsidRDefault="005D660C" w:rsidP="005D660C">
      <w:pPr>
        <w:spacing w:after="0" w:line="240" w:lineRule="auto"/>
        <w:jc w:val="both"/>
        <w:rPr>
          <w:rFonts w:ascii="Bodoni MT" w:eastAsia="Times New Roman" w:hAnsi="Bodoni MT" w:cs="Bodoni MT"/>
          <w:color w:val="000000"/>
          <w:sz w:val="18"/>
          <w:szCs w:val="18"/>
        </w:rPr>
      </w:pPr>
      <w:r w:rsidRPr="005D660C">
        <w:rPr>
          <w:rFonts w:ascii="Bodoni MT" w:eastAsia="Times New Roman" w:hAnsi="Bodoni MT" w:cs="Bodoni MT"/>
          <w:color w:val="000000"/>
          <w:sz w:val="18"/>
          <w:szCs w:val="18"/>
        </w:rPr>
        <w:t>Fonte: Elaborazione Corte dei conti su dati delle Direzioni generali e dei servizi finanziari dell’Assessorato della Programmazione, bilancio, credito e assetto del territorio</w:t>
      </w:r>
    </w:p>
    <w:p w:rsidR="005D660C" w:rsidRPr="00AD5BF7" w:rsidRDefault="005E7434" w:rsidP="005E7434">
      <w:pPr>
        <w:pStyle w:val="Didascalia"/>
        <w:rPr>
          <w:rFonts w:eastAsia="Times New Roman" w:cs="Calibri"/>
          <w:color w:val="000000"/>
          <w:sz w:val="24"/>
          <w:szCs w:val="24"/>
          <w:lang w:eastAsia="it-IT"/>
        </w:rPr>
      </w:pPr>
      <w:bookmarkStart w:id="200" w:name="_Toc499041003"/>
      <w:bookmarkStart w:id="201" w:name="_Toc507422722"/>
      <w:r>
        <w:t xml:space="preserve">Grafico </w:t>
      </w:r>
      <w:r w:rsidR="00B90472">
        <w:fldChar w:fldCharType="begin"/>
      </w:r>
      <w:r w:rsidR="00B90472">
        <w:instrText xml:space="preserve"> SEQ Grafico \* ARABIC </w:instrText>
      </w:r>
      <w:r w:rsidR="00B90472">
        <w:fldChar w:fldCharType="separate"/>
      </w:r>
      <w:r w:rsidR="008616B3">
        <w:rPr>
          <w:noProof/>
        </w:rPr>
        <w:t>19</w:t>
      </w:r>
      <w:r w:rsidR="00B90472">
        <w:rPr>
          <w:noProof/>
        </w:rPr>
        <w:fldChar w:fldCharType="end"/>
      </w:r>
      <w:r w:rsidR="005D660C" w:rsidRPr="005D660C">
        <w:rPr>
          <w:b w:val="0"/>
          <w:bCs w:val="0"/>
        </w:rPr>
        <w:t xml:space="preserve"> </w:t>
      </w:r>
      <w:r w:rsidR="005D660C" w:rsidRPr="00AD5BF7">
        <w:rPr>
          <w:bCs w:val="0"/>
        </w:rPr>
        <w:t xml:space="preserve">- </w:t>
      </w:r>
      <w:r w:rsidR="005D660C" w:rsidRPr="00AD5BF7">
        <w:rPr>
          <w:rFonts w:eastAsia="Times New Roman" w:cs="Calibri"/>
          <w:color w:val="000000"/>
          <w:sz w:val="24"/>
          <w:szCs w:val="24"/>
          <w:lang w:eastAsia="it-IT"/>
        </w:rPr>
        <w:t>Cancellazione perenzioni esercizio 2016 per As</w:t>
      </w:r>
      <w:r w:rsidR="00FF2CC0">
        <w:rPr>
          <w:rFonts w:eastAsia="Times New Roman" w:cs="Calibri"/>
          <w:color w:val="000000"/>
          <w:sz w:val="24"/>
          <w:szCs w:val="24"/>
          <w:lang w:eastAsia="it-IT"/>
        </w:rPr>
        <w:t>sessorati (Valore complessivo € </w:t>
      </w:r>
      <w:r w:rsidR="005D660C" w:rsidRPr="00AD5BF7">
        <w:rPr>
          <w:rFonts w:eastAsia="Times New Roman" w:cs="Calibri"/>
          <w:color w:val="000000"/>
          <w:sz w:val="24"/>
          <w:szCs w:val="24"/>
          <w:lang w:eastAsia="it-IT"/>
        </w:rPr>
        <w:t>383.843.578,42)</w:t>
      </w:r>
      <w:bookmarkEnd w:id="200"/>
      <w:bookmarkEnd w:id="201"/>
    </w:p>
    <w:p w:rsidR="005D660C" w:rsidRPr="005D660C" w:rsidRDefault="005D660C" w:rsidP="005D660C">
      <w:pPr>
        <w:autoSpaceDE w:val="0"/>
        <w:autoSpaceDN w:val="0"/>
        <w:adjustRightInd w:val="0"/>
        <w:spacing w:after="120" w:line="360" w:lineRule="auto"/>
        <w:jc w:val="center"/>
        <w:textAlignment w:val="center"/>
        <w:rPr>
          <w:rFonts w:ascii="Bodoni MT" w:eastAsiaTheme="minorEastAsia" w:hAnsi="Bodoni MT" w:cs="Bodoni MT"/>
          <w:color w:val="000000"/>
          <w:sz w:val="24"/>
          <w:szCs w:val="24"/>
          <w:lang w:eastAsia="it-IT"/>
        </w:rPr>
      </w:pPr>
      <w:r w:rsidRPr="005D660C">
        <w:rPr>
          <w:rFonts w:ascii="Bodoni MT" w:eastAsiaTheme="minorEastAsia" w:hAnsi="Bodoni MT" w:cs="Bodoni MT"/>
          <w:noProof/>
          <w:color w:val="000000"/>
          <w:sz w:val="24"/>
          <w:szCs w:val="24"/>
          <w:lang w:eastAsia="it-IT"/>
        </w:rPr>
        <w:drawing>
          <wp:inline distT="0" distB="0" distL="0" distR="0" wp14:anchorId="58CEBEFA" wp14:editId="0E8167E5">
            <wp:extent cx="6120765" cy="3615055"/>
            <wp:effectExtent l="0" t="0" r="0" b="444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765" cy="3615055"/>
                    </a:xfrm>
                    <a:prstGeom prst="rect">
                      <a:avLst/>
                    </a:prstGeom>
                    <a:noFill/>
                  </pic:spPr>
                </pic:pic>
              </a:graphicData>
            </a:graphic>
          </wp:inline>
        </w:drawing>
      </w:r>
    </w:p>
    <w:p w:rsidR="00D30429" w:rsidRDefault="00D30429" w:rsidP="00C05880">
      <w:pPr>
        <w:pStyle w:val="Didascalia"/>
      </w:pPr>
      <w:bookmarkStart w:id="202" w:name="_Toc499040975"/>
      <w:r>
        <w:lastRenderedPageBreak/>
        <w:br w:type="page"/>
      </w:r>
    </w:p>
    <w:p w:rsidR="005D660C" w:rsidRPr="00AD5BF7" w:rsidRDefault="00C05880" w:rsidP="00C05880">
      <w:pPr>
        <w:pStyle w:val="Didascalia"/>
        <w:rPr>
          <w:rFonts w:eastAsia="Times New Roman" w:cs="Calibri"/>
          <w:bCs w:val="0"/>
          <w:color w:val="000000"/>
          <w:lang w:eastAsia="it-IT"/>
        </w:rPr>
      </w:pPr>
      <w:bookmarkStart w:id="203" w:name="_Toc507422501"/>
      <w:r>
        <w:lastRenderedPageBreak/>
        <w:t xml:space="preserve">Tabella </w:t>
      </w:r>
      <w:r w:rsidR="00B90472">
        <w:fldChar w:fldCharType="begin"/>
      </w:r>
      <w:r w:rsidR="00B90472">
        <w:instrText xml:space="preserve"> SEQ Tabella \* ARABIC </w:instrText>
      </w:r>
      <w:r w:rsidR="00B90472">
        <w:fldChar w:fldCharType="separate"/>
      </w:r>
      <w:r w:rsidR="008616B3">
        <w:rPr>
          <w:noProof/>
        </w:rPr>
        <w:t>33</w:t>
      </w:r>
      <w:r w:rsidR="00B90472">
        <w:rPr>
          <w:noProof/>
        </w:rPr>
        <w:fldChar w:fldCharType="end"/>
      </w:r>
      <w:r w:rsidR="005D660C" w:rsidRPr="005D660C">
        <w:rPr>
          <w:b w:val="0"/>
          <w:bCs w:val="0"/>
        </w:rPr>
        <w:t xml:space="preserve"> </w:t>
      </w:r>
      <w:r w:rsidR="005D660C" w:rsidRPr="00AD5BF7">
        <w:rPr>
          <w:bCs w:val="0"/>
        </w:rPr>
        <w:t xml:space="preserve">- </w:t>
      </w:r>
      <w:r w:rsidR="005D660C" w:rsidRPr="00AD5BF7">
        <w:rPr>
          <w:rFonts w:eastAsia="Times New Roman" w:cs="Calibri"/>
          <w:bCs w:val="0"/>
          <w:color w:val="000000"/>
          <w:lang w:eastAsia="it-IT"/>
        </w:rPr>
        <w:t>Cancellazione perenzioni esercizio 2016 per Creditori</w:t>
      </w:r>
      <w:bookmarkEnd w:id="202"/>
      <w:bookmarkEnd w:id="203"/>
    </w:p>
    <w:tbl>
      <w:tblPr>
        <w:tblW w:w="5000" w:type="pct"/>
        <w:jc w:val="center"/>
        <w:tblCellMar>
          <w:left w:w="70" w:type="dxa"/>
          <w:right w:w="70" w:type="dxa"/>
        </w:tblCellMar>
        <w:tblLook w:val="04A0" w:firstRow="1" w:lastRow="0" w:firstColumn="1" w:lastColumn="0" w:noHBand="0" w:noVBand="1"/>
      </w:tblPr>
      <w:tblGrid>
        <w:gridCol w:w="6843"/>
        <w:gridCol w:w="3218"/>
      </w:tblGrid>
      <w:tr w:rsidR="005D660C" w:rsidRPr="005D660C" w:rsidTr="00B95465">
        <w:trPr>
          <w:trHeight w:val="390"/>
          <w:jc w:val="center"/>
        </w:trPr>
        <w:tc>
          <w:tcPr>
            <w:tcW w:w="3401" w:type="pct"/>
            <w:tcBorders>
              <w:top w:val="single" w:sz="4" w:space="0" w:color="auto"/>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Comuni e Unioni di Comuni</w:t>
            </w:r>
          </w:p>
        </w:tc>
        <w:tc>
          <w:tcPr>
            <w:tcW w:w="1599" w:type="pct"/>
            <w:tcBorders>
              <w:top w:val="single" w:sz="4" w:space="0" w:color="auto"/>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114.481.421,62</w:t>
            </w:r>
          </w:p>
        </w:tc>
      </w:tr>
      <w:tr w:rsidR="005D660C" w:rsidRPr="005D660C" w:rsidTr="00B95465">
        <w:trPr>
          <w:trHeight w:val="42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Scuole, Ass. culturali e sportive</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19.584.224,66</w:t>
            </w:r>
          </w:p>
        </w:tc>
      </w:tr>
      <w:tr w:rsidR="005D660C" w:rsidRPr="005D660C" w:rsidTr="00B95465">
        <w:trPr>
          <w:trHeight w:val="30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Aziende sanitarie</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44.094.822,48</w:t>
            </w:r>
          </w:p>
        </w:tc>
      </w:tr>
      <w:tr w:rsidR="005D660C" w:rsidRPr="005D660C" w:rsidTr="00B95465">
        <w:trPr>
          <w:trHeight w:val="36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Abbanoa</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154.937,52</w:t>
            </w:r>
          </w:p>
        </w:tc>
      </w:tr>
      <w:tr w:rsidR="005D660C" w:rsidRPr="005D660C" w:rsidTr="00B95465">
        <w:trPr>
          <w:trHeight w:val="36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Agenzie Regionali</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47.585.724,42</w:t>
            </w:r>
          </w:p>
        </w:tc>
      </w:tr>
      <w:tr w:rsidR="005D660C" w:rsidRPr="005D660C" w:rsidTr="00B95465">
        <w:trPr>
          <w:trHeight w:val="375"/>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Amm. Provinciali e Comunità Montane</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4.214.373,28</w:t>
            </w:r>
          </w:p>
        </w:tc>
      </w:tr>
      <w:tr w:rsidR="005D660C" w:rsidRPr="005D660C" w:rsidTr="00B95465">
        <w:trPr>
          <w:trHeight w:val="345"/>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ANAS Spa</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28.653.698,96</w:t>
            </w:r>
          </w:p>
        </w:tc>
      </w:tr>
      <w:tr w:rsidR="005D660C" w:rsidRPr="005D660C" w:rsidTr="00B95465">
        <w:trPr>
          <w:trHeight w:val="375"/>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Autorità d'Ambito - EGAS</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13.850.000,00</w:t>
            </w:r>
          </w:p>
        </w:tc>
      </w:tr>
      <w:tr w:rsidR="005D660C" w:rsidRPr="005D660C" w:rsidTr="00B95465">
        <w:trPr>
          <w:trHeight w:val="30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Banche</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50.442.388,52</w:t>
            </w:r>
          </w:p>
        </w:tc>
      </w:tr>
      <w:tr w:rsidR="005D660C" w:rsidRPr="005D660C" w:rsidTr="00B95465">
        <w:trPr>
          <w:trHeight w:val="300"/>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color w:val="FFFFFF"/>
                <w:sz w:val="20"/>
                <w:szCs w:val="20"/>
                <w:lang w:eastAsia="it-IT"/>
              </w:rPr>
            </w:pPr>
            <w:r w:rsidRPr="005D660C">
              <w:rPr>
                <w:rFonts w:ascii="Bodoni MT" w:eastAsia="Times New Roman" w:hAnsi="Bodoni MT" w:cs="Calibri"/>
                <w:color w:val="FFFFFF"/>
                <w:sz w:val="20"/>
                <w:szCs w:val="20"/>
                <w:lang w:eastAsia="it-IT"/>
              </w:rPr>
              <w:t>Persone fisiche ed Altri</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color w:val="000000"/>
                <w:sz w:val="18"/>
                <w:szCs w:val="18"/>
                <w:lang w:eastAsia="it-IT"/>
              </w:rPr>
            </w:pPr>
            <w:r w:rsidRPr="00006277">
              <w:rPr>
                <w:rFonts w:eastAsia="Times New Roman" w:cstheme="minorHAnsi"/>
                <w:color w:val="000000"/>
                <w:sz w:val="18"/>
                <w:szCs w:val="18"/>
                <w:lang w:eastAsia="it-IT"/>
              </w:rPr>
              <w:t>60.781.986,96</w:t>
            </w:r>
          </w:p>
        </w:tc>
      </w:tr>
      <w:tr w:rsidR="005D660C" w:rsidRPr="005D660C" w:rsidTr="00B95465">
        <w:trPr>
          <w:trHeight w:val="405"/>
          <w:jc w:val="center"/>
        </w:trPr>
        <w:tc>
          <w:tcPr>
            <w:tcW w:w="3401" w:type="pct"/>
            <w:tcBorders>
              <w:top w:val="nil"/>
              <w:left w:val="single" w:sz="4" w:space="0" w:color="auto"/>
              <w:bottom w:val="single" w:sz="4" w:space="0" w:color="auto"/>
              <w:right w:val="single" w:sz="4" w:space="0" w:color="auto"/>
            </w:tcBorders>
            <w:shd w:val="clear" w:color="000000" w:fill="8EAADB"/>
            <w:noWrap/>
            <w:vAlign w:val="center"/>
            <w:hideMark/>
          </w:tcPr>
          <w:p w:rsidR="005D660C" w:rsidRPr="005D660C" w:rsidRDefault="005D660C" w:rsidP="00B95465">
            <w:pPr>
              <w:spacing w:after="0" w:line="240" w:lineRule="auto"/>
              <w:rPr>
                <w:rFonts w:ascii="Bodoni MT" w:eastAsia="Times New Roman" w:hAnsi="Bodoni MT" w:cs="Calibri"/>
                <w:b/>
                <w:bCs/>
                <w:color w:val="FFFFFF"/>
                <w:sz w:val="20"/>
                <w:szCs w:val="20"/>
                <w:lang w:eastAsia="it-IT"/>
              </w:rPr>
            </w:pPr>
            <w:r w:rsidRPr="005D660C">
              <w:rPr>
                <w:rFonts w:ascii="Bodoni MT" w:eastAsia="Times New Roman" w:hAnsi="Bodoni MT" w:cs="Calibri"/>
                <w:b/>
                <w:bCs/>
                <w:color w:val="FFFFFF"/>
                <w:sz w:val="20"/>
                <w:szCs w:val="20"/>
                <w:lang w:eastAsia="it-IT"/>
              </w:rPr>
              <w:t>Totale importi cancellati</w:t>
            </w:r>
          </w:p>
        </w:tc>
        <w:tc>
          <w:tcPr>
            <w:tcW w:w="1599" w:type="pct"/>
            <w:tcBorders>
              <w:top w:val="nil"/>
              <w:left w:val="nil"/>
              <w:bottom w:val="single" w:sz="4" w:space="0" w:color="auto"/>
              <w:right w:val="single" w:sz="4" w:space="0" w:color="auto"/>
            </w:tcBorders>
            <w:shd w:val="clear" w:color="auto" w:fill="auto"/>
            <w:noWrap/>
            <w:vAlign w:val="center"/>
            <w:hideMark/>
          </w:tcPr>
          <w:p w:rsidR="005D660C" w:rsidRPr="00006277" w:rsidRDefault="005D660C" w:rsidP="00B95465">
            <w:pPr>
              <w:spacing w:after="0" w:line="240" w:lineRule="auto"/>
              <w:jc w:val="right"/>
              <w:rPr>
                <w:rFonts w:eastAsia="Times New Roman" w:cstheme="minorHAnsi"/>
                <w:b/>
                <w:bCs/>
                <w:color w:val="000000"/>
                <w:sz w:val="18"/>
                <w:szCs w:val="18"/>
                <w:lang w:eastAsia="it-IT"/>
              </w:rPr>
            </w:pPr>
            <w:r w:rsidRPr="00006277">
              <w:rPr>
                <w:rFonts w:eastAsia="Times New Roman" w:cstheme="minorHAnsi"/>
                <w:b/>
                <w:bCs/>
                <w:color w:val="000000"/>
                <w:sz w:val="18"/>
                <w:szCs w:val="18"/>
                <w:lang w:eastAsia="it-IT"/>
              </w:rPr>
              <w:t>383.843.578,42</w:t>
            </w:r>
          </w:p>
        </w:tc>
      </w:tr>
    </w:tbl>
    <w:p w:rsidR="005D660C" w:rsidRPr="005D660C" w:rsidRDefault="005D660C" w:rsidP="005D660C">
      <w:pPr>
        <w:spacing w:after="0" w:line="240" w:lineRule="auto"/>
        <w:jc w:val="both"/>
        <w:rPr>
          <w:rFonts w:ascii="Bodoni MT" w:eastAsiaTheme="minorEastAsia" w:hAnsi="Bodoni MT" w:cs="Bodoni MT"/>
          <w:color w:val="000000"/>
          <w:sz w:val="18"/>
          <w:szCs w:val="18"/>
        </w:rPr>
      </w:pPr>
      <w:r w:rsidRPr="005D660C">
        <w:rPr>
          <w:rFonts w:ascii="Bodoni MT" w:eastAsiaTheme="minorEastAsia" w:hAnsi="Bodoni MT" w:cs="Bodoni MT"/>
          <w:color w:val="000000"/>
          <w:sz w:val="18"/>
          <w:szCs w:val="18"/>
        </w:rPr>
        <w:t>Fonte: Elaborazione Corte dei conti su dati delle Direzioni generali e dei servizi finanziari dell’Assessorato della Programmazione, bilancio, credito e assetto del territorio</w:t>
      </w:r>
    </w:p>
    <w:p w:rsidR="005D660C" w:rsidRPr="00AD5BF7" w:rsidRDefault="00AD5BF7" w:rsidP="00AD5BF7">
      <w:pPr>
        <w:pStyle w:val="Didascalia"/>
        <w:rPr>
          <w:bCs w:val="0"/>
          <w:lang w:eastAsia="it-IT"/>
        </w:rPr>
      </w:pPr>
      <w:bookmarkStart w:id="204" w:name="_Toc499041004"/>
      <w:bookmarkStart w:id="205" w:name="_Toc507422723"/>
      <w:r>
        <w:t xml:space="preserve">Grafico </w:t>
      </w:r>
      <w:r w:rsidR="00B90472">
        <w:fldChar w:fldCharType="begin"/>
      </w:r>
      <w:r w:rsidR="00B90472">
        <w:instrText xml:space="preserve"> SEQ Grafico \* ARABIC </w:instrText>
      </w:r>
      <w:r w:rsidR="00B90472">
        <w:fldChar w:fldCharType="separate"/>
      </w:r>
      <w:r w:rsidR="008616B3">
        <w:rPr>
          <w:noProof/>
        </w:rPr>
        <w:t>20</w:t>
      </w:r>
      <w:r w:rsidR="00B90472">
        <w:rPr>
          <w:noProof/>
        </w:rPr>
        <w:fldChar w:fldCharType="end"/>
      </w:r>
      <w:r w:rsidR="005D660C" w:rsidRPr="005D660C">
        <w:rPr>
          <w:b w:val="0"/>
          <w:bCs w:val="0"/>
        </w:rPr>
        <w:t xml:space="preserve"> </w:t>
      </w:r>
      <w:r w:rsidR="005D660C" w:rsidRPr="00AD5BF7">
        <w:rPr>
          <w:bCs w:val="0"/>
        </w:rPr>
        <w:t xml:space="preserve">- </w:t>
      </w:r>
      <w:r w:rsidR="005D660C" w:rsidRPr="00AD5BF7">
        <w:rPr>
          <w:rFonts w:eastAsia="Times New Roman" w:cs="Calibri"/>
          <w:bCs w:val="0"/>
          <w:color w:val="000000"/>
          <w:sz w:val="24"/>
          <w:szCs w:val="24"/>
          <w:lang w:eastAsia="it-IT"/>
        </w:rPr>
        <w:t>Cancellazione perenzioni esercizio 2016 per Creditori (Valore complessivo € 383.843.578,42)</w:t>
      </w:r>
      <w:bookmarkEnd w:id="204"/>
      <w:bookmarkEnd w:id="205"/>
    </w:p>
    <w:p w:rsidR="005D660C" w:rsidRPr="005D660C" w:rsidRDefault="005D660C" w:rsidP="005D660C">
      <w:pPr>
        <w:autoSpaceDE w:val="0"/>
        <w:autoSpaceDN w:val="0"/>
        <w:adjustRightInd w:val="0"/>
        <w:spacing w:after="120" w:line="360" w:lineRule="auto"/>
        <w:jc w:val="center"/>
        <w:textAlignment w:val="center"/>
        <w:rPr>
          <w:rFonts w:ascii="Bodoni MT" w:eastAsiaTheme="minorEastAsia" w:hAnsi="Bodoni MT" w:cs="Bodoni MT"/>
          <w:color w:val="000000"/>
          <w:sz w:val="24"/>
          <w:szCs w:val="24"/>
          <w:lang w:eastAsia="it-IT"/>
        </w:rPr>
      </w:pPr>
      <w:r w:rsidRPr="005D660C">
        <w:rPr>
          <w:rFonts w:ascii="Bodoni MT" w:eastAsiaTheme="minorEastAsia" w:hAnsi="Bodoni MT" w:cs="Bodoni MT"/>
          <w:noProof/>
          <w:color w:val="000000"/>
          <w:sz w:val="24"/>
          <w:szCs w:val="24"/>
          <w:lang w:eastAsia="it-IT"/>
        </w:rPr>
        <w:drawing>
          <wp:inline distT="0" distB="0" distL="0" distR="0" wp14:anchorId="157B8553" wp14:editId="3EB67F6B">
            <wp:extent cx="6590030" cy="4206875"/>
            <wp:effectExtent l="0" t="0" r="1270" b="317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90030" cy="4206875"/>
                    </a:xfrm>
                    <a:prstGeom prst="rect">
                      <a:avLst/>
                    </a:prstGeom>
                    <a:noFill/>
                  </pic:spPr>
                </pic:pic>
              </a:graphicData>
            </a:graphic>
          </wp:inline>
        </w:drawing>
      </w:r>
    </w:p>
    <w:p w:rsidR="005D660C" w:rsidRPr="005D660C" w:rsidRDefault="005D660C" w:rsidP="00AD5BF7">
      <w:pPr>
        <w:pStyle w:val="Titolo2"/>
      </w:pPr>
      <w:bookmarkStart w:id="206" w:name="_Toc499040938"/>
      <w:bookmarkStart w:id="207" w:name="_Toc507422644"/>
      <w:r w:rsidRPr="005D660C">
        <w:lastRenderedPageBreak/>
        <w:t>La rideterminazione del FPV</w:t>
      </w:r>
      <w:bookmarkEnd w:id="206"/>
      <w:bookmarkEnd w:id="207"/>
      <w:r w:rsidRPr="005D660C">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Nel bilancio di previsione 2016/2018, il </w:t>
      </w:r>
      <w:r w:rsidRPr="00785302">
        <w:rPr>
          <w:rFonts w:ascii="Bodoni MT" w:eastAsiaTheme="minorEastAsia" w:hAnsi="Bodoni MT" w:cs="Bodoni MT"/>
          <w:b/>
          <w:color w:val="000000"/>
          <w:sz w:val="24"/>
          <w:szCs w:val="24"/>
        </w:rPr>
        <w:t>FPV di entrata</w:t>
      </w:r>
      <w:r w:rsidRPr="005D660C">
        <w:rPr>
          <w:rFonts w:ascii="Bodoni MT" w:eastAsiaTheme="minorEastAsia" w:hAnsi="Bodoni MT" w:cs="Bodoni MT"/>
          <w:color w:val="000000"/>
          <w:sz w:val="24"/>
          <w:szCs w:val="24"/>
        </w:rPr>
        <w:t xml:space="preserve"> era stato stimato in € 235.209.887,87</w:t>
      </w:r>
      <w:r w:rsidRPr="005D660C">
        <w:rPr>
          <w:rFonts w:ascii="Bodoni MT" w:eastAsia="Bodoni MT" w:hAnsi="Bodoni MT" w:cs="Bodoni MT"/>
          <w:color w:val="000000"/>
          <w:sz w:val="24"/>
          <w:szCs w:val="24"/>
          <w:lang w:eastAsia="it-IT"/>
        </w:rPr>
        <w:t xml:space="preserve"> (di cui </w:t>
      </w:r>
      <w:r w:rsidR="00B95465">
        <w:rPr>
          <w:rFonts w:ascii="Bodoni MT" w:eastAsia="Bodoni MT" w:hAnsi="Bodoni MT" w:cs="Bodoni MT"/>
          <w:color w:val="000000"/>
          <w:sz w:val="24"/>
          <w:szCs w:val="24"/>
          <w:lang w:eastAsia="it-IT"/>
        </w:rPr>
        <w:t>€ </w:t>
      </w:r>
      <w:r w:rsidRPr="005D660C">
        <w:rPr>
          <w:rFonts w:ascii="Bodoni MT" w:eastAsia="Bodoni MT" w:hAnsi="Bodoni MT" w:cs="Bodoni MT"/>
          <w:color w:val="000000"/>
          <w:sz w:val="24"/>
          <w:szCs w:val="24"/>
          <w:lang w:eastAsia="it-IT"/>
        </w:rPr>
        <w:t xml:space="preserve">10.379.076,38 di parte corrente e € 224.830.811,49 in c/capitale), </w:t>
      </w:r>
      <w:r w:rsidRPr="005D660C">
        <w:rPr>
          <w:rFonts w:ascii="Bodoni MT" w:eastAsiaTheme="minorEastAsia" w:hAnsi="Bodoni MT" w:cs="Bodoni MT"/>
          <w:color w:val="000000"/>
          <w:sz w:val="24"/>
          <w:szCs w:val="24"/>
        </w:rPr>
        <w:t xml:space="preserve">è stato rideterminato a seguito dell’approvazione del rendiconto 2015 in </w:t>
      </w:r>
      <w:r w:rsidRPr="00785302">
        <w:rPr>
          <w:rFonts w:ascii="Bodoni MT" w:eastAsiaTheme="minorEastAsia" w:hAnsi="Bodoni MT" w:cs="Bodoni MT"/>
          <w:b/>
          <w:color w:val="000000"/>
          <w:sz w:val="24"/>
          <w:szCs w:val="24"/>
        </w:rPr>
        <w:t>€ 344.982.335,65</w:t>
      </w:r>
      <w:r w:rsidRPr="005D660C">
        <w:rPr>
          <w:rFonts w:ascii="Bodoni MT" w:eastAsiaTheme="minorEastAsia" w:hAnsi="Bodoni MT" w:cs="Bodoni MT"/>
          <w:color w:val="000000"/>
          <w:sz w:val="24"/>
          <w:szCs w:val="24"/>
        </w:rPr>
        <w:t xml:space="preserve"> (di cui € 56.502.635,51 a copertura delle spese di parte corrente e € 288.479.700,14 per le spese in conto capitale) e riportato nel bilancio di previsione 2016 in sede di assestamento (L.R. n. 36/2016, come modificata dalla L.R. n.</w:t>
      </w:r>
      <w:r w:rsidR="00025F0A">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10/2017).</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Il </w:t>
      </w:r>
      <w:r w:rsidRPr="00785302">
        <w:rPr>
          <w:rFonts w:ascii="Bodoni MT" w:eastAsiaTheme="minorEastAsia" w:hAnsi="Bodoni MT" w:cs="Bodoni MT"/>
          <w:b/>
          <w:color w:val="000000"/>
          <w:sz w:val="24"/>
          <w:szCs w:val="24"/>
        </w:rPr>
        <w:t>FPV di spesa</w:t>
      </w:r>
      <w:r w:rsidRPr="005D660C">
        <w:rPr>
          <w:rFonts w:ascii="Bodoni MT" w:eastAsiaTheme="minorEastAsia" w:hAnsi="Bodoni MT" w:cs="Bodoni MT"/>
          <w:color w:val="000000"/>
          <w:sz w:val="24"/>
          <w:szCs w:val="24"/>
        </w:rPr>
        <w:t xml:space="preserve"> era stato iscritto, nel bilancio di previsione, per complessivi € 961.328,80, di cui €</w:t>
      </w:r>
      <w:r w:rsidR="00DC7B0E">
        <w:rPr>
          <w:rFonts w:ascii="Bodoni MT" w:eastAsiaTheme="minorEastAsia" w:hAnsi="Bodoni MT" w:cs="Bodoni MT"/>
          <w:color w:val="000000"/>
          <w:sz w:val="24"/>
          <w:szCs w:val="24"/>
        </w:rPr>
        <w:t> </w:t>
      </w:r>
      <w:r w:rsidRPr="005D660C">
        <w:rPr>
          <w:rFonts w:ascii="Bodoni MT" w:eastAsiaTheme="minorEastAsia" w:hAnsi="Bodoni MT" w:cs="Bodoni MT"/>
          <w:color w:val="000000"/>
          <w:sz w:val="24"/>
          <w:szCs w:val="24"/>
        </w:rPr>
        <w:t>244.000 di parte corrente e € 717.328,80 in conto capitale. In sede di assestamento</w:t>
      </w:r>
      <w:r w:rsidRPr="005D660C">
        <w:rPr>
          <w:rFonts w:ascii="Bodoni MT" w:eastAsiaTheme="minorEastAsia" w:hAnsi="Bodoni MT" w:cs="Bodoni MT"/>
          <w:color w:val="000000"/>
          <w:sz w:val="24"/>
          <w:szCs w:val="24"/>
          <w:vertAlign w:val="superscript"/>
        </w:rPr>
        <w:footnoteReference w:id="105"/>
      </w:r>
      <w:r w:rsidRPr="005D660C">
        <w:rPr>
          <w:rFonts w:ascii="Bodoni MT" w:eastAsiaTheme="minorEastAsia" w:hAnsi="Bodoni MT" w:cs="Bodoni MT"/>
          <w:color w:val="000000"/>
          <w:sz w:val="24"/>
          <w:szCs w:val="24"/>
        </w:rPr>
        <w:t>, a seguito del riaccertamento ordinario per l’esercizio 2015 (DGR n.</w:t>
      </w:r>
      <w:r w:rsidR="00025F0A">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44/17/2016), e delle ulteriori variazioni nel frattempo intervenute, il FPV di spesa è stato rideterminato in </w:t>
      </w:r>
      <w:r w:rsidRPr="00785302">
        <w:rPr>
          <w:rFonts w:ascii="Bodoni MT" w:eastAsiaTheme="minorEastAsia" w:hAnsi="Bodoni MT" w:cs="Bodoni MT"/>
          <w:b/>
          <w:color w:val="000000"/>
          <w:sz w:val="24"/>
          <w:szCs w:val="24"/>
        </w:rPr>
        <w:t>€ 123.295.148,02</w:t>
      </w:r>
      <w:r w:rsidRPr="005D660C">
        <w:rPr>
          <w:rFonts w:ascii="Bodoni MT" w:eastAsiaTheme="minorEastAsia" w:hAnsi="Bodoni MT" w:cs="Bodoni MT"/>
          <w:color w:val="000000"/>
          <w:sz w:val="24"/>
          <w:szCs w:val="24"/>
        </w:rPr>
        <w:t>, di cui € 8.404.716,29 di parte corrente e € 114.890.431,73 in conto capitale. Successivamente, con la delibera di riaccertamento ordinario 2016 (DGR n.</w:t>
      </w:r>
      <w:r w:rsidR="00025F0A">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26/48/2017, Allegato G), il FPV di spesa è stato definitivamente quantificato in </w:t>
      </w:r>
      <w:r w:rsidRPr="00785302">
        <w:rPr>
          <w:rFonts w:ascii="Bodoni MT" w:eastAsiaTheme="minorEastAsia" w:hAnsi="Bodoni MT" w:cs="Bodoni MT"/>
          <w:b/>
          <w:color w:val="000000"/>
          <w:sz w:val="24"/>
          <w:szCs w:val="24"/>
        </w:rPr>
        <w:t>€ 679.057.586,74</w:t>
      </w:r>
      <w:r w:rsidRPr="005D660C">
        <w:rPr>
          <w:rFonts w:ascii="Bodoni MT" w:eastAsiaTheme="minorEastAsia" w:hAnsi="Bodoni MT" w:cs="Bodoni MT"/>
          <w:color w:val="000000"/>
          <w:sz w:val="24"/>
          <w:szCs w:val="24"/>
        </w:rPr>
        <w:t xml:space="preserve"> di cui € 35.087.191,51 di parte corrente e € 643.970.395,23 in conto capitale. Di seguito si espone l’evoluzione del FPV di spesa.</w:t>
      </w:r>
    </w:p>
    <w:p w:rsidR="005D660C" w:rsidRPr="00AD5BF7" w:rsidRDefault="00C05880" w:rsidP="00C05880">
      <w:pPr>
        <w:pStyle w:val="Didascalia"/>
        <w:rPr>
          <w:bCs w:val="0"/>
          <w:sz w:val="24"/>
          <w:szCs w:val="24"/>
        </w:rPr>
      </w:pPr>
      <w:bookmarkStart w:id="208" w:name="_Toc499040976"/>
      <w:bookmarkStart w:id="209" w:name="_Toc507422502"/>
      <w:r>
        <w:t xml:space="preserve">Tabella </w:t>
      </w:r>
      <w:r w:rsidR="00B90472">
        <w:fldChar w:fldCharType="begin"/>
      </w:r>
      <w:r w:rsidR="00B90472">
        <w:instrText xml:space="preserve"> SEQ</w:instrText>
      </w:r>
      <w:r w:rsidR="00B90472">
        <w:instrText xml:space="preserve"> Tabella \* ARABIC </w:instrText>
      </w:r>
      <w:r w:rsidR="00B90472">
        <w:fldChar w:fldCharType="separate"/>
      </w:r>
      <w:r w:rsidR="008616B3">
        <w:rPr>
          <w:noProof/>
        </w:rPr>
        <w:t>34</w:t>
      </w:r>
      <w:r w:rsidR="00B90472">
        <w:rPr>
          <w:noProof/>
        </w:rPr>
        <w:fldChar w:fldCharType="end"/>
      </w:r>
      <w:r w:rsidR="005D660C" w:rsidRPr="00AD5BF7">
        <w:rPr>
          <w:bCs w:val="0"/>
        </w:rPr>
        <w:t xml:space="preserve"> -</w:t>
      </w:r>
      <w:r w:rsidR="005D660C" w:rsidRPr="00AD5BF7">
        <w:rPr>
          <w:bCs w:val="0"/>
          <w:sz w:val="24"/>
          <w:szCs w:val="24"/>
        </w:rPr>
        <w:t xml:space="preserve"> Evoluzione FPV di spesa 2016</w:t>
      </w:r>
      <w:bookmarkEnd w:id="208"/>
      <w:bookmarkEnd w:id="2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5"/>
        <w:gridCol w:w="1584"/>
        <w:gridCol w:w="2262"/>
        <w:gridCol w:w="2250"/>
      </w:tblGrid>
      <w:tr w:rsidR="005D660C" w:rsidRPr="00B95465" w:rsidTr="00B95465">
        <w:trPr>
          <w:trHeight w:val="270"/>
          <w:jc w:val="center"/>
        </w:trPr>
        <w:tc>
          <w:tcPr>
            <w:tcW w:w="5000" w:type="pct"/>
            <w:gridSpan w:val="4"/>
            <w:shd w:val="clear" w:color="auto" w:fill="17365D" w:themeFill="text2" w:themeFillShade="BF"/>
            <w:noWrap/>
            <w:vAlign w:val="center"/>
            <w:hideMark/>
          </w:tcPr>
          <w:p w:rsidR="005D660C" w:rsidRPr="00B95465" w:rsidRDefault="005D660C" w:rsidP="005D660C">
            <w:pPr>
              <w:spacing w:after="0" w:line="240" w:lineRule="auto"/>
              <w:jc w:val="center"/>
              <w:rPr>
                <w:rFonts w:ascii="Bodoni MT" w:eastAsia="Times New Roman" w:hAnsi="Bodoni MT" w:cs="Arial"/>
                <w:b/>
                <w:bCs/>
                <w:color w:val="FFFFFF"/>
                <w:sz w:val="20"/>
                <w:szCs w:val="20"/>
                <w:lang w:eastAsia="it-IT"/>
              </w:rPr>
            </w:pPr>
            <w:r w:rsidRPr="00B95465">
              <w:rPr>
                <w:rFonts w:ascii="Bodoni MT" w:eastAsia="Times New Roman" w:hAnsi="Bodoni MT" w:cs="Arial"/>
                <w:b/>
                <w:bCs/>
                <w:color w:val="FFFFFF"/>
                <w:sz w:val="20"/>
                <w:szCs w:val="20"/>
                <w:lang w:eastAsia="it-IT"/>
              </w:rPr>
              <w:t>FPV DI SPESA 2016</w:t>
            </w:r>
          </w:p>
        </w:tc>
      </w:tr>
      <w:tr w:rsidR="005D660C" w:rsidRPr="00B95465" w:rsidTr="00B95465">
        <w:trPr>
          <w:trHeight w:val="300"/>
          <w:jc w:val="center"/>
        </w:trPr>
        <w:tc>
          <w:tcPr>
            <w:tcW w:w="1971" w:type="pct"/>
            <w:shd w:val="clear" w:color="auto" w:fill="17365D" w:themeFill="text2" w:themeFillShade="BF"/>
            <w:noWrap/>
            <w:vAlign w:val="bottom"/>
            <w:hideMark/>
          </w:tcPr>
          <w:p w:rsidR="005D660C" w:rsidRPr="00B95465" w:rsidRDefault="005D660C" w:rsidP="005D660C">
            <w:pPr>
              <w:spacing w:after="0" w:line="240" w:lineRule="auto"/>
              <w:rPr>
                <w:rFonts w:ascii="Bodoni MT" w:eastAsia="Times New Roman" w:hAnsi="Bodoni MT" w:cs="Arial"/>
                <w:color w:val="FFFFFF"/>
                <w:sz w:val="20"/>
                <w:szCs w:val="20"/>
                <w:lang w:eastAsia="it-IT"/>
              </w:rPr>
            </w:pPr>
            <w:r w:rsidRPr="00B95465">
              <w:rPr>
                <w:rFonts w:ascii="Bodoni MT" w:eastAsia="Times New Roman" w:hAnsi="Bodoni MT" w:cs="Arial"/>
                <w:color w:val="FFFFFF"/>
                <w:sz w:val="20"/>
                <w:szCs w:val="20"/>
                <w:lang w:eastAsia="it-IT"/>
              </w:rPr>
              <w:t> </w:t>
            </w:r>
          </w:p>
        </w:tc>
        <w:tc>
          <w:tcPr>
            <w:tcW w:w="787" w:type="pct"/>
            <w:shd w:val="clear" w:color="auto" w:fill="17365D" w:themeFill="text2" w:themeFillShade="BF"/>
            <w:noWrap/>
            <w:vAlign w:val="center"/>
            <w:hideMark/>
          </w:tcPr>
          <w:p w:rsidR="005D660C" w:rsidRPr="00B95465" w:rsidRDefault="005D660C" w:rsidP="005D660C">
            <w:pPr>
              <w:spacing w:after="0" w:line="240" w:lineRule="auto"/>
              <w:jc w:val="center"/>
              <w:rPr>
                <w:rFonts w:ascii="Bodoni MT" w:eastAsia="Times New Roman" w:hAnsi="Bodoni MT" w:cs="Arial"/>
                <w:b/>
                <w:bCs/>
                <w:color w:val="FFFFFF"/>
                <w:sz w:val="20"/>
                <w:szCs w:val="20"/>
                <w:lang w:eastAsia="it-IT"/>
              </w:rPr>
            </w:pPr>
            <w:r w:rsidRPr="00B95465">
              <w:rPr>
                <w:rFonts w:ascii="Bodoni MT" w:eastAsia="Times New Roman" w:hAnsi="Bodoni MT" w:cs="Arial"/>
                <w:b/>
                <w:bCs/>
                <w:color w:val="FFFFFF"/>
                <w:sz w:val="20"/>
                <w:szCs w:val="20"/>
                <w:lang w:eastAsia="it-IT"/>
              </w:rPr>
              <w:t>CORRENTE</w:t>
            </w:r>
          </w:p>
        </w:tc>
        <w:tc>
          <w:tcPr>
            <w:tcW w:w="1124" w:type="pct"/>
            <w:shd w:val="clear" w:color="auto" w:fill="17365D" w:themeFill="text2" w:themeFillShade="BF"/>
            <w:noWrap/>
            <w:vAlign w:val="center"/>
            <w:hideMark/>
          </w:tcPr>
          <w:p w:rsidR="005D660C" w:rsidRPr="00B95465" w:rsidRDefault="005D660C" w:rsidP="005D660C">
            <w:pPr>
              <w:spacing w:after="0" w:line="240" w:lineRule="auto"/>
              <w:jc w:val="center"/>
              <w:rPr>
                <w:rFonts w:ascii="Bodoni MT" w:eastAsia="Times New Roman" w:hAnsi="Bodoni MT" w:cs="Arial"/>
                <w:b/>
                <w:bCs/>
                <w:color w:val="FFFFFF"/>
                <w:sz w:val="20"/>
                <w:szCs w:val="20"/>
                <w:lang w:eastAsia="it-IT"/>
              </w:rPr>
            </w:pPr>
            <w:r w:rsidRPr="00B95465">
              <w:rPr>
                <w:rFonts w:ascii="Bodoni MT" w:eastAsia="Times New Roman" w:hAnsi="Bodoni MT" w:cs="Arial"/>
                <w:b/>
                <w:bCs/>
                <w:color w:val="FFFFFF"/>
                <w:sz w:val="20"/>
                <w:szCs w:val="20"/>
                <w:lang w:eastAsia="it-IT"/>
              </w:rPr>
              <w:t>CONTO CAPITALE</w:t>
            </w:r>
          </w:p>
        </w:tc>
        <w:tc>
          <w:tcPr>
            <w:tcW w:w="1118" w:type="pct"/>
            <w:shd w:val="clear" w:color="auto" w:fill="17365D" w:themeFill="text2" w:themeFillShade="BF"/>
            <w:noWrap/>
            <w:vAlign w:val="center"/>
            <w:hideMark/>
          </w:tcPr>
          <w:p w:rsidR="005D660C" w:rsidRPr="00B95465" w:rsidRDefault="005D660C" w:rsidP="005D660C">
            <w:pPr>
              <w:spacing w:after="0" w:line="240" w:lineRule="auto"/>
              <w:jc w:val="center"/>
              <w:rPr>
                <w:rFonts w:ascii="Bodoni MT" w:eastAsia="Times New Roman" w:hAnsi="Bodoni MT" w:cs="Arial"/>
                <w:b/>
                <w:bCs/>
                <w:color w:val="FFFFFF"/>
                <w:sz w:val="20"/>
                <w:szCs w:val="20"/>
                <w:lang w:eastAsia="it-IT"/>
              </w:rPr>
            </w:pPr>
            <w:r w:rsidRPr="00B95465">
              <w:rPr>
                <w:rFonts w:ascii="Bodoni MT" w:eastAsia="Times New Roman" w:hAnsi="Bodoni MT" w:cs="Arial"/>
                <w:b/>
                <w:bCs/>
                <w:color w:val="FFFFFF"/>
                <w:sz w:val="20"/>
                <w:szCs w:val="20"/>
                <w:lang w:eastAsia="it-IT"/>
              </w:rPr>
              <w:t>TOTALE</w:t>
            </w:r>
          </w:p>
        </w:tc>
      </w:tr>
      <w:tr w:rsidR="005D660C" w:rsidRPr="00B95465" w:rsidTr="00B95465">
        <w:trPr>
          <w:trHeight w:val="285"/>
          <w:jc w:val="center"/>
        </w:trPr>
        <w:tc>
          <w:tcPr>
            <w:tcW w:w="1971" w:type="pct"/>
            <w:shd w:val="clear" w:color="auto" w:fill="95B3D7" w:themeFill="accent1" w:themeFillTint="99"/>
            <w:noWrap/>
            <w:vAlign w:val="center"/>
            <w:hideMark/>
          </w:tcPr>
          <w:p w:rsidR="005D660C" w:rsidRPr="00B95465" w:rsidRDefault="005D660C" w:rsidP="005D660C">
            <w:pPr>
              <w:spacing w:after="0" w:line="240" w:lineRule="auto"/>
              <w:rPr>
                <w:rFonts w:ascii="Bodoni MT" w:eastAsia="Times New Roman" w:hAnsi="Bodoni MT" w:cs="Arial"/>
                <w:color w:val="FFFFFF" w:themeColor="background1"/>
                <w:sz w:val="20"/>
                <w:szCs w:val="20"/>
                <w:lang w:eastAsia="it-IT"/>
              </w:rPr>
            </w:pPr>
            <w:r w:rsidRPr="00B95465">
              <w:rPr>
                <w:rFonts w:ascii="Bodoni MT" w:eastAsia="Times New Roman" w:hAnsi="Bodoni MT" w:cs="Arial"/>
                <w:color w:val="FFFFFF" w:themeColor="background1"/>
                <w:sz w:val="20"/>
                <w:szCs w:val="20"/>
                <w:lang w:eastAsia="it-IT"/>
              </w:rPr>
              <w:t>Da Bilancio di previsione 2016</w:t>
            </w:r>
          </w:p>
        </w:tc>
        <w:tc>
          <w:tcPr>
            <w:tcW w:w="787"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244.000,00</w:t>
            </w:r>
          </w:p>
        </w:tc>
        <w:tc>
          <w:tcPr>
            <w:tcW w:w="1124"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717.328,80</w:t>
            </w:r>
          </w:p>
        </w:tc>
        <w:tc>
          <w:tcPr>
            <w:tcW w:w="1118"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961.328,80</w:t>
            </w:r>
          </w:p>
        </w:tc>
      </w:tr>
      <w:tr w:rsidR="005D660C" w:rsidRPr="00B95465" w:rsidTr="00B95465">
        <w:trPr>
          <w:trHeight w:val="285"/>
          <w:jc w:val="center"/>
        </w:trPr>
        <w:tc>
          <w:tcPr>
            <w:tcW w:w="1971" w:type="pct"/>
            <w:shd w:val="clear" w:color="auto" w:fill="95B3D7" w:themeFill="accent1" w:themeFillTint="99"/>
            <w:noWrap/>
            <w:vAlign w:val="center"/>
            <w:hideMark/>
          </w:tcPr>
          <w:p w:rsidR="005D660C" w:rsidRPr="00B95465" w:rsidRDefault="005D660C" w:rsidP="005D660C">
            <w:pPr>
              <w:spacing w:after="0" w:line="240" w:lineRule="auto"/>
              <w:rPr>
                <w:rFonts w:ascii="Bodoni MT" w:eastAsia="Times New Roman" w:hAnsi="Bodoni MT" w:cs="Arial"/>
                <w:color w:val="FFFFFF" w:themeColor="background1"/>
                <w:sz w:val="20"/>
                <w:szCs w:val="20"/>
                <w:lang w:eastAsia="it-IT"/>
              </w:rPr>
            </w:pPr>
            <w:r w:rsidRPr="00B95465">
              <w:rPr>
                <w:rFonts w:ascii="Bodoni MT" w:eastAsia="Times New Roman" w:hAnsi="Bodoni MT" w:cs="Arial"/>
                <w:color w:val="FFFFFF" w:themeColor="background1"/>
                <w:sz w:val="20"/>
                <w:szCs w:val="20"/>
                <w:lang w:eastAsia="it-IT"/>
              </w:rPr>
              <w:t>Variazioni da Bilancio assestato 2016</w:t>
            </w:r>
          </w:p>
        </w:tc>
        <w:tc>
          <w:tcPr>
            <w:tcW w:w="787"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8.160.716,29</w:t>
            </w:r>
          </w:p>
        </w:tc>
        <w:tc>
          <w:tcPr>
            <w:tcW w:w="1124"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114.173.102,93</w:t>
            </w:r>
          </w:p>
        </w:tc>
        <w:tc>
          <w:tcPr>
            <w:tcW w:w="1118"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122.333.819,22</w:t>
            </w:r>
          </w:p>
        </w:tc>
      </w:tr>
      <w:tr w:rsidR="005D660C" w:rsidRPr="00B95465" w:rsidTr="00B95465">
        <w:trPr>
          <w:trHeight w:val="285"/>
          <w:jc w:val="center"/>
        </w:trPr>
        <w:tc>
          <w:tcPr>
            <w:tcW w:w="1971" w:type="pct"/>
            <w:shd w:val="clear" w:color="auto" w:fill="95B3D7" w:themeFill="accent1" w:themeFillTint="99"/>
            <w:noWrap/>
            <w:vAlign w:val="center"/>
            <w:hideMark/>
          </w:tcPr>
          <w:p w:rsidR="005D660C" w:rsidRPr="00B95465" w:rsidRDefault="005D660C" w:rsidP="005D660C">
            <w:pPr>
              <w:spacing w:after="0" w:line="240" w:lineRule="auto"/>
              <w:rPr>
                <w:rFonts w:ascii="Bodoni MT" w:eastAsia="Times New Roman" w:hAnsi="Bodoni MT" w:cs="Arial"/>
                <w:color w:val="FFFFFF" w:themeColor="background1"/>
                <w:sz w:val="20"/>
                <w:szCs w:val="20"/>
                <w:lang w:eastAsia="it-IT"/>
              </w:rPr>
            </w:pPr>
            <w:r w:rsidRPr="00B95465">
              <w:rPr>
                <w:rFonts w:ascii="Bodoni MT" w:eastAsia="Times New Roman" w:hAnsi="Bodoni MT" w:cs="Arial"/>
                <w:color w:val="FFFFFF" w:themeColor="background1"/>
                <w:sz w:val="20"/>
                <w:szCs w:val="20"/>
                <w:lang w:eastAsia="it-IT"/>
              </w:rPr>
              <w:t>Variazioni da riaccertamento ordinario 2016</w:t>
            </w:r>
          </w:p>
        </w:tc>
        <w:tc>
          <w:tcPr>
            <w:tcW w:w="787"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26.682.475,22</w:t>
            </w:r>
          </w:p>
        </w:tc>
        <w:tc>
          <w:tcPr>
            <w:tcW w:w="1124"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529.079.963,50</w:t>
            </w:r>
          </w:p>
        </w:tc>
        <w:tc>
          <w:tcPr>
            <w:tcW w:w="1118" w:type="pct"/>
            <w:shd w:val="clear" w:color="auto" w:fill="auto"/>
            <w:noWrap/>
            <w:vAlign w:val="center"/>
            <w:hideMark/>
          </w:tcPr>
          <w:p w:rsidR="005D660C" w:rsidRPr="00006277" w:rsidRDefault="005D660C" w:rsidP="005D660C">
            <w:pPr>
              <w:spacing w:after="0" w:line="240" w:lineRule="auto"/>
              <w:jc w:val="right"/>
              <w:rPr>
                <w:rFonts w:eastAsia="Times New Roman" w:cstheme="minorHAnsi"/>
                <w:sz w:val="18"/>
                <w:szCs w:val="18"/>
                <w:lang w:eastAsia="it-IT"/>
              </w:rPr>
            </w:pPr>
            <w:r w:rsidRPr="00006277">
              <w:rPr>
                <w:rFonts w:eastAsia="Times New Roman" w:cstheme="minorHAnsi"/>
                <w:sz w:val="18"/>
                <w:szCs w:val="18"/>
                <w:lang w:eastAsia="it-IT"/>
              </w:rPr>
              <w:t>555.762.438,72</w:t>
            </w:r>
          </w:p>
        </w:tc>
      </w:tr>
      <w:tr w:rsidR="005D660C" w:rsidRPr="00B95465" w:rsidTr="00B95465">
        <w:trPr>
          <w:trHeight w:val="285"/>
          <w:jc w:val="center"/>
        </w:trPr>
        <w:tc>
          <w:tcPr>
            <w:tcW w:w="1971" w:type="pct"/>
            <w:shd w:val="clear" w:color="auto" w:fill="95B3D7" w:themeFill="accent1" w:themeFillTint="99"/>
            <w:noWrap/>
            <w:vAlign w:val="center"/>
            <w:hideMark/>
          </w:tcPr>
          <w:p w:rsidR="005D660C" w:rsidRPr="00B95465" w:rsidRDefault="005D660C" w:rsidP="005D660C">
            <w:pPr>
              <w:spacing w:after="0" w:line="240" w:lineRule="auto"/>
              <w:rPr>
                <w:rFonts w:ascii="Bodoni MT" w:eastAsia="Times New Roman" w:hAnsi="Bodoni MT" w:cs="Arial"/>
                <w:b/>
                <w:bCs/>
                <w:color w:val="FFFFFF" w:themeColor="background1"/>
                <w:sz w:val="20"/>
                <w:szCs w:val="20"/>
                <w:lang w:eastAsia="it-IT"/>
              </w:rPr>
            </w:pPr>
            <w:r w:rsidRPr="00B95465">
              <w:rPr>
                <w:rFonts w:ascii="Bodoni MT" w:eastAsia="Times New Roman" w:hAnsi="Bodoni MT" w:cs="Arial"/>
                <w:b/>
                <w:bCs/>
                <w:color w:val="FFFFFF" w:themeColor="background1"/>
                <w:sz w:val="20"/>
                <w:szCs w:val="20"/>
                <w:lang w:eastAsia="it-IT"/>
              </w:rPr>
              <w:t xml:space="preserve">Totale FPV </w:t>
            </w:r>
            <w:r w:rsidR="00E643DA" w:rsidRPr="00B95465">
              <w:rPr>
                <w:rFonts w:ascii="Bodoni MT" w:eastAsia="Times New Roman" w:hAnsi="Bodoni MT" w:cs="Arial"/>
                <w:b/>
                <w:bCs/>
                <w:color w:val="FFFFFF" w:themeColor="background1"/>
                <w:sz w:val="20"/>
                <w:szCs w:val="20"/>
                <w:lang w:eastAsia="it-IT"/>
              </w:rPr>
              <w:t>2016</w:t>
            </w:r>
          </w:p>
        </w:tc>
        <w:tc>
          <w:tcPr>
            <w:tcW w:w="787" w:type="pct"/>
            <w:shd w:val="clear" w:color="auto" w:fill="auto"/>
            <w:noWrap/>
            <w:vAlign w:val="center"/>
            <w:hideMark/>
          </w:tcPr>
          <w:p w:rsidR="005D660C" w:rsidRPr="00006277" w:rsidRDefault="005D660C" w:rsidP="005D660C">
            <w:pPr>
              <w:spacing w:after="0" w:line="240" w:lineRule="auto"/>
              <w:jc w:val="right"/>
              <w:rPr>
                <w:rFonts w:eastAsia="Times New Roman" w:cstheme="minorHAnsi"/>
                <w:b/>
                <w:bCs/>
                <w:sz w:val="18"/>
                <w:szCs w:val="18"/>
                <w:lang w:eastAsia="it-IT"/>
              </w:rPr>
            </w:pPr>
            <w:r w:rsidRPr="00006277">
              <w:rPr>
                <w:rFonts w:eastAsia="Times New Roman" w:cstheme="minorHAnsi"/>
                <w:b/>
                <w:bCs/>
                <w:sz w:val="18"/>
                <w:szCs w:val="18"/>
                <w:lang w:eastAsia="it-IT"/>
              </w:rPr>
              <w:t>35.087.191,51</w:t>
            </w:r>
          </w:p>
        </w:tc>
        <w:tc>
          <w:tcPr>
            <w:tcW w:w="1124" w:type="pct"/>
            <w:shd w:val="clear" w:color="auto" w:fill="auto"/>
            <w:noWrap/>
            <w:vAlign w:val="center"/>
            <w:hideMark/>
          </w:tcPr>
          <w:p w:rsidR="005D660C" w:rsidRPr="00006277" w:rsidRDefault="005D660C" w:rsidP="005D660C">
            <w:pPr>
              <w:spacing w:after="0" w:line="240" w:lineRule="auto"/>
              <w:jc w:val="right"/>
              <w:rPr>
                <w:rFonts w:eastAsia="Times New Roman" w:cstheme="minorHAnsi"/>
                <w:b/>
                <w:bCs/>
                <w:sz w:val="18"/>
                <w:szCs w:val="18"/>
                <w:lang w:eastAsia="it-IT"/>
              </w:rPr>
            </w:pPr>
            <w:r w:rsidRPr="00006277">
              <w:rPr>
                <w:rFonts w:eastAsia="Times New Roman" w:cstheme="minorHAnsi"/>
                <w:b/>
                <w:bCs/>
                <w:sz w:val="18"/>
                <w:szCs w:val="18"/>
                <w:lang w:eastAsia="it-IT"/>
              </w:rPr>
              <w:t>643.970.395,00</w:t>
            </w:r>
          </w:p>
        </w:tc>
        <w:tc>
          <w:tcPr>
            <w:tcW w:w="1118" w:type="pct"/>
            <w:shd w:val="clear" w:color="auto" w:fill="auto"/>
            <w:noWrap/>
            <w:vAlign w:val="center"/>
            <w:hideMark/>
          </w:tcPr>
          <w:p w:rsidR="005D660C" w:rsidRPr="00006277" w:rsidRDefault="005D660C" w:rsidP="005D660C">
            <w:pPr>
              <w:spacing w:after="0" w:line="240" w:lineRule="auto"/>
              <w:jc w:val="right"/>
              <w:rPr>
                <w:rFonts w:eastAsia="Times New Roman" w:cstheme="minorHAnsi"/>
                <w:b/>
                <w:bCs/>
                <w:sz w:val="18"/>
                <w:szCs w:val="18"/>
                <w:lang w:eastAsia="it-IT"/>
              </w:rPr>
            </w:pPr>
            <w:r w:rsidRPr="00006277">
              <w:rPr>
                <w:rFonts w:eastAsia="Times New Roman" w:cstheme="minorHAnsi"/>
                <w:b/>
                <w:bCs/>
                <w:sz w:val="18"/>
                <w:szCs w:val="18"/>
                <w:lang w:eastAsia="it-IT"/>
              </w:rPr>
              <w:t>679.057.586,74</w:t>
            </w:r>
          </w:p>
        </w:tc>
      </w:tr>
    </w:tbl>
    <w:p w:rsidR="005D660C" w:rsidRPr="005D660C" w:rsidRDefault="005D660C" w:rsidP="00B95465">
      <w:pPr>
        <w:spacing w:line="360" w:lineRule="auto"/>
        <w:jc w:val="both"/>
        <w:rPr>
          <w:rFonts w:ascii="Bodoni MT" w:hAnsi="Bodoni MT"/>
          <w:sz w:val="18"/>
          <w:szCs w:val="18"/>
        </w:rPr>
      </w:pPr>
      <w:r w:rsidRPr="005D660C">
        <w:rPr>
          <w:rFonts w:ascii="Bodoni MT" w:hAnsi="Bodoni MT"/>
          <w:sz w:val="18"/>
          <w:szCs w:val="18"/>
        </w:rPr>
        <w:t>Fonte: Elaborazione Cdc su dati forniti da RAS</w:t>
      </w:r>
    </w:p>
    <w:p w:rsidR="005D660C" w:rsidRPr="005D660C" w:rsidRDefault="005D660C" w:rsidP="005D660C">
      <w:pPr>
        <w:autoSpaceDE w:val="0"/>
        <w:autoSpaceDN w:val="0"/>
        <w:adjustRightInd w:val="0"/>
        <w:spacing w:before="360"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L’esame dei dati evidenzia notevoli discrepanze tra le stime effettuate in sede di bilancio di previsione iniziale, concorrenti alla costruzione degli equilibri, e il dato reale emergente solo al termine dell’esercizio.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In particolare, il risultato finale risulta fortemente influenzato da una non corretta individuazione dell’esercizio di scadenza degli impegni reimputati in sede di riaccertamento straordinario</w:t>
      </w:r>
      <w:r w:rsidR="004C20CE">
        <w:rPr>
          <w:rFonts w:ascii="Bodoni MT" w:eastAsiaTheme="minorEastAsia" w:hAnsi="Bodoni MT" w:cs="Bodoni MT"/>
          <w:color w:val="000000"/>
          <w:sz w:val="24"/>
          <w:szCs w:val="24"/>
        </w:rPr>
        <w:t xml:space="preserve"> nel 2015</w:t>
      </w:r>
      <w:r w:rsidRPr="005D660C">
        <w:rPr>
          <w:rFonts w:ascii="Bodoni MT" w:eastAsiaTheme="minorEastAsia" w:hAnsi="Bodoni MT" w:cs="Bodoni MT"/>
          <w:color w:val="000000"/>
          <w:sz w:val="24"/>
          <w:szCs w:val="24"/>
        </w:rPr>
        <w:t>. Infatti, una quota piuttosto significativa del FPV finale di spesa, pari a € 390.165.356,20, deriva da impegni provenienti da esercizi precedenti al 2015 per i quali non si è realizzata l’esigibilità nello stesso esercizio</w:t>
      </w:r>
      <w:r w:rsidR="004C20CE" w:rsidRPr="004C20CE">
        <w:rPr>
          <w:rFonts w:ascii="Bodoni MT" w:eastAsiaTheme="minorEastAsia" w:hAnsi="Bodoni MT" w:cs="Bodoni MT"/>
          <w:color w:val="000000"/>
          <w:sz w:val="24"/>
          <w:szCs w:val="24"/>
        </w:rPr>
        <w:t xml:space="preserve"> </w:t>
      </w:r>
      <w:r w:rsidR="004C20CE" w:rsidRPr="005D660C">
        <w:rPr>
          <w:rFonts w:ascii="Bodoni MT" w:eastAsiaTheme="minorEastAsia" w:hAnsi="Bodoni MT" w:cs="Bodoni MT"/>
          <w:color w:val="000000"/>
          <w:sz w:val="24"/>
          <w:szCs w:val="24"/>
        </w:rPr>
        <w:t>e reimputati all’esercizio 2016</w:t>
      </w:r>
      <w:r w:rsidRPr="005D660C">
        <w:rPr>
          <w:rFonts w:ascii="Bodoni MT" w:eastAsiaTheme="minorEastAsi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lastRenderedPageBreak/>
        <w:t>Il FPV definitivo di spesa costituisce il FPV di entrata degli esercizi successivi, a copertura delle spese reimputate, come illustrato nella successiva tabella, dove viene indicato anche il FPV di entrata determinato in occasione del riaccertamento ordinario 2015.</w:t>
      </w:r>
    </w:p>
    <w:p w:rsidR="005D660C" w:rsidRPr="00AD5BF7" w:rsidRDefault="00C05880" w:rsidP="00C05880">
      <w:pPr>
        <w:pStyle w:val="Didascalia"/>
        <w:rPr>
          <w:bCs w:val="0"/>
          <w:sz w:val="24"/>
          <w:szCs w:val="24"/>
        </w:rPr>
      </w:pPr>
      <w:bookmarkStart w:id="210" w:name="_Toc499040977"/>
      <w:bookmarkStart w:id="211" w:name="_Toc507422503"/>
      <w:r>
        <w:t xml:space="preserve">Tabella </w:t>
      </w:r>
      <w:r w:rsidR="00B90472">
        <w:fldChar w:fldCharType="begin"/>
      </w:r>
      <w:r w:rsidR="00B90472">
        <w:instrText xml:space="preserve"> SEQ Tabella \* ARABIC </w:instrText>
      </w:r>
      <w:r w:rsidR="00B90472">
        <w:fldChar w:fldCharType="separate"/>
      </w:r>
      <w:r w:rsidR="008616B3">
        <w:rPr>
          <w:noProof/>
        </w:rPr>
        <w:t>35</w:t>
      </w:r>
      <w:r w:rsidR="00B90472">
        <w:rPr>
          <w:noProof/>
        </w:rPr>
        <w:fldChar w:fldCharType="end"/>
      </w:r>
      <w:r w:rsidR="005D660C" w:rsidRPr="005D660C">
        <w:rPr>
          <w:b w:val="0"/>
          <w:bCs w:val="0"/>
        </w:rPr>
        <w:t xml:space="preserve"> </w:t>
      </w:r>
      <w:r w:rsidR="005D660C" w:rsidRPr="00AD5BF7">
        <w:rPr>
          <w:bCs w:val="0"/>
        </w:rPr>
        <w:t>-</w:t>
      </w:r>
      <w:r w:rsidR="005D660C" w:rsidRPr="00AD5BF7">
        <w:rPr>
          <w:bCs w:val="0"/>
          <w:sz w:val="24"/>
          <w:szCs w:val="24"/>
        </w:rPr>
        <w:t xml:space="preserve"> Stanziamento Finale del FPV (Allegato G alla DGR. n.</w:t>
      </w:r>
      <w:r w:rsidR="00006277">
        <w:rPr>
          <w:bCs w:val="0"/>
          <w:sz w:val="24"/>
          <w:szCs w:val="24"/>
        </w:rPr>
        <w:t xml:space="preserve"> </w:t>
      </w:r>
      <w:r w:rsidR="005D660C" w:rsidRPr="00AD5BF7">
        <w:rPr>
          <w:bCs w:val="0"/>
          <w:sz w:val="24"/>
          <w:szCs w:val="24"/>
        </w:rPr>
        <w:t>26/48/2017)</w:t>
      </w:r>
      <w:bookmarkEnd w:id="210"/>
      <w:bookmarkEnd w:id="211"/>
    </w:p>
    <w:tbl>
      <w:tblPr>
        <w:tblW w:w="5000" w:type="pct"/>
        <w:tblCellMar>
          <w:left w:w="70" w:type="dxa"/>
          <w:right w:w="70" w:type="dxa"/>
        </w:tblCellMar>
        <w:tblLook w:val="04A0" w:firstRow="1" w:lastRow="0" w:firstColumn="1" w:lastColumn="0" w:noHBand="0" w:noVBand="1"/>
      </w:tblPr>
      <w:tblGrid>
        <w:gridCol w:w="3652"/>
        <w:gridCol w:w="3097"/>
        <w:gridCol w:w="3312"/>
      </w:tblGrid>
      <w:tr w:rsidR="005D660C" w:rsidRPr="005D660C" w:rsidTr="00646EDA">
        <w:trPr>
          <w:trHeight w:val="255"/>
        </w:trPr>
        <w:tc>
          <w:tcPr>
            <w:tcW w:w="1815"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2016</w:t>
            </w:r>
          </w:p>
        </w:tc>
        <w:tc>
          <w:tcPr>
            <w:tcW w:w="1539"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ENTRATA</w:t>
            </w:r>
          </w:p>
        </w:tc>
        <w:tc>
          <w:tcPr>
            <w:tcW w:w="1646"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SPESA</w:t>
            </w:r>
          </w:p>
        </w:tc>
      </w:tr>
      <w:tr w:rsidR="005D660C" w:rsidRPr="005D660C" w:rsidTr="00006277">
        <w:trPr>
          <w:trHeight w:val="181"/>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Corrente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56.502.635,51</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35.087.191,51</w:t>
            </w:r>
          </w:p>
        </w:tc>
      </w:tr>
      <w:tr w:rsidR="005D660C" w:rsidRPr="005D660C" w:rsidTr="005D660C">
        <w:trPr>
          <w:trHeight w:val="85"/>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Conto Capitale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288.479.700,14</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643.970.395,23</w:t>
            </w:r>
          </w:p>
        </w:tc>
      </w:tr>
      <w:tr w:rsidR="005D660C" w:rsidRPr="005D660C" w:rsidTr="005D660C">
        <w:trPr>
          <w:trHeight w:val="159"/>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344.982.335,65</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679.057.586,74</w:t>
            </w:r>
          </w:p>
        </w:tc>
      </w:tr>
      <w:tr w:rsidR="005D660C" w:rsidRPr="005D660C" w:rsidTr="00646EDA">
        <w:trPr>
          <w:trHeight w:val="92"/>
        </w:trPr>
        <w:tc>
          <w:tcPr>
            <w:tcW w:w="1815" w:type="pct"/>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2017</w:t>
            </w:r>
          </w:p>
        </w:tc>
        <w:tc>
          <w:tcPr>
            <w:tcW w:w="1539"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ENTRATA</w:t>
            </w:r>
          </w:p>
        </w:tc>
        <w:tc>
          <w:tcPr>
            <w:tcW w:w="1646"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SPESA</w:t>
            </w:r>
          </w:p>
        </w:tc>
      </w:tr>
      <w:tr w:rsidR="005D660C" w:rsidRPr="005D660C" w:rsidTr="005D660C">
        <w:trPr>
          <w:trHeight w:val="179"/>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Corrente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35.087.191,51</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9.764,49</w:t>
            </w:r>
          </w:p>
        </w:tc>
      </w:tr>
      <w:tr w:rsidR="005D660C" w:rsidRPr="005D660C" w:rsidTr="005D660C">
        <w:trPr>
          <w:trHeight w:val="111"/>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Conto Capitale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643.970.395,23</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33.790.216,11</w:t>
            </w:r>
          </w:p>
        </w:tc>
      </w:tr>
      <w:tr w:rsidR="005D660C" w:rsidRPr="005D660C" w:rsidTr="005D660C">
        <w:trPr>
          <w:trHeight w:val="255"/>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679.057.586,74</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33.799.980,60</w:t>
            </w:r>
          </w:p>
        </w:tc>
      </w:tr>
      <w:tr w:rsidR="005D660C" w:rsidRPr="005D660C" w:rsidTr="00646EDA">
        <w:trPr>
          <w:trHeight w:val="203"/>
        </w:trPr>
        <w:tc>
          <w:tcPr>
            <w:tcW w:w="1815" w:type="pct"/>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2018</w:t>
            </w:r>
          </w:p>
        </w:tc>
        <w:tc>
          <w:tcPr>
            <w:tcW w:w="1539"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ENTRATA</w:t>
            </w:r>
          </w:p>
        </w:tc>
        <w:tc>
          <w:tcPr>
            <w:tcW w:w="1646"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SPESA</w:t>
            </w:r>
          </w:p>
        </w:tc>
      </w:tr>
      <w:tr w:rsidR="005D660C" w:rsidRPr="005D660C" w:rsidTr="005D660C">
        <w:trPr>
          <w:trHeight w:val="149"/>
        </w:trPr>
        <w:tc>
          <w:tcPr>
            <w:tcW w:w="1815" w:type="pct"/>
            <w:tcBorders>
              <w:top w:val="nil"/>
              <w:left w:val="single" w:sz="4" w:space="0" w:color="auto"/>
              <w:bottom w:val="single" w:sz="4" w:space="0" w:color="auto"/>
              <w:right w:val="single" w:sz="4" w:space="0" w:color="auto"/>
            </w:tcBorders>
            <w:shd w:val="clear" w:color="000000" w:fill="9BC2E6"/>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Corrente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9.764,49</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w:t>
            </w:r>
          </w:p>
        </w:tc>
      </w:tr>
      <w:tr w:rsidR="005D660C" w:rsidRPr="005D660C" w:rsidTr="005D660C">
        <w:trPr>
          <w:trHeight w:val="81"/>
        </w:trPr>
        <w:tc>
          <w:tcPr>
            <w:tcW w:w="1815" w:type="pct"/>
            <w:tcBorders>
              <w:top w:val="nil"/>
              <w:left w:val="single" w:sz="4" w:space="0" w:color="auto"/>
              <w:bottom w:val="single" w:sz="4" w:space="0" w:color="auto"/>
              <w:right w:val="single" w:sz="4" w:space="0" w:color="auto"/>
            </w:tcBorders>
            <w:shd w:val="clear" w:color="000000" w:fill="9BC2E6"/>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Conto Capitale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33.790.216,11</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6.513.400,00</w:t>
            </w:r>
          </w:p>
        </w:tc>
      </w:tr>
      <w:tr w:rsidR="005D660C" w:rsidRPr="005D660C" w:rsidTr="005D660C">
        <w:trPr>
          <w:trHeight w:val="155"/>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33.799.980,60</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w:t>
            </w:r>
          </w:p>
        </w:tc>
      </w:tr>
      <w:tr w:rsidR="005D660C" w:rsidRPr="005D660C" w:rsidTr="00646EDA">
        <w:trPr>
          <w:trHeight w:val="88"/>
        </w:trPr>
        <w:tc>
          <w:tcPr>
            <w:tcW w:w="1815" w:type="pct"/>
            <w:tcBorders>
              <w:top w:val="nil"/>
              <w:left w:val="single" w:sz="4" w:space="0" w:color="auto"/>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2019</w:t>
            </w:r>
          </w:p>
        </w:tc>
        <w:tc>
          <w:tcPr>
            <w:tcW w:w="1539"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ENTRATA</w:t>
            </w:r>
          </w:p>
        </w:tc>
        <w:tc>
          <w:tcPr>
            <w:tcW w:w="1646" w:type="pct"/>
            <w:tcBorders>
              <w:top w:val="nil"/>
              <w:left w:val="nil"/>
              <w:bottom w:val="single" w:sz="4" w:space="0" w:color="auto"/>
              <w:right w:val="single" w:sz="4" w:space="0" w:color="auto"/>
            </w:tcBorders>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20"/>
                <w:szCs w:val="20"/>
                <w:lang w:eastAsia="it-IT"/>
              </w:rPr>
            </w:pPr>
            <w:r w:rsidRPr="005D660C">
              <w:rPr>
                <w:rFonts w:ascii="Bodoni MT" w:eastAsia="Times New Roman" w:hAnsi="Bodoni MT" w:cs="Arial"/>
                <w:b/>
                <w:bCs/>
                <w:color w:val="FFFFFF"/>
                <w:sz w:val="20"/>
                <w:szCs w:val="20"/>
                <w:lang w:eastAsia="it-IT"/>
              </w:rPr>
              <w:t>FPV SPESA</w:t>
            </w:r>
          </w:p>
        </w:tc>
      </w:tr>
      <w:tr w:rsidR="005D660C" w:rsidRPr="005D660C" w:rsidTr="005D660C">
        <w:trPr>
          <w:trHeight w:val="175"/>
        </w:trPr>
        <w:tc>
          <w:tcPr>
            <w:tcW w:w="1815" w:type="pct"/>
            <w:tcBorders>
              <w:top w:val="nil"/>
              <w:left w:val="single" w:sz="4" w:space="0" w:color="auto"/>
              <w:bottom w:val="single" w:sz="4" w:space="0" w:color="auto"/>
              <w:right w:val="single" w:sz="4" w:space="0" w:color="auto"/>
            </w:tcBorders>
            <w:shd w:val="clear" w:color="000000" w:fill="9BC2E6"/>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Corrente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20"/>
                <w:szCs w:val="20"/>
                <w:lang w:eastAsia="it-IT"/>
              </w:rPr>
            </w:pPr>
            <w:r w:rsidRPr="005D660C">
              <w:rPr>
                <w:rFonts w:ascii="Calibri" w:eastAsia="Times New Roman" w:hAnsi="Calibri" w:cs="Calibri"/>
                <w:sz w:val="20"/>
                <w:szCs w:val="20"/>
                <w:lang w:eastAsia="it-IT"/>
              </w:rPr>
              <w:t>-</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5D660C" w:rsidRDefault="005D660C" w:rsidP="005D660C">
            <w:pPr>
              <w:spacing w:after="0" w:line="240" w:lineRule="auto"/>
              <w:jc w:val="right"/>
              <w:rPr>
                <w:rFonts w:ascii="Calibri" w:eastAsia="Times New Roman" w:hAnsi="Calibri" w:cs="Calibri"/>
                <w:sz w:val="20"/>
                <w:szCs w:val="20"/>
                <w:lang w:eastAsia="it-IT"/>
              </w:rPr>
            </w:pPr>
            <w:r w:rsidRPr="005D660C">
              <w:rPr>
                <w:rFonts w:ascii="Calibri" w:eastAsia="Times New Roman" w:hAnsi="Calibri" w:cs="Calibri"/>
                <w:sz w:val="20"/>
                <w:szCs w:val="20"/>
                <w:lang w:eastAsia="it-IT"/>
              </w:rPr>
              <w:t>-</w:t>
            </w:r>
          </w:p>
        </w:tc>
      </w:tr>
      <w:tr w:rsidR="005D660C" w:rsidRPr="005D660C" w:rsidTr="005D660C">
        <w:trPr>
          <w:trHeight w:val="249"/>
        </w:trPr>
        <w:tc>
          <w:tcPr>
            <w:tcW w:w="1815" w:type="pct"/>
            <w:tcBorders>
              <w:top w:val="nil"/>
              <w:left w:val="single" w:sz="4" w:space="0" w:color="auto"/>
              <w:bottom w:val="single" w:sz="4" w:space="0" w:color="auto"/>
              <w:right w:val="single" w:sz="4" w:space="0" w:color="auto"/>
            </w:tcBorders>
            <w:shd w:val="clear" w:color="000000" w:fill="9BC2E6"/>
            <w:noWrap/>
            <w:vAlign w:val="bottom"/>
            <w:hideMark/>
          </w:tcPr>
          <w:p w:rsidR="005D660C" w:rsidRPr="005D660C" w:rsidRDefault="005D660C" w:rsidP="005D660C">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Conto Capitale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r w:rsidRPr="00006277">
              <w:rPr>
                <w:rFonts w:ascii="Calibri" w:eastAsia="Times New Roman" w:hAnsi="Calibri" w:cs="Calibri"/>
                <w:sz w:val="18"/>
                <w:szCs w:val="18"/>
                <w:lang w:eastAsia="it-IT"/>
              </w:rPr>
              <w:t>6.513.400,00</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sz w:val="18"/>
                <w:szCs w:val="18"/>
                <w:lang w:eastAsia="it-IT"/>
              </w:rPr>
            </w:pPr>
          </w:p>
        </w:tc>
      </w:tr>
      <w:tr w:rsidR="005D660C" w:rsidRPr="005D660C" w:rsidTr="005D660C">
        <w:trPr>
          <w:trHeight w:val="255"/>
        </w:trPr>
        <w:tc>
          <w:tcPr>
            <w:tcW w:w="1815"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5D660C" w:rsidRPr="005D660C" w:rsidRDefault="005D660C" w:rsidP="005D660C">
            <w:pPr>
              <w:spacing w:after="0" w:line="240" w:lineRule="auto"/>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Totale</w:t>
            </w:r>
          </w:p>
        </w:tc>
        <w:tc>
          <w:tcPr>
            <w:tcW w:w="1539"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Calibri" w:eastAsia="Times New Roman" w:hAnsi="Calibri" w:cs="Calibri"/>
                <w:b/>
                <w:bCs/>
                <w:sz w:val="18"/>
                <w:szCs w:val="18"/>
                <w:lang w:eastAsia="it-IT"/>
              </w:rPr>
            </w:pPr>
            <w:r w:rsidRPr="00006277">
              <w:rPr>
                <w:rFonts w:ascii="Calibri" w:eastAsia="Times New Roman" w:hAnsi="Calibri" w:cs="Calibri"/>
                <w:b/>
                <w:bCs/>
                <w:sz w:val="18"/>
                <w:szCs w:val="18"/>
                <w:lang w:eastAsia="it-IT"/>
              </w:rPr>
              <w:t>6.513.400,00</w:t>
            </w:r>
          </w:p>
        </w:tc>
        <w:tc>
          <w:tcPr>
            <w:tcW w:w="1646" w:type="pct"/>
            <w:tcBorders>
              <w:top w:val="nil"/>
              <w:left w:val="nil"/>
              <w:bottom w:val="single" w:sz="4" w:space="0" w:color="auto"/>
              <w:right w:val="single" w:sz="4" w:space="0" w:color="auto"/>
            </w:tcBorders>
            <w:shd w:val="clear" w:color="auto" w:fill="FFFFFF" w:themeFill="background1"/>
            <w:noWrap/>
            <w:vAlign w:val="center"/>
            <w:hideMark/>
          </w:tcPr>
          <w:p w:rsidR="005D660C" w:rsidRPr="00006277" w:rsidRDefault="005D660C" w:rsidP="005D660C">
            <w:pPr>
              <w:spacing w:after="0" w:line="240" w:lineRule="auto"/>
              <w:jc w:val="right"/>
              <w:rPr>
                <w:rFonts w:ascii="Bodoni MT" w:eastAsia="Times New Roman" w:hAnsi="Bodoni MT" w:cs="Arial"/>
                <w:b/>
                <w:bCs/>
                <w:sz w:val="18"/>
                <w:szCs w:val="18"/>
                <w:lang w:eastAsia="it-IT"/>
              </w:rPr>
            </w:pPr>
            <w:r w:rsidRPr="00006277">
              <w:rPr>
                <w:rFonts w:ascii="Bodoni MT" w:eastAsia="Times New Roman" w:hAnsi="Bodoni MT" w:cs="Arial"/>
                <w:b/>
                <w:bCs/>
                <w:sz w:val="18"/>
                <w:szCs w:val="18"/>
                <w:lang w:eastAsia="it-IT"/>
              </w:rPr>
              <w:t>-</w:t>
            </w:r>
          </w:p>
        </w:tc>
      </w:tr>
    </w:tbl>
    <w:p w:rsidR="005D660C" w:rsidRPr="005D660C" w:rsidRDefault="005D660C" w:rsidP="00AD5BF7">
      <w:pPr>
        <w:pStyle w:val="Titolo2"/>
      </w:pPr>
      <w:bookmarkStart w:id="212" w:name="_Toc499040939"/>
      <w:bookmarkStart w:id="213" w:name="_Toc507422645"/>
      <w:r w:rsidRPr="005D660C">
        <w:t>La Gestione di cassa</w:t>
      </w:r>
      <w:bookmarkEnd w:id="212"/>
      <w:bookmarkEnd w:id="213"/>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L’art.</w:t>
      </w:r>
      <w:r w:rsidR="00284EB9">
        <w:rPr>
          <w:rFonts w:ascii="Bodoni MT" w:eastAsia="Times New Roman" w:hAnsi="Bodoni MT" w:cs="Bodoni MT"/>
          <w:color w:val="000000"/>
          <w:sz w:val="24"/>
          <w:szCs w:val="24"/>
          <w:lang w:eastAsia="it-IT"/>
        </w:rPr>
        <w:t xml:space="preserve"> </w:t>
      </w:r>
      <w:r w:rsidRPr="005D660C">
        <w:rPr>
          <w:rFonts w:ascii="Bodoni MT" w:eastAsia="Times New Roman" w:hAnsi="Bodoni MT" w:cs="Bodoni MT"/>
          <w:color w:val="000000"/>
          <w:sz w:val="24"/>
          <w:szCs w:val="24"/>
          <w:lang w:eastAsia="it-IT"/>
        </w:rPr>
        <w:t>40 del D</w:t>
      </w:r>
      <w:r w:rsidR="00284EB9">
        <w:rPr>
          <w:rFonts w:ascii="Bodoni MT" w:eastAsia="Times New Roman" w:hAnsi="Bodoni MT" w:cs="Bodoni MT"/>
          <w:color w:val="000000"/>
          <w:sz w:val="24"/>
          <w:szCs w:val="24"/>
          <w:lang w:eastAsia="it-IT"/>
        </w:rPr>
        <w:t>.</w:t>
      </w:r>
      <w:r w:rsidR="00284EB9" w:rsidRPr="005D660C">
        <w:rPr>
          <w:rFonts w:ascii="Bodoni MT" w:eastAsia="Times New Roman" w:hAnsi="Bodoni MT" w:cs="Bodoni MT"/>
          <w:color w:val="000000"/>
          <w:sz w:val="24"/>
          <w:szCs w:val="24"/>
          <w:lang w:eastAsia="it-IT"/>
        </w:rPr>
        <w:t>Lgs</w:t>
      </w:r>
      <w:r w:rsidR="00284EB9">
        <w:rPr>
          <w:rFonts w:ascii="Bodoni MT" w:eastAsia="Times New Roman" w:hAnsi="Bodoni MT" w:cs="Bodoni MT"/>
          <w:color w:val="000000"/>
          <w:sz w:val="24"/>
          <w:szCs w:val="24"/>
          <w:lang w:eastAsia="it-IT"/>
        </w:rPr>
        <w:t>.</w:t>
      </w:r>
      <w:r w:rsidRPr="005D660C">
        <w:rPr>
          <w:rFonts w:ascii="Bodoni MT" w:eastAsia="Times New Roman" w:hAnsi="Bodoni MT" w:cs="Bodoni MT"/>
          <w:color w:val="000000"/>
          <w:sz w:val="24"/>
          <w:szCs w:val="24"/>
          <w:lang w:eastAsia="it-IT"/>
        </w:rPr>
        <w:t xml:space="preserve"> 118/2011, ha introdotto il principio dell’equilibrio di bilancio stabilendo che il bilancio di previsione deve essere deliberato in pareggio finanziario e che deve garantire un fondo di cassa finale non negativo. </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La gestione di cassa si riassume nella seguente tabella:</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b/>
          <w:color w:val="000000"/>
          <w:sz w:val="24"/>
          <w:szCs w:val="24"/>
          <w:lang w:eastAsia="it-IT"/>
        </w:rPr>
      </w:pPr>
      <w:r w:rsidRPr="005D660C">
        <w:rPr>
          <w:rFonts w:ascii="Bodoni MT" w:eastAsia="Times New Roman" w:hAnsi="Bodoni MT" w:cs="Bodoni MT"/>
          <w:color w:val="000000"/>
          <w:sz w:val="24"/>
          <w:szCs w:val="24"/>
          <w:lang w:eastAsia="it-IT"/>
        </w:rPr>
        <w:t>(a)</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b/>
          <w:color w:val="000000"/>
          <w:sz w:val="24"/>
          <w:szCs w:val="24"/>
          <w:lang w:eastAsia="it-IT"/>
        </w:rPr>
        <w:t>Fondo cassa al 31/12/2015</w:t>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t>340.832.737,09</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(b)</w:t>
      </w:r>
      <w:r w:rsidRPr="005D660C">
        <w:rPr>
          <w:rFonts w:ascii="Bodoni MT" w:eastAsia="Times New Roman" w:hAnsi="Bodoni MT" w:cs="Bodoni MT"/>
          <w:color w:val="000000"/>
          <w:sz w:val="24"/>
          <w:szCs w:val="24"/>
          <w:lang w:eastAsia="it-IT"/>
        </w:rPr>
        <w:tab/>
        <w:t>Versamenti in conto competenza</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t>7.524.888.588,46</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(c)</w:t>
      </w:r>
      <w:r w:rsidRPr="005D660C">
        <w:rPr>
          <w:rFonts w:ascii="Bodoni MT" w:eastAsia="Times New Roman" w:hAnsi="Bodoni MT" w:cs="Bodoni MT"/>
          <w:color w:val="000000"/>
          <w:sz w:val="24"/>
          <w:szCs w:val="24"/>
          <w:lang w:eastAsia="it-IT"/>
        </w:rPr>
        <w:tab/>
        <w:t>Ver</w:t>
      </w:r>
      <w:r w:rsidR="00AD5BF7">
        <w:rPr>
          <w:rFonts w:ascii="Bodoni MT" w:eastAsia="Times New Roman" w:hAnsi="Bodoni MT" w:cs="Bodoni MT"/>
          <w:color w:val="000000"/>
          <w:sz w:val="24"/>
          <w:szCs w:val="24"/>
          <w:lang w:eastAsia="it-IT"/>
        </w:rPr>
        <w:t>samenti in conto residui</w:t>
      </w:r>
      <w:r w:rsidR="00AD5BF7">
        <w:rPr>
          <w:rFonts w:ascii="Bodoni MT" w:eastAsia="Times New Roman" w:hAnsi="Bodoni MT" w:cs="Bodoni MT"/>
          <w:color w:val="000000"/>
          <w:sz w:val="24"/>
          <w:szCs w:val="24"/>
          <w:lang w:eastAsia="it-IT"/>
        </w:rPr>
        <w:tab/>
      </w:r>
      <w:r w:rsidR="00AD5BF7">
        <w:rPr>
          <w:rFonts w:ascii="Bodoni MT" w:eastAsia="Times New Roman" w:hAnsi="Bodoni MT" w:cs="Bodoni MT"/>
          <w:color w:val="000000"/>
          <w:sz w:val="24"/>
          <w:szCs w:val="24"/>
          <w:lang w:eastAsia="it-IT"/>
        </w:rPr>
        <w:tab/>
      </w:r>
      <w:r w:rsidR="00AD5BF7">
        <w:rPr>
          <w:rFonts w:ascii="Bodoni MT" w:eastAsia="Times New Roman" w:hAnsi="Bodoni MT" w:cs="Bodoni MT"/>
          <w:color w:val="000000"/>
          <w:sz w:val="24"/>
          <w:szCs w:val="24"/>
          <w:lang w:eastAsia="it-IT"/>
        </w:rPr>
        <w:tab/>
      </w:r>
      <w:r w:rsidR="00AD5BF7">
        <w:rPr>
          <w:rFonts w:ascii="Bodoni MT" w:eastAsia="Times New Roman" w:hAnsi="Bodoni MT" w:cs="Bodoni MT"/>
          <w:color w:val="000000"/>
          <w:sz w:val="24"/>
          <w:szCs w:val="24"/>
          <w:lang w:eastAsia="it-IT"/>
        </w:rPr>
        <w:tab/>
      </w:r>
      <w:r w:rsidR="00AD5BF7">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379.395.363,04</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(d)</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b/>
          <w:color w:val="000000"/>
          <w:sz w:val="24"/>
          <w:szCs w:val="24"/>
          <w:lang w:eastAsia="it-IT"/>
        </w:rPr>
        <w:t>Versamenti totali (b+c)</w:t>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t>7.904.283.951,50</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(e)</w:t>
      </w:r>
      <w:r w:rsidRPr="005D660C">
        <w:rPr>
          <w:rFonts w:ascii="Bodoni MT" w:eastAsia="Times New Roman" w:hAnsi="Bodoni MT" w:cs="Bodoni MT"/>
          <w:color w:val="000000"/>
          <w:sz w:val="24"/>
          <w:szCs w:val="24"/>
          <w:lang w:eastAsia="it-IT"/>
        </w:rPr>
        <w:tab/>
        <w:t>Pagamenti in conto competenza</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t>7.074.527.371,30</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(f)</w:t>
      </w:r>
      <w:r w:rsidRPr="005D660C">
        <w:rPr>
          <w:rFonts w:ascii="Bodoni MT" w:eastAsia="Times New Roman" w:hAnsi="Bodoni MT" w:cs="Bodoni MT"/>
          <w:color w:val="000000"/>
          <w:sz w:val="24"/>
          <w:szCs w:val="24"/>
          <w:lang w:eastAsia="it-IT"/>
        </w:rPr>
        <w:tab/>
        <w:t>Pagamenti in conto residui</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color w:val="000000"/>
          <w:sz w:val="24"/>
          <w:szCs w:val="24"/>
          <w:lang w:eastAsia="it-IT"/>
        </w:rPr>
        <w:tab/>
        <w:t>1.111.236.015,18</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(g)</w:t>
      </w:r>
      <w:r w:rsidRPr="005D660C">
        <w:rPr>
          <w:rFonts w:ascii="Bodoni MT" w:eastAsia="Times New Roman" w:hAnsi="Bodoni MT" w:cs="Bodoni MT"/>
          <w:color w:val="000000"/>
          <w:sz w:val="24"/>
          <w:szCs w:val="24"/>
          <w:lang w:eastAsia="it-IT"/>
        </w:rPr>
        <w:tab/>
      </w:r>
      <w:r w:rsidRPr="005D660C">
        <w:rPr>
          <w:rFonts w:ascii="Bodoni MT" w:eastAsia="Times New Roman" w:hAnsi="Bodoni MT" w:cs="Bodoni MT"/>
          <w:b/>
          <w:color w:val="000000"/>
          <w:sz w:val="24"/>
          <w:szCs w:val="24"/>
          <w:lang w:eastAsia="it-IT"/>
        </w:rPr>
        <w:t>Pagamenti totali (e+f)</w:t>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ab/>
        <w:t xml:space="preserve"> 8.185.763.386,48</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b/>
          <w:color w:val="000000"/>
          <w:sz w:val="24"/>
          <w:szCs w:val="24"/>
          <w:lang w:eastAsia="it-IT"/>
        </w:rPr>
      </w:pPr>
      <w:r w:rsidRPr="005D660C">
        <w:rPr>
          <w:rFonts w:ascii="Bodoni MT" w:eastAsia="Times New Roman" w:hAnsi="Bodoni MT" w:cs="Bodoni MT"/>
          <w:color w:val="000000"/>
          <w:sz w:val="24"/>
          <w:szCs w:val="24"/>
          <w:lang w:eastAsia="it-IT"/>
        </w:rPr>
        <w:t>(h)</w:t>
      </w:r>
      <w:r w:rsidRPr="005D660C">
        <w:rPr>
          <w:rFonts w:ascii="Bodoni MT" w:eastAsia="Times New Roman" w:hAnsi="Bodoni MT" w:cs="Bodoni MT"/>
          <w:color w:val="000000"/>
          <w:sz w:val="24"/>
          <w:szCs w:val="24"/>
          <w:lang w:eastAsia="it-IT"/>
        </w:rPr>
        <w:tab/>
      </w:r>
      <w:r w:rsidR="00AD5BF7">
        <w:rPr>
          <w:rFonts w:ascii="Bodoni MT" w:eastAsia="Times New Roman" w:hAnsi="Bodoni MT" w:cs="Bodoni MT"/>
          <w:b/>
          <w:color w:val="000000"/>
          <w:sz w:val="24"/>
          <w:szCs w:val="24"/>
          <w:lang w:eastAsia="it-IT"/>
        </w:rPr>
        <w:t>Differenza (d-g)</w:t>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-281.479.434,98</w:t>
      </w:r>
    </w:p>
    <w:p w:rsidR="005D660C" w:rsidRPr="005D660C" w:rsidRDefault="005D660C" w:rsidP="001E794C">
      <w:pPr>
        <w:autoSpaceDE w:val="0"/>
        <w:autoSpaceDN w:val="0"/>
        <w:adjustRightInd w:val="0"/>
        <w:spacing w:after="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b/>
          <w:color w:val="000000"/>
          <w:sz w:val="24"/>
          <w:szCs w:val="24"/>
          <w:lang w:eastAsia="it-IT"/>
        </w:rPr>
        <w:t>(i)</w:t>
      </w:r>
      <w:r w:rsidRPr="005D660C">
        <w:rPr>
          <w:rFonts w:ascii="Bodoni MT" w:eastAsia="Times New Roman" w:hAnsi="Bodoni MT" w:cs="Bodoni MT"/>
          <w:b/>
          <w:color w:val="000000"/>
          <w:sz w:val="24"/>
          <w:szCs w:val="24"/>
          <w:lang w:eastAsia="it-IT"/>
        </w:rPr>
        <w:tab/>
        <w:t>Fondo cas</w:t>
      </w:r>
      <w:r w:rsidR="00AD5BF7">
        <w:rPr>
          <w:rFonts w:ascii="Bodoni MT" w:eastAsia="Times New Roman" w:hAnsi="Bodoni MT" w:cs="Bodoni MT"/>
          <w:b/>
          <w:color w:val="000000"/>
          <w:sz w:val="24"/>
          <w:szCs w:val="24"/>
          <w:lang w:eastAsia="it-IT"/>
        </w:rPr>
        <w:t>sa al 31/12/2016 (a+h)</w:t>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00AD5BF7">
        <w:rPr>
          <w:rFonts w:ascii="Bodoni MT" w:eastAsia="Times New Roman" w:hAnsi="Bodoni MT" w:cs="Bodoni MT"/>
          <w:b/>
          <w:color w:val="000000"/>
          <w:sz w:val="24"/>
          <w:szCs w:val="24"/>
          <w:lang w:eastAsia="it-IT"/>
        </w:rPr>
        <w:tab/>
      </w:r>
      <w:r w:rsidRPr="005D660C">
        <w:rPr>
          <w:rFonts w:ascii="Bodoni MT" w:eastAsia="Times New Roman" w:hAnsi="Bodoni MT" w:cs="Bodoni MT"/>
          <w:b/>
          <w:color w:val="000000"/>
          <w:sz w:val="24"/>
          <w:szCs w:val="24"/>
          <w:lang w:eastAsia="it-IT"/>
        </w:rPr>
        <w:t>59.353.302,11</w:t>
      </w:r>
    </w:p>
    <w:p w:rsidR="005D660C" w:rsidRPr="005D660C" w:rsidRDefault="00252901" w:rsidP="005D660C">
      <w:pPr>
        <w:autoSpaceDE w:val="0"/>
        <w:autoSpaceDN w:val="0"/>
        <w:adjustRightInd w:val="0"/>
        <w:spacing w:before="240" w:after="120" w:line="360" w:lineRule="auto"/>
        <w:jc w:val="both"/>
        <w:textAlignment w:val="center"/>
        <w:rPr>
          <w:rFonts w:ascii="Bodoni MT" w:eastAsia="Times New Roman" w:hAnsi="Bodoni MT" w:cs="Bodoni MT"/>
          <w:color w:val="000000"/>
          <w:sz w:val="24"/>
          <w:szCs w:val="24"/>
          <w:lang w:eastAsia="it-IT"/>
        </w:rPr>
      </w:pPr>
      <w:r>
        <w:rPr>
          <w:rFonts w:ascii="Bodoni MT" w:eastAsia="Times New Roman" w:hAnsi="Bodoni MT" w:cs="Bodoni MT"/>
          <w:color w:val="000000"/>
          <w:sz w:val="24"/>
          <w:szCs w:val="24"/>
          <w:lang w:eastAsia="it-IT"/>
        </w:rPr>
        <w:t xml:space="preserve">Premesso che la situazione di cassa è stata positivamente influenzata dalla liquidità acquisita per effetto della riscossione sia del mutuo (per ripiano disavanzo al 31/12/2014) sia dall’anticipazione di </w:t>
      </w:r>
      <w:r>
        <w:rPr>
          <w:rFonts w:ascii="Bodoni MT" w:eastAsia="Times New Roman" w:hAnsi="Bodoni MT" w:cs="Bodoni MT"/>
          <w:color w:val="000000"/>
          <w:sz w:val="24"/>
          <w:szCs w:val="24"/>
          <w:lang w:eastAsia="it-IT"/>
        </w:rPr>
        <w:lastRenderedPageBreak/>
        <w:t>liquidità accertata e riscossa nel corso dell’esercizio (pari a complessivi 319 milioni), i</w:t>
      </w:r>
      <w:r w:rsidR="005D660C" w:rsidRPr="005D660C">
        <w:rPr>
          <w:rFonts w:ascii="Bodoni MT" w:eastAsia="Times New Roman" w:hAnsi="Bodoni MT" w:cs="Bodoni MT"/>
          <w:color w:val="000000"/>
          <w:sz w:val="24"/>
          <w:szCs w:val="24"/>
          <w:lang w:eastAsia="it-IT"/>
        </w:rPr>
        <w:t>l fondo cassa, alla chiusura de</w:t>
      </w:r>
      <w:r w:rsidR="00F16ECD">
        <w:rPr>
          <w:rFonts w:ascii="Bodoni MT" w:eastAsia="Times New Roman" w:hAnsi="Bodoni MT" w:cs="Bodoni MT"/>
          <w:color w:val="000000"/>
          <w:sz w:val="24"/>
          <w:szCs w:val="24"/>
          <w:lang w:eastAsia="it-IT"/>
        </w:rPr>
        <w:t>ll’esercizio 2016, ammonta a €</w:t>
      </w:r>
      <w:r w:rsidR="005D660C" w:rsidRPr="005D660C">
        <w:rPr>
          <w:rFonts w:ascii="Bodoni MT" w:eastAsia="Times New Roman" w:hAnsi="Bodoni MT" w:cs="Bodoni MT"/>
          <w:color w:val="000000"/>
          <w:sz w:val="24"/>
          <w:szCs w:val="24"/>
          <w:lang w:eastAsia="it-IT"/>
        </w:rPr>
        <w:t xml:space="preserve"> 59.353.302,11 ed è ottenuto sommando al fondo cassa iniziale, pari a €. 340.832.737,09, i versamenti in conto competenza ed in c</w:t>
      </w:r>
      <w:r w:rsidR="00F16ECD">
        <w:rPr>
          <w:rFonts w:ascii="Bodoni MT" w:eastAsia="Times New Roman" w:hAnsi="Bodoni MT" w:cs="Bodoni MT"/>
          <w:color w:val="000000"/>
          <w:sz w:val="24"/>
          <w:szCs w:val="24"/>
          <w:lang w:eastAsia="it-IT"/>
        </w:rPr>
        <w:t>onto residui, che ammontano a €</w:t>
      </w:r>
      <w:r w:rsidR="005D660C" w:rsidRPr="005D660C">
        <w:rPr>
          <w:rFonts w:ascii="Bodoni MT" w:eastAsia="Times New Roman" w:hAnsi="Bodoni MT" w:cs="Bodoni MT"/>
          <w:color w:val="000000"/>
          <w:sz w:val="24"/>
          <w:szCs w:val="24"/>
          <w:lang w:eastAsia="it-IT"/>
        </w:rPr>
        <w:t xml:space="preserve"> 7.904.283.951,50, e detraendo i pagamenti in conto competenz</w:t>
      </w:r>
      <w:r w:rsidR="00F16ECD">
        <w:rPr>
          <w:rFonts w:ascii="Bodoni MT" w:eastAsia="Times New Roman" w:hAnsi="Bodoni MT" w:cs="Bodoni MT"/>
          <w:color w:val="000000"/>
          <w:sz w:val="24"/>
          <w:szCs w:val="24"/>
          <w:lang w:eastAsia="it-IT"/>
        </w:rPr>
        <w:t>a ed in conto residui, pari a €</w:t>
      </w:r>
      <w:r w:rsidR="005D660C" w:rsidRPr="005D660C">
        <w:rPr>
          <w:rFonts w:ascii="Bodoni MT" w:eastAsia="Times New Roman" w:hAnsi="Bodoni MT" w:cs="Bodoni MT"/>
          <w:color w:val="000000"/>
          <w:sz w:val="24"/>
          <w:szCs w:val="24"/>
          <w:lang w:eastAsia="it-IT"/>
        </w:rPr>
        <w:t xml:space="preserve"> 8.185.763.386,48. </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Anche nel 2016, i pagamenti sono stati superiori alle riscossioni. La differenza, pari a € 281.479.434,98, è superiore a quella registrata nel 2015 che era stata di € 73.800.023,51.</w:t>
      </w:r>
    </w:p>
    <w:p w:rsid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La capacità di riscossione totale delle entrate</w:t>
      </w:r>
      <w:r w:rsidRPr="005D660C">
        <w:rPr>
          <w:rFonts w:ascii="Bodoni MT" w:eastAsia="Times New Roman" w:hAnsi="Bodoni MT" w:cs="Bodoni MT"/>
          <w:color w:val="000000"/>
          <w:sz w:val="24"/>
          <w:szCs w:val="24"/>
          <w:vertAlign w:val="superscript"/>
          <w:lang w:eastAsia="it-IT"/>
        </w:rPr>
        <w:footnoteReference w:id="106"/>
      </w:r>
      <w:r w:rsidRPr="005D660C">
        <w:rPr>
          <w:rFonts w:ascii="Bodoni MT" w:eastAsia="Times New Roman" w:hAnsi="Bodoni MT" w:cs="Bodoni MT"/>
          <w:color w:val="000000"/>
          <w:sz w:val="24"/>
          <w:szCs w:val="24"/>
          <w:lang w:eastAsia="it-IT"/>
        </w:rPr>
        <w:t xml:space="preserve"> è stata dell’81,14%, mentre la velocità di pagamento totale della spesa</w:t>
      </w:r>
      <w:r w:rsidRPr="005D660C">
        <w:rPr>
          <w:rFonts w:ascii="Bodoni MT" w:eastAsia="Times New Roman" w:hAnsi="Bodoni MT" w:cs="Bodoni MT"/>
          <w:color w:val="000000"/>
          <w:sz w:val="24"/>
          <w:szCs w:val="24"/>
          <w:vertAlign w:val="superscript"/>
          <w:lang w:eastAsia="it-IT"/>
        </w:rPr>
        <w:footnoteReference w:id="107"/>
      </w:r>
      <w:r w:rsidRPr="005D660C">
        <w:rPr>
          <w:rFonts w:ascii="Bodoni MT" w:eastAsia="Times New Roman" w:hAnsi="Bodoni MT" w:cs="Bodoni MT"/>
          <w:color w:val="000000"/>
          <w:sz w:val="24"/>
          <w:szCs w:val="24"/>
          <w:lang w:eastAsia="it-IT"/>
        </w:rPr>
        <w:t xml:space="preserve"> è stata dell’85,38%. Se</w:t>
      </w:r>
      <w:r w:rsidR="0062609F">
        <w:rPr>
          <w:rFonts w:ascii="Bodoni MT" w:eastAsia="Times New Roman" w:hAnsi="Bodoni MT" w:cs="Bodoni MT"/>
          <w:color w:val="000000"/>
          <w:sz w:val="24"/>
          <w:szCs w:val="24"/>
          <w:lang w:eastAsia="it-IT"/>
        </w:rPr>
        <w:t xml:space="preserve"> </w:t>
      </w:r>
      <w:r w:rsidRPr="005D660C">
        <w:rPr>
          <w:rFonts w:ascii="Bodoni MT" w:eastAsia="Times New Roman" w:hAnsi="Bodoni MT" w:cs="Bodoni MT"/>
          <w:color w:val="000000"/>
          <w:sz w:val="24"/>
          <w:szCs w:val="24"/>
          <w:lang w:eastAsia="it-IT"/>
        </w:rPr>
        <w:t>si considerano le entrate e le spese al netto delle partite conto terzi, la capacità di riscossione scende all’80,89% mentre la capacità di pagamento rimane invariata (85,36%).</w:t>
      </w:r>
      <w:r w:rsidR="0062609F">
        <w:rPr>
          <w:rFonts w:ascii="Bodoni MT" w:eastAsia="Times New Roman" w:hAnsi="Bodoni MT" w:cs="Bodoni MT"/>
          <w:color w:val="000000"/>
          <w:sz w:val="24"/>
          <w:szCs w:val="24"/>
          <w:lang w:eastAsia="it-IT"/>
        </w:rPr>
        <w:t xml:space="preserve"> </w:t>
      </w:r>
      <w:r w:rsidR="0062609F" w:rsidRPr="001D4EA4">
        <w:rPr>
          <w:rFonts w:ascii="Bodoni MT" w:eastAsia="Times New Roman" w:hAnsi="Bodoni MT" w:cs="Bodoni MT"/>
          <w:color w:val="000000"/>
          <w:sz w:val="24"/>
          <w:szCs w:val="24"/>
          <w:lang w:eastAsia="it-IT"/>
        </w:rPr>
        <w:t>Da tali dati può desumersi che la gestione in conto terzi genera liquidità, in quanto le riscossioni sono maggiori dei corrispettivi pagamenti; si tratta di una situazione temporanea che dovrebbe essere ricondotta in equilibrio tempestivamente.</w:t>
      </w:r>
      <w:r w:rsidR="0062609F">
        <w:rPr>
          <w:rFonts w:ascii="Bodoni MT" w:eastAsia="Times New Roman" w:hAnsi="Bodoni MT" w:cs="Bodoni MT"/>
          <w:color w:val="000000"/>
          <w:sz w:val="24"/>
          <w:szCs w:val="24"/>
          <w:lang w:eastAsia="it-IT"/>
        </w:rPr>
        <w:t xml:space="preserve"> </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 xml:space="preserve">Il confronto delle risultanze di cassa a fine esercizio con le previsioni finali, mostra uno scostamento negativo, </w:t>
      </w:r>
      <w:r w:rsidRPr="004579ED">
        <w:rPr>
          <w:rFonts w:ascii="Bodoni MT" w:eastAsia="Times New Roman" w:hAnsi="Bodoni MT" w:cs="Bodoni MT"/>
          <w:b/>
          <w:color w:val="000000"/>
          <w:sz w:val="24"/>
          <w:szCs w:val="24"/>
          <w:lang w:eastAsia="it-IT"/>
        </w:rPr>
        <w:t>evidenziando forti divergenze fra quanto programmato e quanto realizzato</w:t>
      </w:r>
      <w:r w:rsidRPr="005D660C">
        <w:rPr>
          <w:rFonts w:ascii="Bodoni MT" w:eastAsia="Times New Roman" w:hAnsi="Bodoni MT" w:cs="Bodoni MT"/>
          <w:color w:val="000000"/>
          <w:sz w:val="24"/>
          <w:szCs w:val="24"/>
          <w:lang w:eastAsia="it-IT"/>
        </w:rPr>
        <w:t xml:space="preserve">. Infatti si sono registrati </w:t>
      </w:r>
      <w:r w:rsidRPr="004579ED">
        <w:rPr>
          <w:rFonts w:ascii="Bodoni MT" w:eastAsia="Times New Roman" w:hAnsi="Bodoni MT" w:cs="Bodoni MT"/>
          <w:b/>
          <w:color w:val="000000"/>
          <w:sz w:val="24"/>
          <w:szCs w:val="24"/>
          <w:lang w:eastAsia="it-IT"/>
        </w:rPr>
        <w:t>minori riscossioni pari a € 1.745.228.300,29 e minori pagamenti per € 1.804.581.602,40</w:t>
      </w:r>
      <w:r w:rsidRPr="005D660C">
        <w:rPr>
          <w:rFonts w:ascii="Bodoni MT" w:eastAsia="Times New Roman" w:hAnsi="Bodoni MT" w:cs="Bodoni MT"/>
          <w:color w:val="000000"/>
          <w:sz w:val="24"/>
          <w:szCs w:val="24"/>
          <w:lang w:eastAsia="it-IT"/>
        </w:rPr>
        <w:t>.</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In sede istruttoria</w:t>
      </w:r>
      <w:r w:rsidRPr="005D660C">
        <w:rPr>
          <w:rFonts w:ascii="Bodoni MT" w:eastAsia="Times New Roman" w:hAnsi="Bodoni MT" w:cs="Bodoni MT"/>
          <w:color w:val="000000"/>
          <w:sz w:val="24"/>
          <w:szCs w:val="24"/>
          <w:vertAlign w:val="superscript"/>
          <w:lang w:eastAsia="it-IT"/>
        </w:rPr>
        <w:footnoteReference w:id="108"/>
      </w:r>
      <w:r w:rsidRPr="005D660C">
        <w:rPr>
          <w:rFonts w:ascii="Bodoni MT" w:eastAsia="Times New Roman" w:hAnsi="Bodoni MT" w:cs="Bodoni MT"/>
          <w:color w:val="000000"/>
          <w:sz w:val="24"/>
          <w:szCs w:val="24"/>
          <w:lang w:eastAsia="it-IT"/>
        </w:rPr>
        <w:t xml:space="preserve">, vista l’esiguità del fondo cassa a fine esercizio, </w:t>
      </w:r>
      <w:r w:rsidR="004579ED">
        <w:rPr>
          <w:rFonts w:ascii="Bodoni MT" w:eastAsia="Times New Roman" w:hAnsi="Bodoni MT" w:cs="Bodoni MT"/>
          <w:color w:val="000000"/>
          <w:sz w:val="24"/>
          <w:szCs w:val="24"/>
          <w:lang w:eastAsia="it-IT"/>
        </w:rPr>
        <w:t>sono state chieste</w:t>
      </w:r>
      <w:r w:rsidRPr="005D660C">
        <w:rPr>
          <w:rFonts w:ascii="Bodoni MT" w:eastAsia="Times New Roman" w:hAnsi="Bodoni MT" w:cs="Bodoni MT"/>
          <w:color w:val="000000"/>
          <w:sz w:val="24"/>
          <w:szCs w:val="24"/>
          <w:lang w:eastAsia="it-IT"/>
        </w:rPr>
        <w:t xml:space="preserve"> notizie sulle eventuali difficoltà riscontrate nei primi mesi dell’esercizio successivo </w:t>
      </w:r>
      <w:r w:rsidR="004579ED">
        <w:rPr>
          <w:rFonts w:ascii="Bodoni MT" w:eastAsia="Times New Roman" w:hAnsi="Bodoni MT" w:cs="Bodoni MT"/>
          <w:color w:val="000000"/>
          <w:sz w:val="24"/>
          <w:szCs w:val="24"/>
          <w:lang w:eastAsia="it-IT"/>
        </w:rPr>
        <w:t xml:space="preserve">(2017) </w:t>
      </w:r>
      <w:r w:rsidRPr="005D660C">
        <w:rPr>
          <w:rFonts w:ascii="Bodoni MT" w:eastAsia="Times New Roman" w:hAnsi="Bodoni MT" w:cs="Bodoni MT"/>
          <w:color w:val="000000"/>
          <w:sz w:val="24"/>
          <w:szCs w:val="24"/>
          <w:lang w:eastAsia="it-IT"/>
        </w:rPr>
        <w:t xml:space="preserve">per far fronte ai pagamenti. </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 xml:space="preserve">La Regione ha dichiarato che a gennaio il flusso di cassa è garantito da rimesse statali e recuperi conti di tesoreria, in quanto le devoluzioni vengono erogate nell’anno successivo rispetto all’accertamento e nell’anno di competenza si riscuote il residuo dell’anno precedente. </w:t>
      </w:r>
    </w:p>
    <w:p w:rsidR="005D660C" w:rsidRPr="005D660C" w:rsidRDefault="005D660C" w:rsidP="005D660C">
      <w:pPr>
        <w:autoSpaceDE w:val="0"/>
        <w:autoSpaceDN w:val="0"/>
        <w:adjustRightInd w:val="0"/>
        <w:spacing w:after="120" w:line="360" w:lineRule="auto"/>
        <w:jc w:val="both"/>
        <w:textAlignment w:val="center"/>
        <w:rPr>
          <w:rFonts w:ascii="Bodoni MT" w:eastAsia="Times New Roman" w:hAnsi="Bodoni MT" w:cs="Bodoni MT"/>
          <w:color w:val="000000"/>
          <w:sz w:val="24"/>
          <w:szCs w:val="24"/>
          <w:lang w:eastAsia="it-IT"/>
        </w:rPr>
      </w:pPr>
      <w:r w:rsidRPr="005D660C">
        <w:rPr>
          <w:rFonts w:ascii="Bodoni MT" w:eastAsia="Times New Roman" w:hAnsi="Bodoni MT" w:cs="Bodoni MT"/>
          <w:color w:val="000000"/>
          <w:sz w:val="24"/>
          <w:szCs w:val="24"/>
          <w:lang w:eastAsia="it-IT"/>
        </w:rPr>
        <w:t>Con successiva nota</w:t>
      </w:r>
      <w:r w:rsidRPr="005D660C">
        <w:rPr>
          <w:rFonts w:ascii="Bodoni MT" w:eastAsia="Times New Roman" w:hAnsi="Bodoni MT" w:cs="Bodoni MT"/>
          <w:color w:val="000000"/>
          <w:sz w:val="24"/>
          <w:szCs w:val="24"/>
          <w:vertAlign w:val="superscript"/>
          <w:lang w:eastAsia="it-IT"/>
        </w:rPr>
        <w:footnoteReference w:id="109"/>
      </w:r>
      <w:r w:rsidRPr="005D660C">
        <w:rPr>
          <w:rFonts w:ascii="Bodoni MT" w:eastAsia="Times New Roman" w:hAnsi="Bodoni MT" w:cs="Bodoni MT"/>
          <w:color w:val="000000"/>
          <w:sz w:val="24"/>
          <w:szCs w:val="24"/>
          <w:lang w:eastAsia="it-IT"/>
        </w:rPr>
        <w:t xml:space="preserve"> è stato comunicato che </w:t>
      </w:r>
      <w:r w:rsidRPr="005D660C">
        <w:rPr>
          <w:rFonts w:ascii="Bodoni MT" w:eastAsia="Times New Roman" w:hAnsi="Bodoni MT" w:cs="Bodoni MT"/>
          <w:i/>
          <w:color w:val="000000"/>
          <w:sz w:val="24"/>
          <w:szCs w:val="24"/>
          <w:lang w:eastAsia="it-IT"/>
        </w:rPr>
        <w:t>“…seppure la giacenza di fine anno della cassa appaia contenuta, il ciclo di riscossioni dell’anno successivo, e poi costanti nei mesi successivi, sono tali da garantire la copertura dei pagamenti in scadenza del mese di gennaio e successivi…”</w:t>
      </w:r>
      <w:r w:rsidRPr="005D660C">
        <w:rPr>
          <w:rFonts w:ascii="Bodoni MT" w:eastAsia="Times New Roman" w:hAnsi="Bodoni MT" w:cs="Bodoni MT"/>
          <w:color w:val="000000"/>
          <w:sz w:val="24"/>
          <w:szCs w:val="24"/>
          <w:lang w:eastAsia="it-IT"/>
        </w:rPr>
        <w:t xml:space="preserve">. Nella stessa nota </w:t>
      </w:r>
      <w:r w:rsidR="00BF15AA">
        <w:rPr>
          <w:rFonts w:ascii="Bodoni MT" w:eastAsia="Times New Roman" w:hAnsi="Bodoni MT" w:cs="Bodoni MT"/>
          <w:color w:val="000000"/>
          <w:sz w:val="24"/>
          <w:szCs w:val="24"/>
          <w:lang w:eastAsia="it-IT"/>
        </w:rPr>
        <w:t xml:space="preserve">la Regione </w:t>
      </w:r>
      <w:r w:rsidRPr="005D660C">
        <w:rPr>
          <w:rFonts w:ascii="Bodoni MT" w:eastAsia="Times New Roman" w:hAnsi="Bodoni MT" w:cs="Bodoni MT"/>
          <w:color w:val="000000"/>
          <w:sz w:val="24"/>
          <w:szCs w:val="24"/>
          <w:lang w:eastAsia="it-IT"/>
        </w:rPr>
        <w:t>ha specificato che le rimesse statali di importo più rilevante</w:t>
      </w:r>
      <w:r w:rsidR="00BF15AA">
        <w:rPr>
          <w:rFonts w:ascii="Bodoni MT" w:eastAsia="Times New Roman" w:hAnsi="Bodoni MT" w:cs="Bodoni MT"/>
          <w:color w:val="000000"/>
          <w:sz w:val="24"/>
          <w:szCs w:val="24"/>
          <w:lang w:eastAsia="it-IT"/>
        </w:rPr>
        <w:t>,</w:t>
      </w:r>
      <w:r w:rsidRPr="005D660C">
        <w:rPr>
          <w:rFonts w:ascii="Bodoni MT" w:eastAsia="Times New Roman" w:hAnsi="Bodoni MT" w:cs="Bodoni MT"/>
          <w:color w:val="000000"/>
          <w:sz w:val="24"/>
          <w:szCs w:val="24"/>
          <w:lang w:eastAsia="it-IT"/>
        </w:rPr>
        <w:t xml:space="preserve"> acquisite nei primi mesi dell’esercizio 2017</w:t>
      </w:r>
      <w:r w:rsidR="00BF15AA">
        <w:rPr>
          <w:rFonts w:ascii="Bodoni MT" w:eastAsia="Times New Roman" w:hAnsi="Bodoni MT" w:cs="Bodoni MT"/>
          <w:color w:val="000000"/>
          <w:sz w:val="24"/>
          <w:szCs w:val="24"/>
          <w:lang w:eastAsia="it-IT"/>
        </w:rPr>
        <w:t>,</w:t>
      </w:r>
      <w:r w:rsidRPr="005D660C">
        <w:rPr>
          <w:rFonts w:ascii="Bodoni MT" w:eastAsia="Times New Roman" w:hAnsi="Bodoni MT" w:cs="Bodoni MT"/>
          <w:color w:val="000000"/>
          <w:sz w:val="24"/>
          <w:szCs w:val="24"/>
          <w:lang w:eastAsia="it-IT"/>
        </w:rPr>
        <w:t xml:space="preserve"> si riferiscono alle entrate tributarie devolute dallo Stato per un importo complessivo di 1,5 miliardi, all’IRAP per 81,937 </w:t>
      </w:r>
      <w:r w:rsidR="00CB5931">
        <w:rPr>
          <w:rFonts w:ascii="Bodoni MT" w:eastAsia="Times New Roman" w:hAnsi="Bodoni MT" w:cs="Bodoni MT"/>
          <w:color w:val="000000"/>
          <w:sz w:val="24"/>
          <w:szCs w:val="24"/>
          <w:lang w:eastAsia="it-IT"/>
        </w:rPr>
        <w:t>milioni</w:t>
      </w:r>
      <w:r w:rsidR="00CB5931" w:rsidRPr="005D660C">
        <w:rPr>
          <w:rFonts w:ascii="Bodoni MT" w:eastAsia="Times New Roman" w:hAnsi="Bodoni MT" w:cs="Bodoni MT"/>
          <w:color w:val="000000"/>
          <w:sz w:val="24"/>
          <w:szCs w:val="24"/>
          <w:lang w:eastAsia="it-IT"/>
        </w:rPr>
        <w:t xml:space="preserve"> </w:t>
      </w:r>
      <w:r w:rsidRPr="005D660C">
        <w:rPr>
          <w:rFonts w:ascii="Bodoni MT" w:eastAsia="Times New Roman" w:hAnsi="Bodoni MT" w:cs="Bodoni MT"/>
          <w:color w:val="000000"/>
          <w:sz w:val="24"/>
          <w:szCs w:val="24"/>
          <w:lang w:eastAsia="it-IT"/>
        </w:rPr>
        <w:t xml:space="preserve">di euro e all’addizionale IRPEF per 15,389 </w:t>
      </w:r>
      <w:r w:rsidR="00863DDA">
        <w:rPr>
          <w:rFonts w:ascii="Bodoni MT" w:eastAsia="Times New Roman" w:hAnsi="Bodoni MT" w:cs="Bodoni MT"/>
          <w:color w:val="000000"/>
          <w:sz w:val="24"/>
          <w:szCs w:val="24"/>
          <w:lang w:eastAsia="it-IT"/>
        </w:rPr>
        <w:t>milioni</w:t>
      </w:r>
      <w:r w:rsidRPr="005D660C">
        <w:rPr>
          <w:rFonts w:ascii="Bodoni MT" w:eastAsia="Times New Roman" w:hAnsi="Bodoni MT" w:cs="Bodoni MT"/>
          <w:color w:val="000000"/>
          <w:sz w:val="24"/>
          <w:szCs w:val="24"/>
          <w:lang w:eastAsia="it-IT"/>
        </w:rPr>
        <w:t xml:space="preserve"> di euro e ad altri trasferimenti dallo Stato per complessivi 216 </w:t>
      </w:r>
      <w:r w:rsidR="00CB5931">
        <w:rPr>
          <w:rFonts w:ascii="Bodoni MT" w:eastAsia="Times New Roman" w:hAnsi="Bodoni MT" w:cs="Bodoni MT"/>
          <w:color w:val="000000"/>
          <w:sz w:val="24"/>
          <w:szCs w:val="24"/>
          <w:lang w:eastAsia="it-IT"/>
        </w:rPr>
        <w:t>milioni</w:t>
      </w:r>
      <w:r w:rsidR="00CB5931" w:rsidRPr="005D660C">
        <w:rPr>
          <w:rFonts w:ascii="Bodoni MT" w:eastAsia="Times New Roman" w:hAnsi="Bodoni MT" w:cs="Bodoni MT"/>
          <w:color w:val="000000"/>
          <w:sz w:val="24"/>
          <w:szCs w:val="24"/>
          <w:lang w:eastAsia="it-IT"/>
        </w:rPr>
        <w:t xml:space="preserve"> </w:t>
      </w:r>
      <w:r w:rsidRPr="005D660C">
        <w:rPr>
          <w:rFonts w:ascii="Bodoni MT" w:eastAsia="Times New Roman" w:hAnsi="Bodoni MT" w:cs="Bodoni MT"/>
          <w:color w:val="000000"/>
          <w:sz w:val="24"/>
          <w:szCs w:val="24"/>
          <w:lang w:eastAsia="it-IT"/>
        </w:rPr>
        <w:t xml:space="preserve">di euro. </w:t>
      </w:r>
    </w:p>
    <w:p w:rsidR="005D660C" w:rsidRDefault="005D660C" w:rsidP="00C04390">
      <w:pPr>
        <w:pStyle w:val="CdcTesto"/>
        <w:rPr>
          <w:rFonts w:eastAsia="Times New Roman"/>
          <w:lang w:eastAsia="it-IT"/>
        </w:rPr>
      </w:pPr>
      <w:r w:rsidRPr="005D660C">
        <w:rPr>
          <w:rFonts w:eastAsia="Times New Roman"/>
          <w:lang w:eastAsia="it-IT"/>
        </w:rPr>
        <w:lastRenderedPageBreak/>
        <w:t xml:space="preserve">L’analisi della concordanza fra i flussi di cassa contabilizzati in bilancio e quelli indicati nel Conto del Tesoriere e nei prospetti SIOPE di Banca d’Italia non ha rilevato divergenze. Si fa rilevare che non è stato possibile effettuare il controllo dei dati SIOPE per Titoli ma solo per totali, in quanto la codifica degli stessi </w:t>
      </w:r>
      <w:r w:rsidR="0062609F">
        <w:rPr>
          <w:rFonts w:eastAsia="Times New Roman"/>
          <w:lang w:eastAsia="it-IT"/>
        </w:rPr>
        <w:t xml:space="preserve">non </w:t>
      </w:r>
      <w:r w:rsidRPr="005D660C">
        <w:rPr>
          <w:rFonts w:eastAsia="Times New Roman"/>
          <w:lang w:eastAsia="it-IT"/>
        </w:rPr>
        <w:t xml:space="preserve">è </w:t>
      </w:r>
      <w:r w:rsidR="0062609F" w:rsidRPr="001D4EA4">
        <w:rPr>
          <w:rFonts w:eastAsia="Times New Roman"/>
          <w:lang w:eastAsia="it-IT"/>
        </w:rPr>
        <w:t xml:space="preserve">stata adeguata alla nuova contabilità </w:t>
      </w:r>
      <w:r w:rsidRPr="001D4EA4">
        <w:rPr>
          <w:rFonts w:eastAsia="Times New Roman"/>
          <w:lang w:eastAsia="it-IT"/>
        </w:rPr>
        <w:t>armonizza</w:t>
      </w:r>
      <w:r w:rsidR="0062609F" w:rsidRPr="001D4EA4">
        <w:rPr>
          <w:rFonts w:eastAsia="Times New Roman"/>
          <w:lang w:eastAsia="it-IT"/>
        </w:rPr>
        <w:t>ta</w:t>
      </w:r>
      <w:r w:rsidRPr="001D4EA4">
        <w:rPr>
          <w:rFonts w:eastAsia="Times New Roman"/>
          <w:lang w:eastAsia="it-IT"/>
        </w:rPr>
        <w:t>.</w:t>
      </w:r>
      <w:r w:rsidRPr="005D660C">
        <w:rPr>
          <w:rFonts w:eastAsia="Times New Roman"/>
          <w:lang w:eastAsia="it-IT"/>
        </w:rPr>
        <w:t xml:space="preserve"> Infatti il DM 9 giugno 2016, che </w:t>
      </w:r>
      <w:r w:rsidR="004579ED">
        <w:rPr>
          <w:rFonts w:eastAsia="Times New Roman"/>
          <w:lang w:eastAsia="it-IT"/>
        </w:rPr>
        <w:t xml:space="preserve">ha </w:t>
      </w:r>
      <w:r w:rsidRPr="005D660C">
        <w:rPr>
          <w:rFonts w:eastAsia="Times New Roman"/>
          <w:lang w:eastAsia="it-IT"/>
        </w:rPr>
        <w:t>adeguato la codifica SIOPE al nuovo piano dei conti integrato, ha disposto che gli enti territoriali si adeguino alle nuove disposizioni a decorrere dal 1° gennaio 2017.</w:t>
      </w:r>
    </w:p>
    <w:p w:rsidR="004579ED" w:rsidRPr="005D660C" w:rsidRDefault="004579ED" w:rsidP="00C04390">
      <w:pPr>
        <w:pStyle w:val="CdcTesto"/>
        <w:rPr>
          <w:rFonts w:eastAsia="Times New Roman"/>
          <w:lang w:eastAsia="it-IT"/>
        </w:rPr>
      </w:pPr>
      <w:r w:rsidRPr="005D660C">
        <w:rPr>
          <w:rFonts w:eastAsia="Times New Roman"/>
          <w:lang w:eastAsia="it-IT"/>
        </w:rPr>
        <w:t xml:space="preserve">Nel corso del 2016 la RAS non ha fatto ricorso ad anticipazioni di </w:t>
      </w:r>
      <w:r w:rsidR="00877495">
        <w:rPr>
          <w:rFonts w:eastAsia="Times New Roman"/>
          <w:lang w:eastAsia="it-IT"/>
        </w:rPr>
        <w:t>tesoreria</w:t>
      </w:r>
      <w:r w:rsidRPr="005D660C">
        <w:rPr>
          <w:rFonts w:eastAsia="Times New Roman"/>
          <w:lang w:eastAsia="it-IT"/>
        </w:rPr>
        <w:t xml:space="preserve"> e non ha attivato né gestito contratti relativi a strumenti finanziari derivati</w:t>
      </w:r>
      <w:r w:rsidRPr="005D660C">
        <w:rPr>
          <w:rFonts w:eastAsia="Times New Roman"/>
          <w:vertAlign w:val="superscript"/>
          <w:lang w:eastAsia="it-IT"/>
        </w:rPr>
        <w:footnoteReference w:id="110"/>
      </w:r>
      <w:r w:rsidRPr="005D660C">
        <w:rPr>
          <w:rFonts w:eastAsia="Times New Roman"/>
          <w:lang w:eastAsia="it-IT"/>
        </w:rPr>
        <w:t>.</w:t>
      </w:r>
    </w:p>
    <w:p w:rsidR="005D660C" w:rsidRPr="005D660C" w:rsidRDefault="005D660C" w:rsidP="00C04390">
      <w:pPr>
        <w:pStyle w:val="CdcTesto"/>
        <w:rPr>
          <w:rFonts w:eastAsia="Times New Roman"/>
          <w:lang w:eastAsia="it-IT"/>
        </w:rPr>
      </w:pPr>
      <w:r w:rsidRPr="005D660C">
        <w:rPr>
          <w:rFonts w:eastAsia="Times New Roman"/>
          <w:lang w:eastAsia="it-IT"/>
        </w:rPr>
        <w:t>Nell’Allegato 19.13</w:t>
      </w:r>
      <w:r w:rsidR="004579ED">
        <w:rPr>
          <w:rFonts w:eastAsia="Times New Roman"/>
          <w:lang w:eastAsia="it-IT"/>
        </w:rPr>
        <w:t xml:space="preserve"> al Rendiconto 2016</w:t>
      </w:r>
      <w:r w:rsidRPr="005D660C">
        <w:rPr>
          <w:rFonts w:eastAsia="Times New Roman"/>
          <w:lang w:eastAsia="it-IT"/>
        </w:rPr>
        <w:t>, infine, è riportato il prospetto che illustra la concordanza tra il Conto di Tesoreria e la contabilità speciale di Tesoreria unica e che di seguito si ripropone.</w:t>
      </w:r>
    </w:p>
    <w:p w:rsidR="005D660C" w:rsidRPr="004579ED" w:rsidRDefault="00C05880" w:rsidP="00C05880">
      <w:pPr>
        <w:pStyle w:val="Didascalia"/>
        <w:rPr>
          <w:bCs w:val="0"/>
        </w:rPr>
      </w:pPr>
      <w:bookmarkStart w:id="214" w:name="_Toc507422504"/>
      <w:r>
        <w:t xml:space="preserve">Tabella </w:t>
      </w:r>
      <w:r w:rsidR="00B90472">
        <w:fldChar w:fldCharType="begin"/>
      </w:r>
      <w:r w:rsidR="00B90472">
        <w:instrText xml:space="preserve"> SEQ Tabella \* ARABIC </w:instrText>
      </w:r>
      <w:r w:rsidR="00B90472">
        <w:fldChar w:fldCharType="separate"/>
      </w:r>
      <w:r w:rsidR="008616B3">
        <w:rPr>
          <w:noProof/>
        </w:rPr>
        <w:t>36</w:t>
      </w:r>
      <w:r w:rsidR="00B90472">
        <w:rPr>
          <w:noProof/>
        </w:rPr>
        <w:fldChar w:fldCharType="end"/>
      </w:r>
      <w:r w:rsidR="00AD5BF7" w:rsidRPr="005D660C">
        <w:rPr>
          <w:b w:val="0"/>
          <w:bCs w:val="0"/>
        </w:rPr>
        <w:t xml:space="preserve"> </w:t>
      </w:r>
      <w:r w:rsidR="004579ED">
        <w:rPr>
          <w:bCs w:val="0"/>
        </w:rPr>
        <w:t>-</w:t>
      </w:r>
      <w:r w:rsidR="004579ED" w:rsidRPr="004579ED">
        <w:rPr>
          <w:bCs w:val="0"/>
        </w:rPr>
        <w:t xml:space="preserve"> Prospetto di concordanza</w:t>
      </w:r>
      <w:bookmarkEnd w:id="214"/>
    </w:p>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69"/>
        <w:gridCol w:w="520"/>
        <w:gridCol w:w="1671"/>
      </w:tblGrid>
      <w:tr w:rsidR="005D660C" w:rsidRPr="005D660C" w:rsidTr="00C660FF">
        <w:trPr>
          <w:trHeight w:val="330"/>
        </w:trPr>
        <w:tc>
          <w:tcPr>
            <w:tcW w:w="8069" w:type="dxa"/>
            <w:shd w:val="clear" w:color="auto" w:fill="95B3D7" w:themeFill="accent1" w:themeFillTint="99"/>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b/>
                <w:bCs/>
                <w:color w:val="FFFFFF" w:themeColor="background1"/>
                <w:sz w:val="20"/>
                <w:szCs w:val="20"/>
                <w:lang w:eastAsia="it-IT"/>
              </w:rPr>
            </w:pPr>
            <w:r w:rsidRPr="005D660C">
              <w:rPr>
                <w:rFonts w:ascii="Bodoni MT" w:eastAsia="Times New Roman" w:hAnsi="Bodoni MT" w:cs="Bodoni MT"/>
                <w:b/>
                <w:bCs/>
                <w:color w:val="FFFFFF" w:themeColor="background1"/>
                <w:sz w:val="20"/>
                <w:szCs w:val="20"/>
                <w:lang w:eastAsia="it-IT"/>
              </w:rPr>
              <w:t>Fondo cassa</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b/>
                <w:bCs/>
                <w:color w:val="000000"/>
                <w:sz w:val="20"/>
                <w:szCs w:val="20"/>
                <w:lang w:eastAsia="it-IT"/>
              </w:rPr>
            </w:pPr>
            <w:r w:rsidRPr="005D660C">
              <w:rPr>
                <w:rFonts w:ascii="Bodoni MT" w:eastAsia="Times New Roman" w:hAnsi="Bodoni MT" w:cs="Bodoni MT"/>
                <w:b/>
                <w:bCs/>
                <w:color w:val="000000"/>
                <w:sz w:val="20"/>
                <w:szCs w:val="20"/>
                <w:lang w:eastAsia="it-IT"/>
              </w:rPr>
              <w:t>59.353.302,11</w:t>
            </w:r>
          </w:p>
        </w:tc>
      </w:tr>
      <w:tr w:rsidR="005D660C" w:rsidRPr="005D660C" w:rsidTr="00C660FF">
        <w:trPr>
          <w:trHeight w:val="315"/>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color w:val="FFFFFF" w:themeColor="background1"/>
                <w:sz w:val="20"/>
                <w:szCs w:val="20"/>
                <w:lang w:eastAsia="it-IT"/>
              </w:rPr>
            </w:pPr>
            <w:r w:rsidRPr="005D660C">
              <w:rPr>
                <w:rFonts w:ascii="Bodoni MT" w:eastAsia="Times New Roman" w:hAnsi="Bodoni MT" w:cs="Bodoni MT"/>
                <w:color w:val="FFFFFF" w:themeColor="background1"/>
                <w:sz w:val="20"/>
                <w:szCs w:val="20"/>
                <w:lang w:eastAsia="it-IT"/>
              </w:rPr>
              <w:t>Giacenze presso conto di Tesoreria escluse da rivesamento in Contabilità Speciale</w:t>
            </w:r>
          </w:p>
        </w:tc>
        <w:tc>
          <w:tcPr>
            <w:tcW w:w="520" w:type="dxa"/>
            <w:shd w:val="clear" w:color="auto" w:fill="auto"/>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r>
      <w:tr w:rsidR="005D660C" w:rsidRPr="005D660C" w:rsidTr="00C660FF">
        <w:trPr>
          <w:trHeight w:val="315"/>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color w:val="FFFFFF" w:themeColor="background1"/>
                <w:sz w:val="20"/>
                <w:szCs w:val="20"/>
                <w:lang w:eastAsia="it-IT"/>
              </w:rPr>
            </w:pPr>
            <w:r w:rsidRPr="005D660C">
              <w:rPr>
                <w:rFonts w:ascii="Bodoni MT" w:eastAsia="Times New Roman" w:hAnsi="Bodoni MT" w:cs="Bodoni MT"/>
                <w:color w:val="FFFFFF" w:themeColor="background1"/>
                <w:sz w:val="20"/>
                <w:szCs w:val="20"/>
                <w:lang w:eastAsia="it-IT"/>
              </w:rPr>
              <w:t>Riscossioni effettuate dal Tesoriere e non contabilizzate nella contabilità speciale presso la Tesoreria Provinciale</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938.462,73</w:t>
            </w:r>
          </w:p>
        </w:tc>
      </w:tr>
      <w:tr w:rsidR="005D660C" w:rsidRPr="005D660C" w:rsidTr="00C660FF">
        <w:trPr>
          <w:trHeight w:val="330"/>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color w:val="FFFFFF" w:themeColor="background1"/>
                <w:sz w:val="20"/>
                <w:szCs w:val="20"/>
                <w:lang w:eastAsia="it-IT"/>
              </w:rPr>
            </w:pPr>
            <w:r w:rsidRPr="005D660C">
              <w:rPr>
                <w:rFonts w:ascii="Bodoni MT" w:eastAsia="Times New Roman" w:hAnsi="Bodoni MT" w:cs="Bodoni MT"/>
                <w:color w:val="FFFFFF" w:themeColor="background1"/>
                <w:sz w:val="20"/>
                <w:szCs w:val="20"/>
                <w:lang w:eastAsia="it-IT"/>
              </w:rPr>
              <w:t>Pagamenti effettuati nella contabilità speciale presso la Tesoreria Provinciale non contabilizzati dal Tesoriere</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2.774.799,01</w:t>
            </w:r>
          </w:p>
        </w:tc>
      </w:tr>
      <w:tr w:rsidR="005D660C" w:rsidRPr="005D660C" w:rsidTr="00C660FF">
        <w:trPr>
          <w:trHeight w:val="315"/>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color w:val="FFFFFF" w:themeColor="background1"/>
                <w:sz w:val="20"/>
                <w:szCs w:val="20"/>
                <w:lang w:eastAsia="it-IT"/>
              </w:rPr>
            </w:pPr>
            <w:r w:rsidRPr="005D660C">
              <w:rPr>
                <w:rFonts w:ascii="Bodoni MT" w:eastAsia="Times New Roman" w:hAnsi="Bodoni MT" w:cs="Bodoni MT"/>
                <w:color w:val="FFFFFF" w:themeColor="background1"/>
                <w:sz w:val="20"/>
                <w:szCs w:val="20"/>
                <w:lang w:eastAsia="it-IT"/>
              </w:rPr>
              <w:t>Pagamenti effettuati dal Tesoriere e non contabilizzate nella contabilità speciale presso la Tesoreria Provinciale</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r>
      <w:tr w:rsidR="005D660C" w:rsidRPr="005D660C" w:rsidTr="00C660FF">
        <w:trPr>
          <w:trHeight w:val="315"/>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color w:val="FFFFFF" w:themeColor="background1"/>
                <w:sz w:val="20"/>
                <w:szCs w:val="20"/>
                <w:lang w:eastAsia="it-IT"/>
              </w:rPr>
            </w:pPr>
            <w:r w:rsidRPr="005D660C">
              <w:rPr>
                <w:rFonts w:ascii="Bodoni MT" w:eastAsia="Times New Roman" w:hAnsi="Bodoni MT" w:cs="Bodoni MT"/>
                <w:color w:val="FFFFFF" w:themeColor="background1"/>
                <w:sz w:val="20"/>
                <w:szCs w:val="20"/>
                <w:lang w:eastAsia="it-IT"/>
              </w:rPr>
              <w:t>Versamenti nella contabilità speciale presso la Tesoreria Provinciale non contabilizzate dal Tesoriere</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r w:rsidRPr="005D660C">
              <w:rPr>
                <w:rFonts w:ascii="Bodoni MT" w:eastAsia="Times New Roman" w:hAnsi="Bodoni MT" w:cs="Bodoni MT"/>
                <w:color w:val="000000"/>
                <w:sz w:val="20"/>
                <w:szCs w:val="20"/>
                <w:lang w:eastAsia="it-IT"/>
              </w:rPr>
              <w:t>-</w:t>
            </w:r>
          </w:p>
        </w:tc>
      </w:tr>
      <w:tr w:rsidR="005D660C" w:rsidRPr="005D660C" w:rsidTr="00C660FF">
        <w:trPr>
          <w:trHeight w:val="330"/>
        </w:trPr>
        <w:tc>
          <w:tcPr>
            <w:tcW w:w="8069" w:type="dxa"/>
            <w:shd w:val="clear" w:color="auto" w:fill="95B3D7" w:themeFill="accent1" w:themeFillTint="99"/>
            <w:noWrap/>
            <w:vAlign w:val="center"/>
            <w:hideMark/>
          </w:tcPr>
          <w:p w:rsidR="005D660C" w:rsidRPr="005D660C" w:rsidRDefault="005D660C" w:rsidP="005D660C">
            <w:pPr>
              <w:autoSpaceDE w:val="0"/>
              <w:autoSpaceDN w:val="0"/>
              <w:adjustRightInd w:val="0"/>
              <w:spacing w:after="0" w:line="240" w:lineRule="auto"/>
              <w:textAlignment w:val="center"/>
              <w:rPr>
                <w:rFonts w:ascii="Bodoni MT" w:eastAsia="Times New Roman" w:hAnsi="Bodoni MT" w:cs="Bodoni MT"/>
                <w:b/>
                <w:bCs/>
                <w:color w:val="FFFFFF" w:themeColor="background1"/>
                <w:sz w:val="20"/>
                <w:szCs w:val="20"/>
                <w:lang w:eastAsia="it-IT"/>
              </w:rPr>
            </w:pPr>
            <w:r w:rsidRPr="005D660C">
              <w:rPr>
                <w:rFonts w:ascii="Bodoni MT" w:eastAsia="Times New Roman" w:hAnsi="Bodoni MT" w:cs="Bodoni MT"/>
                <w:b/>
                <w:bCs/>
                <w:color w:val="FFFFFF" w:themeColor="background1"/>
                <w:sz w:val="20"/>
                <w:szCs w:val="20"/>
                <w:lang w:eastAsia="it-IT"/>
              </w:rPr>
              <w:t>Disponibilità presso la Tesoreria Centrale al 31/12/2016</w:t>
            </w:r>
          </w:p>
        </w:tc>
        <w:tc>
          <w:tcPr>
            <w:tcW w:w="520"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color w:val="000000"/>
                <w:sz w:val="20"/>
                <w:szCs w:val="20"/>
                <w:lang w:eastAsia="it-IT"/>
              </w:rPr>
            </w:pPr>
          </w:p>
        </w:tc>
        <w:tc>
          <w:tcPr>
            <w:tcW w:w="1671" w:type="dxa"/>
            <w:shd w:val="clear" w:color="auto" w:fill="auto"/>
            <w:noWrap/>
            <w:vAlign w:val="center"/>
            <w:hideMark/>
          </w:tcPr>
          <w:p w:rsidR="005D660C" w:rsidRPr="005D660C" w:rsidRDefault="005D660C" w:rsidP="005D660C">
            <w:pPr>
              <w:autoSpaceDE w:val="0"/>
              <w:autoSpaceDN w:val="0"/>
              <w:adjustRightInd w:val="0"/>
              <w:spacing w:after="0" w:line="240" w:lineRule="auto"/>
              <w:jc w:val="center"/>
              <w:textAlignment w:val="center"/>
              <w:rPr>
                <w:rFonts w:ascii="Bodoni MT" w:eastAsia="Times New Roman" w:hAnsi="Bodoni MT" w:cs="Bodoni MT"/>
                <w:b/>
                <w:bCs/>
                <w:color w:val="000000"/>
                <w:sz w:val="20"/>
                <w:szCs w:val="20"/>
                <w:lang w:eastAsia="it-IT"/>
              </w:rPr>
            </w:pPr>
            <w:r w:rsidRPr="005D660C">
              <w:rPr>
                <w:rFonts w:ascii="Bodoni MT" w:eastAsia="Times New Roman" w:hAnsi="Bodoni MT" w:cs="Bodoni MT"/>
                <w:b/>
                <w:bCs/>
                <w:color w:val="000000"/>
                <w:sz w:val="20"/>
                <w:szCs w:val="20"/>
                <w:lang w:eastAsia="it-IT"/>
              </w:rPr>
              <w:t>61.189.638,39</w:t>
            </w:r>
          </w:p>
        </w:tc>
      </w:tr>
    </w:tbl>
    <w:p w:rsidR="005D660C" w:rsidRPr="005D660C" w:rsidRDefault="005D660C" w:rsidP="005D660C">
      <w:pPr>
        <w:keepNext/>
        <w:keepLines/>
        <w:numPr>
          <w:ilvl w:val="1"/>
          <w:numId w:val="1"/>
        </w:numPr>
        <w:spacing w:before="360" w:after="120" w:line="360" w:lineRule="auto"/>
        <w:ind w:left="0" w:firstLine="0"/>
        <w:outlineLvl w:val="1"/>
        <w:rPr>
          <w:rFonts w:ascii="Bodoni MT" w:eastAsiaTheme="majorEastAsia" w:hAnsi="Bodoni MT" w:cstheme="majorBidi"/>
          <w:b/>
          <w:color w:val="000000" w:themeColor="text1"/>
          <w:sz w:val="32"/>
          <w:szCs w:val="36"/>
        </w:rPr>
      </w:pPr>
      <w:bookmarkStart w:id="215" w:name="_Toc499040940"/>
      <w:bookmarkStart w:id="216" w:name="_Toc507422646"/>
      <w:r w:rsidRPr="005D660C">
        <w:rPr>
          <w:rFonts w:ascii="Bodoni MT" w:eastAsiaTheme="majorEastAsia" w:hAnsi="Bodoni MT" w:cstheme="majorBidi"/>
          <w:b/>
          <w:color w:val="000000" w:themeColor="text1"/>
          <w:sz w:val="32"/>
          <w:szCs w:val="36"/>
        </w:rPr>
        <w:t>Il risultato di amministrazione al 31/12/2016</w:t>
      </w:r>
      <w:bookmarkEnd w:id="215"/>
      <w:bookmarkEnd w:id="216"/>
    </w:p>
    <w:p w:rsidR="005D660C" w:rsidRPr="005D660C" w:rsidRDefault="005D660C" w:rsidP="00C04390">
      <w:pPr>
        <w:pStyle w:val="CdcTesto"/>
      </w:pPr>
      <w:r w:rsidRPr="005D660C">
        <w:t>Ai sensi dell’art.</w:t>
      </w:r>
      <w:r w:rsidR="00F16ECD">
        <w:t xml:space="preserve"> </w:t>
      </w:r>
      <w:r w:rsidRPr="005D660C">
        <w:t>42 del D</w:t>
      </w:r>
      <w:r w:rsidR="00F16ECD">
        <w:t>.</w:t>
      </w:r>
      <w:r w:rsidR="00F16ECD" w:rsidRPr="005D660C">
        <w:t>Lgs</w:t>
      </w:r>
      <w:r w:rsidR="00F16ECD">
        <w:t>.</w:t>
      </w:r>
      <w:r w:rsidRPr="005D660C">
        <w:t xml:space="preserve"> 118/2011, il risultato di amministrazione è pari al fondo di cassa aumentato dei residui attivi e diminuito dei residui passivi. Si distingue in fondi liberi, fondi accantonati, fondi destinati agli investimenti e fondi vincolati. </w:t>
      </w:r>
      <w:r w:rsidRPr="004579ED">
        <w:rPr>
          <w:b/>
        </w:rPr>
        <w:t>Non comprende le risorse accertate che hanno finanziato spese impegnate con imputazioni agli esercizi successivi, rappresentate dal fondo pluriennale vincolato determinato in spesa del conto del bilancio</w:t>
      </w:r>
      <w:r w:rsidRPr="005D660C">
        <w:t>.</w:t>
      </w:r>
    </w:p>
    <w:p w:rsidR="005D660C" w:rsidRPr="005D660C" w:rsidRDefault="005D660C" w:rsidP="00C04390">
      <w:pPr>
        <w:pStyle w:val="CdcTesto"/>
      </w:pPr>
      <w:r w:rsidRPr="005D660C">
        <w:t>Il risultato di amministrazione al 31/12/2016, determinato come sopra esposto, viene illustrato nella tabella seguente.</w:t>
      </w:r>
    </w:p>
    <w:p w:rsidR="005D660C" w:rsidRPr="00AD5BF7" w:rsidRDefault="00C05880" w:rsidP="00C05880">
      <w:pPr>
        <w:pStyle w:val="Didascalia"/>
        <w:rPr>
          <w:bCs w:val="0"/>
          <w:sz w:val="24"/>
          <w:szCs w:val="24"/>
        </w:rPr>
      </w:pPr>
      <w:bookmarkStart w:id="217" w:name="_Toc507422505"/>
      <w:r>
        <w:t xml:space="preserve">Tabella </w:t>
      </w:r>
      <w:r w:rsidR="00B90472">
        <w:fldChar w:fldCharType="begin"/>
      </w:r>
      <w:r w:rsidR="00B90472">
        <w:instrText xml:space="preserve"> SEQ Tabella \* ARABIC </w:instrText>
      </w:r>
      <w:r w:rsidR="00B90472">
        <w:fldChar w:fldCharType="separate"/>
      </w:r>
      <w:r w:rsidR="008616B3">
        <w:rPr>
          <w:noProof/>
        </w:rPr>
        <w:t>37</w:t>
      </w:r>
      <w:r w:rsidR="00B90472">
        <w:rPr>
          <w:noProof/>
        </w:rPr>
        <w:fldChar w:fldCharType="end"/>
      </w:r>
      <w:r w:rsidR="00AD5BF7" w:rsidRPr="005D660C">
        <w:rPr>
          <w:b w:val="0"/>
          <w:bCs w:val="0"/>
        </w:rPr>
        <w:t xml:space="preserve"> </w:t>
      </w:r>
      <w:r w:rsidR="00AD5BF7" w:rsidRPr="00AD5BF7">
        <w:rPr>
          <w:bCs w:val="0"/>
        </w:rPr>
        <w:t>-</w:t>
      </w:r>
      <w:r w:rsidR="00AD5BF7" w:rsidRPr="00AD5BF7">
        <w:rPr>
          <w:bCs w:val="0"/>
          <w:sz w:val="24"/>
          <w:szCs w:val="24"/>
        </w:rPr>
        <w:t xml:space="preserve"> Prospetto dimostrativo del Risultato di Amministrazione al 31/12/2016</w:t>
      </w:r>
      <w:bookmarkEnd w:id="217"/>
    </w:p>
    <w:tbl>
      <w:tblPr>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79"/>
        <w:gridCol w:w="392"/>
        <w:gridCol w:w="1438"/>
        <w:gridCol w:w="1440"/>
        <w:gridCol w:w="1509"/>
      </w:tblGrid>
      <w:tr w:rsidR="005D660C" w:rsidRPr="005D660C" w:rsidTr="00646EDA">
        <w:trPr>
          <w:trHeight w:val="285"/>
        </w:trPr>
        <w:tc>
          <w:tcPr>
            <w:tcW w:w="2647" w:type="pct"/>
            <w:vMerge w:val="restart"/>
            <w:shd w:val="clear" w:color="auto" w:fill="0F243E" w:themeFill="text2" w:themeFillShade="80"/>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w:t>
            </w:r>
          </w:p>
        </w:tc>
        <w:tc>
          <w:tcPr>
            <w:tcW w:w="193"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w:t>
            </w:r>
          </w:p>
        </w:tc>
        <w:tc>
          <w:tcPr>
            <w:tcW w:w="2160" w:type="pct"/>
            <w:gridSpan w:val="3"/>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GESTIONE</w:t>
            </w:r>
          </w:p>
        </w:tc>
      </w:tr>
      <w:tr w:rsidR="005D660C" w:rsidRPr="005D660C" w:rsidTr="00646EDA">
        <w:trPr>
          <w:trHeight w:val="62"/>
        </w:trPr>
        <w:tc>
          <w:tcPr>
            <w:tcW w:w="2647" w:type="pct"/>
            <w:vMerge/>
            <w:shd w:val="clear" w:color="auto" w:fill="17365D" w:themeFill="text2" w:themeFillShade="BF"/>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18"/>
                <w:szCs w:val="18"/>
                <w:lang w:eastAsia="it-IT"/>
              </w:rPr>
            </w:pPr>
          </w:p>
        </w:tc>
        <w:tc>
          <w:tcPr>
            <w:tcW w:w="193"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w:t>
            </w:r>
          </w:p>
        </w:tc>
        <w:tc>
          <w:tcPr>
            <w:tcW w:w="708"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RESIDUI </w:t>
            </w:r>
          </w:p>
        </w:tc>
        <w:tc>
          <w:tcPr>
            <w:tcW w:w="709"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COMPETENZA </w:t>
            </w:r>
          </w:p>
        </w:tc>
        <w:tc>
          <w:tcPr>
            <w:tcW w:w="744" w:type="pct"/>
            <w:shd w:val="clear" w:color="auto" w:fill="0F243E" w:themeFill="text2" w:themeFillShade="80"/>
            <w:vAlign w:val="center"/>
            <w:hideMark/>
          </w:tcPr>
          <w:p w:rsidR="005D660C" w:rsidRPr="005D660C" w:rsidRDefault="005D660C" w:rsidP="005D660C">
            <w:pPr>
              <w:spacing w:after="0" w:line="240" w:lineRule="auto"/>
              <w:jc w:val="center"/>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TOTALE </w:t>
            </w:r>
          </w:p>
        </w:tc>
      </w:tr>
      <w:tr w:rsidR="005D660C" w:rsidRPr="005D660C" w:rsidTr="005D660C">
        <w:trPr>
          <w:trHeight w:val="254"/>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lastRenderedPageBreak/>
              <w:t xml:space="preserve">Fondo cassa al 1° gennaio </w:t>
            </w:r>
          </w:p>
        </w:tc>
        <w:tc>
          <w:tcPr>
            <w:tcW w:w="193" w:type="pct"/>
            <w:shd w:val="clear" w:color="auto" w:fill="auto"/>
            <w:noWrap/>
            <w:vAlign w:val="bottom"/>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 </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340.832.737,09</w:t>
            </w:r>
          </w:p>
        </w:tc>
      </w:tr>
      <w:tr w:rsidR="005D660C" w:rsidRPr="005D660C" w:rsidTr="005D660C">
        <w:trPr>
          <w:trHeight w:val="129"/>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Riscossioni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379.395.363,04</w:t>
            </w: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7.524.888.588,46</w:t>
            </w: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7.904.283.951,50</w:t>
            </w:r>
          </w:p>
        </w:tc>
      </w:tr>
      <w:tr w:rsidR="005D660C" w:rsidRPr="005D660C" w:rsidTr="005D660C">
        <w:trPr>
          <w:trHeight w:val="175"/>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Pagamenti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1.111.236.015,18</w:t>
            </w: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7.074.527.371,30</w:t>
            </w: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8.185.763.386,48</w:t>
            </w:r>
          </w:p>
        </w:tc>
      </w:tr>
      <w:tr w:rsidR="005D660C" w:rsidRPr="005D660C" w:rsidTr="005D660C">
        <w:trPr>
          <w:trHeight w:val="235"/>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Saldo di cassa al 31 dicembre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59.353.302,11</w:t>
            </w:r>
          </w:p>
        </w:tc>
      </w:tr>
      <w:tr w:rsidR="005D660C" w:rsidRPr="005D660C" w:rsidTr="005D660C">
        <w:trPr>
          <w:trHeight w:val="281"/>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Pagamenti per azioni esecutive non regolarizzate al 31 dicembre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5D660C">
        <w:trPr>
          <w:trHeight w:val="115"/>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di cassa al 31 dicembre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59.353.302,11</w:t>
            </w:r>
          </w:p>
        </w:tc>
      </w:tr>
      <w:tr w:rsidR="005D660C" w:rsidRPr="005D660C" w:rsidTr="005D660C">
        <w:trPr>
          <w:trHeight w:val="91"/>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Residui attivi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425.157.164,17</w:t>
            </w: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1.411.711.828,05</w:t>
            </w: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1.836.868.992,22</w:t>
            </w:r>
          </w:p>
        </w:tc>
      </w:tr>
      <w:tr w:rsidR="005D660C" w:rsidRPr="005D660C" w:rsidTr="005D660C">
        <w:trPr>
          <w:trHeight w:val="337"/>
        </w:trPr>
        <w:tc>
          <w:tcPr>
            <w:tcW w:w="2647" w:type="pct"/>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Calibri"/>
                <w:i/>
                <w:iCs/>
                <w:color w:val="FFFFFF" w:themeColor="background1"/>
                <w:sz w:val="18"/>
                <w:szCs w:val="18"/>
                <w:lang w:eastAsia="it-IT"/>
              </w:rPr>
            </w:pPr>
            <w:r w:rsidRPr="005D660C">
              <w:rPr>
                <w:rFonts w:ascii="Bodoni MT" w:eastAsia="Times New Roman" w:hAnsi="Bodoni MT" w:cs="Calibri"/>
                <w:i/>
                <w:iCs/>
                <w:color w:val="FFFFFF" w:themeColor="background1"/>
                <w:sz w:val="18"/>
                <w:szCs w:val="18"/>
                <w:lang w:eastAsia="it-IT"/>
              </w:rPr>
              <w:t xml:space="preserve">    di cui derivanti da accertamenti di tributi effettuati sulla base della stima del dipartimento delle finanze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i/>
                <w:iCs/>
                <w:color w:val="000000"/>
                <w:sz w:val="18"/>
                <w:szCs w:val="18"/>
                <w:lang w:eastAsia="it-IT"/>
              </w:rPr>
            </w:pPr>
            <w:r w:rsidRPr="005D660C">
              <w:rPr>
                <w:rFonts w:ascii="Calibri" w:eastAsia="Times New Roman" w:hAnsi="Calibri" w:cs="Calibri"/>
                <w:i/>
                <w:iCs/>
                <w:color w:val="000000"/>
                <w:sz w:val="18"/>
                <w:szCs w:val="18"/>
                <w:lang w:eastAsia="it-IT"/>
              </w:rPr>
              <w:t>137.189.322,55</w:t>
            </w:r>
          </w:p>
        </w:tc>
      </w:tr>
      <w:tr w:rsidR="005D660C" w:rsidRPr="005D660C" w:rsidTr="005D660C">
        <w:trPr>
          <w:trHeight w:val="217"/>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Residui passivi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327.353.895,87</w:t>
            </w: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1.073.609.983,65</w:t>
            </w: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1.400.963.879,52</w:t>
            </w:r>
          </w:p>
        </w:tc>
      </w:tr>
      <w:tr w:rsidR="001D4EA4" w:rsidRPr="005D660C" w:rsidTr="005D660C">
        <w:trPr>
          <w:trHeight w:val="217"/>
        </w:trPr>
        <w:tc>
          <w:tcPr>
            <w:tcW w:w="2647" w:type="pct"/>
            <w:shd w:val="clear" w:color="auto" w:fill="95B3D7" w:themeFill="accent1" w:themeFillTint="99"/>
            <w:noWrap/>
            <w:vAlign w:val="center"/>
          </w:tcPr>
          <w:p w:rsidR="001D4EA4" w:rsidRPr="005D660C" w:rsidRDefault="001D4EA4" w:rsidP="005D660C">
            <w:pPr>
              <w:spacing w:after="0" w:line="240" w:lineRule="auto"/>
              <w:rPr>
                <w:rFonts w:ascii="Bodoni MT" w:eastAsia="Times New Roman" w:hAnsi="Bodoni MT" w:cs="Calibri"/>
                <w:color w:val="FFFFFF" w:themeColor="background1"/>
                <w:sz w:val="18"/>
                <w:szCs w:val="18"/>
                <w:lang w:eastAsia="it-IT"/>
              </w:rPr>
            </w:pPr>
            <w:r>
              <w:rPr>
                <w:rFonts w:ascii="Bodoni MT" w:eastAsia="Times New Roman" w:hAnsi="Bodoni MT" w:cs="Calibri"/>
                <w:color w:val="FFFFFF" w:themeColor="background1"/>
                <w:sz w:val="18"/>
                <w:szCs w:val="18"/>
                <w:lang w:eastAsia="it-IT"/>
              </w:rPr>
              <w:t>Disavanzo/avanzo complessivo al netto del FPV</w:t>
            </w:r>
          </w:p>
        </w:tc>
        <w:tc>
          <w:tcPr>
            <w:tcW w:w="193" w:type="pct"/>
            <w:shd w:val="clear" w:color="auto" w:fill="auto"/>
            <w:noWrap/>
            <w:vAlign w:val="center"/>
          </w:tcPr>
          <w:p w:rsidR="001D4EA4" w:rsidRPr="005D660C" w:rsidRDefault="001D4EA4" w:rsidP="005D660C">
            <w:pPr>
              <w:spacing w:after="0" w:line="240" w:lineRule="auto"/>
              <w:jc w:val="center"/>
              <w:rPr>
                <w:rFonts w:ascii="Bodoni MT" w:eastAsia="Times New Roman" w:hAnsi="Bodoni MT" w:cs="Calibri"/>
                <w:color w:val="000000"/>
                <w:sz w:val="18"/>
                <w:szCs w:val="18"/>
                <w:lang w:eastAsia="it-IT"/>
              </w:rPr>
            </w:pPr>
          </w:p>
        </w:tc>
        <w:tc>
          <w:tcPr>
            <w:tcW w:w="708" w:type="pct"/>
            <w:shd w:val="clear" w:color="auto" w:fill="auto"/>
            <w:noWrap/>
            <w:vAlign w:val="center"/>
          </w:tcPr>
          <w:p w:rsidR="001D4EA4" w:rsidRPr="005D660C" w:rsidRDefault="001D4EA4" w:rsidP="005D660C">
            <w:pPr>
              <w:spacing w:after="0" w:line="240" w:lineRule="auto"/>
              <w:jc w:val="center"/>
              <w:rPr>
                <w:rFonts w:ascii="Calibri" w:eastAsia="Times New Roman" w:hAnsi="Calibri" w:cs="Calibri"/>
                <w:color w:val="000000"/>
                <w:sz w:val="18"/>
                <w:szCs w:val="18"/>
                <w:lang w:eastAsia="it-IT"/>
              </w:rPr>
            </w:pPr>
          </w:p>
        </w:tc>
        <w:tc>
          <w:tcPr>
            <w:tcW w:w="709" w:type="pct"/>
            <w:shd w:val="clear" w:color="auto" w:fill="auto"/>
            <w:noWrap/>
            <w:vAlign w:val="center"/>
          </w:tcPr>
          <w:p w:rsidR="001D4EA4" w:rsidRPr="005D660C" w:rsidRDefault="001D4EA4"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tcPr>
          <w:p w:rsidR="001D4EA4" w:rsidRPr="005D660C" w:rsidRDefault="001D4EA4" w:rsidP="005D660C">
            <w:pPr>
              <w:spacing w:after="0" w:line="240" w:lineRule="auto"/>
              <w:jc w:val="center"/>
              <w:rPr>
                <w:rFonts w:ascii="Calibri" w:eastAsia="Times New Roman" w:hAnsi="Calibri" w:cs="Calibri"/>
                <w:color w:val="000000"/>
                <w:sz w:val="18"/>
                <w:szCs w:val="18"/>
                <w:lang w:eastAsia="it-IT"/>
              </w:rPr>
            </w:pPr>
            <w:r>
              <w:rPr>
                <w:rFonts w:ascii="Calibri" w:eastAsia="Times New Roman" w:hAnsi="Calibri" w:cs="Calibri"/>
                <w:color w:val="000000"/>
                <w:sz w:val="18"/>
                <w:szCs w:val="18"/>
                <w:lang w:eastAsia="it-IT"/>
              </w:rPr>
              <w:t>495.258.414,81</w:t>
            </w:r>
          </w:p>
        </w:tc>
      </w:tr>
      <w:tr w:rsidR="005D660C" w:rsidRPr="005D660C" w:rsidTr="005D660C">
        <w:trPr>
          <w:trHeight w:val="315"/>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pluriennale vincolato per spese correnti (1)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35.087.191,51</w:t>
            </w:r>
          </w:p>
        </w:tc>
      </w:tr>
      <w:tr w:rsidR="005D660C" w:rsidRPr="005D660C" w:rsidTr="005D660C">
        <w:trPr>
          <w:trHeight w:val="132"/>
        </w:trPr>
        <w:tc>
          <w:tcPr>
            <w:tcW w:w="2647" w:type="pct"/>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Calibri"/>
                <w:color w:val="FFFFFF" w:themeColor="background1"/>
                <w:sz w:val="18"/>
                <w:szCs w:val="18"/>
                <w:lang w:eastAsia="it-IT"/>
              </w:rPr>
            </w:pPr>
            <w:r w:rsidRPr="005D660C">
              <w:rPr>
                <w:rFonts w:ascii="Bodoni MT" w:eastAsia="Times New Roman" w:hAnsi="Bodoni MT" w:cs="Calibri"/>
                <w:color w:val="FFFFFF" w:themeColor="background1"/>
                <w:sz w:val="18"/>
                <w:szCs w:val="18"/>
                <w:lang w:eastAsia="it-IT"/>
              </w:rPr>
              <w:t xml:space="preserve">Fondo pluriennale vincolato per spese in conto capitale (1)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643.970.395,23</w:t>
            </w:r>
          </w:p>
        </w:tc>
      </w:tr>
      <w:tr w:rsidR="005D660C" w:rsidRPr="005D660C" w:rsidTr="005D660C">
        <w:trPr>
          <w:trHeight w:val="201"/>
        </w:trPr>
        <w:tc>
          <w:tcPr>
            <w:tcW w:w="2647" w:type="pct"/>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18"/>
                <w:szCs w:val="18"/>
                <w:lang w:eastAsia="it-IT"/>
              </w:rPr>
            </w:pPr>
            <w:r w:rsidRPr="005D660C">
              <w:rPr>
                <w:rFonts w:ascii="Bodoni MT" w:eastAsia="Times New Roman" w:hAnsi="Bodoni MT" w:cs="Calibri"/>
                <w:b/>
                <w:bCs/>
                <w:color w:val="FFFFFF" w:themeColor="background1"/>
                <w:sz w:val="18"/>
                <w:szCs w:val="18"/>
                <w:lang w:eastAsia="it-IT"/>
              </w:rPr>
              <w:t xml:space="preserve">Risultato di amministrazione al 31 dicembre 2016 (A)(2) </w:t>
            </w:r>
          </w:p>
        </w:tc>
        <w:tc>
          <w:tcPr>
            <w:tcW w:w="193"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r w:rsidRPr="005D660C">
              <w:rPr>
                <w:rFonts w:ascii="Bodoni MT" w:eastAsia="Times New Roman" w:hAnsi="Bodoni MT" w:cs="Calibri"/>
                <w:color w:val="000000"/>
                <w:sz w:val="18"/>
                <w:szCs w:val="18"/>
                <w:lang w:eastAsia="it-IT"/>
              </w:rPr>
              <w:t>(=)</w:t>
            </w:r>
          </w:p>
        </w:tc>
        <w:tc>
          <w:tcPr>
            <w:tcW w:w="708" w:type="pct"/>
            <w:shd w:val="clear" w:color="auto" w:fill="auto"/>
            <w:noWrap/>
            <w:vAlign w:val="center"/>
            <w:hideMark/>
          </w:tcPr>
          <w:p w:rsidR="005D660C" w:rsidRPr="005D660C" w:rsidRDefault="005D660C" w:rsidP="005D660C">
            <w:pPr>
              <w:spacing w:after="0" w:line="240" w:lineRule="auto"/>
              <w:jc w:val="center"/>
              <w:rPr>
                <w:rFonts w:ascii="Bodoni MT" w:eastAsia="Times New Roman" w:hAnsi="Bodoni MT" w:cs="Calibri"/>
                <w:color w:val="000000"/>
                <w:sz w:val="18"/>
                <w:szCs w:val="18"/>
                <w:lang w:eastAsia="it-IT"/>
              </w:rPr>
            </w:pPr>
          </w:p>
        </w:tc>
        <w:tc>
          <w:tcPr>
            <w:tcW w:w="70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p>
        </w:tc>
        <w:tc>
          <w:tcPr>
            <w:tcW w:w="744"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-183.799.171,93</w:t>
            </w:r>
          </w:p>
        </w:tc>
      </w:tr>
    </w:tbl>
    <w:p w:rsidR="005D660C" w:rsidRPr="005D660C" w:rsidRDefault="005D660C" w:rsidP="005D660C">
      <w:pPr>
        <w:spacing w:line="360" w:lineRule="auto"/>
        <w:jc w:val="both"/>
        <w:rPr>
          <w:rFonts w:ascii="Bodoni MT" w:hAnsi="Bodoni MT"/>
          <w:sz w:val="16"/>
          <w:szCs w:val="16"/>
        </w:rPr>
      </w:pPr>
      <w:r w:rsidRPr="005D660C">
        <w:rPr>
          <w:rFonts w:ascii="Bodoni MT" w:hAnsi="Bodoni MT"/>
          <w:sz w:val="16"/>
          <w:szCs w:val="16"/>
        </w:rPr>
        <w:t>Fonte: dati da Allegato 7) al Rendiconto RAS 2016</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Al risultato di amministrazione determinato in € -183.799.171,93 si devono applicare le quote accantonate e vincolate così come illustrato nella seguente tabella.</w:t>
      </w:r>
    </w:p>
    <w:p w:rsidR="005D660C" w:rsidRPr="00AD5BF7" w:rsidRDefault="00C05880" w:rsidP="00C05880">
      <w:pPr>
        <w:pStyle w:val="Didascalia"/>
        <w:rPr>
          <w:bCs w:val="0"/>
          <w:sz w:val="24"/>
          <w:szCs w:val="24"/>
        </w:rPr>
      </w:pPr>
      <w:bookmarkStart w:id="218" w:name="_Toc507422506"/>
      <w:r>
        <w:t xml:space="preserve">Tabella </w:t>
      </w:r>
      <w:r w:rsidR="00B90472">
        <w:fldChar w:fldCharType="begin"/>
      </w:r>
      <w:r w:rsidR="00B90472">
        <w:instrText xml:space="preserve"> SEQ Tabella \* ARABIC </w:instrText>
      </w:r>
      <w:r w:rsidR="00B90472">
        <w:fldChar w:fldCharType="separate"/>
      </w:r>
      <w:r w:rsidR="008616B3">
        <w:rPr>
          <w:noProof/>
        </w:rPr>
        <w:t>38</w:t>
      </w:r>
      <w:r w:rsidR="00B90472">
        <w:rPr>
          <w:noProof/>
        </w:rPr>
        <w:fldChar w:fldCharType="end"/>
      </w:r>
      <w:r w:rsidR="00AD5BF7" w:rsidRPr="005D660C">
        <w:rPr>
          <w:b w:val="0"/>
          <w:bCs w:val="0"/>
        </w:rPr>
        <w:t xml:space="preserve"> </w:t>
      </w:r>
      <w:r w:rsidR="00AD5BF7" w:rsidRPr="00AD5BF7">
        <w:rPr>
          <w:bCs w:val="0"/>
        </w:rPr>
        <w:t>-</w:t>
      </w:r>
      <w:r w:rsidR="00AD5BF7" w:rsidRPr="00AD5BF7">
        <w:rPr>
          <w:bCs w:val="0"/>
          <w:sz w:val="24"/>
          <w:szCs w:val="24"/>
        </w:rPr>
        <w:t xml:space="preserve"> Composizione del Risultato di Amministrazione</w:t>
      </w:r>
      <w:bookmarkEnd w:id="218"/>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49"/>
        <w:gridCol w:w="1674"/>
      </w:tblGrid>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Risultato di amministrazione al 31 dicembre 2016:  </w:t>
            </w:r>
          </w:p>
        </w:tc>
        <w:tc>
          <w:tcPr>
            <w:tcW w:w="1674" w:type="dxa"/>
            <w:shd w:val="clear" w:color="auto" w:fill="auto"/>
            <w:vAlign w:val="center"/>
            <w:hideMark/>
          </w:tcPr>
          <w:p w:rsidR="005D660C" w:rsidRPr="005D660C" w:rsidRDefault="005D660C" w:rsidP="005D660C">
            <w:pPr>
              <w:spacing w:after="0" w:line="240" w:lineRule="auto"/>
              <w:jc w:val="right"/>
              <w:rPr>
                <w:rFonts w:ascii="Calibri" w:eastAsia="Times New Roman" w:hAnsi="Calibri" w:cs="Calibri"/>
                <w:b/>
                <w:bCs/>
                <w:sz w:val="20"/>
                <w:szCs w:val="20"/>
                <w:lang w:eastAsia="it-IT"/>
              </w:rPr>
            </w:pPr>
            <w:r w:rsidRPr="005D660C">
              <w:rPr>
                <w:rFonts w:ascii="Calibri" w:eastAsia="Times New Roman" w:hAnsi="Calibri" w:cs="Calibri"/>
                <w:b/>
                <w:bCs/>
                <w:sz w:val="20"/>
                <w:szCs w:val="20"/>
                <w:lang w:eastAsia="it-IT"/>
              </w:rPr>
              <w:t>-183.799.171,93</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accantonata (3)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crediti di dubbia esigibilità al 31/12/2016 (4)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52.796.560,80</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Accantonamento residui perenti al 31/12/2016 (solo per le regioni) (5)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480.946.000,00</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anticipazioni liquidità D.L. 35/2013 e s.m. e rifinanziamenti al 31/12/2016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215.658.000,00</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per le perdite delle società partecipate (L. 147/2013) al 31/12/2016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1.607.251,00</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contenzioso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3.899.207,71</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Fondo soppressione fondi garanzie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36.543.224,10</w:t>
            </w:r>
          </w:p>
        </w:tc>
      </w:tr>
      <w:tr w:rsidR="005D660C" w:rsidRPr="005D660C" w:rsidTr="00CD7876">
        <w:trPr>
          <w:trHeight w:val="20"/>
          <w:jc w:val="center"/>
        </w:trPr>
        <w:tc>
          <w:tcPr>
            <w:tcW w:w="8949" w:type="dxa"/>
            <w:shd w:val="clear" w:color="auto" w:fill="95B3D7" w:themeFill="accent1" w:themeFillTint="99"/>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Altri accantonamenti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32.512,35</w:t>
            </w:r>
          </w:p>
        </w:tc>
      </w:tr>
      <w:tr w:rsidR="005D660C" w:rsidRPr="005D660C" w:rsidTr="00CD7876">
        <w:trPr>
          <w:trHeight w:val="20"/>
          <w:jc w:val="center"/>
        </w:trPr>
        <w:tc>
          <w:tcPr>
            <w:tcW w:w="8949" w:type="dxa"/>
            <w:shd w:val="clear" w:color="auto" w:fill="95B3D7" w:themeFill="accent1" w:themeFillTint="99"/>
            <w:noWrap/>
            <w:vAlign w:val="center"/>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TOTALE PARTE ACCANTONATA (B)</w:t>
            </w:r>
          </w:p>
        </w:tc>
        <w:tc>
          <w:tcPr>
            <w:tcW w:w="1674" w:type="dxa"/>
            <w:shd w:val="clear" w:color="auto" w:fill="auto"/>
            <w:noWrap/>
            <w:vAlign w:val="center"/>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b/>
                <w:bCs/>
                <w:color w:val="000000"/>
                <w:sz w:val="20"/>
                <w:szCs w:val="20"/>
                <w:lang w:eastAsia="it-IT"/>
              </w:rPr>
              <w:t>791.482.755,96</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vincolata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 leggi e dai principi contabili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39.147.329,22</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 trasferimenti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231.139.238,91</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derivanti dalla contrazione di mutui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8.010,73</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Vincoli formalmente attribuiti dall'ente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8.796.652,98</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color w:val="FFFFFF" w:themeColor="background1"/>
                <w:sz w:val="20"/>
                <w:szCs w:val="20"/>
                <w:lang w:eastAsia="it-IT"/>
              </w:rPr>
              <w:t xml:space="preserve">Altri vincoli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2.678.622,21</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VINCOLATA (C)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b/>
                <w:bCs/>
                <w:color w:val="000000"/>
                <w:sz w:val="20"/>
                <w:szCs w:val="20"/>
                <w:lang w:eastAsia="it-IT"/>
              </w:rPr>
            </w:pPr>
            <w:r w:rsidRPr="005D660C">
              <w:rPr>
                <w:rFonts w:ascii="Calibri" w:eastAsia="Times New Roman" w:hAnsi="Calibri" w:cs="Calibri"/>
                <w:b/>
                <w:bCs/>
                <w:color w:val="000000"/>
                <w:sz w:val="20"/>
                <w:szCs w:val="20"/>
                <w:lang w:eastAsia="it-IT"/>
              </w:rPr>
              <w:t>281.769.854,05</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Times New Roman" w:eastAsia="Times New Roman" w:hAnsi="Times New Roman" w:cs="Times New Roman"/>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Parte destinata agli investimenti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b/>
                <w:bCs/>
                <w:color w:val="000000"/>
                <w:sz w:val="20"/>
                <w:szCs w:val="20"/>
                <w:lang w:eastAsia="it-IT"/>
              </w:rPr>
            </w:pP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DESTINATA AGLI INVESTIMENTI(D)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b/>
                <w:bCs/>
                <w:color w:val="000000"/>
                <w:sz w:val="20"/>
                <w:szCs w:val="20"/>
                <w:lang w:eastAsia="it-IT"/>
              </w:rPr>
            </w:pPr>
            <w:r w:rsidRPr="005D660C">
              <w:rPr>
                <w:rFonts w:ascii="Calibri" w:eastAsia="Times New Roman" w:hAnsi="Calibri" w:cs="Calibri"/>
                <w:b/>
                <w:bCs/>
                <w:color w:val="000000"/>
                <w:sz w:val="20"/>
                <w:szCs w:val="20"/>
                <w:lang w:eastAsia="it-IT"/>
              </w:rPr>
              <w:t>-</w:t>
            </w:r>
          </w:p>
        </w:tc>
      </w:tr>
      <w:tr w:rsidR="005D660C" w:rsidRPr="005D660C" w:rsidTr="00CD7876">
        <w:trPr>
          <w:trHeight w:val="20"/>
          <w:jc w:val="center"/>
        </w:trPr>
        <w:tc>
          <w:tcPr>
            <w:tcW w:w="8949" w:type="dxa"/>
            <w:shd w:val="clear" w:color="auto" w:fill="95B3D7" w:themeFill="accent1" w:themeFillTint="99"/>
            <w:noWrap/>
            <w:vAlign w:val="center"/>
            <w:hideMark/>
          </w:tcPr>
          <w:p w:rsidR="005D660C" w:rsidRPr="005D660C" w:rsidRDefault="005D660C" w:rsidP="005D660C">
            <w:pPr>
              <w:spacing w:after="0" w:line="240" w:lineRule="auto"/>
              <w:rPr>
                <w:rFonts w:ascii="Bodoni MT" w:eastAsia="Times New Roman" w:hAnsi="Bodoni MT" w:cs="Calibri"/>
                <w:b/>
                <w:bCs/>
                <w:color w:val="FFFFFF" w:themeColor="background1"/>
                <w:sz w:val="20"/>
                <w:szCs w:val="20"/>
                <w:lang w:eastAsia="it-IT"/>
              </w:rPr>
            </w:pPr>
            <w:r w:rsidRPr="005D660C">
              <w:rPr>
                <w:rFonts w:ascii="Bodoni MT" w:eastAsia="Times New Roman" w:hAnsi="Bodoni MT" w:cs="Calibri"/>
                <w:b/>
                <w:bCs/>
                <w:color w:val="FFFFFF" w:themeColor="background1"/>
                <w:sz w:val="20"/>
                <w:szCs w:val="20"/>
                <w:lang w:eastAsia="it-IT"/>
              </w:rPr>
              <w:t xml:space="preserve">TOTALE PARTE DISPONIBILE (E=A-B-C-D) </w:t>
            </w:r>
          </w:p>
        </w:tc>
        <w:tc>
          <w:tcPr>
            <w:tcW w:w="1674" w:type="dxa"/>
            <w:shd w:val="clear" w:color="auto" w:fill="auto"/>
            <w:noWrap/>
            <w:vAlign w:val="center"/>
            <w:hideMark/>
          </w:tcPr>
          <w:p w:rsidR="005D660C" w:rsidRPr="005D660C" w:rsidRDefault="005D660C" w:rsidP="005D660C">
            <w:pPr>
              <w:spacing w:after="0" w:line="240" w:lineRule="auto"/>
              <w:jc w:val="right"/>
              <w:rPr>
                <w:rFonts w:ascii="Calibri" w:eastAsia="Times New Roman" w:hAnsi="Calibri" w:cs="Calibri"/>
                <w:b/>
                <w:bCs/>
                <w:color w:val="000000"/>
                <w:sz w:val="20"/>
                <w:szCs w:val="20"/>
                <w:lang w:eastAsia="it-IT"/>
              </w:rPr>
            </w:pPr>
            <w:r w:rsidRPr="005D660C">
              <w:rPr>
                <w:rFonts w:ascii="Calibri" w:eastAsia="Times New Roman" w:hAnsi="Calibri" w:cs="Calibri"/>
                <w:b/>
                <w:bCs/>
                <w:color w:val="000000"/>
                <w:sz w:val="20"/>
                <w:szCs w:val="20"/>
                <w:lang w:eastAsia="it-IT"/>
              </w:rPr>
              <w:t>-1.257.051.781,94</w:t>
            </w:r>
          </w:p>
        </w:tc>
      </w:tr>
      <w:tr w:rsidR="005D660C" w:rsidRPr="005D660C" w:rsidTr="00CD7876">
        <w:trPr>
          <w:trHeight w:val="20"/>
          <w:jc w:val="center"/>
        </w:trPr>
        <w:tc>
          <w:tcPr>
            <w:tcW w:w="10623" w:type="dxa"/>
            <w:gridSpan w:val="2"/>
            <w:shd w:val="clear" w:color="auto" w:fill="auto"/>
            <w:noWrap/>
            <w:vAlign w:val="center"/>
            <w:hideMark/>
          </w:tcPr>
          <w:p w:rsidR="005D660C" w:rsidRPr="005D660C" w:rsidRDefault="005D660C" w:rsidP="005D660C">
            <w:pPr>
              <w:spacing w:after="0" w:line="240" w:lineRule="auto"/>
              <w:rPr>
                <w:rFonts w:ascii="Bodoni MT" w:eastAsia="Times New Roman" w:hAnsi="Bodoni MT" w:cs="Calibri"/>
                <w:color w:val="000000"/>
                <w:sz w:val="20"/>
                <w:szCs w:val="20"/>
                <w:lang w:eastAsia="it-IT"/>
              </w:rPr>
            </w:pPr>
            <w:r w:rsidRPr="005D660C">
              <w:rPr>
                <w:rFonts w:ascii="Bodoni MT" w:eastAsia="Times New Roman" w:hAnsi="Bodoni MT" w:cs="Calibri"/>
                <w:b/>
                <w:bCs/>
                <w:sz w:val="20"/>
                <w:szCs w:val="20"/>
                <w:lang w:eastAsia="it-IT"/>
              </w:rPr>
              <w:t xml:space="preserve">Se E è negativo, tale importo è iscritto tra le spese del bilancio di previsione come disavanzo da ripianare (6) </w:t>
            </w:r>
          </w:p>
        </w:tc>
      </w:tr>
      <w:tr w:rsidR="005D660C" w:rsidRPr="005D660C" w:rsidTr="00CD7876">
        <w:trPr>
          <w:trHeight w:val="20"/>
          <w:jc w:val="center"/>
        </w:trPr>
        <w:tc>
          <w:tcPr>
            <w:tcW w:w="10623" w:type="dxa"/>
            <w:gridSpan w:val="2"/>
            <w:shd w:val="clear" w:color="auto" w:fill="auto"/>
            <w:vAlign w:val="center"/>
            <w:hideMark/>
          </w:tcPr>
          <w:p w:rsidR="005D660C" w:rsidRPr="005D660C" w:rsidRDefault="005D660C" w:rsidP="005D660C">
            <w:pPr>
              <w:spacing w:after="0" w:line="240" w:lineRule="auto"/>
              <w:rPr>
                <w:rFonts w:ascii="Bodoni MT" w:eastAsia="Times New Roman" w:hAnsi="Bodoni MT" w:cs="Calibri"/>
                <w:color w:val="000000"/>
                <w:sz w:val="20"/>
                <w:szCs w:val="20"/>
                <w:lang w:eastAsia="it-IT"/>
              </w:rPr>
            </w:pPr>
            <w:r w:rsidRPr="005D660C">
              <w:rPr>
                <w:rFonts w:ascii="Bodoni MT" w:eastAsia="Times New Roman" w:hAnsi="Bodoni MT" w:cs="Calibri"/>
                <w:color w:val="000000"/>
                <w:sz w:val="20"/>
                <w:szCs w:val="20"/>
                <w:lang w:eastAsia="it-IT"/>
              </w:rPr>
              <w:t>Indicare l'importo del fondo pluriennale vincolato risultante dal conto del bilancio (in spesa).</w:t>
            </w:r>
          </w:p>
        </w:tc>
      </w:tr>
      <w:tr w:rsidR="005D660C" w:rsidRPr="005D660C" w:rsidTr="00CD7876">
        <w:trPr>
          <w:trHeight w:val="20"/>
          <w:jc w:val="center"/>
        </w:trPr>
        <w:tc>
          <w:tcPr>
            <w:tcW w:w="10623" w:type="dxa"/>
            <w:gridSpan w:val="2"/>
            <w:shd w:val="clear" w:color="auto" w:fill="auto"/>
            <w:vAlign w:val="center"/>
            <w:hideMark/>
          </w:tcPr>
          <w:p w:rsidR="005D660C" w:rsidRPr="005D660C" w:rsidRDefault="005D660C" w:rsidP="005D660C">
            <w:pPr>
              <w:spacing w:after="0" w:line="240" w:lineRule="auto"/>
              <w:jc w:val="both"/>
              <w:rPr>
                <w:rFonts w:ascii="Bodoni MT" w:eastAsia="Times New Roman" w:hAnsi="Bodoni MT" w:cs="Calibri"/>
                <w:color w:val="000000"/>
                <w:sz w:val="20"/>
                <w:szCs w:val="20"/>
                <w:lang w:eastAsia="it-IT"/>
              </w:rPr>
            </w:pPr>
            <w:r w:rsidRPr="005D660C">
              <w:rPr>
                <w:rFonts w:ascii="Bodoni MT" w:eastAsia="Times New Roman" w:hAnsi="Bodoni MT" w:cs="Calibri"/>
                <w:color w:val="000000"/>
                <w:sz w:val="20"/>
                <w:szCs w:val="20"/>
                <w:lang w:eastAsia="it-IT"/>
              </w:rPr>
              <w:t>Se negativo, le regioni indicano in nota la quota del disavanzo corrispondente al debito autorizzato e non contratto, distintamente da quella derivante dalla gestione ordinaria.</w:t>
            </w:r>
          </w:p>
        </w:tc>
      </w:tr>
      <w:tr w:rsidR="005D660C" w:rsidRPr="005D660C" w:rsidTr="00CD7876">
        <w:trPr>
          <w:trHeight w:val="20"/>
          <w:jc w:val="center"/>
        </w:trPr>
        <w:tc>
          <w:tcPr>
            <w:tcW w:w="10623" w:type="dxa"/>
            <w:gridSpan w:val="2"/>
            <w:shd w:val="clear" w:color="auto" w:fill="auto"/>
            <w:vAlign w:val="center"/>
            <w:hideMark/>
          </w:tcPr>
          <w:p w:rsidR="005D660C" w:rsidRPr="005D660C" w:rsidRDefault="005D660C" w:rsidP="005D660C">
            <w:pPr>
              <w:spacing w:after="0" w:line="240" w:lineRule="auto"/>
              <w:rPr>
                <w:rFonts w:ascii="Times New Roman" w:eastAsia="Times New Roman" w:hAnsi="Times New Roman" w:cs="Times New Roman"/>
                <w:sz w:val="20"/>
                <w:szCs w:val="20"/>
                <w:lang w:eastAsia="it-IT"/>
              </w:rPr>
            </w:pPr>
            <w:r w:rsidRPr="005D660C">
              <w:rPr>
                <w:rFonts w:ascii="Bodoni MT" w:eastAsia="Times New Roman" w:hAnsi="Bodoni MT" w:cs="Calibri"/>
                <w:sz w:val="20"/>
                <w:szCs w:val="20"/>
                <w:lang w:eastAsia="it-IT"/>
              </w:rPr>
              <w:t>Non comprende il fondo pluriennale vincolato.</w:t>
            </w:r>
          </w:p>
        </w:tc>
      </w:tr>
      <w:tr w:rsidR="005D660C" w:rsidRPr="005D660C" w:rsidTr="00CD7876">
        <w:trPr>
          <w:trHeight w:val="20"/>
          <w:jc w:val="center"/>
        </w:trPr>
        <w:tc>
          <w:tcPr>
            <w:tcW w:w="10623" w:type="dxa"/>
            <w:gridSpan w:val="2"/>
            <w:shd w:val="clear" w:color="auto" w:fill="auto"/>
            <w:vAlign w:val="center"/>
            <w:hideMark/>
          </w:tcPr>
          <w:p w:rsidR="005D660C" w:rsidRPr="005D660C" w:rsidRDefault="005D660C" w:rsidP="005D660C">
            <w:pPr>
              <w:spacing w:after="0" w:line="240" w:lineRule="auto"/>
              <w:rPr>
                <w:rFonts w:ascii="Bodoni MT" w:eastAsia="Times New Roman" w:hAnsi="Bodoni MT" w:cs="Calibri"/>
                <w:color w:val="000000"/>
                <w:sz w:val="20"/>
                <w:szCs w:val="20"/>
                <w:lang w:eastAsia="it-IT"/>
              </w:rPr>
            </w:pPr>
            <w:r w:rsidRPr="005D660C">
              <w:rPr>
                <w:rFonts w:ascii="Bodoni MT" w:eastAsia="Times New Roman" w:hAnsi="Bodoni MT" w:cs="Calibri"/>
                <w:color w:val="000000"/>
                <w:sz w:val="20"/>
                <w:szCs w:val="20"/>
                <w:lang w:eastAsia="it-IT"/>
              </w:rPr>
              <w:t>Solo per le regioni Indicare l'importo dell'accantonamento per residui perenti al 31 dicembre2016</w:t>
            </w:r>
          </w:p>
        </w:tc>
      </w:tr>
      <w:tr w:rsidR="005D660C" w:rsidRPr="005D660C" w:rsidTr="00CD7876">
        <w:trPr>
          <w:trHeight w:val="20"/>
          <w:jc w:val="center"/>
        </w:trPr>
        <w:tc>
          <w:tcPr>
            <w:tcW w:w="10623" w:type="dxa"/>
            <w:gridSpan w:val="2"/>
            <w:shd w:val="clear" w:color="auto" w:fill="auto"/>
            <w:vAlign w:val="center"/>
            <w:hideMark/>
          </w:tcPr>
          <w:p w:rsidR="005D660C" w:rsidRPr="005D660C" w:rsidRDefault="005D660C" w:rsidP="005D660C">
            <w:pPr>
              <w:spacing w:after="0" w:line="240" w:lineRule="auto"/>
              <w:jc w:val="both"/>
              <w:rPr>
                <w:rFonts w:ascii="Bodoni MT" w:eastAsia="Times New Roman" w:hAnsi="Bodoni MT" w:cs="Calibri"/>
                <w:sz w:val="20"/>
                <w:szCs w:val="20"/>
                <w:lang w:eastAsia="it-IT"/>
              </w:rPr>
            </w:pPr>
            <w:r w:rsidRPr="005D660C">
              <w:rPr>
                <w:rFonts w:ascii="Bodoni MT" w:eastAsia="Times New Roman" w:hAnsi="Bodoni MT" w:cs="Calibri"/>
                <w:sz w:val="20"/>
                <w:szCs w:val="20"/>
                <w:lang w:eastAsia="it-IT"/>
              </w:rPr>
              <w:t>In caso di risultato negativo, le regioni indicano in nota la quota del disavanzo corrispondente al debito autorizzato e non contratto, distintamente da quella derivante dalla gestione ordinaria e iscrivono nel passivo del bilancio di previsione N l'importo di cui alla lettera E, distinguendo le due componenti del disavanzo. A decorrere dal 2016 si fa riferimento all'ammontare del debito autorizzato alla data del 31 dicembre 2015.</w:t>
            </w:r>
          </w:p>
        </w:tc>
      </w:tr>
    </w:tbl>
    <w:p w:rsidR="005D660C" w:rsidRPr="005D660C" w:rsidRDefault="005D660C" w:rsidP="005D660C">
      <w:pPr>
        <w:autoSpaceDE w:val="0"/>
        <w:autoSpaceDN w:val="0"/>
        <w:adjustRightInd w:val="0"/>
        <w:spacing w:before="360"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Il risultato di amministrazione accertato con l’approvazione del rendiconto della gestione 2016 è pertanto di € -1.257.051.781,94. </w:t>
      </w:r>
    </w:p>
    <w:p w:rsidR="005D660C" w:rsidRDefault="001D4EA4" w:rsidP="001D4EA4">
      <w:pPr>
        <w:pStyle w:val="Titolo3"/>
      </w:pPr>
      <w:bookmarkStart w:id="219" w:name="_Toc507422647"/>
      <w:r>
        <w:lastRenderedPageBreak/>
        <w:t>Mutuo autorizzato a copertura del disavanzo</w:t>
      </w:r>
      <w:r w:rsidR="004E3F21">
        <w:t xml:space="preserve"> pregresso</w:t>
      </w:r>
      <w:bookmarkEnd w:id="219"/>
    </w:p>
    <w:p w:rsidR="003E1AB6" w:rsidRPr="003E1AB6" w:rsidRDefault="003E1AB6" w:rsidP="003E1AB6">
      <w:pPr>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3E1AB6">
        <w:rPr>
          <w:rFonts w:ascii="Bodoni MT" w:eastAsia="Times New Roman" w:hAnsi="Bodoni MT" w:cs="Bodoni MT"/>
          <w:color w:val="000000"/>
          <w:sz w:val="24"/>
          <w:szCs w:val="24"/>
        </w:rPr>
        <w:t>In sede di rendiconto 2014</w:t>
      </w:r>
      <w:r w:rsidRPr="003E1AB6">
        <w:rPr>
          <w:rFonts w:ascii="Bodoni MT" w:eastAsia="Times New Roman" w:hAnsi="Bodoni MT" w:cs="Bodoni MT"/>
          <w:color w:val="000000"/>
          <w:sz w:val="24"/>
          <w:szCs w:val="24"/>
          <w:vertAlign w:val="superscript"/>
        </w:rPr>
        <w:footnoteReference w:id="111"/>
      </w:r>
      <w:r w:rsidRPr="003E1AB6">
        <w:rPr>
          <w:rFonts w:ascii="Bodoni MT" w:eastAsia="Times New Roman" w:hAnsi="Bodoni MT" w:cs="Bodoni MT"/>
          <w:color w:val="000000"/>
          <w:sz w:val="24"/>
          <w:szCs w:val="24"/>
        </w:rPr>
        <w:t xml:space="preserve"> il risultato di esercizio era pari a </w:t>
      </w:r>
      <w:r w:rsidR="00893F70">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 xml:space="preserve">-504.971.752,63, </w:t>
      </w:r>
      <w:r w:rsidRPr="003E1AB6">
        <w:rPr>
          <w:rFonts w:ascii="Bodoni MT" w:eastAsia="Calibri" w:hAnsi="Bodoni MT" w:cs="Times New Roman"/>
          <w:sz w:val="24"/>
          <w:szCs w:val="24"/>
        </w:rPr>
        <w:t>determinatosi per effetto dell'accantonamento al Fondo a garanzia della reiscrizione dei residui perenti per spese in c/capitale. L</w:t>
      </w:r>
      <w:r w:rsidRPr="003E1AB6">
        <w:rPr>
          <w:rFonts w:ascii="Bodoni MT" w:eastAsia="Times New Roman" w:hAnsi="Bodoni MT" w:cs="Bodoni MT"/>
          <w:color w:val="000000"/>
          <w:sz w:val="24"/>
          <w:szCs w:val="24"/>
        </w:rPr>
        <w:t>a L.R. n.</w:t>
      </w:r>
      <w:r w:rsidR="00E643DA">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31/2015</w:t>
      </w:r>
      <w:r w:rsidRPr="003E1AB6">
        <w:rPr>
          <w:rFonts w:ascii="Bodoni MT" w:eastAsia="Times New Roman" w:hAnsi="Bodoni MT" w:cs="Bodoni MT"/>
          <w:color w:val="000000"/>
          <w:sz w:val="24"/>
          <w:szCs w:val="24"/>
          <w:vertAlign w:val="superscript"/>
        </w:rPr>
        <w:footnoteReference w:id="112"/>
      </w:r>
      <w:r w:rsidRPr="003E1AB6">
        <w:rPr>
          <w:rFonts w:ascii="Bodoni MT" w:eastAsia="Times New Roman" w:hAnsi="Bodoni MT" w:cs="Bodoni MT"/>
          <w:color w:val="000000"/>
          <w:sz w:val="24"/>
          <w:szCs w:val="24"/>
        </w:rPr>
        <w:t>, recepite le risultanze dell’esercizio 2014, aveva previsto la copertura finanziaria di detto disavanzo</w:t>
      </w:r>
      <w:r w:rsidRPr="003E1AB6">
        <w:rPr>
          <w:rFonts w:ascii="Bodoni MT" w:eastAsia="Calibri" w:hAnsi="Bodoni MT" w:cs="Times New Roman"/>
          <w:sz w:val="24"/>
          <w:szCs w:val="24"/>
        </w:rPr>
        <w:t xml:space="preserve"> mediante ricorso all'indebitamento, da contrarre solo per effettive esigenze di cassa</w:t>
      </w:r>
      <w:r w:rsidRPr="003E1AB6">
        <w:rPr>
          <w:rFonts w:ascii="Bodoni MT" w:eastAsia="Times New Roman" w:hAnsi="Bodoni MT" w:cs="Bodoni MT"/>
          <w:color w:val="000000"/>
          <w:sz w:val="24"/>
          <w:szCs w:val="24"/>
        </w:rPr>
        <w:t xml:space="preserve">. </w:t>
      </w:r>
    </w:p>
    <w:p w:rsidR="003E1AB6" w:rsidRPr="003E1AB6" w:rsidRDefault="003E1AB6" w:rsidP="003E1AB6">
      <w:pPr>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3E1AB6">
        <w:rPr>
          <w:rFonts w:ascii="Bodoni MT" w:eastAsia="Times New Roman" w:hAnsi="Bodoni MT" w:cs="Bodoni MT"/>
          <w:color w:val="000000"/>
          <w:sz w:val="24"/>
          <w:szCs w:val="24"/>
        </w:rPr>
        <w:t xml:space="preserve">Nel corso del 2015 il mutuo non è stato contratto, </w:t>
      </w:r>
      <w:r w:rsidR="00515701">
        <w:rPr>
          <w:rFonts w:ascii="Bodoni MT" w:eastAsia="Times New Roman" w:hAnsi="Bodoni MT" w:cs="Bodoni MT"/>
          <w:color w:val="000000"/>
          <w:sz w:val="24"/>
          <w:szCs w:val="24"/>
        </w:rPr>
        <w:t>portando</w:t>
      </w:r>
      <w:r w:rsidRPr="003E1AB6">
        <w:rPr>
          <w:rFonts w:ascii="Bodoni MT" w:eastAsia="Times New Roman" w:hAnsi="Bodoni MT" w:cs="Bodoni MT"/>
          <w:color w:val="000000"/>
          <w:sz w:val="24"/>
          <w:szCs w:val="24"/>
        </w:rPr>
        <w:t xml:space="preserve"> il risultato di amministrazione al 31/12/2015 a </w:t>
      </w:r>
      <w:r w:rsidR="00893F70">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 xml:space="preserve">-1.393.699.802,24. Detto risultato è, infatti, costituito dall’importo di </w:t>
      </w:r>
      <w:r w:rsidR="00E81BAD">
        <w:rPr>
          <w:rFonts w:ascii="Bodoni MT" w:eastAsia="Times New Roman" w:hAnsi="Bodoni MT" w:cs="Bodoni MT"/>
          <w:color w:val="000000"/>
          <w:sz w:val="24"/>
          <w:szCs w:val="24"/>
        </w:rPr>
        <w:t>€</w:t>
      </w:r>
      <w:r w:rsidR="00515701">
        <w:rPr>
          <w:rFonts w:ascii="Bodoni MT" w:eastAsia="Times New Roman" w:hAnsi="Bodoni MT" w:cs="Bodoni MT"/>
          <w:color w:val="000000"/>
          <w:sz w:val="24"/>
          <w:szCs w:val="24"/>
        </w:rPr>
        <w:t> </w:t>
      </w:r>
      <w:r w:rsidRPr="003E1AB6">
        <w:rPr>
          <w:rFonts w:ascii="Bodoni MT" w:eastAsia="Times New Roman" w:hAnsi="Bodoni MT" w:cs="Bodoni MT"/>
          <w:color w:val="000000"/>
          <w:sz w:val="24"/>
          <w:szCs w:val="24"/>
        </w:rPr>
        <w:t xml:space="preserve">504.971.752,63 (relativo al mutuo autorizzato e non contratto) e da </w:t>
      </w:r>
      <w:r w:rsidR="00E81BAD">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888.728.229,61 che equivale alla parte residua di disavanzo determinato in sede di riaccertamento straordinario dei residui</w:t>
      </w:r>
      <w:r w:rsidRPr="003E1AB6">
        <w:rPr>
          <w:rFonts w:ascii="Bodoni MT" w:eastAsia="Times New Roman" w:hAnsi="Bodoni MT" w:cs="Bodoni MT"/>
          <w:color w:val="000000"/>
          <w:sz w:val="24"/>
          <w:szCs w:val="24"/>
          <w:vertAlign w:val="superscript"/>
        </w:rPr>
        <w:footnoteReference w:id="113"/>
      </w:r>
      <w:r w:rsidRPr="003E1AB6">
        <w:rPr>
          <w:rFonts w:ascii="Bodoni MT" w:eastAsia="Times New Roman" w:hAnsi="Bodoni MT" w:cs="Bodoni MT"/>
          <w:color w:val="000000"/>
          <w:sz w:val="24"/>
          <w:szCs w:val="24"/>
        </w:rPr>
        <w:t xml:space="preserve">. Per la copertura del disavanzo da RS è stato normativamente consentito il ripiano trentennale in quote annuali pari a </w:t>
      </w:r>
      <w:r w:rsidR="00E81BAD">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 xml:space="preserve">32.289.147,19. Dalla Relazione di parifica del rendiconto 2015 si rileva che nell’esercizio 2015 il ripiano è stato superiore alla quota stabilita, ovvero pari a € 79.946.186,07, con ciò conseguendo la riduzione del disavanzo iniziale (da </w:t>
      </w:r>
      <w:r w:rsidR="003E5BD1">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 xml:space="preserve">968.674.415,68 a </w:t>
      </w:r>
      <w:r w:rsidR="003E5BD1">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888.728.229,61).</w:t>
      </w:r>
    </w:p>
    <w:p w:rsidR="003E1AB6" w:rsidRPr="003E1AB6" w:rsidRDefault="003E1AB6" w:rsidP="003E1AB6">
      <w:pPr>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3E1AB6">
        <w:rPr>
          <w:rFonts w:ascii="Bodoni MT" w:eastAsia="Times New Roman" w:hAnsi="Bodoni MT" w:cs="Bodoni MT"/>
          <w:color w:val="000000"/>
          <w:sz w:val="24"/>
          <w:szCs w:val="24"/>
        </w:rPr>
        <w:t>Con la legge di stabilità n.</w:t>
      </w:r>
      <w:r w:rsidR="003E5BD1">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5/2016 (art.</w:t>
      </w:r>
      <w:r w:rsidR="003E5BD1">
        <w:rPr>
          <w:rFonts w:ascii="Bodoni MT" w:eastAsia="Times New Roman" w:hAnsi="Bodoni MT" w:cs="Bodoni MT"/>
          <w:color w:val="000000"/>
          <w:sz w:val="24"/>
          <w:szCs w:val="24"/>
        </w:rPr>
        <w:t xml:space="preserve"> </w:t>
      </w:r>
      <w:r w:rsidRPr="003E1AB6">
        <w:rPr>
          <w:rFonts w:ascii="Bodoni MT" w:eastAsia="Times New Roman" w:hAnsi="Bodoni MT" w:cs="Bodoni MT"/>
          <w:color w:val="000000"/>
          <w:sz w:val="24"/>
          <w:szCs w:val="24"/>
        </w:rPr>
        <w:t>1, comma 7)</w:t>
      </w:r>
      <w:r w:rsidRPr="003E1AB6">
        <w:rPr>
          <w:rFonts w:ascii="Bodoni MT" w:eastAsia="Calibri" w:hAnsi="Bodoni MT" w:cs="Times New Roman"/>
          <w:sz w:val="24"/>
          <w:szCs w:val="24"/>
        </w:rPr>
        <w:t xml:space="preserve"> la Regione ha nuovamente autorizzato il ricorso all’indebitamento per la copertura del suddetto disavanzo (</w:t>
      </w:r>
      <w:r w:rsidR="003E5BD1">
        <w:rPr>
          <w:rFonts w:ascii="Bodoni MT" w:eastAsia="Calibri" w:hAnsi="Bodoni MT" w:cs="Times New Roman"/>
          <w:sz w:val="24"/>
          <w:szCs w:val="24"/>
        </w:rPr>
        <w:t xml:space="preserve">€ </w:t>
      </w:r>
      <w:r w:rsidRPr="003E1AB6">
        <w:rPr>
          <w:rFonts w:ascii="Bodoni MT" w:eastAsia="Calibri" w:hAnsi="Bodoni MT" w:cs="Times New Roman"/>
          <w:sz w:val="24"/>
          <w:szCs w:val="24"/>
        </w:rPr>
        <w:t>504.971.752,63) derivante dall’esercizio 2014</w:t>
      </w:r>
      <w:r w:rsidRPr="003E1AB6">
        <w:rPr>
          <w:rFonts w:ascii="Bodoni MT" w:eastAsia="Calibri" w:hAnsi="Bodoni MT" w:cs="Times New Roman"/>
          <w:sz w:val="24"/>
          <w:szCs w:val="24"/>
          <w:vertAlign w:val="superscript"/>
        </w:rPr>
        <w:footnoteReference w:id="114"/>
      </w:r>
      <w:r w:rsidRPr="003E1AB6">
        <w:rPr>
          <w:rFonts w:ascii="Bodoni MT" w:eastAsia="Calibri" w:hAnsi="Bodoni MT" w:cs="Times New Roman"/>
          <w:sz w:val="24"/>
          <w:szCs w:val="24"/>
        </w:rPr>
        <w:t>.</w:t>
      </w:r>
    </w:p>
    <w:p w:rsidR="003E1AB6" w:rsidRPr="003E1AB6" w:rsidRDefault="003E1AB6" w:rsidP="003E1AB6">
      <w:pPr>
        <w:spacing w:after="160" w:line="360" w:lineRule="auto"/>
        <w:contextualSpacing/>
        <w:jc w:val="both"/>
        <w:rPr>
          <w:rFonts w:ascii="Bodoni MT" w:eastAsia="Calibri" w:hAnsi="Bodoni MT" w:cs="Times New Roman"/>
          <w:sz w:val="24"/>
          <w:szCs w:val="24"/>
        </w:rPr>
      </w:pPr>
      <w:r w:rsidRPr="003E1AB6">
        <w:rPr>
          <w:rFonts w:ascii="Bodoni MT" w:eastAsia="Calibri" w:hAnsi="Bodoni MT" w:cs="Times New Roman"/>
          <w:sz w:val="24"/>
          <w:szCs w:val="24"/>
        </w:rPr>
        <w:t>A dicembre del 2016 è stato stipulato il contratto di mutuo a erogazione multipla con C.D.P., a copertura del disavanzo di cui si tratta, da erogarsi in cinque anni massimo, per effettive esigenze di cassa (ai sensi dell’art.</w:t>
      </w:r>
      <w:r w:rsidR="003E5BD1">
        <w:rPr>
          <w:rFonts w:ascii="Bodoni MT" w:eastAsia="Calibri" w:hAnsi="Bodoni MT" w:cs="Times New Roman"/>
          <w:sz w:val="24"/>
          <w:szCs w:val="24"/>
        </w:rPr>
        <w:t xml:space="preserve"> </w:t>
      </w:r>
      <w:r w:rsidRPr="003E1AB6">
        <w:rPr>
          <w:rFonts w:ascii="Bodoni MT" w:eastAsia="Calibri" w:hAnsi="Bodoni MT" w:cs="Times New Roman"/>
          <w:sz w:val="24"/>
          <w:szCs w:val="24"/>
        </w:rPr>
        <w:t>40, comma 2, del D</w:t>
      </w:r>
      <w:r w:rsidR="005B5A3C">
        <w:rPr>
          <w:rFonts w:ascii="Bodoni MT" w:eastAsia="Calibri" w:hAnsi="Bodoni MT" w:cs="Times New Roman"/>
          <w:sz w:val="24"/>
          <w:szCs w:val="24"/>
        </w:rPr>
        <w:t>.</w:t>
      </w:r>
      <w:r w:rsidRPr="003E1AB6">
        <w:rPr>
          <w:rFonts w:ascii="Bodoni MT" w:eastAsia="Calibri" w:hAnsi="Bodoni MT" w:cs="Times New Roman"/>
          <w:sz w:val="24"/>
          <w:szCs w:val="24"/>
        </w:rPr>
        <w:t>Lgs</w:t>
      </w:r>
      <w:r w:rsidR="005B5A3C">
        <w:rPr>
          <w:rFonts w:ascii="Bodoni MT" w:eastAsia="Calibri" w:hAnsi="Bodoni MT" w:cs="Times New Roman"/>
          <w:sz w:val="24"/>
          <w:szCs w:val="24"/>
        </w:rPr>
        <w:t>.</w:t>
      </w:r>
      <w:r w:rsidRPr="003E1AB6">
        <w:rPr>
          <w:rFonts w:ascii="Bodoni MT" w:eastAsia="Calibri" w:hAnsi="Bodoni MT" w:cs="Times New Roman"/>
          <w:sz w:val="24"/>
          <w:szCs w:val="24"/>
        </w:rPr>
        <w:t xml:space="preserve"> 118/2011). Nel 2016 C.D.P. ha accordato una prima erogazione pari a € 104.021.036,16, da restituire in trent’anni, con decorrenza del rimborso da giugno 2017. L’erogazione è dichiaratamente correlata a spese d’investimento già sostenute per effetto del richiamo contenuto nella L.R 31/2015 che ne autorizzava la contrazione a copertura del fondo residui perenti</w:t>
      </w:r>
      <w:r w:rsidRPr="003E1AB6">
        <w:rPr>
          <w:rFonts w:ascii="Bodoni MT" w:eastAsia="Calibri" w:hAnsi="Bodoni MT" w:cs="Times New Roman"/>
          <w:sz w:val="24"/>
          <w:szCs w:val="24"/>
          <w:vertAlign w:val="superscript"/>
        </w:rPr>
        <w:footnoteReference w:id="115"/>
      </w:r>
      <w:r w:rsidRPr="003E1AB6">
        <w:rPr>
          <w:rFonts w:ascii="Bodoni MT" w:eastAsia="Calibri" w:hAnsi="Bodoni MT" w:cs="Times New Roman"/>
          <w:sz w:val="24"/>
          <w:szCs w:val="24"/>
        </w:rPr>
        <w:t>.</w:t>
      </w:r>
    </w:p>
    <w:p w:rsidR="003E1AB6" w:rsidRPr="003E1AB6" w:rsidRDefault="003E1AB6" w:rsidP="00893F70">
      <w:pPr>
        <w:pStyle w:val="CdcTesto"/>
        <w:rPr>
          <w:rFonts w:eastAsia="Calibri"/>
        </w:rPr>
      </w:pPr>
      <w:r w:rsidRPr="003E1AB6">
        <w:rPr>
          <w:rFonts w:eastAsia="Calibri"/>
        </w:rPr>
        <w:t>Con l’occasione si segnala (Relazione di parifica del rendiconto per l’esercizio 2015 -pag.127) che la Regione non contraeva nuovi mutui a pareggio per spese in conto capitale dall’esercizio 2006. Aveva invece autorizzato, nello stesso anno, un mutuo di €</w:t>
      </w:r>
      <w:r w:rsidR="007E228A">
        <w:rPr>
          <w:rFonts w:eastAsia="Calibri"/>
        </w:rPr>
        <w:t xml:space="preserve"> </w:t>
      </w:r>
      <w:r w:rsidRPr="003E1AB6">
        <w:rPr>
          <w:rFonts w:eastAsia="Calibri"/>
        </w:rPr>
        <w:t>165.759</w:t>
      </w:r>
      <w:r w:rsidR="007E228A">
        <w:rPr>
          <w:rFonts w:eastAsia="Calibri"/>
        </w:rPr>
        <w:t>.000 e, nel 2009, un mutuo di € </w:t>
      </w:r>
      <w:r w:rsidRPr="003E1AB6">
        <w:rPr>
          <w:rFonts w:eastAsia="Calibri"/>
        </w:rPr>
        <w:t>500.000.000, sempre a copertura di spese in c/capitale.</w:t>
      </w:r>
    </w:p>
    <w:p w:rsidR="003E1AB6" w:rsidRPr="003E1AB6" w:rsidRDefault="003E1AB6" w:rsidP="00893F70">
      <w:pPr>
        <w:pStyle w:val="CdcTesto"/>
        <w:rPr>
          <w:rFonts w:eastAsia="Calibri"/>
        </w:rPr>
      </w:pPr>
      <w:r w:rsidRPr="003E1AB6">
        <w:rPr>
          <w:rFonts w:eastAsia="Calibri"/>
        </w:rPr>
        <w:lastRenderedPageBreak/>
        <w:t xml:space="preserve">Pertanto nella Relazione sulla gestione 2016 viene ribadito dalla Regione che il nuovo mutuo, ai sensi della vigente normativa, è stato attivato, nei limiti della somma già autorizzata, per sanare quelle situazioni pregresse di spese di investimento già deliberate (o già realizzate), finanziate con mutui mai contratti anteriormente </w:t>
      </w:r>
      <w:r w:rsidRPr="003E1AB6">
        <w:rPr>
          <w:rFonts w:eastAsia="Calibri"/>
          <w:vertAlign w:val="superscript"/>
        </w:rPr>
        <w:footnoteReference w:id="116"/>
      </w:r>
      <w:r w:rsidRPr="003E1AB6">
        <w:rPr>
          <w:rFonts w:eastAsia="Calibri"/>
        </w:rPr>
        <w:t xml:space="preserve">. </w:t>
      </w:r>
    </w:p>
    <w:p w:rsidR="003E1AB6" w:rsidRPr="003E1AB6" w:rsidRDefault="003E1AB6" w:rsidP="003E5BD1">
      <w:pPr>
        <w:pStyle w:val="CdcTesto"/>
        <w:rPr>
          <w:rFonts w:eastAsia="Calibri"/>
        </w:rPr>
      </w:pPr>
      <w:r w:rsidRPr="003E1AB6">
        <w:rPr>
          <w:rFonts w:eastAsia="Calibri"/>
        </w:rPr>
        <w:t>Inoltre, nel questionario sul rendiconto 2016 redatto dal Responsabile dei Servizi Finanziari, viene dichiarato che, con riguardo al mutuo contratto per disavanzo da accantonamento al fondo perenzioni, le spese da finanziare sono dettagliate nel contratto di stipula del mutuo, mentre nelle richieste di erogazione sono dettagliate le spese già sostenute e per le quali si richiedono i fondi, in presenza di effettive esigenze di cassa</w:t>
      </w:r>
      <w:r w:rsidR="00DE34E9">
        <w:rPr>
          <w:rStyle w:val="Rimandonotaapidipagina"/>
          <w:rFonts w:eastAsia="Calibri"/>
        </w:rPr>
        <w:footnoteReference w:id="117"/>
      </w:r>
      <w:r w:rsidRPr="003E1AB6">
        <w:rPr>
          <w:rFonts w:eastAsia="Calibri"/>
        </w:rPr>
        <w:t>.</w:t>
      </w:r>
    </w:p>
    <w:p w:rsidR="003E1AB6" w:rsidRDefault="003E1AB6" w:rsidP="003E5BD1">
      <w:pPr>
        <w:pStyle w:val="CdcTesto"/>
        <w:rPr>
          <w:rFonts w:eastAsia="Calibri"/>
        </w:rPr>
      </w:pPr>
      <w:r w:rsidRPr="003E1AB6">
        <w:rPr>
          <w:rFonts w:eastAsia="Calibri"/>
        </w:rPr>
        <w:t xml:space="preserve">Per effetto della suddetta erogazione di </w:t>
      </w:r>
      <w:r w:rsidR="007E228A">
        <w:rPr>
          <w:rFonts w:eastAsia="Calibri"/>
        </w:rPr>
        <w:t xml:space="preserve">€ </w:t>
      </w:r>
      <w:r w:rsidRPr="003E1AB6">
        <w:rPr>
          <w:rFonts w:eastAsia="Calibri"/>
        </w:rPr>
        <w:t>104.021.036,16, al 31/12/2016 il debito autorizzato</w:t>
      </w:r>
      <w:r w:rsidR="00515701">
        <w:rPr>
          <w:rFonts w:eastAsia="Calibri"/>
        </w:rPr>
        <w:t>,</w:t>
      </w:r>
      <w:r w:rsidRPr="003E1AB6">
        <w:rPr>
          <w:rFonts w:eastAsia="Calibri"/>
        </w:rPr>
        <w:t xml:space="preserve"> </w:t>
      </w:r>
      <w:r w:rsidR="00515701">
        <w:rPr>
          <w:rFonts w:eastAsia="Calibri"/>
        </w:rPr>
        <w:t xml:space="preserve">ma non ancora erogato, </w:t>
      </w:r>
      <w:r w:rsidRPr="003E1AB6">
        <w:rPr>
          <w:rFonts w:eastAsia="Calibri"/>
        </w:rPr>
        <w:t>(derivante dall’esercizio 2014) scende a € 400.950.536,47 e il disavanzo di</w:t>
      </w:r>
      <w:r w:rsidR="00515701">
        <w:rPr>
          <w:rFonts w:eastAsia="Calibri"/>
        </w:rPr>
        <w:t xml:space="preserve"> amministrazione al 31/12/2016 è pari a –1.257.051.781,94 euro. All’interno di tale disavanzo la componente relativa al disavanzo da RS ammonta a</w:t>
      </w:r>
      <w:r w:rsidRPr="003E1AB6">
        <w:rPr>
          <w:rFonts w:eastAsia="Calibri"/>
        </w:rPr>
        <w:t xml:space="preserve"> -856.101.245,47 euro.</w:t>
      </w:r>
    </w:p>
    <w:p w:rsidR="003E1AB6" w:rsidRPr="003E1AB6" w:rsidRDefault="00515701" w:rsidP="007E228A">
      <w:pPr>
        <w:pStyle w:val="CdcTesto"/>
        <w:rPr>
          <w:rFonts w:eastAsia="Times New Roman"/>
        </w:rPr>
      </w:pPr>
      <w:r>
        <w:rPr>
          <w:rFonts w:eastAsia="Calibri"/>
        </w:rPr>
        <w:t>Infatti n</w:t>
      </w:r>
      <w:r w:rsidR="003E1AB6" w:rsidRPr="003E1AB6">
        <w:rPr>
          <w:rFonts w:eastAsia="Calibri"/>
        </w:rPr>
        <w:t xml:space="preserve">el corso del 2016 è stata ripianata la prevista quota trentennale di </w:t>
      </w:r>
      <w:r w:rsidR="007E228A">
        <w:rPr>
          <w:rFonts w:eastAsia="Calibri"/>
        </w:rPr>
        <w:t xml:space="preserve">€ </w:t>
      </w:r>
      <w:r w:rsidR="003E1AB6" w:rsidRPr="003E1AB6">
        <w:rPr>
          <w:rFonts w:eastAsia="Calibri"/>
        </w:rPr>
        <w:t xml:space="preserve">32.290.000 relativa al disavanzo conseguente al riaccertamento straordinario dei residui disposto nel 2015. Come si evince dalla tabella sottostante, che analizza la composizione del disavanzo a confronto con l’esercizio 2015, l’importo ripianato è leggermente superiore (pari a </w:t>
      </w:r>
      <w:r w:rsidR="007E228A">
        <w:rPr>
          <w:rFonts w:eastAsia="Calibri"/>
        </w:rPr>
        <w:t xml:space="preserve">€ </w:t>
      </w:r>
      <w:r w:rsidR="003E1AB6" w:rsidRPr="003E1AB6">
        <w:rPr>
          <w:rFonts w:eastAsia="Calibri"/>
        </w:rPr>
        <w:t>32.626.984,14).</w:t>
      </w:r>
    </w:p>
    <w:p w:rsidR="003E1AB6" w:rsidRPr="003E1AB6" w:rsidRDefault="003E1AB6" w:rsidP="003E1AB6">
      <w:pPr>
        <w:spacing w:before="240" w:after="120" w:line="240" w:lineRule="auto"/>
        <w:jc w:val="center"/>
        <w:rPr>
          <w:rFonts w:ascii="Bodoni MT" w:eastAsia="Times New Roman" w:hAnsi="Bodoni MT" w:cs="Times New Roman"/>
          <w:b/>
          <w:bCs/>
          <w:color w:val="000000"/>
          <w:sz w:val="24"/>
          <w:szCs w:val="24"/>
        </w:rPr>
      </w:pPr>
      <w:bookmarkStart w:id="220" w:name="_Toc499040981"/>
      <w:bookmarkStart w:id="221" w:name="_Toc503338762"/>
      <w:bookmarkStart w:id="222" w:name="_Toc507422507"/>
      <w:r w:rsidRPr="003E1AB6">
        <w:rPr>
          <w:rFonts w:ascii="Bodoni MT" w:eastAsia="Times New Roman" w:hAnsi="Bodoni MT" w:cs="Times New Roman"/>
          <w:b/>
          <w:bCs/>
          <w:color w:val="000000"/>
        </w:rPr>
        <w:t xml:space="preserve">Tabella </w:t>
      </w:r>
      <w:r w:rsidRPr="003E1AB6">
        <w:rPr>
          <w:rFonts w:ascii="Bodoni MT" w:eastAsia="Times New Roman" w:hAnsi="Bodoni MT" w:cs="Times New Roman"/>
          <w:b/>
          <w:bCs/>
          <w:color w:val="000000"/>
        </w:rPr>
        <w:fldChar w:fldCharType="begin"/>
      </w:r>
      <w:r w:rsidRPr="003E1AB6">
        <w:rPr>
          <w:rFonts w:ascii="Bodoni MT" w:eastAsia="Times New Roman" w:hAnsi="Bodoni MT" w:cs="Times New Roman"/>
          <w:b/>
          <w:bCs/>
          <w:color w:val="000000"/>
        </w:rPr>
        <w:instrText xml:space="preserve"> SEQ Tabella \* ARABIC </w:instrText>
      </w:r>
      <w:r w:rsidRPr="003E1AB6">
        <w:rPr>
          <w:rFonts w:ascii="Bodoni MT" w:eastAsia="Times New Roman" w:hAnsi="Bodoni MT" w:cs="Times New Roman"/>
          <w:b/>
          <w:bCs/>
          <w:color w:val="000000"/>
        </w:rPr>
        <w:fldChar w:fldCharType="separate"/>
      </w:r>
      <w:r w:rsidR="008616B3">
        <w:rPr>
          <w:rFonts w:ascii="Bodoni MT" w:eastAsia="Times New Roman" w:hAnsi="Bodoni MT" w:cs="Times New Roman"/>
          <w:b/>
          <w:bCs/>
          <w:noProof/>
          <w:color w:val="000000"/>
        </w:rPr>
        <w:t>39</w:t>
      </w:r>
      <w:r w:rsidRPr="003E1AB6">
        <w:rPr>
          <w:rFonts w:ascii="Bodoni MT" w:eastAsia="Times New Roman" w:hAnsi="Bodoni MT" w:cs="Times New Roman"/>
          <w:b/>
          <w:bCs/>
          <w:noProof/>
          <w:color w:val="000000"/>
        </w:rPr>
        <w:fldChar w:fldCharType="end"/>
      </w:r>
      <w:r w:rsidRPr="003E1AB6">
        <w:rPr>
          <w:rFonts w:ascii="Bodoni MT" w:eastAsia="Times New Roman" w:hAnsi="Bodoni MT" w:cs="Times New Roman"/>
          <w:b/>
          <w:bCs/>
          <w:color w:val="000000"/>
        </w:rPr>
        <w:t xml:space="preserve"> -</w:t>
      </w:r>
      <w:r w:rsidRPr="003E1AB6">
        <w:rPr>
          <w:rFonts w:ascii="Bodoni MT" w:eastAsia="Times New Roman" w:hAnsi="Bodoni MT" w:cs="Times New Roman"/>
          <w:b/>
          <w:bCs/>
          <w:color w:val="000000"/>
          <w:sz w:val="24"/>
          <w:szCs w:val="24"/>
        </w:rPr>
        <w:t xml:space="preserve"> Analisi del Disavanzo</w:t>
      </w:r>
      <w:bookmarkEnd w:id="220"/>
      <w:bookmarkEnd w:id="221"/>
      <w:bookmarkEnd w:id="2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08"/>
        <w:gridCol w:w="1610"/>
        <w:gridCol w:w="2133"/>
        <w:gridCol w:w="1610"/>
      </w:tblGrid>
      <w:tr w:rsidR="003E1AB6" w:rsidRPr="003E1AB6" w:rsidTr="0071210B">
        <w:trPr>
          <w:trHeight w:val="504"/>
          <w:jc w:val="center"/>
        </w:trPr>
        <w:tc>
          <w:tcPr>
            <w:tcW w:w="2340" w:type="pct"/>
            <w:shd w:val="clear" w:color="auto" w:fill="222A35"/>
            <w:vAlign w:val="center"/>
            <w:hideMark/>
          </w:tcPr>
          <w:p w:rsidR="003E1AB6" w:rsidRPr="003E1AB6" w:rsidRDefault="003E1AB6" w:rsidP="003E1AB6">
            <w:pPr>
              <w:spacing w:after="0" w:line="240" w:lineRule="auto"/>
              <w:jc w:val="center"/>
              <w:rPr>
                <w:rFonts w:ascii="Bodoni MT" w:eastAsia="Times New Roman" w:hAnsi="Bodoni MT" w:cs="Arial"/>
                <w:b/>
                <w:bCs/>
                <w:color w:val="FFFFFF"/>
                <w:sz w:val="18"/>
                <w:szCs w:val="18"/>
                <w:lang w:eastAsia="it-IT"/>
              </w:rPr>
            </w:pPr>
            <w:r w:rsidRPr="003E1AB6">
              <w:rPr>
                <w:rFonts w:ascii="Bodoni MT" w:eastAsia="Times New Roman" w:hAnsi="Bodoni MT" w:cs="Arial"/>
                <w:b/>
                <w:bCs/>
                <w:color w:val="FFFFFF"/>
                <w:sz w:val="18"/>
                <w:szCs w:val="18"/>
                <w:lang w:eastAsia="it-IT"/>
              </w:rPr>
              <w:t>Disavanzo</w:t>
            </w:r>
          </w:p>
        </w:tc>
        <w:tc>
          <w:tcPr>
            <w:tcW w:w="800" w:type="pct"/>
            <w:shd w:val="clear" w:color="auto" w:fill="222A35"/>
            <w:vAlign w:val="center"/>
            <w:hideMark/>
          </w:tcPr>
          <w:p w:rsidR="003E1AB6" w:rsidRPr="003E1AB6" w:rsidRDefault="003E1AB6" w:rsidP="003E1AB6">
            <w:pPr>
              <w:spacing w:after="0" w:line="240" w:lineRule="auto"/>
              <w:jc w:val="center"/>
              <w:rPr>
                <w:rFonts w:ascii="Bodoni MT" w:eastAsia="Times New Roman" w:hAnsi="Bodoni MT" w:cs="Arial"/>
                <w:b/>
                <w:bCs/>
                <w:color w:val="FFFFFF"/>
                <w:sz w:val="18"/>
                <w:szCs w:val="18"/>
                <w:lang w:eastAsia="it-IT"/>
              </w:rPr>
            </w:pPr>
            <w:r w:rsidRPr="003E1AB6">
              <w:rPr>
                <w:rFonts w:ascii="Bodoni MT" w:eastAsia="Times New Roman" w:hAnsi="Bodoni MT" w:cs="Arial"/>
                <w:b/>
                <w:bCs/>
                <w:color w:val="FFFFFF"/>
                <w:sz w:val="18"/>
                <w:szCs w:val="18"/>
                <w:lang w:eastAsia="it-IT"/>
              </w:rPr>
              <w:t>Al 31/12/2015</w:t>
            </w:r>
          </w:p>
        </w:tc>
        <w:tc>
          <w:tcPr>
            <w:tcW w:w="1060" w:type="pct"/>
            <w:shd w:val="clear" w:color="auto" w:fill="222A35"/>
            <w:vAlign w:val="center"/>
            <w:hideMark/>
          </w:tcPr>
          <w:p w:rsidR="003E1AB6" w:rsidRPr="003E1AB6" w:rsidRDefault="003E1AB6" w:rsidP="003E1AB6">
            <w:pPr>
              <w:spacing w:after="0" w:line="240" w:lineRule="auto"/>
              <w:jc w:val="center"/>
              <w:rPr>
                <w:rFonts w:ascii="Bodoni MT" w:eastAsia="Times New Roman" w:hAnsi="Bodoni MT" w:cs="Arial"/>
                <w:b/>
                <w:bCs/>
                <w:color w:val="FFFFFF"/>
                <w:sz w:val="18"/>
                <w:szCs w:val="18"/>
                <w:lang w:eastAsia="it-IT"/>
              </w:rPr>
            </w:pPr>
            <w:r w:rsidRPr="003E1AB6">
              <w:rPr>
                <w:rFonts w:ascii="Bodoni MT" w:eastAsia="Times New Roman" w:hAnsi="Bodoni MT" w:cs="Arial"/>
                <w:b/>
                <w:bCs/>
                <w:color w:val="FFFFFF"/>
                <w:sz w:val="18"/>
                <w:szCs w:val="18"/>
                <w:lang w:eastAsia="it-IT"/>
              </w:rPr>
              <w:t xml:space="preserve">Disavanzo ripianato nel </w:t>
            </w:r>
            <w:r w:rsidRPr="003E1AB6">
              <w:rPr>
                <w:rFonts w:ascii="Bodoni MT" w:eastAsia="Times New Roman" w:hAnsi="Bodoni MT" w:cs="Arial"/>
                <w:b/>
                <w:bCs/>
                <w:color w:val="FFFFFF"/>
                <w:sz w:val="18"/>
                <w:szCs w:val="18"/>
                <w:lang w:eastAsia="it-IT"/>
              </w:rPr>
              <w:br/>
              <w:t>2016</w:t>
            </w:r>
          </w:p>
        </w:tc>
        <w:tc>
          <w:tcPr>
            <w:tcW w:w="800" w:type="pct"/>
            <w:shd w:val="clear" w:color="auto" w:fill="222A35"/>
            <w:vAlign w:val="center"/>
          </w:tcPr>
          <w:p w:rsidR="003E1AB6" w:rsidRPr="003E1AB6" w:rsidRDefault="003E1AB6" w:rsidP="003E1AB6">
            <w:pPr>
              <w:spacing w:after="0" w:line="240" w:lineRule="auto"/>
              <w:jc w:val="center"/>
              <w:rPr>
                <w:rFonts w:ascii="Bodoni MT" w:eastAsia="Times New Roman" w:hAnsi="Bodoni MT" w:cs="Arial"/>
                <w:b/>
                <w:bCs/>
                <w:color w:val="FFFFFF"/>
                <w:sz w:val="18"/>
                <w:szCs w:val="18"/>
                <w:lang w:eastAsia="it-IT"/>
              </w:rPr>
            </w:pPr>
            <w:r w:rsidRPr="003E1AB6">
              <w:rPr>
                <w:rFonts w:ascii="Bodoni MT" w:eastAsia="Times New Roman" w:hAnsi="Bodoni MT" w:cs="Arial"/>
                <w:b/>
                <w:bCs/>
                <w:color w:val="FFFFFF"/>
                <w:sz w:val="18"/>
                <w:szCs w:val="18"/>
                <w:lang w:eastAsia="it-IT"/>
              </w:rPr>
              <w:t>Al 31/12/2016</w:t>
            </w:r>
          </w:p>
        </w:tc>
      </w:tr>
      <w:tr w:rsidR="003E1AB6" w:rsidRPr="003E1AB6" w:rsidTr="0071210B">
        <w:trPr>
          <w:trHeight w:val="413"/>
          <w:jc w:val="center"/>
        </w:trPr>
        <w:tc>
          <w:tcPr>
            <w:tcW w:w="2340" w:type="pct"/>
            <w:shd w:val="clear" w:color="auto" w:fill="8EAADB"/>
            <w:vAlign w:val="center"/>
            <w:hideMark/>
          </w:tcPr>
          <w:p w:rsidR="003E1AB6" w:rsidRPr="003E1AB6" w:rsidRDefault="003E1AB6" w:rsidP="003E1AB6">
            <w:pPr>
              <w:spacing w:after="0" w:line="240" w:lineRule="auto"/>
              <w:rPr>
                <w:rFonts w:ascii="Bodoni MT" w:eastAsia="Times New Roman" w:hAnsi="Bodoni MT" w:cs="Arial"/>
                <w:color w:val="FFFFFF"/>
                <w:sz w:val="18"/>
                <w:szCs w:val="18"/>
                <w:lang w:eastAsia="it-IT"/>
              </w:rPr>
            </w:pPr>
            <w:r w:rsidRPr="003E1AB6">
              <w:rPr>
                <w:rFonts w:ascii="Bodoni MT" w:eastAsia="Times New Roman" w:hAnsi="Bodoni MT" w:cs="Arial"/>
                <w:color w:val="FFFFFF"/>
                <w:sz w:val="18"/>
                <w:szCs w:val="18"/>
                <w:lang w:eastAsia="it-IT"/>
              </w:rPr>
              <w:t>Disavanzo da debito autorizzato e non contratto</w:t>
            </w:r>
          </w:p>
        </w:tc>
        <w:tc>
          <w:tcPr>
            <w:tcW w:w="800" w:type="pct"/>
            <w:shd w:val="clear" w:color="auto" w:fill="auto"/>
            <w:noWrap/>
            <w:vAlign w:val="center"/>
            <w:hideMark/>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504.971.572,63</w:t>
            </w:r>
          </w:p>
        </w:tc>
        <w:tc>
          <w:tcPr>
            <w:tcW w:w="1060" w:type="pct"/>
            <w:shd w:val="clear" w:color="auto" w:fill="auto"/>
            <w:noWrap/>
            <w:vAlign w:val="center"/>
            <w:hideMark/>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104.021.036,16</w:t>
            </w:r>
          </w:p>
        </w:tc>
        <w:tc>
          <w:tcPr>
            <w:tcW w:w="800" w:type="pct"/>
            <w:vAlign w:val="center"/>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400.950.536,47</w:t>
            </w:r>
          </w:p>
        </w:tc>
      </w:tr>
      <w:tr w:rsidR="003E1AB6" w:rsidRPr="003E1AB6" w:rsidTr="0071210B">
        <w:trPr>
          <w:trHeight w:val="419"/>
          <w:jc w:val="center"/>
        </w:trPr>
        <w:tc>
          <w:tcPr>
            <w:tcW w:w="2340" w:type="pct"/>
            <w:shd w:val="clear" w:color="auto" w:fill="8EAADB"/>
            <w:vAlign w:val="center"/>
            <w:hideMark/>
          </w:tcPr>
          <w:p w:rsidR="003E1AB6" w:rsidRPr="003E1AB6" w:rsidRDefault="003E1AB6" w:rsidP="003E1AB6">
            <w:pPr>
              <w:spacing w:after="0" w:line="240" w:lineRule="auto"/>
              <w:rPr>
                <w:rFonts w:ascii="Bodoni MT" w:eastAsia="Times New Roman" w:hAnsi="Bodoni MT" w:cs="Arial"/>
                <w:color w:val="FFFFFF"/>
                <w:sz w:val="18"/>
                <w:szCs w:val="18"/>
                <w:lang w:eastAsia="it-IT"/>
              </w:rPr>
            </w:pPr>
            <w:r w:rsidRPr="003E1AB6">
              <w:rPr>
                <w:rFonts w:ascii="Bodoni MT" w:eastAsia="Times New Roman" w:hAnsi="Bodoni MT" w:cs="Arial"/>
                <w:color w:val="FFFFFF"/>
                <w:sz w:val="18"/>
                <w:szCs w:val="18"/>
                <w:lang w:eastAsia="it-IT"/>
              </w:rPr>
              <w:t>Disavanzo da riaccertamento straordinario dei residui</w:t>
            </w:r>
          </w:p>
        </w:tc>
        <w:tc>
          <w:tcPr>
            <w:tcW w:w="800" w:type="pct"/>
            <w:shd w:val="clear" w:color="auto" w:fill="auto"/>
            <w:noWrap/>
            <w:vAlign w:val="center"/>
            <w:hideMark/>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888.728.229,61</w:t>
            </w:r>
          </w:p>
        </w:tc>
        <w:tc>
          <w:tcPr>
            <w:tcW w:w="1060" w:type="pct"/>
            <w:shd w:val="clear" w:color="auto" w:fill="auto"/>
            <w:noWrap/>
            <w:vAlign w:val="center"/>
            <w:hideMark/>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32.626.984,14</w:t>
            </w:r>
          </w:p>
        </w:tc>
        <w:tc>
          <w:tcPr>
            <w:tcW w:w="800" w:type="pct"/>
            <w:vAlign w:val="center"/>
          </w:tcPr>
          <w:p w:rsidR="003E1AB6" w:rsidRPr="003E1AB6" w:rsidRDefault="003E1AB6" w:rsidP="003E1AB6">
            <w:pPr>
              <w:spacing w:after="0" w:line="240" w:lineRule="auto"/>
              <w:jc w:val="center"/>
              <w:rPr>
                <w:rFonts w:ascii="Calibri" w:eastAsia="Times New Roman" w:hAnsi="Calibri" w:cs="Calibri"/>
                <w:sz w:val="16"/>
                <w:szCs w:val="16"/>
                <w:lang w:eastAsia="it-IT"/>
              </w:rPr>
            </w:pPr>
            <w:r w:rsidRPr="003E1AB6">
              <w:rPr>
                <w:rFonts w:ascii="Calibri" w:eastAsia="Times New Roman" w:hAnsi="Calibri" w:cs="Calibri"/>
                <w:sz w:val="16"/>
                <w:szCs w:val="16"/>
                <w:lang w:eastAsia="it-IT"/>
              </w:rPr>
              <w:t>856.101.245,47</w:t>
            </w:r>
          </w:p>
        </w:tc>
      </w:tr>
      <w:tr w:rsidR="003E1AB6" w:rsidRPr="003E1AB6" w:rsidTr="0071210B">
        <w:trPr>
          <w:trHeight w:val="300"/>
          <w:jc w:val="center"/>
        </w:trPr>
        <w:tc>
          <w:tcPr>
            <w:tcW w:w="2340" w:type="pct"/>
            <w:shd w:val="clear" w:color="auto" w:fill="8EAADB"/>
            <w:vAlign w:val="center"/>
            <w:hideMark/>
          </w:tcPr>
          <w:p w:rsidR="003E1AB6" w:rsidRPr="003E1AB6" w:rsidRDefault="003E1AB6" w:rsidP="003E1AB6">
            <w:pPr>
              <w:spacing w:after="0" w:line="240" w:lineRule="auto"/>
              <w:rPr>
                <w:rFonts w:ascii="Bodoni MT" w:eastAsia="Times New Roman" w:hAnsi="Bodoni MT" w:cs="Arial"/>
                <w:b/>
                <w:bCs/>
                <w:color w:val="FFFFFF"/>
                <w:sz w:val="18"/>
                <w:szCs w:val="18"/>
                <w:lang w:eastAsia="it-IT"/>
              </w:rPr>
            </w:pPr>
            <w:r w:rsidRPr="003E1AB6">
              <w:rPr>
                <w:rFonts w:ascii="Bodoni MT" w:eastAsia="Times New Roman" w:hAnsi="Bodoni MT" w:cs="Arial"/>
                <w:b/>
                <w:bCs/>
                <w:color w:val="FFFFFF"/>
                <w:sz w:val="18"/>
                <w:szCs w:val="18"/>
                <w:lang w:eastAsia="it-IT"/>
              </w:rPr>
              <w:t>Totale</w:t>
            </w:r>
          </w:p>
        </w:tc>
        <w:tc>
          <w:tcPr>
            <w:tcW w:w="800" w:type="pct"/>
            <w:shd w:val="clear" w:color="auto" w:fill="FFFFFF"/>
            <w:vAlign w:val="center"/>
            <w:hideMark/>
          </w:tcPr>
          <w:p w:rsidR="003E1AB6" w:rsidRPr="003E1AB6" w:rsidRDefault="003E1AB6" w:rsidP="003E1AB6">
            <w:pPr>
              <w:spacing w:after="0" w:line="240" w:lineRule="auto"/>
              <w:jc w:val="center"/>
              <w:rPr>
                <w:rFonts w:ascii="Calibri" w:eastAsia="Times New Roman" w:hAnsi="Calibri" w:cs="Calibri"/>
                <w:b/>
                <w:bCs/>
                <w:sz w:val="18"/>
                <w:szCs w:val="18"/>
                <w:lang w:eastAsia="it-IT"/>
              </w:rPr>
            </w:pPr>
            <w:r w:rsidRPr="003E1AB6">
              <w:rPr>
                <w:rFonts w:ascii="Calibri" w:eastAsia="Times New Roman" w:hAnsi="Calibri" w:cs="Calibri"/>
                <w:b/>
                <w:bCs/>
                <w:sz w:val="18"/>
                <w:szCs w:val="18"/>
                <w:lang w:eastAsia="it-IT"/>
              </w:rPr>
              <w:t xml:space="preserve">1.393.699.802,24 </w:t>
            </w:r>
          </w:p>
        </w:tc>
        <w:tc>
          <w:tcPr>
            <w:tcW w:w="1060" w:type="pct"/>
            <w:shd w:val="clear" w:color="auto" w:fill="FFFFFF"/>
            <w:vAlign w:val="center"/>
            <w:hideMark/>
          </w:tcPr>
          <w:p w:rsidR="003E1AB6" w:rsidRPr="003E1AB6" w:rsidRDefault="003E1AB6" w:rsidP="003E1AB6">
            <w:pPr>
              <w:spacing w:after="0" w:line="240" w:lineRule="auto"/>
              <w:jc w:val="center"/>
              <w:rPr>
                <w:rFonts w:ascii="Calibri" w:eastAsia="Times New Roman" w:hAnsi="Calibri" w:cs="Calibri"/>
                <w:b/>
                <w:bCs/>
                <w:sz w:val="18"/>
                <w:szCs w:val="18"/>
                <w:lang w:eastAsia="it-IT"/>
              </w:rPr>
            </w:pPr>
            <w:r w:rsidRPr="003E1AB6">
              <w:rPr>
                <w:rFonts w:ascii="Calibri" w:eastAsia="Times New Roman" w:hAnsi="Calibri" w:cs="Calibri"/>
                <w:b/>
                <w:bCs/>
                <w:sz w:val="18"/>
                <w:szCs w:val="18"/>
                <w:lang w:eastAsia="it-IT"/>
              </w:rPr>
              <w:t>136.648.020,30</w:t>
            </w:r>
          </w:p>
        </w:tc>
        <w:tc>
          <w:tcPr>
            <w:tcW w:w="800" w:type="pct"/>
            <w:shd w:val="clear" w:color="auto" w:fill="FFFFFF"/>
            <w:vAlign w:val="center"/>
          </w:tcPr>
          <w:p w:rsidR="003E1AB6" w:rsidRPr="003E1AB6" w:rsidRDefault="003E1AB6" w:rsidP="003E1AB6">
            <w:pPr>
              <w:spacing w:after="0" w:line="240" w:lineRule="auto"/>
              <w:jc w:val="center"/>
              <w:rPr>
                <w:rFonts w:ascii="Calibri" w:eastAsia="Times New Roman" w:hAnsi="Calibri" w:cs="Calibri"/>
                <w:b/>
                <w:bCs/>
                <w:sz w:val="18"/>
                <w:szCs w:val="18"/>
                <w:lang w:eastAsia="it-IT"/>
              </w:rPr>
            </w:pPr>
            <w:r w:rsidRPr="003E1AB6">
              <w:rPr>
                <w:rFonts w:ascii="Calibri" w:eastAsia="Times New Roman" w:hAnsi="Calibri" w:cs="Calibri"/>
                <w:b/>
                <w:bCs/>
                <w:sz w:val="18"/>
                <w:szCs w:val="18"/>
                <w:lang w:eastAsia="it-IT"/>
              </w:rPr>
              <w:t xml:space="preserve">1.257.051.781,94 </w:t>
            </w:r>
          </w:p>
        </w:tc>
      </w:tr>
    </w:tbl>
    <w:p w:rsidR="005D660C" w:rsidRPr="005D660C" w:rsidRDefault="005D660C" w:rsidP="00503AC8">
      <w:pPr>
        <w:pStyle w:val="Titolo3"/>
      </w:pPr>
      <w:bookmarkStart w:id="223" w:name="_Toc499040941"/>
      <w:bookmarkStart w:id="224" w:name="_Toc507422648"/>
      <w:r w:rsidRPr="005D660C">
        <w:t>Le quote accantonate del risultato di amministrazione</w:t>
      </w:r>
      <w:bookmarkEnd w:id="223"/>
      <w:bookmarkEnd w:id="224"/>
    </w:p>
    <w:p w:rsidR="005D660C" w:rsidRPr="00455BA9"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455BA9">
        <w:rPr>
          <w:rFonts w:ascii="Bodoni MT" w:eastAsiaTheme="minorEastAsia" w:hAnsi="Bodoni MT" w:cs="Bodoni MT"/>
          <w:color w:val="000000"/>
          <w:sz w:val="24"/>
          <w:szCs w:val="24"/>
        </w:rPr>
        <w:t xml:space="preserve">Per effetto dell’applicazione del principio della competenza finanziaria potenziata, non è più possibile la conservazione in bilancio di poste cui non corrispondano obbligazioni giuridiche perfezionate (residui di stanziamento). In ossequio a tale principio è consentito accantonare in </w:t>
      </w:r>
      <w:r w:rsidRPr="00455BA9">
        <w:rPr>
          <w:rFonts w:ascii="Bodoni MT" w:eastAsiaTheme="minorEastAsia" w:hAnsi="Bodoni MT" w:cs="Bodoni MT"/>
          <w:color w:val="000000"/>
          <w:sz w:val="24"/>
          <w:szCs w:val="24"/>
        </w:rPr>
        <w:lastRenderedPageBreak/>
        <w:t>specifici capitoli di spesa, su cui non possono essere assunti impegni e effettuati pagamenti, le risorse utilizzabili solamente al sorgere dell’obbligazione per cui erano stati costituiti.</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455BA9">
        <w:rPr>
          <w:rFonts w:ascii="Bodoni MT" w:eastAsiaTheme="minorEastAsia" w:hAnsi="Bodoni MT" w:cs="Bodoni MT"/>
          <w:color w:val="000000"/>
          <w:sz w:val="24"/>
          <w:szCs w:val="24"/>
        </w:rPr>
        <w:t>A tali accantonamenti è riservata una quota dell’avanzo di amministrazione, anche se lo stesso non risulta capiente.</w:t>
      </w:r>
    </w:p>
    <w:p w:rsidR="005D660C" w:rsidRPr="005D660C" w:rsidRDefault="005D660C" w:rsidP="00503AC8">
      <w:pPr>
        <w:pStyle w:val="Titolo4"/>
      </w:pPr>
      <w:bookmarkStart w:id="225" w:name="_Toc499040942"/>
      <w:bookmarkStart w:id="226" w:name="_Toc507422649"/>
      <w:r w:rsidRPr="005D660C">
        <w:t>Il Fondo Crediti di Dubbia Esigibilità</w:t>
      </w:r>
      <w:bookmarkEnd w:id="225"/>
      <w:bookmarkEnd w:id="226"/>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L’art.</w:t>
      </w:r>
      <w:r w:rsidR="00503AC8">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46 del D</w:t>
      </w:r>
      <w:r w:rsidR="00503AC8">
        <w:rPr>
          <w:rFonts w:ascii="Bodoni MT" w:eastAsiaTheme="minorEastAsia" w:hAnsi="Bodoni MT" w:cs="Bodoni MT"/>
          <w:color w:val="000000"/>
          <w:sz w:val="24"/>
          <w:szCs w:val="24"/>
        </w:rPr>
        <w:t>.</w:t>
      </w:r>
      <w:r w:rsidR="00503AC8" w:rsidRPr="005D660C">
        <w:rPr>
          <w:rFonts w:ascii="Bodoni MT" w:eastAsiaTheme="minorEastAsia" w:hAnsi="Bodoni MT" w:cs="Bodoni MT"/>
          <w:color w:val="000000"/>
          <w:sz w:val="24"/>
          <w:szCs w:val="24"/>
        </w:rPr>
        <w:t>Lgs</w:t>
      </w:r>
      <w:r w:rsidR="00503AC8">
        <w:rPr>
          <w:rFonts w:ascii="Bodoni MT" w:eastAsiaTheme="minorEastAsia" w:hAnsi="Bodoni MT" w:cs="Bodoni MT"/>
          <w:color w:val="000000"/>
          <w:sz w:val="24"/>
          <w:szCs w:val="24"/>
        </w:rPr>
        <w:t>.</w:t>
      </w:r>
      <w:r w:rsidR="00503AC8" w:rsidRPr="005D660C">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118/2011 prescrive che nella Missione 20 “Fondi e accantonamenti” è stanziato l’accantonamento al Fondo crediti di dubbia esigibilità (FCDE) il cui ammontare è determinato in considerazione dell’importo degli stanziamenti relativi ai crediti che si prevede si formeranno nell’esercizio, della loro natura e dell’andamento </w:t>
      </w:r>
      <w:r w:rsidR="00455BA9">
        <w:rPr>
          <w:rFonts w:ascii="Bodoni MT" w:eastAsiaTheme="minorEastAsia" w:hAnsi="Bodoni MT" w:cs="Bodoni MT"/>
          <w:color w:val="000000"/>
          <w:sz w:val="24"/>
          <w:szCs w:val="24"/>
        </w:rPr>
        <w:t>delle riscossioni</w:t>
      </w:r>
      <w:r w:rsidRPr="005D660C">
        <w:rPr>
          <w:rFonts w:ascii="Bodoni MT" w:eastAsiaTheme="minorEastAsia" w:hAnsi="Bodoni MT" w:cs="Bodoni MT"/>
          <w:color w:val="000000"/>
          <w:sz w:val="24"/>
          <w:szCs w:val="24"/>
        </w:rPr>
        <w:t xml:space="preserve"> negli ultimi cinque esercizi precedenti</w:t>
      </w:r>
      <w:r w:rsidR="00455BA9">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secondo le modalità indicate al punto 3.3 del principio applicato 4/2 sulla contabilità finanziaria.</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L’accantonamento al fondo non </w:t>
      </w:r>
      <w:r w:rsidR="007E228A">
        <w:rPr>
          <w:rFonts w:ascii="Bodoni MT" w:eastAsiaTheme="minorEastAsia" w:hAnsi="Bodoni MT" w:cs="Bodoni MT"/>
          <w:color w:val="000000"/>
          <w:sz w:val="24"/>
          <w:szCs w:val="24"/>
        </w:rPr>
        <w:t xml:space="preserve">è oggetto d’impegno e genera una </w:t>
      </w:r>
      <w:r w:rsidRPr="005D660C">
        <w:rPr>
          <w:rFonts w:ascii="Bodoni MT" w:eastAsiaTheme="minorEastAsia" w:hAnsi="Bodoni MT" w:cs="Bodoni MT"/>
          <w:color w:val="000000"/>
          <w:sz w:val="24"/>
          <w:szCs w:val="24"/>
        </w:rPr>
        <w:t>economia di bilancio che confluisce nel risultato di amministrazione come quota accantonata.</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In sede di rendiconto l’ente, verificata la congruità del fondo, accantona nell’avanzo di amministrazione l’intero importo del FCDE</w:t>
      </w:r>
      <w:r w:rsidR="00D26C87">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quantificato nell’apposito prospetto del rendiconto</w:t>
      </w:r>
      <w:r w:rsidRPr="005D660C">
        <w:rPr>
          <w:rFonts w:ascii="Bodoni MT" w:eastAsiaTheme="minorEastAsia" w:hAnsi="Bodoni MT" w:cs="Bodoni MT"/>
          <w:color w:val="000000"/>
          <w:sz w:val="24"/>
          <w:szCs w:val="24"/>
          <w:vertAlign w:val="superscript"/>
        </w:rPr>
        <w:footnoteReference w:id="118"/>
      </w:r>
      <w:r w:rsidR="00CC6DC3">
        <w:rPr>
          <w:rFonts w:ascii="Bodoni MT" w:eastAsiaTheme="minorEastAsia" w:hAnsi="Bodoni MT" w:cs="Bodoni MT"/>
          <w:color w:val="000000"/>
          <w:sz w:val="24"/>
          <w:szCs w:val="24"/>
        </w:rPr>
        <w:t> </w:t>
      </w:r>
      <w:r w:rsidRPr="005D660C">
        <w:rPr>
          <w:rFonts w:ascii="Bodoni MT" w:eastAsiaTheme="minorEastAsia" w:hAnsi="Bodoni MT" w:cs="Bodoni MT"/>
          <w:color w:val="000000"/>
          <w:sz w:val="24"/>
          <w:szCs w:val="24"/>
          <w:vertAlign w:val="superscript"/>
        </w:rPr>
        <w:footnoteReference w:id="119"/>
      </w:r>
      <w:r w:rsidRPr="005D660C">
        <w:rPr>
          <w:rFonts w:ascii="Bodoni MT" w:eastAsiaTheme="minorEastAsia" w:hAnsi="Bodoni MT" w:cs="Bodoni MT"/>
          <w:color w:val="000000"/>
          <w:sz w:val="24"/>
          <w:szCs w:val="24"/>
        </w:rPr>
        <w:t>.</w:t>
      </w:r>
    </w:p>
    <w:p w:rsidR="001D4EA4" w:rsidRPr="005D660C" w:rsidRDefault="005D660C" w:rsidP="001D4EA4">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Secondo le informazioni riportate nella Relazione sulla gestione alla proposta di rendiconto</w:t>
      </w:r>
      <w:r w:rsidRPr="005D660C">
        <w:rPr>
          <w:rFonts w:ascii="Bodoni MT" w:eastAsiaTheme="minorEastAsia" w:hAnsi="Bodoni MT" w:cs="Bodoni MT"/>
          <w:color w:val="000000"/>
          <w:sz w:val="24"/>
          <w:szCs w:val="24"/>
          <w:vertAlign w:val="superscript"/>
        </w:rPr>
        <w:footnoteReference w:id="120"/>
      </w:r>
      <w:r w:rsidRPr="005D660C">
        <w:rPr>
          <w:rFonts w:ascii="Bodoni MT" w:eastAsiaTheme="minorEastAsia" w:hAnsi="Bodoni MT" w:cs="Bodoni MT"/>
          <w:color w:val="000000"/>
          <w:sz w:val="24"/>
          <w:szCs w:val="24"/>
        </w:rPr>
        <w:t xml:space="preserve">, </w:t>
      </w:r>
      <w:r w:rsidRPr="00CC6DC3">
        <w:rPr>
          <w:rFonts w:ascii="Bodoni MT" w:eastAsiaTheme="minorEastAsia" w:hAnsi="Bodoni MT" w:cs="Bodoni MT"/>
          <w:b/>
          <w:color w:val="000000"/>
          <w:sz w:val="24"/>
          <w:szCs w:val="24"/>
        </w:rPr>
        <w:t>l’ammontare dell’accantonamento è stato quantificato in € 63.344.626,67</w:t>
      </w:r>
      <w:r w:rsidRPr="005D660C">
        <w:rPr>
          <w:rFonts w:ascii="Bodoni MT" w:eastAsiaTheme="minorEastAsia" w:hAnsi="Bodoni MT" w:cs="Bodoni MT"/>
          <w:color w:val="000000"/>
          <w:sz w:val="24"/>
          <w:szCs w:val="24"/>
        </w:rPr>
        <w:t>, sulla base dei criteri e modalità illustrate nella stessa e di cui si è già riferito nella relazione di questa Sezione sul bilancio preventivo della Regione per il 2016</w:t>
      </w:r>
      <w:r w:rsidRPr="005D660C">
        <w:rPr>
          <w:rFonts w:ascii="Bodoni MT" w:eastAsiaTheme="minorEastAsia" w:hAnsi="Bodoni MT" w:cs="Bodoni MT"/>
          <w:color w:val="000000"/>
          <w:sz w:val="24"/>
          <w:szCs w:val="24"/>
          <w:vertAlign w:val="superscript"/>
        </w:rPr>
        <w:footnoteReference w:id="121"/>
      </w:r>
      <w:r w:rsidRPr="005D660C">
        <w:rPr>
          <w:rFonts w:ascii="Bodoni MT" w:eastAsiaTheme="minorEastAsia" w:hAnsi="Bodoni MT" w:cs="Bodoni MT"/>
          <w:color w:val="000000"/>
          <w:sz w:val="24"/>
          <w:szCs w:val="24"/>
        </w:rPr>
        <w:t>.</w:t>
      </w:r>
      <w:r w:rsidR="001D4EA4">
        <w:rPr>
          <w:rFonts w:ascii="Bodoni MT" w:eastAsiaTheme="minorEastAsia" w:hAnsi="Bodoni MT" w:cs="Bodoni MT"/>
          <w:color w:val="000000"/>
          <w:sz w:val="24"/>
          <w:szCs w:val="24"/>
        </w:rPr>
        <w:t xml:space="preserve"> Da</w:t>
      </w:r>
      <w:r w:rsidR="001D4EA4" w:rsidRPr="005D660C">
        <w:rPr>
          <w:rFonts w:ascii="Bodoni MT" w:eastAsiaTheme="minorEastAsia" w:hAnsi="Bodoni MT" w:cs="Bodoni MT"/>
          <w:color w:val="000000"/>
          <w:sz w:val="24"/>
          <w:szCs w:val="24"/>
        </w:rPr>
        <w:t>ll’allegato 9 al Rendiconto</w:t>
      </w:r>
      <w:r w:rsidR="00E81BAD">
        <w:rPr>
          <w:rFonts w:ascii="Bodoni MT" w:eastAsiaTheme="minorEastAsia" w:hAnsi="Bodoni MT" w:cs="Bodoni MT"/>
          <w:color w:val="000000"/>
          <w:sz w:val="24"/>
          <w:szCs w:val="24"/>
        </w:rPr>
        <w:t>,</w:t>
      </w:r>
      <w:r w:rsidR="001D4EA4" w:rsidRPr="005D660C">
        <w:rPr>
          <w:rFonts w:ascii="Bodoni MT" w:eastAsiaTheme="minorEastAsia" w:hAnsi="Bodoni MT" w:cs="Bodoni MT"/>
          <w:color w:val="000000"/>
          <w:sz w:val="24"/>
          <w:szCs w:val="24"/>
        </w:rPr>
        <w:t xml:space="preserve"> </w:t>
      </w:r>
      <w:r w:rsidR="001D4EA4">
        <w:rPr>
          <w:rFonts w:ascii="Bodoni MT" w:eastAsiaTheme="minorEastAsia" w:hAnsi="Bodoni MT" w:cs="Bodoni MT"/>
          <w:color w:val="000000"/>
          <w:sz w:val="24"/>
          <w:szCs w:val="24"/>
        </w:rPr>
        <w:t xml:space="preserve">in cui </w:t>
      </w:r>
      <w:r w:rsidR="001D4EA4" w:rsidRPr="005D660C">
        <w:rPr>
          <w:rFonts w:ascii="Bodoni MT" w:eastAsiaTheme="minorEastAsia" w:hAnsi="Bodoni MT" w:cs="Bodoni MT"/>
          <w:color w:val="000000"/>
          <w:sz w:val="24"/>
          <w:szCs w:val="24"/>
        </w:rPr>
        <w:t>sono illustrati in dettaglio</w:t>
      </w:r>
      <w:r w:rsidR="001D4EA4">
        <w:rPr>
          <w:rFonts w:ascii="Bodoni MT" w:eastAsiaTheme="minorEastAsia" w:hAnsi="Bodoni MT" w:cs="Bodoni MT"/>
          <w:color w:val="000000"/>
          <w:sz w:val="24"/>
          <w:szCs w:val="24"/>
        </w:rPr>
        <w:t xml:space="preserve"> gli accantonamenti effettuati, si ricava che il Titolo II</w:t>
      </w:r>
      <w:r w:rsidR="003E6BCD">
        <w:rPr>
          <w:rFonts w:ascii="Bodoni MT" w:eastAsiaTheme="minorEastAsia" w:hAnsi="Bodoni MT" w:cs="Bodoni MT"/>
          <w:color w:val="000000"/>
          <w:sz w:val="24"/>
          <w:szCs w:val="24"/>
        </w:rPr>
        <w:t>I</w:t>
      </w:r>
      <w:r w:rsidR="001D4EA4">
        <w:rPr>
          <w:rFonts w:ascii="Bodoni MT" w:eastAsiaTheme="minorEastAsia" w:hAnsi="Bodoni MT" w:cs="Bodoni MT"/>
          <w:color w:val="000000"/>
          <w:sz w:val="24"/>
          <w:szCs w:val="24"/>
        </w:rPr>
        <w:t xml:space="preserve"> dell’entrata (</w:t>
      </w:r>
      <w:r w:rsidR="003E6BCD">
        <w:rPr>
          <w:rFonts w:ascii="Bodoni MT" w:eastAsiaTheme="minorEastAsia" w:hAnsi="Bodoni MT" w:cs="Bodoni MT"/>
          <w:color w:val="000000"/>
          <w:sz w:val="24"/>
          <w:szCs w:val="24"/>
        </w:rPr>
        <w:t>Entrate Extratributarie</w:t>
      </w:r>
      <w:r w:rsidR="001D4EA4">
        <w:rPr>
          <w:rFonts w:ascii="Bodoni MT" w:eastAsiaTheme="minorEastAsia" w:hAnsi="Bodoni MT" w:cs="Bodoni MT"/>
          <w:color w:val="000000"/>
          <w:sz w:val="24"/>
          <w:szCs w:val="24"/>
        </w:rPr>
        <w:t>) espone residui attivi totali per 101,749 milioni di euro e una percentuale di accantonamento al FCDE del 62,26%.</w:t>
      </w:r>
    </w:p>
    <w:p w:rsidR="005D660C" w:rsidRPr="005D660C" w:rsidRDefault="00CC6DC3"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Tuttavia p</w:t>
      </w:r>
      <w:r w:rsidR="005D660C" w:rsidRPr="005D660C">
        <w:rPr>
          <w:rFonts w:ascii="Bodoni MT" w:eastAsiaTheme="minorEastAsia" w:hAnsi="Bodoni MT" w:cs="Bodoni MT"/>
          <w:color w:val="000000"/>
          <w:sz w:val="24"/>
          <w:szCs w:val="24"/>
        </w:rPr>
        <w:t>er l’esercizio 2016 la Regione ha ritenuto di avvalersi della facoltà prevista dal punto 3.3. del principio contabile 4/2</w:t>
      </w:r>
      <w:r>
        <w:rPr>
          <w:rFonts w:ascii="Bodoni MT" w:eastAsiaTheme="minorEastAsia" w:hAnsi="Bodoni MT" w:cs="Bodoni MT"/>
          <w:color w:val="000000"/>
          <w:sz w:val="24"/>
          <w:szCs w:val="24"/>
        </w:rPr>
        <w:t>,</w:t>
      </w:r>
      <w:r w:rsidR="005D660C" w:rsidRPr="005D660C">
        <w:rPr>
          <w:rFonts w:ascii="Bodoni MT" w:eastAsiaTheme="minorEastAsia" w:hAnsi="Bodoni MT" w:cs="Bodoni MT"/>
          <w:color w:val="000000"/>
          <w:sz w:val="24"/>
          <w:szCs w:val="24"/>
        </w:rPr>
        <w:t xml:space="preserve"> </w:t>
      </w:r>
      <w:r w:rsidR="005D660C" w:rsidRPr="00CC6DC3">
        <w:rPr>
          <w:rFonts w:ascii="Bodoni MT" w:eastAsiaTheme="minorEastAsia" w:hAnsi="Bodoni MT" w:cs="Bodoni MT"/>
          <w:b/>
          <w:color w:val="000000"/>
          <w:sz w:val="24"/>
          <w:szCs w:val="24"/>
        </w:rPr>
        <w:t>accantonando al FCDE l’importo di € 52.796.560,80</w:t>
      </w:r>
      <w:r w:rsidR="005D660C" w:rsidRPr="005D660C">
        <w:rPr>
          <w:rFonts w:ascii="Bodoni MT" w:eastAsiaTheme="minorEastAsia" w:hAnsi="Bodoni MT" w:cs="Bodoni MT"/>
          <w:color w:val="000000"/>
          <w:sz w:val="24"/>
          <w:szCs w:val="24"/>
        </w:rPr>
        <w:t xml:space="preserve"> costituito dalla somma del FCDE iscritto nel Risultato di amministrazione al 1° gennaio 2016, pari a € 41.739.560,80 e dall’importo definitivamente accantonato nel bilancio di previsione per il FCDE </w:t>
      </w:r>
      <w:r w:rsidR="005D660C" w:rsidRPr="005D660C">
        <w:rPr>
          <w:rFonts w:ascii="Bodoni MT" w:eastAsiaTheme="minorEastAsia" w:hAnsi="Bodoni MT" w:cs="Bodoni MT"/>
          <w:color w:val="000000"/>
          <w:sz w:val="24"/>
          <w:szCs w:val="24"/>
        </w:rPr>
        <w:lastRenderedPageBreak/>
        <w:t>nell’esercizio</w:t>
      </w:r>
      <w:r w:rsidR="001D4EA4">
        <w:rPr>
          <w:rFonts w:ascii="Bodoni MT" w:eastAsiaTheme="minorEastAsia" w:hAnsi="Bodoni MT" w:cs="Bodoni MT"/>
          <w:color w:val="000000"/>
          <w:sz w:val="24"/>
          <w:szCs w:val="24"/>
        </w:rPr>
        <w:t xml:space="preserve"> 2016, pari a € 11.057.000,00, pervenendo ad una percentuale di accantonamento del 51,88%.</w:t>
      </w:r>
    </w:p>
    <w:p w:rsidR="005D660C" w:rsidRPr="005D660C" w:rsidRDefault="005D660C" w:rsidP="00503AC8">
      <w:pPr>
        <w:pStyle w:val="Titolo4"/>
      </w:pPr>
      <w:bookmarkStart w:id="227" w:name="_Toc499040943"/>
      <w:bookmarkStart w:id="228" w:name="_Toc507422650"/>
      <w:r w:rsidRPr="005D660C">
        <w:t xml:space="preserve">Il Fondo anticipazioni </w:t>
      </w:r>
      <w:r w:rsidR="00E81BAD">
        <w:t xml:space="preserve">di </w:t>
      </w:r>
      <w:r w:rsidRPr="005D660C">
        <w:t>liquidità D.L. 35/2013 e s.m.</w:t>
      </w:r>
      <w:bookmarkEnd w:id="227"/>
      <w:bookmarkEnd w:id="228"/>
    </w:p>
    <w:p w:rsid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Nel corso del 2016 è stata accertata e incassata l’anticipazione di liquidità di cui al D.L.</w:t>
      </w:r>
      <w:r w:rsidR="00B409A7">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35/2013, pari a </w:t>
      </w:r>
      <w:r w:rsidRPr="00CC6DC3">
        <w:rPr>
          <w:rFonts w:ascii="Bodoni MT" w:eastAsiaTheme="minorEastAsia" w:hAnsi="Bodoni MT" w:cs="Bodoni MT"/>
          <w:b/>
          <w:color w:val="000000"/>
          <w:sz w:val="24"/>
          <w:szCs w:val="24"/>
        </w:rPr>
        <w:t>€ 215.658.000,00</w:t>
      </w:r>
      <w:r w:rsidRPr="005D660C">
        <w:rPr>
          <w:rFonts w:ascii="Bodoni MT" w:eastAsiaTheme="minorEastAsia" w:hAnsi="Bodoni MT" w:cs="Bodoni MT"/>
          <w:color w:val="000000"/>
          <w:sz w:val="24"/>
          <w:szCs w:val="24"/>
        </w:rPr>
        <w:t>.</w:t>
      </w:r>
    </w:p>
    <w:p w:rsidR="00402259" w:rsidRDefault="00402259"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In merito alla contabilizzazione dell’anticipazione di liquidità, la Regione riferisce che, ai sensi dei commi 692</w:t>
      </w:r>
      <w:r w:rsidR="00B77F5B">
        <w:rPr>
          <w:rFonts w:ascii="Bodoni MT" w:eastAsiaTheme="minorEastAsia" w:hAnsi="Bodoni MT" w:cs="Bodoni MT"/>
          <w:color w:val="000000"/>
          <w:sz w:val="24"/>
          <w:szCs w:val="24"/>
        </w:rPr>
        <w:t>, 693 e 694 dell’art. 1 della L.</w:t>
      </w:r>
      <w:r>
        <w:rPr>
          <w:rFonts w:ascii="Bodoni MT" w:eastAsiaTheme="minorEastAsia" w:hAnsi="Bodoni MT" w:cs="Bodoni MT"/>
          <w:color w:val="000000"/>
          <w:sz w:val="24"/>
          <w:szCs w:val="24"/>
        </w:rPr>
        <w:t xml:space="preserve"> 208/2015, ha iscritto nel Titolo di spesa riguardante il rimborso prestiti (titolo IV) il fondo anticipazione di liquidità, di importo pari all’anticipazione di liquidità incassata nell’esercizio non impugnabile e pagabile, in ragione della “sterilizzazione” voluta dal legislatore, destinato a confluire nel risultato di amministrazione, come quota accantonata definita dall’art. 42 del D.Lgs. 118/2011.</w:t>
      </w:r>
    </w:p>
    <w:p w:rsidR="00402259" w:rsidRDefault="00402259"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I riscontri effettuati confermano la contabilizzazione in bilancio (Titolo IV “Entrate per accensione di prestiti” cap. EC510.030; titolo IV “Spese per rimborso prestiti” cap. SC0800230), e gli atti acquisiti (elenco del piano dei debiti) attestano l’avvenuto utilizzo per il pagamento dei debiti di cui all’approvato piano dei debiti stessi.</w:t>
      </w:r>
    </w:p>
    <w:p w:rsidR="00402259" w:rsidRDefault="00402259"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Con riguardo agli effetti di sterilizzazione dell’istituto contabile in oggetto e alle modalità per la sua corretta contabilizzazione, si devono richiamare le considerazioni in ultimo svolte dalla Sezione delle Autonomie a mezzo della Del. n. 28/SEZAUT/2017/QMIG, depositata il 19/12/2017.</w:t>
      </w:r>
    </w:p>
    <w:p w:rsidR="00402259" w:rsidRPr="005D660C" w:rsidRDefault="00B77F5B"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B77F5B">
        <w:rPr>
          <w:rFonts w:ascii="Bodoni MT" w:eastAsiaTheme="minorEastAsia" w:hAnsi="Bodoni MT" w:cs="Bodoni MT"/>
          <w:b/>
          <w:color w:val="000000"/>
          <w:sz w:val="24"/>
          <w:szCs w:val="24"/>
        </w:rPr>
        <w:t>La</w:t>
      </w:r>
      <w:r w:rsidR="00402259" w:rsidRPr="00B77F5B">
        <w:rPr>
          <w:rFonts w:ascii="Bodoni MT" w:eastAsiaTheme="minorEastAsia" w:hAnsi="Bodoni MT" w:cs="Bodoni MT"/>
          <w:b/>
          <w:color w:val="000000"/>
          <w:sz w:val="24"/>
          <w:szCs w:val="24"/>
        </w:rPr>
        <w:t xml:space="preserve"> Sezione raccomanda alla Regione di uniformare le scritture di bilancio e ai principi di diritto già affermati dalla richiamata Deliberazione</w:t>
      </w:r>
      <w:r w:rsidR="00402259">
        <w:rPr>
          <w:rFonts w:ascii="Bodoni MT" w:eastAsiaTheme="minorEastAsia" w:hAnsi="Bodoni MT" w:cs="Bodoni MT"/>
          <w:color w:val="000000"/>
          <w:sz w:val="24"/>
          <w:szCs w:val="24"/>
        </w:rPr>
        <w:t>.</w:t>
      </w:r>
    </w:p>
    <w:p w:rsidR="005D660C" w:rsidRPr="005D660C" w:rsidRDefault="005D660C" w:rsidP="00503AC8">
      <w:pPr>
        <w:pStyle w:val="Titolo4"/>
      </w:pPr>
      <w:bookmarkStart w:id="229" w:name="_Toc499040944"/>
      <w:bookmarkStart w:id="230" w:name="_Toc507422651"/>
      <w:r w:rsidRPr="005D660C">
        <w:t>Il Fondo a garanzia della reiscrizione dei residui perenti</w:t>
      </w:r>
      <w:bookmarkEnd w:id="229"/>
      <w:bookmarkEnd w:id="230"/>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Come g</w:t>
      </w:r>
      <w:r w:rsidR="00B409A7">
        <w:rPr>
          <w:rFonts w:ascii="Bodoni MT" w:eastAsiaTheme="minorEastAsia" w:hAnsi="Bodoni MT" w:cs="Bodoni MT"/>
          <w:color w:val="000000"/>
          <w:sz w:val="24"/>
          <w:szCs w:val="24"/>
        </w:rPr>
        <w:t xml:space="preserve">ià riferito nel paragrafo </w:t>
      </w:r>
      <w:r w:rsidR="00CC6DC3">
        <w:rPr>
          <w:rFonts w:ascii="Bodoni MT" w:eastAsiaTheme="minorEastAsia" w:hAnsi="Bodoni MT" w:cs="Bodoni MT"/>
          <w:color w:val="000000"/>
          <w:sz w:val="24"/>
          <w:szCs w:val="24"/>
        </w:rPr>
        <w:t>6.5</w:t>
      </w:r>
      <w:r w:rsidRPr="005D660C">
        <w:rPr>
          <w:rFonts w:ascii="Bodoni MT" w:eastAsiaTheme="minorEastAsia" w:hAnsi="Bodoni MT" w:cs="Bodoni MT"/>
          <w:color w:val="000000"/>
          <w:sz w:val="24"/>
          <w:szCs w:val="24"/>
        </w:rPr>
        <w:t xml:space="preserve"> della presente relazione, una quota del risultato di amministrazione deve essere destinata a copertura della re-iscrizione dei residui perenti.</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Una quota dell’importo accantonato al 31/12/2015, che era pari a € 400.788.035,52, è stata utilizzata nel corso dell’esercizio 2016. L’utilizzo di tale quota, pari a € 188.172.903,32, come riferito nella Relazione sulla gestione</w:t>
      </w:r>
      <w:r w:rsidRPr="005D660C">
        <w:rPr>
          <w:rFonts w:ascii="Bodoni MT" w:eastAsiaTheme="minorEastAsia" w:hAnsi="Bodoni MT" w:cs="Bodoni MT"/>
          <w:color w:val="000000"/>
          <w:sz w:val="24"/>
          <w:szCs w:val="24"/>
          <w:vertAlign w:val="superscript"/>
        </w:rPr>
        <w:footnoteReference w:id="122"/>
      </w:r>
      <w:r w:rsidRPr="005D660C">
        <w:rPr>
          <w:rFonts w:ascii="Bodoni MT" w:eastAsiaTheme="minorEastAsia" w:hAnsi="Bodoni MT" w:cs="Bodoni MT"/>
          <w:color w:val="000000"/>
          <w:sz w:val="24"/>
          <w:szCs w:val="24"/>
        </w:rPr>
        <w:t xml:space="preserve">, ha comportato una riduzione di pari importo dei residui </w:t>
      </w:r>
      <w:r w:rsidRPr="005D660C">
        <w:rPr>
          <w:rFonts w:ascii="Bodoni MT" w:eastAsiaTheme="minorEastAsia" w:hAnsi="Bodoni MT" w:cs="Bodoni MT"/>
          <w:color w:val="000000"/>
          <w:sz w:val="24"/>
          <w:szCs w:val="24"/>
        </w:rPr>
        <w:lastRenderedPageBreak/>
        <w:t>perenti complessivi. In realtà i residui perenti hanno subito ulteriori riduzioni per effetto delle cancellazioni per prescrizione e insussistenza</w:t>
      </w:r>
      <w:r w:rsidRPr="005D660C">
        <w:rPr>
          <w:rFonts w:ascii="Bodoni MT" w:eastAsiaTheme="minorEastAsia" w:hAnsi="Bodoni MT" w:cs="Bodoni MT"/>
          <w:color w:val="000000"/>
          <w:sz w:val="24"/>
          <w:szCs w:val="24"/>
          <w:vertAlign w:val="superscript"/>
        </w:rPr>
        <w:footnoteReference w:id="123"/>
      </w:r>
      <w:r w:rsidRPr="005D660C">
        <w:rPr>
          <w:rFonts w:ascii="Bodoni MT" w:eastAsiaTheme="minorEastAsia" w:hAnsi="Bodoni MT" w:cs="Bodoni MT"/>
          <w:color w:val="000000"/>
          <w:sz w:val="24"/>
          <w:szCs w:val="24"/>
        </w:rPr>
        <w:t>.</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A seguito degli ulteriori accantonamenti effettuati nell’esercizio, l’importo definitivo dell’accantonamento al 31/12/2016 è di € 480.946.000,00, con un incremento del 20% rispetto all’accantonamento al 31/12/2015. Rispetto al totale dei residui perenti, la percentuale di accantonamento è pari al 35,31%, in miglioramento rispetto alla percentuale registrata nell’esercizio 2015 (22,69%).</w:t>
      </w:r>
    </w:p>
    <w:p w:rsidR="005D660C" w:rsidRPr="005D660C" w:rsidRDefault="005D660C" w:rsidP="00503AC8">
      <w:pPr>
        <w:pStyle w:val="Titolo4"/>
      </w:pPr>
      <w:bookmarkStart w:id="231" w:name="_Toc499040945"/>
      <w:bookmarkStart w:id="232" w:name="_Toc507422652"/>
      <w:r w:rsidRPr="005D660C">
        <w:t>Il Fondo per le perdite delle società partecipate</w:t>
      </w:r>
      <w:bookmarkEnd w:id="231"/>
      <w:bookmarkEnd w:id="232"/>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Nel risultato di amministrazione è stato previsto anche il Fondo per le perdite delle società partecipate, introdotto dai commi 550 e seguenti della legge di stabilità 2013 </w:t>
      </w:r>
      <w:r w:rsidR="00CC6DC3">
        <w:rPr>
          <w:rFonts w:ascii="Bodoni MT" w:eastAsiaTheme="minorEastAsia" w:hAnsi="Bodoni MT" w:cs="Bodoni MT"/>
          <w:color w:val="000000"/>
          <w:sz w:val="24"/>
          <w:szCs w:val="24"/>
        </w:rPr>
        <w:t xml:space="preserve">(v. D.Lgs. </w:t>
      </w:r>
      <w:r w:rsidRPr="005D660C">
        <w:rPr>
          <w:rFonts w:ascii="Bodoni MT" w:eastAsiaTheme="minorEastAsia" w:hAnsi="Bodoni MT" w:cs="Bodoni MT"/>
          <w:color w:val="000000"/>
          <w:sz w:val="24"/>
          <w:szCs w:val="24"/>
        </w:rPr>
        <w:t>175/2016</w:t>
      </w:r>
      <w:r w:rsidR="00CC6DC3">
        <w:rPr>
          <w:rFonts w:ascii="Bodoni MT" w:eastAsiaTheme="minorEastAsia" w:hAnsi="Bodoni MT" w:cs="Bodoni MT"/>
          <w:color w:val="000000"/>
          <w:sz w:val="24"/>
          <w:szCs w:val="24"/>
        </w:rPr>
        <w:t>). La norma entrerà a regime nel 2018 e</w:t>
      </w:r>
      <w:r w:rsidRPr="005D660C">
        <w:rPr>
          <w:rFonts w:ascii="Bodoni MT" w:eastAsiaTheme="minorEastAsia" w:hAnsi="Bodoni MT" w:cs="Bodoni MT"/>
          <w:color w:val="000000"/>
          <w:sz w:val="24"/>
          <w:szCs w:val="24"/>
        </w:rPr>
        <w:t xml:space="preserve"> prevede un accantonamento graduale per il triennio 2015-2017, per far fronte al rischio di intervento finanziario della partecipante. L’accantonamento riguarda solo le società in perdita nell’ultimo esercizio, in misura prop</w:t>
      </w:r>
      <w:r w:rsidR="00CC6DC3">
        <w:rPr>
          <w:rFonts w:ascii="Bodoni MT" w:eastAsiaTheme="minorEastAsia" w:hAnsi="Bodoni MT" w:cs="Bodoni MT"/>
          <w:color w:val="000000"/>
          <w:sz w:val="24"/>
          <w:szCs w:val="24"/>
        </w:rPr>
        <w:t>orzionale alla quota posseduta dalla Regione</w:t>
      </w:r>
      <w:r w:rsidRPr="005D660C">
        <w:rPr>
          <w:rFonts w:ascii="Bodoni MT" w:eastAsiaTheme="minorEastAsia" w:hAnsi="Bodoni MT" w:cs="Bodoni MT"/>
          <w:color w:val="000000"/>
          <w:sz w:val="24"/>
          <w:szCs w:val="24"/>
        </w:rPr>
        <w:t>.</w:t>
      </w:r>
    </w:p>
    <w:p w:rsidR="005D660C" w:rsidRPr="005D660C" w:rsidRDefault="00DD11EE"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Il</w:t>
      </w:r>
      <w:r w:rsidR="005D660C" w:rsidRPr="005D660C">
        <w:rPr>
          <w:rFonts w:ascii="Bodoni MT" w:eastAsiaTheme="minorEastAsia" w:hAnsi="Bodoni MT" w:cs="Bodoni MT"/>
          <w:color w:val="000000"/>
          <w:sz w:val="24"/>
          <w:szCs w:val="24"/>
        </w:rPr>
        <w:t xml:space="preserve"> Fondo è stato</w:t>
      </w:r>
      <w:r w:rsidR="00CC6DC3">
        <w:rPr>
          <w:rFonts w:ascii="Bodoni MT" w:eastAsiaTheme="minorEastAsia" w:hAnsi="Bodoni MT" w:cs="Bodoni MT"/>
          <w:color w:val="000000"/>
          <w:sz w:val="24"/>
          <w:szCs w:val="24"/>
        </w:rPr>
        <w:t xml:space="preserve"> quantificato in € 1.607.251,00</w:t>
      </w:r>
      <w:r w:rsidR="005D660C" w:rsidRPr="005D660C">
        <w:rPr>
          <w:rFonts w:ascii="Bodoni MT" w:eastAsiaTheme="minorEastAsia" w:hAnsi="Bodoni MT" w:cs="Bodoni MT"/>
          <w:color w:val="000000"/>
          <w:sz w:val="24"/>
          <w:szCs w:val="24"/>
        </w:rPr>
        <w:t>.</w:t>
      </w:r>
    </w:p>
    <w:p w:rsidR="005D660C" w:rsidRPr="005D660C" w:rsidRDefault="005D660C" w:rsidP="00503AC8">
      <w:pPr>
        <w:pStyle w:val="Titolo4"/>
      </w:pPr>
      <w:bookmarkStart w:id="233" w:name="_Toc499040946"/>
      <w:bookmarkStart w:id="234" w:name="_Toc507422653"/>
      <w:r w:rsidRPr="005D660C">
        <w:t>Il Fondo soppressione dei fondi di garanzia</w:t>
      </w:r>
      <w:bookmarkEnd w:id="233"/>
      <w:bookmarkEnd w:id="234"/>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Il Fondo, istituito dall’art. 1, comma 5, della L.R. 3/2008, riguarda le garanzie prestate agli istituti di credito a seguito di concessioni di finanziamenti alle imprese. Il Fondo garantisce l’assolvimento delle obbligazioni persistenti in capo all’Amministrazione regionale e la sua dotazione deve essere dell’importo minimo di € 5.000.000. Prima dell’armonizzazione contabile, tali risorse, se non utilizzate, permanevano nel conto dei residui fino all’esaurimento delle obbligazioni in essere.</w:t>
      </w:r>
    </w:p>
    <w:p w:rsidR="005D660C" w:rsidRPr="005D660C" w:rsidRDefault="00CC6DC3"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Con l’armonizzazione</w:t>
      </w:r>
      <w:r w:rsidR="005D660C" w:rsidRPr="005D660C">
        <w:rPr>
          <w:rFonts w:ascii="Bodoni MT" w:eastAsiaTheme="minorEastAsia" w:hAnsi="Bodoni MT" w:cs="Bodoni MT"/>
          <w:color w:val="000000"/>
          <w:sz w:val="24"/>
          <w:szCs w:val="24"/>
        </w:rPr>
        <w:t xml:space="preserve"> le risorse sono accantonate nel risultato di amministrazione. Per l’esercizio 2016 </w:t>
      </w:r>
      <w:r w:rsidR="005D660C" w:rsidRPr="00CC6DC3">
        <w:rPr>
          <w:rFonts w:ascii="Bodoni MT" w:eastAsiaTheme="minorEastAsia" w:hAnsi="Bodoni MT" w:cs="Bodoni MT"/>
          <w:b/>
          <w:color w:val="000000"/>
          <w:sz w:val="24"/>
          <w:szCs w:val="24"/>
        </w:rPr>
        <w:t>l’accantonamento è pari a € 36.543.224,10</w:t>
      </w:r>
      <w:r w:rsidR="005D660C" w:rsidRPr="005D660C">
        <w:rPr>
          <w:rFonts w:ascii="Bodoni MT" w:eastAsiaTheme="minorEastAsia" w:hAnsi="Bodoni MT" w:cs="Bodoni MT"/>
          <w:color w:val="000000"/>
          <w:sz w:val="24"/>
          <w:szCs w:val="24"/>
        </w:rPr>
        <w:t>, pari all’importo accantonato al 31/12/2015, di € 31.543.224,10, più l’importo minimo di 5 mln di euro accantonati nel 2016.</w:t>
      </w:r>
    </w:p>
    <w:p w:rsidR="005D660C" w:rsidRPr="005D660C" w:rsidRDefault="005D660C" w:rsidP="00503AC8">
      <w:pPr>
        <w:pStyle w:val="Titolo4"/>
      </w:pPr>
      <w:bookmarkStart w:id="235" w:name="_Toc499040947"/>
      <w:bookmarkStart w:id="236" w:name="_Toc507422654"/>
      <w:r w:rsidRPr="005D660C">
        <w:t>Altri accantonamenti</w:t>
      </w:r>
      <w:bookmarkEnd w:id="235"/>
      <w:bookmarkEnd w:id="236"/>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Minori accantonamenti riguardano il Fondo contenzioso, per € 3.899.207,71, e il Fondo per la reiscrizione di passività non contabilizzate e correlate a riscossioni di entrate per € 32.512,35.</w:t>
      </w:r>
    </w:p>
    <w:p w:rsidR="005D660C" w:rsidRPr="005D660C" w:rsidRDefault="005D660C" w:rsidP="00503AC8">
      <w:pPr>
        <w:pStyle w:val="Titolo3"/>
      </w:pPr>
      <w:bookmarkStart w:id="237" w:name="_Toc499040948"/>
      <w:bookmarkStart w:id="238" w:name="_Toc507422655"/>
      <w:r w:rsidRPr="005D660C">
        <w:lastRenderedPageBreak/>
        <w:t>Le quote vincolate del risultato di amministrazione</w:t>
      </w:r>
      <w:bookmarkEnd w:id="237"/>
      <w:bookmarkEnd w:id="238"/>
    </w:p>
    <w:p w:rsidR="005D660C" w:rsidRPr="005D660C" w:rsidRDefault="005D660C" w:rsidP="005D660C">
      <w:pPr>
        <w:spacing w:line="360" w:lineRule="auto"/>
        <w:jc w:val="both"/>
        <w:rPr>
          <w:rFonts w:ascii="Bodoni MT" w:hAnsi="Bodoni MT"/>
          <w:sz w:val="24"/>
          <w:szCs w:val="24"/>
        </w:rPr>
      </w:pPr>
      <w:r w:rsidRPr="00CC6DC3">
        <w:rPr>
          <w:rFonts w:ascii="Bodoni MT" w:hAnsi="Bodoni MT"/>
          <w:b/>
          <w:sz w:val="24"/>
          <w:szCs w:val="24"/>
        </w:rPr>
        <w:t>Le quote vincolate del risultato di amministrazione sono pari, complessivamente, a € 281.769.854,05</w:t>
      </w:r>
      <w:r w:rsidRPr="005D660C">
        <w:rPr>
          <w:rFonts w:ascii="Bodoni MT" w:hAnsi="Bodoni MT"/>
          <w:sz w:val="24"/>
          <w:szCs w:val="24"/>
        </w:rPr>
        <w:t xml:space="preserve">, come elencate nella </w:t>
      </w:r>
      <w:r w:rsidR="00CC6DC3">
        <w:rPr>
          <w:rFonts w:ascii="Bodoni MT" w:hAnsi="Bodoni MT"/>
          <w:sz w:val="24"/>
          <w:szCs w:val="24"/>
        </w:rPr>
        <w:t>tabella n. 36</w:t>
      </w:r>
      <w:r w:rsidRPr="005D660C">
        <w:rPr>
          <w:rFonts w:ascii="Bodoni MT" w:hAnsi="Bodoni MT"/>
          <w:sz w:val="24"/>
          <w:szCs w:val="24"/>
        </w:rPr>
        <w:t xml:space="preserve">. </w:t>
      </w:r>
    </w:p>
    <w:p w:rsidR="005D660C" w:rsidRDefault="005D660C" w:rsidP="005D660C">
      <w:pPr>
        <w:spacing w:line="360" w:lineRule="auto"/>
        <w:jc w:val="both"/>
        <w:rPr>
          <w:rFonts w:ascii="Bodoni MT" w:hAnsi="Bodoni MT"/>
          <w:sz w:val="24"/>
          <w:szCs w:val="24"/>
        </w:rPr>
      </w:pPr>
      <w:r w:rsidRPr="005D660C">
        <w:rPr>
          <w:rFonts w:ascii="Bodoni MT" w:hAnsi="Bodoni MT"/>
          <w:sz w:val="24"/>
          <w:szCs w:val="24"/>
        </w:rPr>
        <w:t>L’elenco analitico delle risorse vincolate confluite nell’avanzo è contenuto nell’Allegato 19.6 della Relazione sulla gestione 20</w:t>
      </w:r>
      <w:r w:rsidR="00F16ECD">
        <w:rPr>
          <w:rFonts w:ascii="Bodoni MT" w:hAnsi="Bodoni MT"/>
          <w:sz w:val="24"/>
          <w:szCs w:val="24"/>
        </w:rPr>
        <w:t>16, che di seguito si riepiloga.</w:t>
      </w:r>
    </w:p>
    <w:p w:rsidR="002E04DE" w:rsidRPr="005D660C" w:rsidRDefault="002E04DE" w:rsidP="002E04DE">
      <w:pPr>
        <w:pStyle w:val="Didascalia"/>
      </w:pPr>
      <w:bookmarkStart w:id="239" w:name="_Toc499040982"/>
      <w:bookmarkStart w:id="240" w:name="_Toc507422508"/>
      <w:r>
        <w:t xml:space="preserve">Tabella </w:t>
      </w:r>
      <w:r w:rsidR="00B90472">
        <w:fldChar w:fldCharType="begin"/>
      </w:r>
      <w:r w:rsidR="00B90472">
        <w:instrText xml:space="preserve"> SEQ Tabella \* ARABIC </w:instrText>
      </w:r>
      <w:r w:rsidR="00B90472">
        <w:fldChar w:fldCharType="separate"/>
      </w:r>
      <w:r w:rsidR="008616B3">
        <w:rPr>
          <w:noProof/>
        </w:rPr>
        <w:t>40</w:t>
      </w:r>
      <w:r w:rsidR="00B90472">
        <w:rPr>
          <w:noProof/>
        </w:rPr>
        <w:fldChar w:fldCharType="end"/>
      </w:r>
      <w:r w:rsidRPr="005D660C">
        <w:t xml:space="preserve"> - Riepilogo risorse vincolate del Risultato di amministrazione</w:t>
      </w:r>
      <w:bookmarkEnd w:id="239"/>
      <w:bookmarkEnd w:id="240"/>
    </w:p>
    <w:tbl>
      <w:tblPr>
        <w:tblW w:w="5000" w:type="pct"/>
        <w:tblCellMar>
          <w:left w:w="70" w:type="dxa"/>
          <w:right w:w="70" w:type="dxa"/>
        </w:tblCellMar>
        <w:tblLook w:val="04A0" w:firstRow="1" w:lastRow="0" w:firstColumn="1" w:lastColumn="0" w:noHBand="0" w:noVBand="1"/>
      </w:tblPr>
      <w:tblGrid>
        <w:gridCol w:w="1472"/>
        <w:gridCol w:w="1287"/>
        <w:gridCol w:w="1489"/>
        <w:gridCol w:w="1287"/>
        <w:gridCol w:w="2044"/>
        <w:gridCol w:w="1195"/>
        <w:gridCol w:w="1287"/>
      </w:tblGrid>
      <w:tr w:rsidR="002E04DE" w:rsidRPr="005D660C" w:rsidTr="002E04DE">
        <w:trPr>
          <w:trHeight w:val="170"/>
        </w:trPr>
        <w:tc>
          <w:tcPr>
            <w:tcW w:w="825" w:type="pct"/>
            <w:tcBorders>
              <w:top w:val="single" w:sz="4" w:space="0" w:color="auto"/>
              <w:left w:val="single" w:sz="4" w:space="0" w:color="auto"/>
              <w:bottom w:val="nil"/>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p>
        </w:tc>
        <w:tc>
          <w:tcPr>
            <w:tcW w:w="626"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 xml:space="preserve">RISORSE VINCOLATE AL 01/01/2016 </w:t>
            </w:r>
          </w:p>
        </w:tc>
        <w:tc>
          <w:tcPr>
            <w:tcW w:w="724"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 xml:space="preserve">ACCERTAMENTI </w:t>
            </w:r>
            <w:r w:rsidRPr="005D660C">
              <w:rPr>
                <w:rFonts w:ascii="Bodoni MT" w:eastAsia="Times New Roman" w:hAnsi="Bodoni MT" w:cs="Arial"/>
                <w:b/>
                <w:bCs/>
                <w:color w:val="FFFFFF"/>
                <w:sz w:val="18"/>
                <w:szCs w:val="18"/>
                <w:lang w:eastAsia="it-IT"/>
              </w:rPr>
              <w:br/>
              <w:t xml:space="preserve">2016 </w:t>
            </w:r>
          </w:p>
        </w:tc>
        <w:tc>
          <w:tcPr>
            <w:tcW w:w="626"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 xml:space="preserve">IMPEGNI </w:t>
            </w:r>
            <w:r w:rsidRPr="005D660C">
              <w:rPr>
                <w:rFonts w:ascii="Bodoni MT" w:eastAsia="Times New Roman" w:hAnsi="Bodoni MT" w:cs="Arial"/>
                <w:b/>
                <w:bCs/>
                <w:color w:val="FFFFFF"/>
                <w:sz w:val="18"/>
                <w:szCs w:val="18"/>
                <w:lang w:eastAsia="it-IT"/>
              </w:rPr>
              <w:br/>
              <w:t xml:space="preserve">2016 </w:t>
            </w:r>
          </w:p>
        </w:tc>
        <w:tc>
          <w:tcPr>
            <w:tcW w:w="994"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CANCELLAZIONE DELL'ACCERTAMENTO O CANCELLAZIONE DEL VINCOLO (+)/ECONOMIE IMPEGNI (-)</w:t>
            </w:r>
          </w:p>
        </w:tc>
        <w:tc>
          <w:tcPr>
            <w:tcW w:w="581"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 xml:space="preserve">FPV </w:t>
            </w:r>
          </w:p>
        </w:tc>
        <w:tc>
          <w:tcPr>
            <w:tcW w:w="626"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2E04DE" w:rsidRPr="005D660C" w:rsidRDefault="002E04DE" w:rsidP="002E04DE">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RISORSE VINCOLATE AL 31/12/2016</w:t>
            </w:r>
          </w:p>
        </w:tc>
      </w:tr>
      <w:tr w:rsidR="002E04DE" w:rsidRPr="005D660C" w:rsidTr="002E04DE">
        <w:trPr>
          <w:trHeight w:val="170"/>
        </w:trPr>
        <w:tc>
          <w:tcPr>
            <w:tcW w:w="82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 </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(a)</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(b)</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(c)</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(d)</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(e)</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center"/>
              <w:rPr>
                <w:rFonts w:ascii="Bodoni MT" w:eastAsia="Times New Roman" w:hAnsi="Bodoni MT" w:cs="Arial"/>
                <w:color w:val="000000"/>
                <w:sz w:val="18"/>
                <w:szCs w:val="18"/>
                <w:lang w:eastAsia="it-IT"/>
              </w:rPr>
            </w:pPr>
            <w:r w:rsidRPr="005D660C">
              <w:rPr>
                <w:rFonts w:ascii="Bodoni MT" w:eastAsia="Times New Roman" w:hAnsi="Bodoni MT" w:cs="Arial"/>
                <w:color w:val="000000"/>
                <w:sz w:val="18"/>
                <w:szCs w:val="18"/>
                <w:lang w:eastAsia="it-IT"/>
              </w:rPr>
              <w:t>(f)=(a)+(b)-(c)-(d)-(e)</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Totale Vincoli derivanti da leggi e dai principi contabili </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14.092.824,33</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19.978.664,40</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19.962.215,22</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-25.126.945,30</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88.889,59</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39.147.329,22</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Totale Vincoli derivanti da trasferimenti</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234.599.023,40</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468.570.809,39</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411.448.450,03</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4.361.144,74</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56.220.999,11</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231.139.238,91</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Totale Vincoli derivanti da contrazione mutui</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0,00</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50.908.570,53</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50.900.559,80</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0,00</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0,00</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8.010,73</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Totale Vincoli formalmente attribuiti dall'ente </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39.242.295,34</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1.020.764,13</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6.506.552,12</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10.300.000,00</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14.659.854,37</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8.796.652,98</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Altri vincoli</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595.829,90</w:t>
            </w:r>
          </w:p>
        </w:tc>
        <w:tc>
          <w:tcPr>
            <w:tcW w:w="72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190.098.364,65</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188.015.572,34</w:t>
            </w:r>
          </w:p>
        </w:tc>
        <w:tc>
          <w:tcPr>
            <w:tcW w:w="994"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0,00</w:t>
            </w:r>
          </w:p>
        </w:tc>
        <w:tc>
          <w:tcPr>
            <w:tcW w:w="581"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0,00</w:t>
            </w:r>
          </w:p>
        </w:tc>
        <w:tc>
          <w:tcPr>
            <w:tcW w:w="626" w:type="pct"/>
            <w:tcBorders>
              <w:top w:val="nil"/>
              <w:left w:val="nil"/>
              <w:bottom w:val="single" w:sz="4" w:space="0" w:color="auto"/>
              <w:right w:val="single" w:sz="4" w:space="0" w:color="auto"/>
            </w:tcBorders>
            <w:shd w:val="clear" w:color="auto" w:fill="auto"/>
            <w:vAlign w:val="center"/>
            <w:hideMark/>
          </w:tcPr>
          <w:p w:rsidR="002E04DE" w:rsidRPr="005D660C" w:rsidRDefault="002E04DE" w:rsidP="002E04DE">
            <w:pPr>
              <w:spacing w:after="0" w:line="240" w:lineRule="auto"/>
              <w:jc w:val="right"/>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2.678.622,21</w:t>
            </w:r>
          </w:p>
        </w:tc>
      </w:tr>
      <w:tr w:rsidR="002E04DE" w:rsidRPr="005D660C" w:rsidTr="002E04DE">
        <w:trPr>
          <w:trHeight w:val="170"/>
        </w:trPr>
        <w:tc>
          <w:tcPr>
            <w:tcW w:w="825"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2E04DE" w:rsidRPr="005D660C" w:rsidRDefault="002E04DE" w:rsidP="002E04DE">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Totale risorse vincolate</w:t>
            </w:r>
            <w:r w:rsidRPr="005D660C">
              <w:rPr>
                <w:rFonts w:ascii="Bodoni MT" w:eastAsia="Times New Roman" w:hAnsi="Bodoni MT" w:cs="Arial"/>
                <w:color w:val="FFFFFF" w:themeColor="background1"/>
                <w:sz w:val="18"/>
                <w:szCs w:val="18"/>
                <w:lang w:eastAsia="it-IT"/>
              </w:rPr>
              <w:t xml:space="preserve"> </w:t>
            </w:r>
          </w:p>
        </w:tc>
        <w:tc>
          <w:tcPr>
            <w:tcW w:w="626"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center"/>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288.529.972,97</w:t>
            </w:r>
          </w:p>
        </w:tc>
        <w:tc>
          <w:tcPr>
            <w:tcW w:w="724"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center"/>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730.577.173,10</w:t>
            </w:r>
          </w:p>
        </w:tc>
        <w:tc>
          <w:tcPr>
            <w:tcW w:w="626"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center"/>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676.833.349,51</w:t>
            </w:r>
          </w:p>
        </w:tc>
        <w:tc>
          <w:tcPr>
            <w:tcW w:w="994"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-10.465.800,56</w:t>
            </w:r>
          </w:p>
        </w:tc>
        <w:tc>
          <w:tcPr>
            <w:tcW w:w="581"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70.969.743,07</w:t>
            </w:r>
          </w:p>
        </w:tc>
        <w:tc>
          <w:tcPr>
            <w:tcW w:w="626" w:type="pct"/>
            <w:tcBorders>
              <w:top w:val="nil"/>
              <w:left w:val="nil"/>
              <w:bottom w:val="single" w:sz="4" w:space="0" w:color="auto"/>
              <w:right w:val="single" w:sz="4" w:space="0" w:color="auto"/>
            </w:tcBorders>
            <w:shd w:val="clear" w:color="auto" w:fill="FFFFFF" w:themeFill="background1"/>
            <w:vAlign w:val="center"/>
            <w:hideMark/>
          </w:tcPr>
          <w:p w:rsidR="002E04DE" w:rsidRPr="005D660C" w:rsidRDefault="002E04DE" w:rsidP="002E04DE">
            <w:pPr>
              <w:spacing w:after="0" w:line="240" w:lineRule="auto"/>
              <w:jc w:val="right"/>
              <w:rPr>
                <w:rFonts w:ascii="Calibri" w:eastAsia="Times New Roman" w:hAnsi="Calibri" w:cs="Calibri"/>
                <w:b/>
                <w:bCs/>
                <w:sz w:val="18"/>
                <w:szCs w:val="18"/>
                <w:lang w:eastAsia="it-IT"/>
              </w:rPr>
            </w:pPr>
            <w:r w:rsidRPr="005D660C">
              <w:rPr>
                <w:rFonts w:ascii="Calibri" w:eastAsia="Times New Roman" w:hAnsi="Calibri" w:cs="Calibri"/>
                <w:b/>
                <w:bCs/>
                <w:sz w:val="18"/>
                <w:szCs w:val="18"/>
                <w:lang w:eastAsia="it-IT"/>
              </w:rPr>
              <w:t>281.769.854,05</w:t>
            </w:r>
          </w:p>
        </w:tc>
      </w:tr>
    </w:tbl>
    <w:p w:rsidR="002E04DE" w:rsidRDefault="002E04DE" w:rsidP="002E04DE">
      <w:pPr>
        <w:spacing w:line="360" w:lineRule="auto"/>
        <w:jc w:val="both"/>
        <w:rPr>
          <w:rFonts w:ascii="Bodoni MT" w:hAnsi="Bodoni MT"/>
          <w:sz w:val="24"/>
          <w:szCs w:val="24"/>
        </w:rPr>
      </w:pPr>
      <w:r w:rsidRPr="005D660C">
        <w:rPr>
          <w:rFonts w:ascii="Bodoni MT" w:hAnsi="Bodoni MT"/>
          <w:sz w:val="20"/>
          <w:szCs w:val="20"/>
        </w:rPr>
        <w:t>Fonte: Elaborazione Corte dei conti su dati RAS</w:t>
      </w:r>
      <w:r w:rsidRPr="005D660C">
        <w:rPr>
          <w:rFonts w:ascii="Bodoni MT" w:hAnsi="Bodoni MT"/>
          <w:sz w:val="24"/>
          <w:szCs w:val="24"/>
        </w:rPr>
        <w:t>.</w:t>
      </w:r>
    </w:p>
    <w:p w:rsidR="00DD11EE" w:rsidRPr="005D660C" w:rsidRDefault="00DD11EE" w:rsidP="00DD11EE">
      <w:pPr>
        <w:pStyle w:val="CdcTesto"/>
      </w:pPr>
      <w:r w:rsidRPr="005D660C">
        <w:t>Come si evince dalla tabella, l’importo complessivo delle quote vincolate è diminuito del 2,34% rispetto all’esercizio precedente.</w:t>
      </w:r>
    </w:p>
    <w:p w:rsidR="003655D8" w:rsidRDefault="003655D8" w:rsidP="003655D8">
      <w:pPr>
        <w:pStyle w:val="Titolo2"/>
        <w:jc w:val="both"/>
      </w:pPr>
      <w:bookmarkStart w:id="241" w:name="_Toc507422656"/>
      <w:r>
        <w:t>Esiti della verifica dei crediti e debiti reciproci con i propri enti strumentali e le società controllate e partecipate</w:t>
      </w:r>
      <w:bookmarkEnd w:id="241"/>
    </w:p>
    <w:p w:rsidR="003655D8" w:rsidRDefault="003655D8" w:rsidP="003655D8">
      <w:pPr>
        <w:pStyle w:val="CdcTesto"/>
      </w:pPr>
      <w:r>
        <w:t xml:space="preserve">Tra gli allegati obbligatori al rendiconto l’allegato 19.5 espone gli esiti della verifica </w:t>
      </w:r>
      <w:r w:rsidR="004422C8">
        <w:t>dei crediti e dei debiti reciproci con i propri enti strumentali e le società controllate e partecipate.</w:t>
      </w:r>
    </w:p>
    <w:p w:rsidR="004422C8" w:rsidRDefault="004422C8" w:rsidP="003655D8">
      <w:pPr>
        <w:pStyle w:val="CdcTesto"/>
      </w:pPr>
      <w:r>
        <w:t xml:space="preserve">A rendiconto 2015 la Regione aveva dato atto dei disallineamenti che non avevano consentito di prevenire alla prevista riconciliazione e rinviava al 2016 al fine di: </w:t>
      </w:r>
    </w:p>
    <w:p w:rsidR="004422C8" w:rsidRDefault="00BF391A" w:rsidP="007D10C5">
      <w:pPr>
        <w:pStyle w:val="CdcTesto"/>
        <w:numPr>
          <w:ilvl w:val="0"/>
          <w:numId w:val="22"/>
        </w:numPr>
        <w:tabs>
          <w:tab w:val="left" w:pos="284"/>
        </w:tabs>
      </w:pPr>
      <w:r>
        <w:lastRenderedPageBreak/>
        <w:t xml:space="preserve">organizzare </w:t>
      </w:r>
      <w:r w:rsidR="004422C8">
        <w:t>il flusso informativo fra enti e regione specifico per il controllo continuo dei comandi;</w:t>
      </w:r>
    </w:p>
    <w:p w:rsidR="004422C8" w:rsidRDefault="00411C4D" w:rsidP="007D10C5">
      <w:pPr>
        <w:pStyle w:val="CdcTesto"/>
        <w:numPr>
          <w:ilvl w:val="0"/>
          <w:numId w:val="22"/>
        </w:numPr>
        <w:tabs>
          <w:tab w:val="left" w:pos="284"/>
        </w:tabs>
      </w:pPr>
      <w:r>
        <w:t>emanare direttive affinché</w:t>
      </w:r>
      <w:r w:rsidR="00BF391A">
        <w:t xml:space="preserve"> vengano trasmesse le determinazioni di impegno all’ente beneficiario;</w:t>
      </w:r>
    </w:p>
    <w:p w:rsidR="00BF391A" w:rsidRDefault="00BF391A" w:rsidP="007D10C5">
      <w:pPr>
        <w:pStyle w:val="CdcTesto"/>
        <w:numPr>
          <w:ilvl w:val="0"/>
          <w:numId w:val="22"/>
        </w:numPr>
        <w:tabs>
          <w:tab w:val="left" w:pos="284"/>
        </w:tabs>
      </w:pPr>
      <w:r>
        <w:t>disporre controlli incisivi affinché gli enti applichino in modo corretto il principio di competenza finanziaria;</w:t>
      </w:r>
    </w:p>
    <w:p w:rsidR="00BF391A" w:rsidRDefault="00BF391A" w:rsidP="007D10C5">
      <w:pPr>
        <w:pStyle w:val="CdcTesto"/>
        <w:numPr>
          <w:ilvl w:val="0"/>
          <w:numId w:val="22"/>
        </w:numPr>
        <w:tabs>
          <w:tab w:val="left" w:pos="284"/>
        </w:tabs>
      </w:pPr>
      <w:r>
        <w:t>mettere in atto una costante e sistematica attività di monitoraggio con verifiche periodiche in modo da adottare gli opportuni provvedimenti di riconciliazione entro l’esercizio.</w:t>
      </w:r>
    </w:p>
    <w:p w:rsidR="00BF391A" w:rsidRDefault="004422C8" w:rsidP="003655D8">
      <w:pPr>
        <w:pStyle w:val="CdcTesto"/>
      </w:pPr>
      <w:r>
        <w:t xml:space="preserve">La relazione sulla gestione 2016 riferisce di aver individuato gli enti sulla base dei requisiti richiesti dal D.Lgs. 118/2011, provvedendo ad elencarli suddivisi per enti strumentali o società e riferisce i seguenti esiti: </w:t>
      </w:r>
      <w:r w:rsidR="00BF391A">
        <w:t>“</w:t>
      </w:r>
      <w:r w:rsidR="00BF391A" w:rsidRPr="00BF391A">
        <w:rPr>
          <w:i/>
        </w:rPr>
        <w:t>La mancata conciliazione per la maggior parte dei saldi di bilancio, è dovuta sia al fatto che non tutti i centri di responsabilità hanno avviato il processo di circolarizzazione come richiesto con la citata nota n. 38385 ai sensi del D.Lgs. 118/2011, sia al fatto che la maggior parte degli enti e delle società non hanno dato riscontro alle richieste dei centri di responsabilità.</w:t>
      </w:r>
      <w:r w:rsidR="00C66656">
        <w:rPr>
          <w:i/>
        </w:rPr>
        <w:t xml:space="preserve"> </w:t>
      </w:r>
      <w:r w:rsidR="00BF391A" w:rsidRPr="00BF391A">
        <w:rPr>
          <w:i/>
        </w:rPr>
        <w:t>Non in tutte le circostanze in cui si è avuto riscontro, l’esito è stato accompagnato dall’asseverazione del Collegio dei revisori.</w:t>
      </w:r>
      <w:r w:rsidR="00C66656">
        <w:rPr>
          <w:i/>
        </w:rPr>
        <w:t xml:space="preserve"> </w:t>
      </w:r>
      <w:r w:rsidR="00BF391A" w:rsidRPr="00BF391A">
        <w:rPr>
          <w:i/>
        </w:rPr>
        <w:t xml:space="preserve">Rispetto agli esiti dell’esercizio 2015, alcune criticità che erano state ripresentate nella relazione al rendiconto sono state superate con la riconciliazione dell’esercizio 2016. </w:t>
      </w:r>
      <w:r w:rsidR="00BF391A" w:rsidRPr="002E04DE">
        <w:rPr>
          <w:b/>
          <w:i/>
        </w:rPr>
        <w:t>Ciò non è evidentemente sufficiente e dovranno essere avviati opportuni interventi per poter assicurare un ordine contabile nelle partite reciproche, anche in vista del bilancio consolidato con gli enti e le società.</w:t>
      </w:r>
      <w:r w:rsidR="00C66656">
        <w:rPr>
          <w:i/>
        </w:rPr>
        <w:t xml:space="preserve"> </w:t>
      </w:r>
      <w:r w:rsidR="00BF391A" w:rsidRPr="00BF391A">
        <w:rPr>
          <w:i/>
        </w:rPr>
        <w:t>Per l’esercizio 2017, la Direzione Generale dei Servizi Finanziari proporrà di inserire una specifica procedura nel regolamento di contabilità in fase di predisposizione, prevedendo anche schemi contabili standard per l’uniformità delle informative</w:t>
      </w:r>
      <w:r w:rsidR="00BF391A">
        <w:t>”.</w:t>
      </w:r>
    </w:p>
    <w:p w:rsidR="004422C8" w:rsidRDefault="00C66656" w:rsidP="003655D8">
      <w:pPr>
        <w:pStyle w:val="CdcTesto"/>
      </w:pPr>
      <w:r>
        <w:t xml:space="preserve">Anche </w:t>
      </w:r>
      <w:r w:rsidR="004422C8">
        <w:t xml:space="preserve">a rendiconto 2016 sopravvivono le criticità già riscontrate per la maggior parte dei soggetti considerati (enti, agenzie, società partecipate): le tabelle di cui al citato allegato 19.5 del 2016 descrivono mancati riscontri documentali e contabili e conseguenti impossibili allineamenti e riconciliazioni nelle posizioni creditorie e debitorie. </w:t>
      </w:r>
    </w:p>
    <w:p w:rsidR="005D660C" w:rsidRPr="00CC6DC3" w:rsidRDefault="004422C8" w:rsidP="00893F70">
      <w:pPr>
        <w:pStyle w:val="CdcTesto"/>
      </w:pPr>
      <w:r>
        <w:t xml:space="preserve">La situazione sopradescritta è suscettibile di riflettersi sulla attendibilità di alcune poste attive e passive dello Stato patrimoniale relativamente ai rapporti economico-patrimoniale verso imprese controllate e partecipate e altri soggetti. La problematica riveste particolare delicatezza e importanza atteso il </w:t>
      </w:r>
      <w:r w:rsidR="00C66656">
        <w:t xml:space="preserve">cospicuo </w:t>
      </w:r>
      <w:r>
        <w:t xml:space="preserve">quadro finanziario avente a oggetto i trasferimenti correnti e in conto capitale in favore delle categorie dei soggetti in esame (vedi paragrafo 14), rendendo indispensabile </w:t>
      </w:r>
      <w:r>
        <w:lastRenderedPageBreak/>
        <w:t xml:space="preserve">pervenire alla piena </w:t>
      </w:r>
      <w:r w:rsidR="00C66656">
        <w:t>ri</w:t>
      </w:r>
      <w:r>
        <w:t>conciliazione delle partite debitorie e creditorie attraverso i prescritti necessari provvedimenti.</w:t>
      </w:r>
    </w:p>
    <w:p w:rsidR="009934AA" w:rsidRDefault="009934AA"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sectPr w:rsidR="009934AA" w:rsidSect="00CD4C84">
          <w:headerReference w:type="default" r:id="rId59"/>
          <w:footerReference w:type="default" r:id="rId60"/>
          <w:type w:val="oddPage"/>
          <w:pgSz w:w="11906" w:h="16838"/>
          <w:pgMar w:top="1418" w:right="1134" w:bottom="1134" w:left="851" w:header="709" w:footer="709" w:gutter="0"/>
          <w:cols w:space="708"/>
          <w:docGrid w:linePitch="360"/>
        </w:sectPr>
      </w:pPr>
    </w:p>
    <w:p w:rsidR="0057100F" w:rsidRDefault="0057100F" w:rsidP="00503AC8">
      <w:pPr>
        <w:pStyle w:val="Titolo1"/>
      </w:pPr>
      <w:bookmarkStart w:id="242" w:name="_Toc507422657"/>
      <w:r>
        <w:lastRenderedPageBreak/>
        <w:t>IL QUADRO GENERALE RIASSUNTIVO</w:t>
      </w:r>
      <w:bookmarkEnd w:id="242"/>
    </w:p>
    <w:p w:rsidR="0057100F" w:rsidRDefault="0057100F" w:rsidP="00E81BAD">
      <w:pPr>
        <w:pStyle w:val="Didascalia"/>
        <w:spacing w:after="0"/>
        <w:rPr>
          <w:noProof/>
        </w:rPr>
      </w:pPr>
      <w:bookmarkStart w:id="243" w:name="_Toc507422509"/>
      <w:r>
        <w:t xml:space="preserve">Tabella </w:t>
      </w:r>
      <w:r w:rsidR="00B90472">
        <w:fldChar w:fldCharType="begin"/>
      </w:r>
      <w:r w:rsidR="00B90472">
        <w:instrText xml:space="preserve"> SEQ Tabella \* ARABIC </w:instrText>
      </w:r>
      <w:r w:rsidR="00B90472">
        <w:fldChar w:fldCharType="separate"/>
      </w:r>
      <w:r w:rsidR="008616B3">
        <w:rPr>
          <w:noProof/>
        </w:rPr>
        <w:t>41</w:t>
      </w:r>
      <w:r w:rsidR="00B90472">
        <w:rPr>
          <w:noProof/>
        </w:rPr>
        <w:fldChar w:fldCharType="end"/>
      </w:r>
      <w:r w:rsidR="003B4FF5">
        <w:rPr>
          <w:noProof/>
        </w:rPr>
        <w:t xml:space="preserve"> </w:t>
      </w:r>
      <w:r w:rsidR="00E81BAD">
        <w:rPr>
          <w:noProof/>
        </w:rPr>
        <w:t>–</w:t>
      </w:r>
      <w:r w:rsidR="003B4FF5">
        <w:rPr>
          <w:noProof/>
        </w:rPr>
        <w:t xml:space="preserve"> </w:t>
      </w:r>
      <w:r w:rsidR="00E81BAD">
        <w:rPr>
          <w:noProof/>
        </w:rPr>
        <w:t>Quadro generale riassuntivo</w:t>
      </w:r>
      <w:bookmarkEnd w:id="243"/>
    </w:p>
    <w:p w:rsidR="00E81BAD" w:rsidRPr="00E81BAD" w:rsidRDefault="00E81BAD" w:rsidP="00E81BAD">
      <w:pPr>
        <w:spacing w:after="0" w:line="240" w:lineRule="auto"/>
        <w:ind w:right="-285"/>
        <w:jc w:val="right"/>
        <w:rPr>
          <w:rFonts w:ascii="Bodoni MT" w:hAnsi="Bodoni MT"/>
          <w:sz w:val="18"/>
          <w:szCs w:val="18"/>
        </w:rPr>
      </w:pPr>
      <w:r>
        <w:rPr>
          <w:rFonts w:ascii="Bodoni MT" w:hAnsi="Bodoni MT"/>
          <w:sz w:val="18"/>
          <w:szCs w:val="18"/>
        </w:rPr>
        <w:t>(</w:t>
      </w:r>
      <w:r w:rsidRPr="00E81BAD">
        <w:rPr>
          <w:rFonts w:ascii="Bodoni MT" w:hAnsi="Bodoni MT"/>
          <w:sz w:val="18"/>
          <w:szCs w:val="18"/>
        </w:rPr>
        <w:t>Importi in euro</w:t>
      </w:r>
      <w:r>
        <w:rPr>
          <w:rFonts w:ascii="Bodoni MT" w:hAnsi="Bodoni MT"/>
          <w:sz w:val="18"/>
          <w:szCs w:val="18"/>
        </w:rPr>
        <w:t>)</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6"/>
        <w:gridCol w:w="1339"/>
        <w:gridCol w:w="1283"/>
        <w:gridCol w:w="2319"/>
        <w:gridCol w:w="1283"/>
        <w:gridCol w:w="1283"/>
      </w:tblGrid>
      <w:tr w:rsidR="0057100F" w:rsidRPr="0057100F" w:rsidTr="0057100F">
        <w:trPr>
          <w:trHeight w:val="397"/>
        </w:trPr>
        <w:tc>
          <w:tcPr>
            <w:tcW w:w="1316"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ENTRATE</w:t>
            </w:r>
          </w:p>
        </w:tc>
        <w:tc>
          <w:tcPr>
            <w:tcW w:w="718"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ACCERTAMENTI</w:t>
            </w:r>
          </w:p>
        </w:tc>
        <w:tc>
          <w:tcPr>
            <w:tcW w:w="602"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INCASSI</w:t>
            </w:r>
          </w:p>
        </w:tc>
        <w:tc>
          <w:tcPr>
            <w:tcW w:w="1160"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SPESE</w:t>
            </w:r>
          </w:p>
        </w:tc>
        <w:tc>
          <w:tcPr>
            <w:tcW w:w="602"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IMPEGNI</w:t>
            </w:r>
          </w:p>
        </w:tc>
        <w:tc>
          <w:tcPr>
            <w:tcW w:w="602" w:type="pct"/>
            <w:shd w:val="clear" w:color="auto" w:fill="0F243E" w:themeFill="text2" w:themeFillShade="80"/>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PAGAMENTI</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Fondo di cassa all'inizio dell'esercizio</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340.832.737,09</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Utilizzo avanzo di amministrazione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250.822.365,52</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Disavanzo di amministrazione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537.262.000,00</w:t>
            </w:r>
          </w:p>
        </w:tc>
        <w:tc>
          <w:tcPr>
            <w:tcW w:w="602" w:type="pct"/>
            <w:shd w:val="clear" w:color="auto" w:fill="auto"/>
            <w:noWrap/>
            <w:vAlign w:val="center"/>
            <w:hideMark/>
          </w:tcPr>
          <w:p w:rsidR="0057100F" w:rsidRPr="00E81BAD" w:rsidRDefault="0057100F" w:rsidP="0057100F">
            <w:pPr>
              <w:spacing w:after="0" w:line="240" w:lineRule="auto"/>
              <w:jc w:val="center"/>
              <w:rPr>
                <w:rFonts w:ascii="Calibri" w:eastAsia="Times New Roman" w:hAnsi="Calibri" w:cs="Calibri"/>
                <w:b/>
                <w:bCs/>
                <w:sz w:val="16"/>
                <w:szCs w:val="16"/>
                <w:lang w:eastAsia="it-IT"/>
              </w:rPr>
            </w:pPr>
          </w:p>
        </w:tc>
      </w:tr>
      <w:tr w:rsidR="0057100F" w:rsidRPr="0057100F" w:rsidTr="0057100F">
        <w:trPr>
          <w:trHeight w:val="397"/>
        </w:trPr>
        <w:tc>
          <w:tcPr>
            <w:tcW w:w="1316"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 xml:space="preserve">Fondo pluriennale vincolato di parte corrente </w:t>
            </w:r>
            <w:r w:rsidRPr="0057100F">
              <w:rPr>
                <w:rFonts w:ascii="Bodoni MT" w:eastAsia="Times New Roman" w:hAnsi="Bodoni MT" w:cs="Calibri"/>
                <w:b/>
                <w:bCs/>
                <w:color w:val="FFFFFF" w:themeColor="background1"/>
                <w:sz w:val="16"/>
                <w:szCs w:val="16"/>
                <w:vertAlign w:val="superscript"/>
                <w:lang w:eastAsia="it-IT"/>
              </w:rPr>
              <w:t>(1)</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56.502.635,51</w:t>
            </w: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b/>
                <w:bCs/>
                <w:color w:val="000000"/>
                <w:sz w:val="16"/>
                <w:szCs w:val="16"/>
                <w:lang w:eastAsia="it-IT"/>
              </w:rPr>
            </w:pP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Fondo pluriennale vincolato in c/capitale</w:t>
            </w:r>
          </w:p>
        </w:tc>
        <w:tc>
          <w:tcPr>
            <w:tcW w:w="718"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r w:rsidRPr="0057100F">
              <w:rPr>
                <w:rFonts w:ascii="Calibri" w:eastAsia="Times New Roman" w:hAnsi="Calibri" w:cs="Calibri"/>
                <w:color w:val="000000"/>
                <w:sz w:val="16"/>
                <w:szCs w:val="16"/>
                <w:lang w:eastAsia="it-IT"/>
              </w:rPr>
              <w:t>288.479.700,14</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b/>
                <w:bCs/>
                <w:color w:val="000000"/>
                <w:sz w:val="16"/>
                <w:szCs w:val="16"/>
                <w:lang w:eastAsia="it-IT"/>
              </w:rPr>
            </w:pPr>
          </w:p>
        </w:tc>
      </w:tr>
      <w:tr w:rsidR="0057100F" w:rsidRPr="0057100F" w:rsidTr="0057100F">
        <w:trPr>
          <w:trHeight w:val="397"/>
        </w:trPr>
        <w:tc>
          <w:tcPr>
            <w:tcW w:w="1316"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1</w:t>
            </w:r>
            <w:r w:rsidRPr="0057100F">
              <w:rPr>
                <w:rFonts w:ascii="Bodoni MT" w:eastAsia="Times New Roman" w:hAnsi="Bodoni MT" w:cs="Calibri"/>
                <w:color w:val="FFFFFF" w:themeColor="background1"/>
                <w:sz w:val="16"/>
                <w:szCs w:val="16"/>
                <w:lang w:eastAsia="it-IT"/>
              </w:rPr>
              <w:t xml:space="preserve"> - Entrate correnti di natura tributaria, contributiva e perequativa</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6.973.199.419,32</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6.707.062.932,35</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1</w:t>
            </w:r>
            <w:r w:rsidRPr="0057100F">
              <w:rPr>
                <w:rFonts w:ascii="Bodoni MT" w:eastAsia="Times New Roman" w:hAnsi="Bodoni MT" w:cs="Calibri"/>
                <w:color w:val="FFFFFF" w:themeColor="background1"/>
                <w:sz w:val="16"/>
                <w:szCs w:val="16"/>
                <w:lang w:eastAsia="it-IT"/>
              </w:rPr>
              <w:t xml:space="preserve"> - Spese correnti</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6.403.132.389,71</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6.692.304.238,44</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2</w:t>
            </w:r>
            <w:r w:rsidRPr="0057100F">
              <w:rPr>
                <w:rFonts w:ascii="Bodoni MT" w:eastAsia="Times New Roman" w:hAnsi="Bodoni MT" w:cs="Calibri"/>
                <w:color w:val="FFFFFF" w:themeColor="background1"/>
                <w:sz w:val="16"/>
                <w:szCs w:val="16"/>
                <w:lang w:eastAsia="it-IT"/>
              </w:rPr>
              <w:t xml:space="preserve"> - Trasferimenti correnti</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300.345.906,84</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238.007.040,77</w:t>
            </w: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color w:val="FFFFFF" w:themeColor="background1"/>
                <w:sz w:val="16"/>
                <w:szCs w:val="16"/>
                <w:lang w:eastAsia="it-IT"/>
              </w:rPr>
              <w:t>Fondo pluriennale vincolato di parte corrente</w:t>
            </w:r>
          </w:p>
        </w:tc>
        <w:tc>
          <w:tcPr>
            <w:tcW w:w="602" w:type="pct"/>
            <w:shd w:val="clear" w:color="auto" w:fill="auto"/>
            <w:vAlign w:val="center"/>
            <w:hideMark/>
          </w:tcPr>
          <w:p w:rsidR="0057100F" w:rsidRPr="00DE34E9" w:rsidRDefault="0057100F" w:rsidP="0057100F">
            <w:pPr>
              <w:spacing w:after="0" w:line="240" w:lineRule="auto"/>
              <w:jc w:val="center"/>
              <w:rPr>
                <w:rFonts w:ascii="Calibri" w:eastAsia="Times New Roman" w:hAnsi="Calibri" w:cs="Calibri"/>
                <w:iCs/>
                <w:sz w:val="16"/>
                <w:szCs w:val="16"/>
                <w:lang w:eastAsia="it-IT"/>
              </w:rPr>
            </w:pPr>
            <w:r w:rsidRPr="00DE34E9">
              <w:rPr>
                <w:rFonts w:ascii="Calibri" w:eastAsia="Times New Roman" w:hAnsi="Calibri" w:cs="Calibri"/>
                <w:iCs/>
                <w:sz w:val="16"/>
                <w:szCs w:val="16"/>
                <w:lang w:eastAsia="it-IT"/>
              </w:rPr>
              <w:t>35.087.191,51</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i/>
                <w:iCs/>
                <w:sz w:val="16"/>
                <w:szCs w:val="16"/>
                <w:lang w:eastAsia="it-IT"/>
              </w:rPr>
            </w:pP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 xml:space="preserve">Titolo 3 </w:t>
            </w:r>
            <w:r w:rsidRPr="0057100F">
              <w:rPr>
                <w:rFonts w:ascii="Bodoni MT" w:eastAsia="Times New Roman" w:hAnsi="Bodoni MT" w:cs="Calibri"/>
                <w:color w:val="FFFFFF" w:themeColor="background1"/>
                <w:sz w:val="16"/>
                <w:szCs w:val="16"/>
                <w:lang w:eastAsia="it-IT"/>
              </w:rPr>
              <w:t>- Entrate extratributarie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76.151.112,76</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79.656.594,24</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718"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2</w:t>
            </w:r>
            <w:r w:rsidRPr="0057100F">
              <w:rPr>
                <w:rFonts w:ascii="Bodoni MT" w:eastAsia="Times New Roman" w:hAnsi="Bodoni MT" w:cs="Calibri"/>
                <w:color w:val="FFFFFF" w:themeColor="background1"/>
                <w:sz w:val="16"/>
                <w:szCs w:val="16"/>
                <w:lang w:eastAsia="it-IT"/>
              </w:rPr>
              <w:t xml:space="preserve"> - Spese in conto capitale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1.240.499.859,78</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986.311.225,86</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4</w:t>
            </w:r>
            <w:r w:rsidRPr="0057100F">
              <w:rPr>
                <w:rFonts w:ascii="Bodoni MT" w:eastAsia="Times New Roman" w:hAnsi="Bodoni MT" w:cs="Calibri"/>
                <w:color w:val="FFFFFF" w:themeColor="background1"/>
                <w:sz w:val="16"/>
                <w:szCs w:val="16"/>
                <w:lang w:eastAsia="it-IT"/>
              </w:rPr>
              <w:t xml:space="preserve"> - Entrate in conto capitale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898.727.848,16</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190.603.536,76</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p>
        </w:tc>
        <w:tc>
          <w:tcPr>
            <w:tcW w:w="718"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Calibri" w:eastAsia="Times New Roman" w:hAnsi="Calibri" w:cs="Calibri"/>
                <w:color w:val="000000"/>
                <w:sz w:val="16"/>
                <w:szCs w:val="16"/>
                <w:lang w:eastAsia="it-IT"/>
              </w:rPr>
            </w:pP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color w:val="FFFFFF" w:themeColor="background1"/>
                <w:sz w:val="16"/>
                <w:szCs w:val="16"/>
                <w:lang w:eastAsia="it-IT"/>
              </w:rPr>
              <w:t>Fondo pluriennale vincolato in c/capitale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643.970.395,23</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p>
        </w:tc>
      </w:tr>
      <w:tr w:rsidR="0057100F" w:rsidRPr="0057100F" w:rsidTr="0057100F">
        <w:trPr>
          <w:trHeight w:val="397"/>
        </w:trPr>
        <w:tc>
          <w:tcPr>
            <w:tcW w:w="1316"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5</w:t>
            </w:r>
            <w:r w:rsidRPr="0057100F">
              <w:rPr>
                <w:rFonts w:ascii="Bodoni MT" w:eastAsia="Times New Roman" w:hAnsi="Bodoni MT" w:cs="Calibri"/>
                <w:color w:val="FFFFFF" w:themeColor="background1"/>
                <w:sz w:val="16"/>
                <w:szCs w:val="16"/>
                <w:lang w:eastAsia="it-IT"/>
              </w:rPr>
              <w:t xml:space="preserve"> - Entrate da riduzione di attività finanziarie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191.663.551,26</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191.663.551,26</w:t>
            </w: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3</w:t>
            </w:r>
            <w:r w:rsidRPr="0057100F">
              <w:rPr>
                <w:rFonts w:ascii="Bodoni MT" w:eastAsia="Times New Roman" w:hAnsi="Bodoni MT" w:cs="Calibri"/>
                <w:color w:val="FFFFFF" w:themeColor="background1"/>
                <w:sz w:val="16"/>
                <w:szCs w:val="16"/>
                <w:lang w:eastAsia="it-IT"/>
              </w:rPr>
              <w:t xml:space="preserve"> - Spese per incremento di attività finanziarie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202.151.800,29</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202.117.671,79</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entrate finali</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8.440.087.838,34</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7.406.993.655,38</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spese finali</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8.524.841.636,52</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7.880.733.136,09</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6</w:t>
            </w:r>
            <w:r w:rsidRPr="0057100F">
              <w:rPr>
                <w:rFonts w:ascii="Bodoni MT" w:eastAsia="Times New Roman" w:hAnsi="Bodoni MT" w:cs="Calibri"/>
                <w:color w:val="FFFFFF" w:themeColor="background1"/>
                <w:sz w:val="16"/>
                <w:szCs w:val="16"/>
                <w:lang w:eastAsia="it-IT"/>
              </w:rPr>
              <w:t xml:space="preserve"> - Accensione di prestiti</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370.587.400,05</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370.587.400,05</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 xml:space="preserve">Titolo 4 </w:t>
            </w:r>
            <w:r w:rsidRPr="0057100F">
              <w:rPr>
                <w:rFonts w:ascii="Bodoni MT" w:eastAsia="Times New Roman" w:hAnsi="Bodoni MT" w:cs="Calibri"/>
                <w:color w:val="FFFFFF" w:themeColor="background1"/>
                <w:sz w:val="16"/>
                <w:szCs w:val="16"/>
                <w:lang w:eastAsia="it-IT"/>
              </w:rPr>
              <w:t>- Rimborso di prestiti</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176.428.127,05</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176.428.127,05</w:t>
            </w:r>
          </w:p>
        </w:tc>
      </w:tr>
      <w:tr w:rsidR="0057100F" w:rsidRPr="0057100F" w:rsidTr="0057100F">
        <w:trPr>
          <w:trHeight w:val="397"/>
        </w:trPr>
        <w:tc>
          <w:tcPr>
            <w:tcW w:w="1316"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7</w:t>
            </w:r>
            <w:r w:rsidRPr="0057100F">
              <w:rPr>
                <w:rFonts w:ascii="Bodoni MT" w:eastAsia="Times New Roman" w:hAnsi="Bodoni MT" w:cs="Calibri"/>
                <w:color w:val="FFFFFF" w:themeColor="background1"/>
                <w:sz w:val="16"/>
                <w:szCs w:val="16"/>
                <w:lang w:eastAsia="it-IT"/>
              </w:rPr>
              <w:t xml:space="preserve"> - Anticipazioni da istituto tesoriere/cassiere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w:t>
            </w: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 xml:space="preserve">Titolo 5 </w:t>
            </w:r>
            <w:r w:rsidRPr="0057100F">
              <w:rPr>
                <w:rFonts w:ascii="Bodoni MT" w:eastAsia="Times New Roman" w:hAnsi="Bodoni MT" w:cs="Calibri"/>
                <w:color w:val="FFFFFF" w:themeColor="background1"/>
                <w:sz w:val="16"/>
                <w:szCs w:val="16"/>
                <w:lang w:eastAsia="it-IT"/>
              </w:rPr>
              <w:t>- Chiusura Anticipazioni da istituto tesoriere/cassiere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w:t>
            </w:r>
          </w:p>
        </w:tc>
      </w:tr>
      <w:tr w:rsidR="0057100F" w:rsidRPr="0057100F" w:rsidTr="0057100F">
        <w:trPr>
          <w:trHeight w:val="397"/>
        </w:trPr>
        <w:tc>
          <w:tcPr>
            <w:tcW w:w="1316"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Titolo 9</w:t>
            </w:r>
            <w:r w:rsidRPr="0057100F">
              <w:rPr>
                <w:rFonts w:ascii="Bodoni MT" w:eastAsia="Times New Roman" w:hAnsi="Bodoni MT" w:cs="Calibri"/>
                <w:color w:val="FFFFFF" w:themeColor="background1"/>
                <w:sz w:val="16"/>
                <w:szCs w:val="16"/>
                <w:lang w:eastAsia="it-IT"/>
              </w:rPr>
              <w:t xml:space="preserve"> - Entrate per conto di terzi e partite di giro</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125.925.178,12</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126.702.896,07</w:t>
            </w: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 xml:space="preserve">Titolo 7 </w:t>
            </w:r>
            <w:r w:rsidRPr="0057100F">
              <w:rPr>
                <w:rFonts w:ascii="Bodoni MT" w:eastAsia="Times New Roman" w:hAnsi="Bodoni MT" w:cs="Calibri"/>
                <w:color w:val="FFFFFF" w:themeColor="background1"/>
                <w:sz w:val="16"/>
                <w:szCs w:val="16"/>
                <w:lang w:eastAsia="it-IT"/>
              </w:rPr>
              <w:t>- Spese per conto terzi e partite di giro</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125.925.178,12</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sz w:val="16"/>
                <w:szCs w:val="16"/>
                <w:lang w:eastAsia="it-IT"/>
              </w:rPr>
            </w:pPr>
            <w:r w:rsidRPr="0057100F">
              <w:rPr>
                <w:rFonts w:ascii="Calibri" w:eastAsia="Times New Roman" w:hAnsi="Calibri" w:cs="Calibri"/>
                <w:sz w:val="16"/>
                <w:szCs w:val="16"/>
                <w:lang w:eastAsia="it-IT"/>
              </w:rPr>
              <w:t>128.602.123,34</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entrate dell'esercizio</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8.936.600.416,51</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7.904.283.951,50</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spese dell'esercizio</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8.827.194.941,69</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8.185.763.386,48</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COMPLESSIVO ENTRATE</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9.532.405.117,68</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8.245.116.688,59</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COMPLESSIVO SPESE</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9.364.456.941,69</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8.185.763.386,48</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DISAVANZO DELL'ESERCIZIO</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p>
        </w:tc>
        <w:tc>
          <w:tcPr>
            <w:tcW w:w="602" w:type="pct"/>
            <w:shd w:val="clear" w:color="auto" w:fill="auto"/>
            <w:noWrap/>
            <w:vAlign w:val="center"/>
            <w:hideMark/>
          </w:tcPr>
          <w:p w:rsidR="0057100F" w:rsidRPr="0057100F" w:rsidRDefault="0057100F" w:rsidP="0057100F">
            <w:pPr>
              <w:spacing w:after="0" w:line="240" w:lineRule="auto"/>
              <w:jc w:val="center"/>
              <w:rPr>
                <w:rFonts w:ascii="Arial" w:eastAsia="Times New Roman" w:hAnsi="Arial" w:cs="Arial"/>
                <w:sz w:val="16"/>
                <w:szCs w:val="16"/>
                <w:lang w:eastAsia="it-IT"/>
              </w:rPr>
            </w:pPr>
          </w:p>
        </w:tc>
        <w:tc>
          <w:tcPr>
            <w:tcW w:w="1160" w:type="pct"/>
            <w:shd w:val="clear" w:color="auto" w:fill="95B3D7" w:themeFill="accent1" w:themeFillTint="99"/>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AVANZO DI COMPETENZA/FONDO DI CASSA</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167.948.175,99</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59.353.302,11</w:t>
            </w:r>
          </w:p>
        </w:tc>
      </w:tr>
      <w:tr w:rsidR="0057100F" w:rsidRPr="0057100F" w:rsidTr="0057100F">
        <w:trPr>
          <w:trHeight w:val="397"/>
        </w:trPr>
        <w:tc>
          <w:tcPr>
            <w:tcW w:w="1316"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A PAREGGIO</w:t>
            </w:r>
          </w:p>
        </w:tc>
        <w:tc>
          <w:tcPr>
            <w:tcW w:w="718"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9.532.405.117,68</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8.245.116.688,59</w:t>
            </w:r>
          </w:p>
        </w:tc>
        <w:tc>
          <w:tcPr>
            <w:tcW w:w="1160" w:type="pct"/>
            <w:shd w:val="clear" w:color="auto" w:fill="95B3D7" w:themeFill="accent1" w:themeFillTint="99"/>
            <w:noWrap/>
            <w:vAlign w:val="center"/>
            <w:hideMark/>
          </w:tcPr>
          <w:p w:rsidR="0057100F" w:rsidRPr="0057100F" w:rsidRDefault="0057100F" w:rsidP="0057100F">
            <w:pPr>
              <w:spacing w:after="0" w:line="240" w:lineRule="auto"/>
              <w:jc w:val="center"/>
              <w:rPr>
                <w:rFonts w:ascii="Bodoni MT" w:eastAsia="Times New Roman" w:hAnsi="Bodoni MT" w:cs="Calibri"/>
                <w:b/>
                <w:bCs/>
                <w:color w:val="FFFFFF" w:themeColor="background1"/>
                <w:sz w:val="16"/>
                <w:szCs w:val="16"/>
                <w:lang w:eastAsia="it-IT"/>
              </w:rPr>
            </w:pPr>
            <w:r w:rsidRPr="0057100F">
              <w:rPr>
                <w:rFonts w:ascii="Bodoni MT" w:eastAsia="Times New Roman" w:hAnsi="Bodoni MT" w:cs="Calibri"/>
                <w:b/>
                <w:bCs/>
                <w:color w:val="FFFFFF" w:themeColor="background1"/>
                <w:sz w:val="16"/>
                <w:szCs w:val="16"/>
                <w:lang w:eastAsia="it-IT"/>
              </w:rPr>
              <w:t>TOTALE A PAREGGIO</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9.532.405.117,68</w:t>
            </w:r>
          </w:p>
        </w:tc>
        <w:tc>
          <w:tcPr>
            <w:tcW w:w="602" w:type="pct"/>
            <w:shd w:val="clear" w:color="auto" w:fill="auto"/>
            <w:vAlign w:val="center"/>
            <w:hideMark/>
          </w:tcPr>
          <w:p w:rsidR="0057100F" w:rsidRPr="0057100F" w:rsidRDefault="0057100F" w:rsidP="0057100F">
            <w:pPr>
              <w:spacing w:after="0" w:line="240" w:lineRule="auto"/>
              <w:jc w:val="center"/>
              <w:rPr>
                <w:rFonts w:ascii="Calibri" w:eastAsia="Times New Roman" w:hAnsi="Calibri" w:cs="Calibri"/>
                <w:b/>
                <w:bCs/>
                <w:sz w:val="16"/>
                <w:szCs w:val="16"/>
                <w:lang w:eastAsia="it-IT"/>
              </w:rPr>
            </w:pPr>
            <w:r w:rsidRPr="0057100F">
              <w:rPr>
                <w:rFonts w:ascii="Calibri" w:eastAsia="Times New Roman" w:hAnsi="Calibri" w:cs="Calibri"/>
                <w:b/>
                <w:bCs/>
                <w:sz w:val="16"/>
                <w:szCs w:val="16"/>
                <w:lang w:eastAsia="it-IT"/>
              </w:rPr>
              <w:t>8.245.116.688,59</w:t>
            </w:r>
          </w:p>
        </w:tc>
      </w:tr>
    </w:tbl>
    <w:p w:rsidR="00E81BAD" w:rsidRPr="00E81BAD" w:rsidRDefault="00E81BAD" w:rsidP="00E81BAD">
      <w:pPr>
        <w:pStyle w:val="CdcTesto"/>
        <w:rPr>
          <w:sz w:val="18"/>
          <w:szCs w:val="18"/>
        </w:rPr>
      </w:pPr>
      <w:r>
        <w:rPr>
          <w:sz w:val="18"/>
          <w:szCs w:val="18"/>
        </w:rPr>
        <w:t>Fonte: Rendiconto RAS 2016</w:t>
      </w:r>
    </w:p>
    <w:p w:rsidR="003655D8" w:rsidRDefault="00DE34E9" w:rsidP="005B5A3C">
      <w:pPr>
        <w:pStyle w:val="CdcTesto"/>
        <w:spacing w:before="360"/>
      </w:pPr>
      <w:r>
        <w:t>Come confermato dalla RAS in sede istruttoria, il Quadro Generale Riassuntivo e il prospetto sugli equilibri di bilancio</w:t>
      </w:r>
      <w:r w:rsidR="00C438FD">
        <w:t xml:space="preserve"> espongono tra le somme accertate e riscosse l’anticipazione di liquidità accertata e incassata nell’esercizio 2016. Non è, invece, rappresentato, nella parte spesa, il fondo di accantonamento non essendo impegnabile e destinato a confluire nel ris</w:t>
      </w:r>
      <w:r w:rsidR="005B5A3C">
        <w:t>ultato di amministrazione al 31/12/</w:t>
      </w:r>
      <w:r w:rsidR="00C438FD">
        <w:t>2016, fra le quote accantonate.</w:t>
      </w:r>
    </w:p>
    <w:p w:rsidR="00315CBA" w:rsidRDefault="00315CBA" w:rsidP="005B5A3C">
      <w:pPr>
        <w:pStyle w:val="CdcTesto"/>
        <w:spacing w:before="360"/>
      </w:pPr>
    </w:p>
    <w:p w:rsidR="00315CBA" w:rsidRDefault="00315CBA" w:rsidP="005B5A3C">
      <w:pPr>
        <w:pStyle w:val="CdcTesto"/>
        <w:spacing w:before="360"/>
        <w:sectPr w:rsidR="00315CBA" w:rsidSect="00CD4C84">
          <w:headerReference w:type="default" r:id="rId61"/>
          <w:type w:val="oddPage"/>
          <w:pgSz w:w="11906" w:h="16838"/>
          <w:pgMar w:top="1418" w:right="1134" w:bottom="1134" w:left="851" w:header="709" w:footer="709" w:gutter="0"/>
          <w:cols w:space="708"/>
          <w:docGrid w:linePitch="360"/>
        </w:sectPr>
      </w:pPr>
    </w:p>
    <w:p w:rsidR="005D660C" w:rsidRPr="005D660C" w:rsidRDefault="00503AC8" w:rsidP="00503AC8">
      <w:pPr>
        <w:pStyle w:val="Titolo1"/>
      </w:pPr>
      <w:bookmarkStart w:id="244" w:name="_Toc507422658"/>
      <w:r>
        <w:lastRenderedPageBreak/>
        <w:t>GLI EQUILIBRI DI BILANCIO</w:t>
      </w:r>
      <w:bookmarkEnd w:id="244"/>
    </w:p>
    <w:p w:rsidR="00880BF6" w:rsidRDefault="005D660C" w:rsidP="00846A7F">
      <w:pPr>
        <w:pStyle w:val="CdcTesto"/>
      </w:pPr>
      <w:r w:rsidRPr="005D660C">
        <w:t xml:space="preserve">L’art. 40 del D.Lgs. 118/2011 prescrive che, per ciascuno degli esercizi in cui è articolato, il bilancio di previsione deve essere deliberato in pareggio finanziario di competenza, garantendo un fondo di cassa finale non negativo. </w:t>
      </w:r>
    </w:p>
    <w:p w:rsidR="005D660C" w:rsidRPr="005D660C" w:rsidRDefault="00846A7F" w:rsidP="00846A7F">
      <w:pPr>
        <w:pStyle w:val="CdcTesto"/>
      </w:pPr>
      <w:r w:rsidRPr="005D660C">
        <w:t xml:space="preserve">Ai fini del conseguimento degli equilibri viene considerato anche l’utilizzo dell’avanzo di amministrazione e </w:t>
      </w:r>
      <w:r w:rsidRPr="00AD112F">
        <w:t xml:space="preserve">il ripiano del disavanzo pregresso derivante da debito autorizzato e non contratto. </w:t>
      </w:r>
      <w:r w:rsidR="005D660C" w:rsidRPr="00AD112F">
        <w:t>L’equilibrio di bilancio deve permanere (ed essere verificato) anche in sede di</w:t>
      </w:r>
      <w:r w:rsidR="005D660C" w:rsidRPr="005D660C">
        <w:t xml:space="preserve"> assestamento</w:t>
      </w:r>
      <w:r w:rsidR="005D660C" w:rsidRPr="005D660C">
        <w:rPr>
          <w:vertAlign w:val="superscript"/>
        </w:rPr>
        <w:footnoteReference w:id="124"/>
      </w:r>
      <w:r w:rsidR="005D660C" w:rsidRPr="005D660C">
        <w:t xml:space="preserve"> e di rendiconto</w:t>
      </w:r>
      <w:r w:rsidR="005D660C" w:rsidRPr="005D660C">
        <w:rPr>
          <w:vertAlign w:val="superscript"/>
        </w:rPr>
        <w:footnoteReference w:id="125"/>
      </w:r>
      <w:r w:rsidR="005D660C" w:rsidRPr="005D660C">
        <w:t>.</w:t>
      </w:r>
    </w:p>
    <w:p w:rsidR="005D660C" w:rsidRPr="005D660C" w:rsidRDefault="005D660C" w:rsidP="00846A7F">
      <w:pPr>
        <w:pStyle w:val="CdcTesto"/>
      </w:pPr>
      <w:r w:rsidRPr="005D660C">
        <w:t>I dati relativi all’utilizzo dell’avanzo si riferiscono alle somme complessivamente impegnate</w:t>
      </w:r>
      <w:r w:rsidRPr="005D660C">
        <w:rPr>
          <w:vertAlign w:val="superscript"/>
        </w:rPr>
        <w:footnoteReference w:id="126"/>
      </w:r>
      <w:r w:rsidRPr="005D660C">
        <w:t>. Nella Relazione sulla gestione si riferisce che le somme impegnate con l’utilizzo dell’avanzo di amministrazione vincolato sono pari a € 62.649.462,20 di cui € 38.</w:t>
      </w:r>
      <w:r w:rsidR="00F16ECD">
        <w:t>298.188,20 imputate al 2016 e € </w:t>
      </w:r>
      <w:r w:rsidRPr="005D660C">
        <w:t xml:space="preserve">24.351.274,00 imputate agli esercizi successivi, con la costituzione del FPV di spesa 2016.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L’utilizzo delle quote accantonate del risultato di amministrazione viene riferito interamente al pagamento dei residui perenti per un importo di € 188.172.903,32</w:t>
      </w:r>
      <w:r w:rsidRPr="005D660C">
        <w:rPr>
          <w:rFonts w:ascii="Bodoni MT" w:eastAsiaTheme="minorEastAsia" w:hAnsi="Bodoni MT" w:cs="Bodoni MT"/>
          <w:color w:val="000000"/>
          <w:sz w:val="24"/>
          <w:szCs w:val="24"/>
          <w:vertAlign w:val="superscript"/>
        </w:rPr>
        <w:footnoteReference w:id="127"/>
      </w:r>
      <w:r w:rsidRPr="005D660C">
        <w:rPr>
          <w:rFonts w:ascii="Bodoni MT" w:eastAsiaTheme="minorEastAsia" w:hAnsi="Bodoni MT" w:cs="Bodoni MT"/>
          <w:color w:val="000000"/>
          <w:sz w:val="24"/>
          <w:szCs w:val="24"/>
        </w:rPr>
        <w:t>.</w:t>
      </w:r>
    </w:p>
    <w:p w:rsidR="005D660C" w:rsidRPr="005D660C" w:rsidRDefault="005D660C" w:rsidP="005D660C">
      <w:pPr>
        <w:spacing w:line="360" w:lineRule="auto"/>
        <w:jc w:val="both"/>
        <w:rPr>
          <w:rFonts w:ascii="Bodoni MT" w:eastAsiaTheme="minorEastAsia" w:hAnsi="Bodoni MT" w:cs="Bodoni MT"/>
          <w:color w:val="000000"/>
          <w:sz w:val="24"/>
          <w:szCs w:val="24"/>
        </w:rPr>
      </w:pPr>
      <w:r w:rsidRPr="005D660C">
        <w:rPr>
          <w:rFonts w:ascii="Bodoni MT" w:hAnsi="Bodoni MT"/>
          <w:sz w:val="24"/>
          <w:szCs w:val="24"/>
        </w:rPr>
        <w:t xml:space="preserve">Di </w:t>
      </w:r>
      <w:r w:rsidRPr="005D660C">
        <w:rPr>
          <w:rFonts w:ascii="Bodoni MT" w:eastAsiaTheme="minorEastAsia" w:hAnsi="Bodoni MT" w:cs="Bodoni MT"/>
          <w:color w:val="000000"/>
          <w:sz w:val="24"/>
          <w:szCs w:val="24"/>
        </w:rPr>
        <w:t>seguito si riporta il prospetto degli equilibri di bilancio allegato al rendiconto (Allegato 6) che evidenzia un saldo positivo di parte corrente pari a € 480.163.868,72 e un saldo negativo di parte capitale pari a € 312.215.692,73. Il saldo finale è pertanto positivo e pari a € 167.948.175,99.</w:t>
      </w:r>
    </w:p>
    <w:p w:rsidR="005D660C" w:rsidRPr="005D660C" w:rsidRDefault="005D660C" w:rsidP="005D660C">
      <w:pPr>
        <w:rPr>
          <w:rFonts w:ascii="Bodoni MT" w:hAnsi="Bodoni MT"/>
          <w:sz w:val="24"/>
          <w:szCs w:val="24"/>
        </w:rPr>
      </w:pPr>
      <w:r w:rsidRPr="005D660C">
        <w:rPr>
          <w:rFonts w:ascii="Bodoni MT" w:hAnsi="Bodoni MT"/>
          <w:sz w:val="24"/>
          <w:szCs w:val="24"/>
        </w:rPr>
        <w:br w:type="page"/>
      </w:r>
    </w:p>
    <w:p w:rsidR="005D660C" w:rsidRPr="005D660C" w:rsidRDefault="00C05880" w:rsidP="00C05880">
      <w:pPr>
        <w:pStyle w:val="Didascalia"/>
        <w:rPr>
          <w:sz w:val="24"/>
          <w:szCs w:val="24"/>
        </w:rPr>
      </w:pPr>
      <w:bookmarkStart w:id="245" w:name="_Toc499040983"/>
      <w:bookmarkStart w:id="246" w:name="_Toc507422510"/>
      <w:r>
        <w:lastRenderedPageBreak/>
        <w:t xml:space="preserve">Tabella </w:t>
      </w:r>
      <w:r w:rsidR="00B90472">
        <w:fldChar w:fldCharType="begin"/>
      </w:r>
      <w:r w:rsidR="00B90472">
        <w:instrText xml:space="preserve"> SEQ Tabella \* ARABIC </w:instrText>
      </w:r>
      <w:r w:rsidR="00B90472">
        <w:fldChar w:fldCharType="separate"/>
      </w:r>
      <w:r w:rsidR="008616B3">
        <w:rPr>
          <w:noProof/>
        </w:rPr>
        <w:t>42</w:t>
      </w:r>
      <w:r w:rsidR="00B90472">
        <w:rPr>
          <w:noProof/>
        </w:rPr>
        <w:fldChar w:fldCharType="end"/>
      </w:r>
      <w:r w:rsidR="005D660C" w:rsidRPr="005D660C">
        <w:t xml:space="preserve"> - </w:t>
      </w:r>
      <w:r w:rsidR="005D660C" w:rsidRPr="005D660C">
        <w:rPr>
          <w:sz w:val="24"/>
          <w:szCs w:val="24"/>
        </w:rPr>
        <w:t>Equilibri di bilancio</w:t>
      </w:r>
      <w:bookmarkEnd w:id="245"/>
      <w:bookmarkEnd w:id="246"/>
    </w:p>
    <w:tbl>
      <w:tblPr>
        <w:tblStyle w:val="Grigliatabella12"/>
        <w:tblW w:w="5000" w:type="pct"/>
        <w:jc w:val="center"/>
        <w:tblLook w:val="04A0" w:firstRow="1" w:lastRow="0" w:firstColumn="1" w:lastColumn="0" w:noHBand="0" w:noVBand="1"/>
      </w:tblPr>
      <w:tblGrid>
        <w:gridCol w:w="7633"/>
        <w:gridCol w:w="556"/>
        <w:gridCol w:w="1948"/>
      </w:tblGrid>
      <w:tr w:rsidR="005D660C" w:rsidRPr="005D660C" w:rsidTr="00880BF6">
        <w:trPr>
          <w:trHeight w:val="206"/>
          <w:jc w:val="center"/>
        </w:trPr>
        <w:tc>
          <w:tcPr>
            <w:tcW w:w="3765" w:type="pct"/>
            <w:shd w:val="clear" w:color="auto" w:fill="0F243E" w:themeFill="text2" w:themeFillShade="80"/>
            <w:noWrap/>
            <w:vAlign w:val="center"/>
            <w:hideMark/>
          </w:tcPr>
          <w:p w:rsidR="005D660C" w:rsidRPr="005D660C" w:rsidRDefault="005D660C" w:rsidP="005D660C">
            <w:pPr>
              <w:jc w:val="center"/>
              <w:rPr>
                <w:rFonts w:ascii="Bodoni MT" w:hAnsi="Bodoni MT"/>
                <w:b/>
                <w:bCs/>
                <w:sz w:val="18"/>
                <w:szCs w:val="18"/>
              </w:rPr>
            </w:pPr>
            <w:r w:rsidRPr="005D660C">
              <w:rPr>
                <w:rFonts w:ascii="Bodoni MT" w:hAnsi="Bodoni MT"/>
                <w:b/>
                <w:bCs/>
                <w:sz w:val="18"/>
                <w:szCs w:val="18"/>
              </w:rPr>
              <w:t>EQUILIBRI DI BILANCIO</w:t>
            </w:r>
          </w:p>
        </w:tc>
        <w:tc>
          <w:tcPr>
            <w:tcW w:w="274" w:type="pct"/>
            <w:shd w:val="clear" w:color="auto" w:fill="0F243E" w:themeFill="text2" w:themeFillShade="80"/>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 </w:t>
            </w:r>
          </w:p>
        </w:tc>
        <w:tc>
          <w:tcPr>
            <w:tcW w:w="961" w:type="pct"/>
            <w:shd w:val="clear" w:color="auto" w:fill="0F243E" w:themeFill="text2" w:themeFillShade="80"/>
            <w:hideMark/>
          </w:tcPr>
          <w:p w:rsidR="005D660C" w:rsidRPr="005D660C" w:rsidRDefault="005D660C" w:rsidP="005D660C">
            <w:pPr>
              <w:jc w:val="center"/>
              <w:rPr>
                <w:rFonts w:ascii="Bodoni MT" w:hAnsi="Bodoni MT"/>
                <w:b/>
                <w:bCs/>
                <w:sz w:val="18"/>
                <w:szCs w:val="18"/>
              </w:rPr>
            </w:pPr>
            <w:r w:rsidRPr="005D660C">
              <w:rPr>
                <w:rFonts w:ascii="Bodoni MT" w:hAnsi="Bodoni MT"/>
                <w:b/>
                <w:bCs/>
                <w:sz w:val="18"/>
                <w:szCs w:val="18"/>
              </w:rPr>
              <w:t>COMPETENZA 2016</w:t>
            </w:r>
          </w:p>
        </w:tc>
      </w:tr>
      <w:tr w:rsidR="005D660C" w:rsidRPr="005D660C" w:rsidTr="00880BF6">
        <w:trPr>
          <w:trHeight w:val="170"/>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Utilizzo risultato di amministrazione destinata al finanziamento delle spese correnti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78.072.866,88</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Ripiano disavanzo di amministrazione esercizio precedente </w:t>
            </w:r>
            <w:r w:rsidRPr="005D660C">
              <w:rPr>
                <w:rFonts w:ascii="Bodoni MT" w:hAnsi="Bodoni MT"/>
                <w:color w:val="FFFFFF" w:themeColor="background1"/>
                <w:sz w:val="18"/>
                <w:szCs w:val="18"/>
                <w:vertAlign w:val="superscript"/>
              </w:rPr>
              <w:t>(1)</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noWrap/>
            <w:vAlign w:val="center"/>
            <w:hideMark/>
          </w:tcPr>
          <w:p w:rsidR="005D660C" w:rsidRPr="005D660C" w:rsidRDefault="005D660C" w:rsidP="00880BF6">
            <w:pPr>
              <w:jc w:val="right"/>
              <w:rPr>
                <w:rFonts w:cstheme="minorHAnsi"/>
                <w:sz w:val="18"/>
                <w:szCs w:val="18"/>
              </w:rPr>
            </w:pPr>
            <w:r w:rsidRPr="005D660C">
              <w:rPr>
                <w:rFonts w:cstheme="minorHAnsi"/>
                <w:sz w:val="18"/>
                <w:szCs w:val="18"/>
              </w:rPr>
              <w:t>32.290.000,00</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Fondo pluriennale vincolato per spese correnti iscritto in entrata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56.502.635,51</w:t>
            </w:r>
          </w:p>
        </w:tc>
      </w:tr>
      <w:tr w:rsidR="005D660C" w:rsidRPr="005D660C" w:rsidTr="00880BF6">
        <w:trPr>
          <w:trHeight w:val="149"/>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titoli 1-2-3</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7.349.696.438,92</w:t>
            </w:r>
          </w:p>
        </w:tc>
      </w:tr>
      <w:tr w:rsidR="005D660C" w:rsidRPr="005D660C" w:rsidTr="00880BF6">
        <w:trPr>
          <w:trHeight w:val="360"/>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Entrate in conto capitale per Contributi agli investimenti direttamente destinati al rimborso dei prestiti da amministrazioni pubbliche </w:t>
            </w:r>
            <w:r w:rsidRPr="005D660C">
              <w:rPr>
                <w:rFonts w:ascii="Bodoni MT" w:hAnsi="Bodoni MT"/>
                <w:color w:val="FFFFFF" w:themeColor="background1"/>
                <w:sz w:val="18"/>
                <w:szCs w:val="18"/>
                <w:vertAlign w:val="superscript"/>
              </w:rPr>
              <w:t>(2)</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7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Titolo 4.03 - Altri trasferimenti in conto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6.301.894,18</w:t>
            </w:r>
          </w:p>
        </w:tc>
      </w:tr>
      <w:tr w:rsidR="005D660C" w:rsidRPr="005D660C" w:rsidTr="00880BF6">
        <w:trPr>
          <w:trHeight w:val="107"/>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in c/capitale destinate all'estinzione anticipata di prestiti</w:t>
            </w:r>
            <w:r w:rsidRPr="005D660C">
              <w:rPr>
                <w:rFonts w:ascii="Bodoni MT" w:hAnsi="Bodoni MT"/>
                <w:color w:val="FFFFFF" w:themeColor="background1"/>
                <w:sz w:val="18"/>
                <w:szCs w:val="18"/>
                <w:vertAlign w:val="superscript"/>
              </w:rPr>
              <w:t xml:space="preserve"> (3)</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per accensioni di prestiti destinate all'estinzione anticipata di prestiti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71"/>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di parte capitale destinate a spese correnti in base a specifiche disposizioni di legge o dei principi contabili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correnti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6.403.132.389,71</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Fondo pluriennale vincolato di parte corrente (di spesa) </w:t>
            </w:r>
            <w:r w:rsidRPr="005D660C">
              <w:rPr>
                <w:rFonts w:ascii="Bodoni MT" w:hAnsi="Bodoni MT"/>
                <w:color w:val="FFFFFF" w:themeColor="background1"/>
                <w:sz w:val="18"/>
                <w:szCs w:val="18"/>
                <w:vertAlign w:val="superscript"/>
              </w:rPr>
              <w:t>(4)</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35.087.191,51</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Titolo 2.04 -  Altri trasferimenti in conto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363.472.258,50</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Variazioni di attività finanziarie (se negativo) </w:t>
            </w:r>
            <w:r w:rsidRPr="005D660C">
              <w:rPr>
                <w:rFonts w:ascii="Bodoni MT" w:hAnsi="Bodoni MT"/>
                <w:color w:val="FFFFFF" w:themeColor="background1"/>
                <w:sz w:val="18"/>
                <w:szCs w:val="18"/>
                <w:vertAlign w:val="superscript"/>
              </w:rPr>
              <w:t>(5)</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Rimborso prestiti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176.428.127,05</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i/>
                <w:iCs/>
                <w:color w:val="FFFFFF" w:themeColor="background1"/>
                <w:sz w:val="18"/>
                <w:szCs w:val="18"/>
              </w:rPr>
            </w:pPr>
            <w:r w:rsidRPr="005D660C">
              <w:rPr>
                <w:rFonts w:ascii="Bodoni MT" w:hAnsi="Bodoni MT"/>
                <w:i/>
                <w:iCs/>
                <w:color w:val="FFFFFF" w:themeColor="background1"/>
                <w:sz w:val="18"/>
                <w:szCs w:val="18"/>
              </w:rPr>
              <w:t xml:space="preserve">   - di cui Utilizzo Fondo Anticipazioni di liquidità (DL 35/2013 e succ.mod. e rifin.)</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 </w:t>
            </w:r>
          </w:p>
        </w:tc>
        <w:tc>
          <w:tcPr>
            <w:tcW w:w="961" w:type="pct"/>
            <w:vAlign w:val="center"/>
            <w:hideMark/>
          </w:tcPr>
          <w:p w:rsidR="005D660C" w:rsidRPr="005D660C" w:rsidRDefault="005D660C" w:rsidP="00880BF6">
            <w:pPr>
              <w:jc w:val="right"/>
              <w:rPr>
                <w:rFonts w:cstheme="minorHAnsi"/>
                <w:i/>
                <w:iCs/>
                <w:sz w:val="18"/>
                <w:szCs w:val="18"/>
              </w:rPr>
            </w:pPr>
            <w:r w:rsidRPr="005D660C">
              <w:rPr>
                <w:rFonts w:cstheme="minorHAnsi"/>
                <w:i/>
                <w:iCs/>
                <w:sz w:val="18"/>
                <w:szCs w:val="18"/>
              </w:rPr>
              <w:t>-</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i/>
                <w:iCs/>
                <w:color w:val="FFFFFF" w:themeColor="background1"/>
                <w:sz w:val="18"/>
                <w:szCs w:val="18"/>
              </w:rPr>
            </w:pPr>
            <w:r w:rsidRPr="005D660C">
              <w:rPr>
                <w:rFonts w:ascii="Bodoni MT" w:hAnsi="Bodoni MT"/>
                <w:i/>
                <w:iCs/>
                <w:color w:val="FFFFFF" w:themeColor="background1"/>
                <w:sz w:val="18"/>
                <w:szCs w:val="18"/>
              </w:rPr>
              <w:t xml:space="preserve">   - di cui per estinzione anticipata di prestiti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 </w:t>
            </w:r>
          </w:p>
        </w:tc>
        <w:tc>
          <w:tcPr>
            <w:tcW w:w="961" w:type="pct"/>
            <w:vAlign w:val="center"/>
            <w:hideMark/>
          </w:tcPr>
          <w:p w:rsidR="005D660C" w:rsidRPr="005D660C" w:rsidRDefault="005D660C" w:rsidP="00880BF6">
            <w:pPr>
              <w:jc w:val="right"/>
              <w:rPr>
                <w:rFonts w:cstheme="minorHAnsi"/>
                <w:i/>
                <w:iCs/>
                <w:sz w:val="18"/>
                <w:szCs w:val="18"/>
              </w:rPr>
            </w:pPr>
            <w:r w:rsidRPr="005D660C">
              <w:rPr>
                <w:rFonts w:cstheme="minorHAnsi"/>
                <w:i/>
                <w:iCs/>
                <w:sz w:val="18"/>
                <w:szCs w:val="18"/>
              </w:rPr>
              <w:t>-</w:t>
            </w:r>
          </w:p>
        </w:tc>
      </w:tr>
      <w:tr w:rsidR="005D660C" w:rsidRPr="005D660C" w:rsidTr="00880BF6">
        <w:trPr>
          <w:trHeight w:val="255"/>
          <w:jc w:val="center"/>
        </w:trPr>
        <w:tc>
          <w:tcPr>
            <w:tcW w:w="3765" w:type="pct"/>
            <w:shd w:val="clear" w:color="auto" w:fill="95B3D7" w:themeFill="accent1" w:themeFillTint="99"/>
            <w:noWrap/>
            <w:vAlign w:val="center"/>
            <w:hideMark/>
          </w:tcPr>
          <w:p w:rsidR="005D660C" w:rsidRPr="005D660C" w:rsidRDefault="005D660C" w:rsidP="005D660C">
            <w:pPr>
              <w:rPr>
                <w:rFonts w:ascii="Bodoni MT" w:hAnsi="Bodoni MT"/>
                <w:b/>
                <w:bCs/>
                <w:color w:val="FFFFFF" w:themeColor="background1"/>
                <w:sz w:val="18"/>
                <w:szCs w:val="18"/>
              </w:rPr>
            </w:pPr>
            <w:r w:rsidRPr="005D660C">
              <w:rPr>
                <w:rFonts w:ascii="Bodoni MT" w:hAnsi="Bodoni MT"/>
                <w:b/>
                <w:bCs/>
                <w:color w:val="FFFFFF" w:themeColor="background1"/>
                <w:sz w:val="18"/>
                <w:szCs w:val="18"/>
              </w:rPr>
              <w:t>A) Equilibrio di parte corrente</w:t>
            </w:r>
          </w:p>
        </w:tc>
        <w:tc>
          <w:tcPr>
            <w:tcW w:w="274" w:type="pct"/>
            <w:noWrap/>
            <w:hideMark/>
          </w:tcPr>
          <w:p w:rsidR="005D660C" w:rsidRPr="005D660C" w:rsidRDefault="005D660C" w:rsidP="005D660C">
            <w:pPr>
              <w:jc w:val="right"/>
              <w:rPr>
                <w:rFonts w:ascii="Bodoni MT" w:hAnsi="Bodoni MT"/>
                <w:sz w:val="18"/>
                <w:szCs w:val="18"/>
              </w:rPr>
            </w:pPr>
            <w:r w:rsidRPr="005D660C">
              <w:rPr>
                <w:rFonts w:ascii="Bodoni MT" w:hAnsi="Bodoni MT"/>
                <w:sz w:val="18"/>
                <w:szCs w:val="18"/>
              </w:rPr>
              <w:t> </w:t>
            </w:r>
          </w:p>
        </w:tc>
        <w:tc>
          <w:tcPr>
            <w:tcW w:w="961" w:type="pct"/>
            <w:noWrap/>
            <w:vAlign w:val="center"/>
            <w:hideMark/>
          </w:tcPr>
          <w:p w:rsidR="005D660C" w:rsidRPr="005D660C" w:rsidRDefault="005D660C" w:rsidP="00880BF6">
            <w:pPr>
              <w:jc w:val="right"/>
              <w:rPr>
                <w:rFonts w:cstheme="minorHAnsi"/>
                <w:b/>
                <w:bCs/>
                <w:sz w:val="18"/>
                <w:szCs w:val="18"/>
              </w:rPr>
            </w:pPr>
            <w:r w:rsidRPr="005D660C">
              <w:rPr>
                <w:rFonts w:cstheme="minorHAnsi"/>
                <w:b/>
                <w:bCs/>
                <w:sz w:val="18"/>
                <w:szCs w:val="18"/>
              </w:rPr>
              <w:t>480.163.868,72</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Utilizzo risultato di amministrazione per il finanziamento di spese d’investimento</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172.749.498,64</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Fondo pluriennale vincolato per spese in conto capitale iscritto in entrata</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288.479.700,14</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in conto capitale (Titolo 4)</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898.727.848,16</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Entrate Titolo 5.01.01 - Alienazioni di partecipazioni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per accensioni di prestiti (titolo 6)</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370.587.400,05</w:t>
            </w:r>
          </w:p>
        </w:tc>
      </w:tr>
      <w:tr w:rsidR="005D660C" w:rsidRPr="005D660C" w:rsidTr="00880BF6">
        <w:trPr>
          <w:trHeight w:val="360"/>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in conto capitale per Contributi agli investimenti direttamente destinati al rimborso dei prestiti da amministrazioni pubbliche</w:t>
            </w:r>
            <w:r w:rsidRPr="005D660C">
              <w:rPr>
                <w:rFonts w:ascii="Bodoni MT" w:hAnsi="Bodoni MT"/>
                <w:color w:val="FFFFFF" w:themeColor="background1"/>
                <w:sz w:val="18"/>
                <w:szCs w:val="18"/>
                <w:vertAlign w:val="superscript"/>
              </w:rPr>
              <w:t xml:space="preserve"> (2)</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Entrate in c/capitale destinate all'estinzione anticipata di prestiti </w:t>
            </w:r>
            <w:r w:rsidRPr="005D660C">
              <w:rPr>
                <w:rFonts w:ascii="Bodoni MT" w:hAnsi="Bodoni MT"/>
                <w:color w:val="FFFFFF" w:themeColor="background1"/>
                <w:sz w:val="18"/>
                <w:szCs w:val="18"/>
                <w:vertAlign w:val="superscript"/>
              </w:rPr>
              <w:t>(3)</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360"/>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di parte capitale destinate a spese correnti in base a specifiche disposizioni di legge o dei principi contabili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per accensioni di prestiti destinate all'estinzione anticipata di prestiti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Titolo 4.03 - Altri trasferimenti in conto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6.301.894,18</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in conto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1.240.499.859,78</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di cui Fondo pluriennale vincolato in c/capitale (di spesa) </w:t>
            </w:r>
            <w:r w:rsidRPr="005D660C">
              <w:rPr>
                <w:rFonts w:ascii="Bodoni MT" w:hAnsi="Bodoni MT"/>
                <w:color w:val="FFFFFF" w:themeColor="background1"/>
                <w:sz w:val="18"/>
                <w:szCs w:val="18"/>
                <w:vertAlign w:val="superscript"/>
              </w:rPr>
              <w:t>(4)</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643.970.395,23</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Titolo 2.04 -  Altri trasferimenti in conto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363.472.258,50</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Spese Titolo 3.01.01 - Acquisizioni di partecipazioni e conferimenti di capitale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15.000.000,00</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Disavanzo pregresso derivante da debito autorizzato e non contratto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504.972.000,00</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Variazioni di attività finanziarie (se positivo)</w:t>
            </w:r>
            <w:r w:rsidRPr="005D660C">
              <w:rPr>
                <w:rFonts w:ascii="Bodoni MT" w:hAnsi="Bodoni MT"/>
                <w:color w:val="FFFFFF" w:themeColor="background1"/>
                <w:sz w:val="18"/>
                <w:szCs w:val="18"/>
                <w:vertAlign w:val="superscript"/>
              </w:rPr>
              <w:t>5</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4.511.750,97</w:t>
            </w:r>
          </w:p>
        </w:tc>
      </w:tr>
      <w:tr w:rsidR="005D660C" w:rsidRPr="005D660C" w:rsidTr="00880BF6">
        <w:trPr>
          <w:trHeight w:val="255"/>
          <w:jc w:val="center"/>
        </w:trPr>
        <w:tc>
          <w:tcPr>
            <w:tcW w:w="3765" w:type="pct"/>
            <w:shd w:val="clear" w:color="auto" w:fill="95B3D7" w:themeFill="accent1" w:themeFillTint="99"/>
            <w:noWrap/>
            <w:vAlign w:val="center"/>
            <w:hideMark/>
          </w:tcPr>
          <w:p w:rsidR="005D660C" w:rsidRPr="005D660C" w:rsidRDefault="005D660C" w:rsidP="005D660C">
            <w:pPr>
              <w:rPr>
                <w:rFonts w:ascii="Bodoni MT" w:hAnsi="Bodoni MT"/>
                <w:b/>
                <w:bCs/>
                <w:color w:val="FFFFFF" w:themeColor="background1"/>
                <w:sz w:val="18"/>
                <w:szCs w:val="18"/>
              </w:rPr>
            </w:pPr>
            <w:r w:rsidRPr="005D660C">
              <w:rPr>
                <w:rFonts w:ascii="Bodoni MT" w:hAnsi="Bodoni MT"/>
                <w:b/>
                <w:bCs/>
                <w:color w:val="FFFFFF" w:themeColor="background1"/>
                <w:sz w:val="18"/>
                <w:szCs w:val="18"/>
              </w:rPr>
              <w:t>B) Equilibrio di parte capitale</w:t>
            </w:r>
          </w:p>
        </w:tc>
        <w:tc>
          <w:tcPr>
            <w:tcW w:w="274" w:type="pct"/>
            <w:noWrap/>
            <w:hideMark/>
          </w:tcPr>
          <w:p w:rsidR="005D660C" w:rsidRPr="005D660C" w:rsidRDefault="005D660C" w:rsidP="005D660C">
            <w:pPr>
              <w:jc w:val="right"/>
              <w:rPr>
                <w:rFonts w:ascii="Bodoni MT" w:hAnsi="Bodoni MT"/>
                <w:sz w:val="18"/>
                <w:szCs w:val="18"/>
              </w:rPr>
            </w:pPr>
            <w:r w:rsidRPr="005D660C">
              <w:rPr>
                <w:rFonts w:ascii="Bodoni MT" w:hAnsi="Bodoni MT"/>
                <w:sz w:val="18"/>
                <w:szCs w:val="18"/>
              </w:rPr>
              <w:t> </w:t>
            </w:r>
          </w:p>
        </w:tc>
        <w:tc>
          <w:tcPr>
            <w:tcW w:w="961" w:type="pct"/>
            <w:vAlign w:val="center"/>
            <w:hideMark/>
          </w:tcPr>
          <w:p w:rsidR="005D660C" w:rsidRPr="005D660C" w:rsidRDefault="005D660C" w:rsidP="00880BF6">
            <w:pPr>
              <w:jc w:val="right"/>
              <w:rPr>
                <w:rFonts w:cstheme="minorHAnsi"/>
                <w:b/>
                <w:bCs/>
                <w:sz w:val="18"/>
                <w:szCs w:val="18"/>
              </w:rPr>
            </w:pPr>
            <w:r w:rsidRPr="005D660C">
              <w:rPr>
                <w:rFonts w:cstheme="minorHAnsi"/>
                <w:b/>
                <w:bCs/>
                <w:sz w:val="18"/>
                <w:szCs w:val="18"/>
              </w:rPr>
              <w:t>-312.215.692,73</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Utilizzo risultato di amministrazione per l'incremento di attività finanziarie</w:t>
            </w:r>
            <w:r w:rsidRPr="005D660C">
              <w:rPr>
                <w:rFonts w:ascii="Bodoni MT" w:hAnsi="Bodoni MT"/>
                <w:color w:val="FFFFFF" w:themeColor="background1"/>
                <w:sz w:val="18"/>
                <w:szCs w:val="18"/>
                <w:vertAlign w:val="superscript"/>
              </w:rPr>
              <w:t xml:space="preserve"> (6)</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noWrap/>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 xml:space="preserve">Entrate titolo 5.00 -  Riduzioni attività finanziarie </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191.663.551,26</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titolo 3.00 - Incremento attività finanziarie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202.151.800,29</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Entrate Titolo 5.01.01 -  Alienazioni di partecipazioni</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w:t>
            </w:r>
          </w:p>
        </w:tc>
      </w:tr>
      <w:tr w:rsidR="005D660C" w:rsidRPr="005D660C" w:rsidTr="00880BF6">
        <w:trPr>
          <w:trHeight w:val="255"/>
          <w:jc w:val="center"/>
        </w:trPr>
        <w:tc>
          <w:tcPr>
            <w:tcW w:w="3765" w:type="pct"/>
            <w:shd w:val="clear" w:color="auto" w:fill="95B3D7" w:themeFill="accent1" w:themeFillTint="99"/>
            <w:hideMark/>
          </w:tcPr>
          <w:p w:rsidR="005D660C" w:rsidRPr="005D660C" w:rsidRDefault="005D660C" w:rsidP="005D660C">
            <w:pPr>
              <w:jc w:val="both"/>
              <w:rPr>
                <w:rFonts w:ascii="Bodoni MT" w:hAnsi="Bodoni MT"/>
                <w:color w:val="FFFFFF" w:themeColor="background1"/>
                <w:sz w:val="18"/>
                <w:szCs w:val="18"/>
              </w:rPr>
            </w:pPr>
            <w:r w:rsidRPr="005D660C">
              <w:rPr>
                <w:rFonts w:ascii="Bodoni MT" w:hAnsi="Bodoni MT"/>
                <w:color w:val="FFFFFF" w:themeColor="background1"/>
                <w:sz w:val="18"/>
                <w:szCs w:val="18"/>
              </w:rPr>
              <w:t>Spese Titolo 3.01.01 - Acquisizioni di partecipazioni e conferimenti di capitale</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w:t>
            </w:r>
          </w:p>
        </w:tc>
        <w:tc>
          <w:tcPr>
            <w:tcW w:w="961" w:type="pct"/>
            <w:vAlign w:val="center"/>
            <w:hideMark/>
          </w:tcPr>
          <w:p w:rsidR="005D660C" w:rsidRPr="005D660C" w:rsidRDefault="005D660C" w:rsidP="00880BF6">
            <w:pPr>
              <w:jc w:val="right"/>
              <w:rPr>
                <w:rFonts w:cstheme="minorHAnsi"/>
                <w:sz w:val="18"/>
                <w:szCs w:val="18"/>
              </w:rPr>
            </w:pPr>
            <w:r w:rsidRPr="005D660C">
              <w:rPr>
                <w:rFonts w:cstheme="minorHAnsi"/>
                <w:sz w:val="18"/>
                <w:szCs w:val="18"/>
              </w:rPr>
              <w:t>15.000.000,00</w:t>
            </w:r>
          </w:p>
        </w:tc>
      </w:tr>
      <w:tr w:rsidR="005D660C" w:rsidRPr="005D660C" w:rsidTr="00880BF6">
        <w:trPr>
          <w:trHeight w:val="255"/>
          <w:jc w:val="center"/>
        </w:trPr>
        <w:tc>
          <w:tcPr>
            <w:tcW w:w="3765" w:type="pct"/>
            <w:shd w:val="clear" w:color="auto" w:fill="95B3D7" w:themeFill="accent1" w:themeFillTint="99"/>
            <w:noWrap/>
            <w:hideMark/>
          </w:tcPr>
          <w:p w:rsidR="005D660C" w:rsidRPr="005D660C" w:rsidRDefault="005D660C" w:rsidP="005D660C">
            <w:pPr>
              <w:jc w:val="both"/>
              <w:rPr>
                <w:rFonts w:ascii="Bodoni MT" w:hAnsi="Bodoni MT"/>
                <w:b/>
                <w:bCs/>
                <w:color w:val="FFFFFF" w:themeColor="background1"/>
                <w:sz w:val="18"/>
                <w:szCs w:val="18"/>
              </w:rPr>
            </w:pPr>
            <w:r w:rsidRPr="005D660C">
              <w:rPr>
                <w:rFonts w:ascii="Bodoni MT" w:hAnsi="Bodoni MT"/>
                <w:b/>
                <w:bCs/>
                <w:color w:val="FFFFFF" w:themeColor="background1"/>
                <w:sz w:val="18"/>
                <w:szCs w:val="18"/>
              </w:rPr>
              <w:t>C) Variazioni attività finanziaria</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 </w:t>
            </w:r>
          </w:p>
        </w:tc>
        <w:tc>
          <w:tcPr>
            <w:tcW w:w="961" w:type="pct"/>
            <w:vAlign w:val="center"/>
            <w:hideMark/>
          </w:tcPr>
          <w:p w:rsidR="005D660C" w:rsidRPr="005D660C" w:rsidRDefault="005D660C" w:rsidP="00880BF6">
            <w:pPr>
              <w:jc w:val="right"/>
              <w:rPr>
                <w:rFonts w:cstheme="minorHAnsi"/>
                <w:b/>
                <w:bCs/>
                <w:sz w:val="18"/>
                <w:szCs w:val="18"/>
              </w:rPr>
            </w:pPr>
            <w:r w:rsidRPr="005D660C">
              <w:rPr>
                <w:rFonts w:cstheme="minorHAnsi"/>
                <w:b/>
                <w:bCs/>
                <w:sz w:val="18"/>
                <w:szCs w:val="18"/>
              </w:rPr>
              <w:t>4.511.750,97</w:t>
            </w:r>
          </w:p>
        </w:tc>
      </w:tr>
      <w:tr w:rsidR="005D660C" w:rsidRPr="005D660C" w:rsidTr="00880BF6">
        <w:trPr>
          <w:trHeight w:val="255"/>
          <w:jc w:val="center"/>
        </w:trPr>
        <w:tc>
          <w:tcPr>
            <w:tcW w:w="3765" w:type="pct"/>
            <w:shd w:val="clear" w:color="auto" w:fill="95B3D7" w:themeFill="accent1" w:themeFillTint="99"/>
            <w:noWrap/>
            <w:vAlign w:val="center"/>
            <w:hideMark/>
          </w:tcPr>
          <w:p w:rsidR="005D660C" w:rsidRPr="005D660C" w:rsidRDefault="005D660C" w:rsidP="005D660C">
            <w:pPr>
              <w:rPr>
                <w:rFonts w:ascii="Bodoni MT" w:hAnsi="Bodoni MT"/>
                <w:b/>
                <w:bCs/>
                <w:color w:val="FFFFFF" w:themeColor="background1"/>
                <w:sz w:val="18"/>
                <w:szCs w:val="18"/>
              </w:rPr>
            </w:pPr>
            <w:r w:rsidRPr="005D660C">
              <w:rPr>
                <w:rFonts w:ascii="Bodoni MT" w:hAnsi="Bodoni MT"/>
                <w:b/>
                <w:bCs/>
                <w:color w:val="FFFFFF" w:themeColor="background1"/>
                <w:sz w:val="18"/>
                <w:szCs w:val="18"/>
              </w:rPr>
              <w:t>EQUILIBRIO FINALE (D=A+B)</w:t>
            </w:r>
          </w:p>
        </w:tc>
        <w:tc>
          <w:tcPr>
            <w:tcW w:w="274" w:type="pct"/>
            <w:noWrap/>
            <w:hideMark/>
          </w:tcPr>
          <w:p w:rsidR="005D660C" w:rsidRPr="005D660C" w:rsidRDefault="005D660C" w:rsidP="005D660C">
            <w:pPr>
              <w:jc w:val="center"/>
              <w:rPr>
                <w:rFonts w:ascii="Bodoni MT" w:hAnsi="Bodoni MT"/>
                <w:sz w:val="18"/>
                <w:szCs w:val="18"/>
              </w:rPr>
            </w:pPr>
            <w:r w:rsidRPr="005D660C">
              <w:rPr>
                <w:rFonts w:ascii="Bodoni MT" w:hAnsi="Bodoni MT"/>
                <w:sz w:val="18"/>
                <w:szCs w:val="18"/>
              </w:rPr>
              <w:t> </w:t>
            </w:r>
          </w:p>
        </w:tc>
        <w:tc>
          <w:tcPr>
            <w:tcW w:w="961" w:type="pct"/>
            <w:vAlign w:val="center"/>
            <w:hideMark/>
          </w:tcPr>
          <w:p w:rsidR="005D660C" w:rsidRPr="005D660C" w:rsidRDefault="005D660C" w:rsidP="00880BF6">
            <w:pPr>
              <w:jc w:val="right"/>
              <w:rPr>
                <w:rFonts w:cstheme="minorHAnsi"/>
                <w:b/>
                <w:bCs/>
                <w:sz w:val="18"/>
                <w:szCs w:val="18"/>
              </w:rPr>
            </w:pPr>
            <w:r w:rsidRPr="005D660C">
              <w:rPr>
                <w:rFonts w:cstheme="minorHAnsi"/>
                <w:b/>
                <w:bCs/>
                <w:sz w:val="18"/>
                <w:szCs w:val="18"/>
              </w:rPr>
              <w:t>167.948.175,99</w:t>
            </w:r>
          </w:p>
        </w:tc>
      </w:tr>
    </w:tbl>
    <w:p w:rsidR="005D660C" w:rsidRPr="005D660C" w:rsidRDefault="005D660C" w:rsidP="005D660C">
      <w:pPr>
        <w:spacing w:line="360" w:lineRule="auto"/>
        <w:jc w:val="center"/>
        <w:rPr>
          <w:rFonts w:ascii="Bodoni MT" w:hAnsi="Bodoni MT"/>
          <w:sz w:val="24"/>
          <w:szCs w:val="24"/>
        </w:rPr>
      </w:pPr>
    </w:p>
    <w:p w:rsidR="00130B51" w:rsidRDefault="00130B51" w:rsidP="00C05880">
      <w:pPr>
        <w:pStyle w:val="Didascalia"/>
      </w:pPr>
      <w:bookmarkStart w:id="247" w:name="_Toc499040984"/>
      <w:r>
        <w:br w:type="page"/>
      </w:r>
    </w:p>
    <w:p w:rsidR="005D660C" w:rsidRPr="005D660C" w:rsidRDefault="00C05880" w:rsidP="00C05880">
      <w:pPr>
        <w:pStyle w:val="Didascalia"/>
        <w:rPr>
          <w:sz w:val="24"/>
          <w:szCs w:val="24"/>
        </w:rPr>
      </w:pPr>
      <w:bookmarkStart w:id="248" w:name="_Toc507422511"/>
      <w:r>
        <w:lastRenderedPageBreak/>
        <w:t xml:space="preserve">Tabella </w:t>
      </w:r>
      <w:r w:rsidR="00B90472">
        <w:fldChar w:fldCharType="begin"/>
      </w:r>
      <w:r w:rsidR="00B90472">
        <w:instrText xml:space="preserve"> SEQ Tabella \* ARABIC </w:instrText>
      </w:r>
      <w:r w:rsidR="00B90472">
        <w:fldChar w:fldCharType="separate"/>
      </w:r>
      <w:r w:rsidR="008616B3">
        <w:rPr>
          <w:noProof/>
        </w:rPr>
        <w:t>43</w:t>
      </w:r>
      <w:r w:rsidR="00B90472">
        <w:rPr>
          <w:noProof/>
        </w:rPr>
        <w:fldChar w:fldCharType="end"/>
      </w:r>
      <w:r w:rsidR="005D660C" w:rsidRPr="005D660C">
        <w:t xml:space="preserve"> - Saldo corrente ai fini della copertura degli investimenti pluriennali delle Autonomie speciali</w:t>
      </w:r>
      <w:bookmarkEnd w:id="247"/>
      <w:bookmarkEnd w:id="2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49"/>
        <w:gridCol w:w="441"/>
        <w:gridCol w:w="2071"/>
      </w:tblGrid>
      <w:tr w:rsidR="005D660C" w:rsidRPr="005D660C" w:rsidTr="00646EDA">
        <w:trPr>
          <w:trHeight w:val="270"/>
          <w:jc w:val="center"/>
        </w:trPr>
        <w:tc>
          <w:tcPr>
            <w:tcW w:w="5000" w:type="pct"/>
            <w:gridSpan w:val="3"/>
            <w:shd w:val="clear" w:color="auto" w:fill="0F243E" w:themeFill="text2" w:themeFillShade="80"/>
            <w:hideMark/>
          </w:tcPr>
          <w:p w:rsidR="005D660C" w:rsidRPr="005D660C" w:rsidRDefault="005D660C" w:rsidP="005D660C">
            <w:pPr>
              <w:spacing w:after="0" w:line="240" w:lineRule="auto"/>
              <w:jc w:val="center"/>
              <w:rPr>
                <w:rFonts w:ascii="Bodoni MT" w:eastAsia="Times New Roman" w:hAnsi="Bodoni MT" w:cs="Arial"/>
                <w:b/>
                <w:bCs/>
                <w:color w:val="000000"/>
                <w:sz w:val="20"/>
                <w:szCs w:val="20"/>
                <w:lang w:eastAsia="it-IT"/>
              </w:rPr>
            </w:pPr>
            <w:r w:rsidRPr="005D660C">
              <w:rPr>
                <w:rFonts w:ascii="Bodoni MT" w:eastAsia="Times New Roman" w:hAnsi="Bodoni MT" w:cs="Arial"/>
                <w:b/>
                <w:bCs/>
                <w:color w:val="FFFFFF" w:themeColor="background1"/>
                <w:sz w:val="20"/>
                <w:szCs w:val="20"/>
                <w:lang w:eastAsia="it-IT"/>
              </w:rPr>
              <w:t>Saldo corrente ai fini della copertura degli investimenti pluriennali delle Autonomie speciali</w:t>
            </w:r>
          </w:p>
        </w:tc>
      </w:tr>
      <w:tr w:rsidR="005D660C" w:rsidRPr="005D660C" w:rsidTr="0015221E">
        <w:trPr>
          <w:trHeight w:val="270"/>
          <w:jc w:val="center"/>
        </w:trPr>
        <w:tc>
          <w:tcPr>
            <w:tcW w:w="3752" w:type="pct"/>
            <w:shd w:val="clear" w:color="auto" w:fill="95B3D7" w:themeFill="accent1" w:themeFillTint="99"/>
            <w:noWrap/>
            <w:vAlign w:val="center"/>
            <w:hideMark/>
          </w:tcPr>
          <w:p w:rsidR="005D660C" w:rsidRPr="005D660C" w:rsidRDefault="005D660C" w:rsidP="0015221E">
            <w:pPr>
              <w:spacing w:after="0" w:line="240" w:lineRule="auto"/>
              <w:rPr>
                <w:rFonts w:ascii="Bodoni MT" w:eastAsia="Times New Roman" w:hAnsi="Bodoni MT" w:cs="Arial"/>
                <w:b/>
                <w:bCs/>
                <w:color w:val="FFFFFF" w:themeColor="background1"/>
                <w:sz w:val="20"/>
                <w:szCs w:val="20"/>
                <w:lang w:eastAsia="it-IT"/>
              </w:rPr>
            </w:pPr>
            <w:r w:rsidRPr="005D660C">
              <w:rPr>
                <w:rFonts w:ascii="Bodoni MT" w:eastAsia="Times New Roman" w:hAnsi="Bodoni MT" w:cs="Arial"/>
                <w:b/>
                <w:bCs/>
                <w:color w:val="FFFFFF" w:themeColor="background1"/>
                <w:sz w:val="20"/>
                <w:szCs w:val="20"/>
                <w:lang w:eastAsia="it-IT"/>
              </w:rPr>
              <w:t>A) Equilibrio di parte corrente</w:t>
            </w:r>
          </w:p>
        </w:tc>
        <w:tc>
          <w:tcPr>
            <w:tcW w:w="219" w:type="pct"/>
            <w:shd w:val="clear" w:color="auto" w:fill="auto"/>
            <w:noWrap/>
            <w:vAlign w:val="center"/>
            <w:hideMark/>
          </w:tcPr>
          <w:p w:rsidR="005D660C" w:rsidRPr="005D660C" w:rsidRDefault="005D660C" w:rsidP="005D660C">
            <w:pPr>
              <w:spacing w:after="0" w:line="240" w:lineRule="auto"/>
              <w:jc w:val="center"/>
              <w:rPr>
                <w:rFonts w:ascii="Arial" w:eastAsia="Times New Roman" w:hAnsi="Arial" w:cs="Arial"/>
                <w:sz w:val="20"/>
                <w:szCs w:val="20"/>
                <w:lang w:eastAsia="it-IT"/>
              </w:rPr>
            </w:pPr>
          </w:p>
        </w:tc>
        <w:tc>
          <w:tcPr>
            <w:tcW w:w="1030" w:type="pct"/>
            <w:shd w:val="clear" w:color="auto" w:fill="auto"/>
            <w:vAlign w:val="center"/>
            <w:hideMark/>
          </w:tcPr>
          <w:p w:rsidR="005D660C" w:rsidRPr="005D660C" w:rsidRDefault="005D660C" w:rsidP="005D660C">
            <w:pPr>
              <w:spacing w:after="0" w:line="240" w:lineRule="auto"/>
              <w:jc w:val="center"/>
              <w:rPr>
                <w:rFonts w:ascii="Calibri" w:eastAsia="Times New Roman" w:hAnsi="Calibri" w:cs="Calibri"/>
                <w:b/>
                <w:bCs/>
                <w:sz w:val="20"/>
                <w:szCs w:val="20"/>
                <w:lang w:eastAsia="it-IT"/>
              </w:rPr>
            </w:pPr>
            <w:r w:rsidRPr="005D660C">
              <w:rPr>
                <w:rFonts w:ascii="Calibri" w:eastAsia="Times New Roman" w:hAnsi="Calibri" w:cs="Calibri"/>
                <w:b/>
                <w:bCs/>
                <w:sz w:val="20"/>
                <w:szCs w:val="20"/>
                <w:lang w:eastAsia="it-IT"/>
              </w:rPr>
              <w:t>480.163.868,72</w:t>
            </w:r>
          </w:p>
        </w:tc>
      </w:tr>
      <w:tr w:rsidR="005D660C" w:rsidRPr="005D660C" w:rsidTr="001E794C">
        <w:trPr>
          <w:trHeight w:val="324"/>
          <w:jc w:val="center"/>
        </w:trPr>
        <w:tc>
          <w:tcPr>
            <w:tcW w:w="3752" w:type="pct"/>
            <w:shd w:val="clear" w:color="auto" w:fill="95B3D7" w:themeFill="accent1" w:themeFillTint="99"/>
            <w:vAlign w:val="center"/>
            <w:hideMark/>
          </w:tcPr>
          <w:p w:rsidR="005D660C" w:rsidRPr="005D660C" w:rsidRDefault="005D660C" w:rsidP="0015221E">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Utilizzo risultato di amministrazione destinato al finanziamento di spese correnti</w:t>
            </w:r>
          </w:p>
        </w:tc>
        <w:tc>
          <w:tcPr>
            <w:tcW w:w="21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w:t>
            </w:r>
          </w:p>
        </w:tc>
        <w:tc>
          <w:tcPr>
            <w:tcW w:w="1030" w:type="pct"/>
            <w:shd w:val="clear" w:color="auto" w:fill="auto"/>
            <w:vAlign w:val="center"/>
            <w:hideMark/>
          </w:tcPr>
          <w:p w:rsidR="005D660C" w:rsidRPr="005D660C" w:rsidRDefault="005D660C" w:rsidP="005D660C">
            <w:pPr>
              <w:spacing w:after="0" w:line="240" w:lineRule="auto"/>
              <w:jc w:val="center"/>
              <w:rPr>
                <w:rFonts w:ascii="Calibri" w:eastAsia="Times New Roman" w:hAnsi="Calibri" w:cs="Calibri"/>
                <w:sz w:val="20"/>
                <w:szCs w:val="20"/>
                <w:lang w:eastAsia="it-IT"/>
              </w:rPr>
            </w:pPr>
            <w:r w:rsidRPr="005D660C">
              <w:rPr>
                <w:rFonts w:ascii="Calibri" w:eastAsia="Times New Roman" w:hAnsi="Calibri" w:cs="Calibri"/>
                <w:sz w:val="20"/>
                <w:szCs w:val="20"/>
                <w:lang w:eastAsia="it-IT"/>
              </w:rPr>
              <w:t>78.072.866,88</w:t>
            </w:r>
          </w:p>
        </w:tc>
      </w:tr>
      <w:tr w:rsidR="005D660C" w:rsidRPr="005D660C" w:rsidTr="0015221E">
        <w:trPr>
          <w:trHeight w:val="270"/>
          <w:jc w:val="center"/>
        </w:trPr>
        <w:tc>
          <w:tcPr>
            <w:tcW w:w="3752" w:type="pct"/>
            <w:shd w:val="clear" w:color="auto" w:fill="95B3D7" w:themeFill="accent1" w:themeFillTint="99"/>
            <w:vAlign w:val="center"/>
            <w:hideMark/>
          </w:tcPr>
          <w:p w:rsidR="005D660C" w:rsidRPr="005D660C" w:rsidRDefault="005D660C" w:rsidP="0015221E">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Entrate non ricorrenti che non hanno dato copertura a impegni</w:t>
            </w:r>
          </w:p>
        </w:tc>
        <w:tc>
          <w:tcPr>
            <w:tcW w:w="21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color w:val="000000"/>
                <w:sz w:val="20"/>
                <w:szCs w:val="20"/>
                <w:lang w:eastAsia="it-IT"/>
              </w:rPr>
            </w:pPr>
            <w:r w:rsidRPr="005D660C">
              <w:rPr>
                <w:rFonts w:ascii="Calibri" w:eastAsia="Times New Roman" w:hAnsi="Calibri" w:cs="Calibri"/>
                <w:color w:val="000000"/>
                <w:sz w:val="20"/>
                <w:szCs w:val="20"/>
                <w:lang w:eastAsia="it-IT"/>
              </w:rPr>
              <w:t>(-)</w:t>
            </w:r>
          </w:p>
        </w:tc>
        <w:tc>
          <w:tcPr>
            <w:tcW w:w="1030" w:type="pct"/>
            <w:shd w:val="clear" w:color="auto" w:fill="auto"/>
            <w:vAlign w:val="center"/>
            <w:hideMark/>
          </w:tcPr>
          <w:p w:rsidR="005D660C" w:rsidRPr="005D660C" w:rsidRDefault="005D660C" w:rsidP="005D660C">
            <w:pPr>
              <w:spacing w:after="0" w:line="240" w:lineRule="auto"/>
              <w:jc w:val="center"/>
              <w:rPr>
                <w:rFonts w:ascii="Calibri" w:eastAsia="Times New Roman" w:hAnsi="Calibri" w:cs="Calibri"/>
                <w:sz w:val="20"/>
                <w:szCs w:val="20"/>
                <w:lang w:eastAsia="it-IT"/>
              </w:rPr>
            </w:pPr>
            <w:r w:rsidRPr="005D660C">
              <w:rPr>
                <w:rFonts w:ascii="Calibri" w:eastAsia="Times New Roman" w:hAnsi="Calibri" w:cs="Calibri"/>
                <w:sz w:val="20"/>
                <w:szCs w:val="20"/>
                <w:lang w:eastAsia="it-IT"/>
              </w:rPr>
              <w:t>103.929.661,69</w:t>
            </w:r>
          </w:p>
        </w:tc>
      </w:tr>
      <w:tr w:rsidR="005D660C" w:rsidRPr="005D660C" w:rsidTr="001E794C">
        <w:trPr>
          <w:trHeight w:val="349"/>
          <w:jc w:val="center"/>
        </w:trPr>
        <w:tc>
          <w:tcPr>
            <w:tcW w:w="3752" w:type="pct"/>
            <w:shd w:val="clear" w:color="auto" w:fill="95B3D7" w:themeFill="accent1" w:themeFillTint="99"/>
            <w:vAlign w:val="center"/>
            <w:hideMark/>
          </w:tcPr>
          <w:p w:rsidR="005D660C" w:rsidRPr="005D660C" w:rsidRDefault="005D660C" w:rsidP="0015221E">
            <w:pPr>
              <w:spacing w:after="0" w:line="240" w:lineRule="auto"/>
              <w:rPr>
                <w:rFonts w:ascii="Bodoni MT" w:eastAsia="Times New Roman" w:hAnsi="Bodoni MT" w:cs="Arial"/>
                <w:color w:val="FFFFFF" w:themeColor="background1"/>
                <w:sz w:val="20"/>
                <w:szCs w:val="20"/>
                <w:lang w:eastAsia="it-IT"/>
              </w:rPr>
            </w:pPr>
            <w:r w:rsidRPr="005D660C">
              <w:rPr>
                <w:rFonts w:ascii="Bodoni MT" w:eastAsia="Times New Roman" w:hAnsi="Bodoni MT" w:cs="Arial"/>
                <w:color w:val="FFFFFF" w:themeColor="background1"/>
                <w:sz w:val="20"/>
                <w:szCs w:val="20"/>
                <w:lang w:eastAsia="it-IT"/>
              </w:rPr>
              <w:t>Equilibrio di parte corrente ai fini della copertura degli investimenti plurien.</w:t>
            </w:r>
          </w:p>
        </w:tc>
        <w:tc>
          <w:tcPr>
            <w:tcW w:w="219"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20"/>
                <w:szCs w:val="20"/>
                <w:lang w:eastAsia="it-IT"/>
              </w:rPr>
            </w:pPr>
          </w:p>
        </w:tc>
        <w:tc>
          <w:tcPr>
            <w:tcW w:w="1030" w:type="pct"/>
            <w:shd w:val="clear" w:color="auto" w:fill="auto"/>
            <w:noWrap/>
            <w:vAlign w:val="center"/>
            <w:hideMark/>
          </w:tcPr>
          <w:p w:rsidR="005D660C" w:rsidRPr="005D660C" w:rsidRDefault="005D660C" w:rsidP="005D660C">
            <w:pPr>
              <w:spacing w:after="0" w:line="240" w:lineRule="auto"/>
              <w:jc w:val="center"/>
              <w:rPr>
                <w:rFonts w:ascii="Calibri" w:eastAsia="Times New Roman" w:hAnsi="Calibri" w:cs="Calibri"/>
                <w:b/>
                <w:bCs/>
                <w:color w:val="000000"/>
                <w:sz w:val="20"/>
                <w:szCs w:val="20"/>
                <w:lang w:eastAsia="it-IT"/>
              </w:rPr>
            </w:pPr>
            <w:r w:rsidRPr="005D660C">
              <w:rPr>
                <w:rFonts w:ascii="Calibri" w:eastAsia="Times New Roman" w:hAnsi="Calibri" w:cs="Calibri"/>
                <w:b/>
                <w:bCs/>
                <w:color w:val="000000"/>
                <w:sz w:val="20"/>
                <w:szCs w:val="20"/>
                <w:lang w:eastAsia="it-IT"/>
              </w:rPr>
              <w:t>298.161.340,15</w:t>
            </w:r>
          </w:p>
        </w:tc>
      </w:tr>
    </w:tbl>
    <w:p w:rsidR="005D660C" w:rsidRDefault="005D660C" w:rsidP="005D660C">
      <w:pPr>
        <w:autoSpaceDE w:val="0"/>
        <w:autoSpaceDN w:val="0"/>
        <w:adjustRightInd w:val="0"/>
        <w:spacing w:before="360"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Nel questionario sul preconsuntivo 2016 redatto dal responsabile dei Servizi Finanziari della Regione</w:t>
      </w:r>
      <w:r w:rsidR="0015221E">
        <w:rPr>
          <w:rStyle w:val="Rimandonotaapidipagina"/>
          <w:rFonts w:ascii="Bodoni MT" w:eastAsiaTheme="minorEastAsia" w:hAnsi="Bodoni MT" w:cs="Bodoni MT"/>
          <w:color w:val="000000"/>
          <w:sz w:val="24"/>
          <w:szCs w:val="24"/>
        </w:rPr>
        <w:footnoteReference w:id="128"/>
      </w:r>
      <w:r w:rsidR="0015221E">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è stata compilata la tabella sugli equilibri di ca</w:t>
      </w:r>
      <w:r w:rsidR="00DE5507">
        <w:rPr>
          <w:rFonts w:ascii="Bodoni MT" w:eastAsiaTheme="minorEastAsia" w:hAnsi="Bodoni MT" w:cs="Bodoni MT"/>
          <w:color w:val="000000"/>
          <w:sz w:val="24"/>
          <w:szCs w:val="24"/>
        </w:rPr>
        <w:t>ssa che di seguito si ripropone.</w:t>
      </w:r>
    </w:p>
    <w:p w:rsidR="00DE5507" w:rsidRDefault="00DE5507" w:rsidP="00DE5507">
      <w:pPr>
        <w:spacing w:line="360" w:lineRule="auto"/>
        <w:jc w:val="both"/>
        <w:rPr>
          <w:rFonts w:ascii="Bodoni MT" w:hAnsi="Bodoni MT"/>
          <w:sz w:val="24"/>
          <w:szCs w:val="24"/>
        </w:rPr>
      </w:pPr>
      <w:r w:rsidRPr="00846A7F">
        <w:rPr>
          <w:rFonts w:ascii="Bodoni MT" w:hAnsi="Bodoni MT"/>
          <w:sz w:val="24"/>
          <w:szCs w:val="24"/>
        </w:rPr>
        <w:t>Il prospetto, che riporta le riscossioni e i pagamenti suddivisi per Titoli, evidenzia che gli equilibri di parte corrente e di parte capitale sono di segno negativo. L’equilibrio finale viene garantito dal fondo di cassa iniziale, pari a € 340.832.737,09. Il Fondo di cassa a fine anno è pertanto di € 59.353.302,11.</w:t>
      </w:r>
    </w:p>
    <w:p w:rsidR="00021B56" w:rsidRDefault="00021B56" w:rsidP="00DE5507">
      <w:pPr>
        <w:spacing w:line="360" w:lineRule="auto"/>
        <w:jc w:val="both"/>
        <w:rPr>
          <w:rFonts w:ascii="Bodoni MT" w:hAnsi="Bodoni MT"/>
          <w:sz w:val="24"/>
          <w:szCs w:val="24"/>
        </w:rPr>
      </w:pPr>
      <w:r>
        <w:rPr>
          <w:rFonts w:ascii="Bodoni MT" w:hAnsi="Bodoni MT"/>
          <w:sz w:val="24"/>
          <w:szCs w:val="24"/>
        </w:rPr>
        <w:t xml:space="preserve">Con riguardo all’esiguità del fondo cassa a fine esercizio si richiamano i chiarimenti forniti dalla Regione già riferiti nel </w:t>
      </w:r>
      <w:r w:rsidR="00880BF6">
        <w:rPr>
          <w:rFonts w:ascii="Bodoni MT" w:hAnsi="Bodoni MT"/>
          <w:sz w:val="24"/>
          <w:szCs w:val="24"/>
        </w:rPr>
        <w:t xml:space="preserve">paragrafo </w:t>
      </w:r>
      <w:r w:rsidR="003D0E01">
        <w:rPr>
          <w:rFonts w:ascii="Bodoni MT" w:hAnsi="Bodoni MT"/>
          <w:sz w:val="24"/>
          <w:szCs w:val="24"/>
        </w:rPr>
        <w:t>6.7 “La gestione di cassa”.</w:t>
      </w:r>
    </w:p>
    <w:p w:rsidR="001E794C" w:rsidRDefault="001E794C" w:rsidP="00AD5BF7">
      <w:pPr>
        <w:pStyle w:val="Didascalia"/>
      </w:pPr>
      <w:bookmarkStart w:id="249" w:name="_Toc499040985"/>
      <w:r>
        <w:br w:type="page"/>
      </w:r>
    </w:p>
    <w:p w:rsidR="005D660C" w:rsidRPr="005D660C" w:rsidRDefault="00C05880" w:rsidP="00C05880">
      <w:pPr>
        <w:pStyle w:val="Didascalia"/>
        <w:rPr>
          <w:sz w:val="24"/>
          <w:szCs w:val="24"/>
        </w:rPr>
      </w:pPr>
      <w:bookmarkStart w:id="250" w:name="_Toc507422512"/>
      <w:r>
        <w:lastRenderedPageBreak/>
        <w:t xml:space="preserve">Tabella </w:t>
      </w:r>
      <w:r w:rsidR="00B90472">
        <w:fldChar w:fldCharType="begin"/>
      </w:r>
      <w:r w:rsidR="00B90472">
        <w:instrText xml:space="preserve"> SEQ Tabella \* ARABIC </w:instrText>
      </w:r>
      <w:r w:rsidR="00B90472">
        <w:fldChar w:fldCharType="separate"/>
      </w:r>
      <w:r w:rsidR="008616B3">
        <w:rPr>
          <w:noProof/>
        </w:rPr>
        <w:t>44</w:t>
      </w:r>
      <w:r w:rsidR="00B90472">
        <w:rPr>
          <w:noProof/>
        </w:rPr>
        <w:fldChar w:fldCharType="end"/>
      </w:r>
      <w:r w:rsidR="005D660C" w:rsidRPr="005D660C">
        <w:t xml:space="preserve"> -</w:t>
      </w:r>
      <w:r w:rsidR="005D660C" w:rsidRPr="005D660C">
        <w:rPr>
          <w:sz w:val="24"/>
          <w:szCs w:val="24"/>
        </w:rPr>
        <w:t xml:space="preserve"> Equilibri di cassa</w:t>
      </w:r>
      <w:bookmarkEnd w:id="249"/>
      <w:bookmarkEnd w:id="250"/>
    </w:p>
    <w:tbl>
      <w:tblPr>
        <w:tblW w:w="8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40"/>
        <w:gridCol w:w="451"/>
        <w:gridCol w:w="2100"/>
      </w:tblGrid>
      <w:tr w:rsidR="005D660C" w:rsidRPr="005D660C" w:rsidTr="00646EDA">
        <w:trPr>
          <w:trHeight w:val="20"/>
          <w:jc w:val="center"/>
        </w:trPr>
        <w:tc>
          <w:tcPr>
            <w:tcW w:w="6040" w:type="dxa"/>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EQUILIBRI DI CASSA</w:t>
            </w:r>
          </w:p>
        </w:tc>
        <w:tc>
          <w:tcPr>
            <w:tcW w:w="400" w:type="dxa"/>
            <w:shd w:val="clear" w:color="auto" w:fill="0F243E" w:themeFill="text2" w:themeFillShade="80"/>
            <w:noWrap/>
            <w:vAlign w:val="center"/>
            <w:hideMark/>
          </w:tcPr>
          <w:p w:rsidR="005D660C" w:rsidRPr="005D660C" w:rsidRDefault="005D660C" w:rsidP="005D660C">
            <w:pPr>
              <w:spacing w:after="0" w:line="240" w:lineRule="auto"/>
              <w:jc w:val="right"/>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 </w:t>
            </w:r>
          </w:p>
        </w:tc>
        <w:tc>
          <w:tcPr>
            <w:tcW w:w="2100" w:type="dxa"/>
            <w:shd w:val="clear" w:color="auto" w:fill="0F243E" w:themeFill="text2" w:themeFillShade="80"/>
            <w:noWrap/>
            <w:vAlign w:val="center"/>
            <w:hideMark/>
          </w:tcPr>
          <w:p w:rsidR="005D660C" w:rsidRPr="005D660C" w:rsidRDefault="005D660C" w:rsidP="005D660C">
            <w:pPr>
              <w:spacing w:after="0" w:line="240" w:lineRule="auto"/>
              <w:jc w:val="center"/>
              <w:rPr>
                <w:rFonts w:ascii="Bodoni MT" w:eastAsia="Times New Roman" w:hAnsi="Bodoni MT" w:cs="Arial"/>
                <w:b/>
                <w:bCs/>
                <w:color w:val="FFFFFF"/>
                <w:sz w:val="18"/>
                <w:szCs w:val="18"/>
                <w:lang w:eastAsia="it-IT"/>
              </w:rPr>
            </w:pPr>
            <w:r w:rsidRPr="005D660C">
              <w:rPr>
                <w:rFonts w:ascii="Bodoni MT" w:eastAsia="Times New Roman" w:hAnsi="Bodoni MT" w:cs="Arial"/>
                <w:b/>
                <w:bCs/>
                <w:color w:val="FFFFFF"/>
                <w:sz w:val="18"/>
                <w:szCs w:val="18"/>
                <w:lang w:eastAsia="it-IT"/>
              </w:rPr>
              <w:t>Rendiconto 2016</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titoli 1-2-3</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7.024.726.567,36</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Entrate in conto capitale per Contributi agli investimenti direttamente destinati al rimborso dei prestiti da amministrazioni pubbliche </w:t>
            </w:r>
            <w:r w:rsidRPr="005D660C">
              <w:rPr>
                <w:rFonts w:ascii="Bodoni MT" w:eastAsia="Times New Roman" w:hAnsi="Bodoni MT" w:cs="Arial"/>
                <w:color w:val="FFFFFF" w:themeColor="background1"/>
                <w:sz w:val="18"/>
                <w:szCs w:val="18"/>
                <w:vertAlign w:val="superscript"/>
                <w:lang w:eastAsia="it-IT"/>
              </w:rPr>
              <w:t>(1)</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Titolo 4.03 - Altri trasferimenti in conto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3.375.619,70</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in c/capitale destinate all'estinzione anticipata di prestiti</w:t>
            </w:r>
            <w:r w:rsidRPr="005D660C">
              <w:rPr>
                <w:rFonts w:ascii="Bodoni MT" w:eastAsia="Times New Roman" w:hAnsi="Bodoni MT" w:cs="Arial"/>
                <w:color w:val="FFFFFF" w:themeColor="background1"/>
                <w:sz w:val="18"/>
                <w:szCs w:val="18"/>
                <w:vertAlign w:val="superscript"/>
                <w:lang w:eastAsia="it-IT"/>
              </w:rPr>
              <w:t xml:space="preserve"> (2)</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per accensioni di prestiti destinate all'estinzione anticipata di prestiti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di parte capitale destinate a spese correnti in base a specifiche disposizioni di legge o dei principi contabili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correnti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6.692.304.238,44</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Titolo 2.04 -  Altri trasferimenti in conto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361.681.258,75</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Variazioni di attività finanziarie (se negativo; v. saldo C)</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Rimborso prestiti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176.428.127,05</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 xml:space="preserve">- di cui Fondo anticipazioni di liquidità (DL 35/2013 e successive modifiche e rifinanziamenti) </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
                <w:iCs/>
                <w:color w:val="000000"/>
                <w:sz w:val="18"/>
                <w:szCs w:val="18"/>
                <w:lang w:eastAsia="it-IT"/>
              </w:rPr>
            </w:pPr>
            <w:r w:rsidRPr="005D660C">
              <w:rPr>
                <w:rFonts w:ascii="Calibri" w:eastAsia="Times New Roman" w:hAnsi="Calibri" w:cs="Calibri"/>
                <w:i/>
                <w:iCs/>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 xml:space="preserve">- di cui per estinzione anticipata di prestiti </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
                <w:iCs/>
                <w:color w:val="000000"/>
                <w:sz w:val="18"/>
                <w:szCs w:val="18"/>
                <w:lang w:eastAsia="it-IT"/>
              </w:rPr>
            </w:pPr>
            <w:r w:rsidRPr="005D660C">
              <w:rPr>
                <w:rFonts w:ascii="Calibri" w:eastAsia="Times New Roman" w:hAnsi="Calibri" w:cs="Calibri"/>
                <w:i/>
                <w:iCs/>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A) Equilibrio di parte corrente</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-202.311.437,18</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in conto capitale (Titolo 4)</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190.603.536,76</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Entrate Titolo 5.01.01 - Alienazioni di partecipazioni </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per accensioni di prestiti (titolo 6)</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370.587.400,05</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in conto capitale per Contributi agli investimenti direttamente destinati al rimborso dei prestiti da amministrazioni pubbliche</w:t>
            </w:r>
            <w:r w:rsidRPr="005D660C">
              <w:rPr>
                <w:rFonts w:ascii="Bodoni MT" w:eastAsia="Times New Roman" w:hAnsi="Bodoni MT" w:cs="Arial"/>
                <w:color w:val="FFFFFF" w:themeColor="background1"/>
                <w:sz w:val="18"/>
                <w:szCs w:val="18"/>
                <w:vertAlign w:val="superscript"/>
                <w:lang w:eastAsia="it-IT"/>
              </w:rPr>
              <w:t xml:space="preserve"> (1)</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Entrate in c/capitale destinate all'estinzione anticipata di prestiti </w:t>
            </w:r>
            <w:r w:rsidRPr="005D660C">
              <w:rPr>
                <w:rFonts w:ascii="Bodoni MT" w:eastAsia="Times New Roman" w:hAnsi="Bodoni MT" w:cs="Arial"/>
                <w:color w:val="FFFFFF" w:themeColor="background1"/>
                <w:sz w:val="18"/>
                <w:szCs w:val="18"/>
                <w:vertAlign w:val="superscript"/>
                <w:lang w:eastAsia="it-IT"/>
              </w:rPr>
              <w:t>(2)</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di parte capitale destinate a spese correnti in base a specifiche disposizioni di legge o dei principi contabili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per accensioni di prestiti destinate all'estinzione anticipata di prestiti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Titolo 4.03 - Altri trasferimenti in conto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3.375.619,70</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in conto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986.311.225,86</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Titolo 2.04 -  Altri trasferimenti in conto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361.681.258,75</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 xml:space="preserve">Spese Titolo 3.01.01 - Acquisizioni di partecipazioni e conferimenti di capitale </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15.000.000,00</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Variazioni di attività finanziarie (se positivo; v. saldo C)</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4.545.879,47</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B) Equilibrio di parte capitale</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-77.268.770,53</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 xml:space="preserve">Entrate titolo 5.00 - Riduzioni attività finanziarie </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iCs/>
                <w:color w:val="000000"/>
                <w:sz w:val="18"/>
                <w:szCs w:val="18"/>
                <w:lang w:eastAsia="it-IT"/>
              </w:rPr>
            </w:pPr>
            <w:r w:rsidRPr="005D660C">
              <w:rPr>
                <w:rFonts w:ascii="Verdana" w:eastAsia="Times New Roman" w:hAnsi="Verdana" w:cs="Arial"/>
                <w:iCs/>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Cs/>
                <w:color w:val="000000"/>
                <w:sz w:val="18"/>
                <w:szCs w:val="18"/>
                <w:lang w:eastAsia="it-IT"/>
              </w:rPr>
            </w:pPr>
            <w:r w:rsidRPr="005D660C">
              <w:rPr>
                <w:rFonts w:ascii="Calibri" w:eastAsia="Times New Roman" w:hAnsi="Calibri" w:cs="Calibri"/>
                <w:iCs/>
                <w:color w:val="000000"/>
                <w:sz w:val="18"/>
                <w:szCs w:val="18"/>
                <w:lang w:eastAsia="it-IT"/>
              </w:rPr>
              <w:t>191.663.551,26</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Spese titolo 3.00 - Incremento attività finanziarie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iCs/>
                <w:color w:val="000000"/>
                <w:sz w:val="18"/>
                <w:szCs w:val="18"/>
                <w:lang w:eastAsia="it-IT"/>
              </w:rPr>
            </w:pPr>
            <w:r w:rsidRPr="005D660C">
              <w:rPr>
                <w:rFonts w:ascii="Verdana" w:eastAsia="Times New Roman" w:hAnsi="Verdana" w:cs="Arial"/>
                <w:iCs/>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Cs/>
                <w:color w:val="000000"/>
                <w:sz w:val="18"/>
                <w:szCs w:val="18"/>
                <w:lang w:eastAsia="it-IT"/>
              </w:rPr>
            </w:pPr>
            <w:r w:rsidRPr="005D660C">
              <w:rPr>
                <w:rFonts w:ascii="Calibri" w:eastAsia="Times New Roman" w:hAnsi="Calibri" w:cs="Calibri"/>
                <w:iCs/>
                <w:color w:val="000000"/>
                <w:sz w:val="18"/>
                <w:szCs w:val="18"/>
                <w:lang w:eastAsia="it-IT"/>
              </w:rPr>
              <w:t>202.117.671,79</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Entrate Titolo 5.01.01 -Alienazioni di partecipazioni</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iCs/>
                <w:color w:val="000000"/>
                <w:sz w:val="18"/>
                <w:szCs w:val="18"/>
                <w:lang w:eastAsia="it-IT"/>
              </w:rPr>
            </w:pPr>
            <w:r w:rsidRPr="005D660C">
              <w:rPr>
                <w:rFonts w:ascii="Verdana" w:eastAsia="Times New Roman" w:hAnsi="Verdana" w:cs="Arial"/>
                <w:iCs/>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Cs/>
                <w:color w:val="000000"/>
                <w:sz w:val="18"/>
                <w:szCs w:val="18"/>
                <w:lang w:eastAsia="it-IT"/>
              </w:rPr>
            </w:pPr>
            <w:r w:rsidRPr="005D660C">
              <w:rPr>
                <w:rFonts w:ascii="Calibri" w:eastAsia="Times New Roman" w:hAnsi="Calibri" w:cs="Calibri"/>
                <w:iCs/>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iCs/>
                <w:color w:val="FFFFFF" w:themeColor="background1"/>
                <w:sz w:val="18"/>
                <w:szCs w:val="18"/>
                <w:lang w:eastAsia="it-IT"/>
              </w:rPr>
            </w:pPr>
            <w:r w:rsidRPr="005D660C">
              <w:rPr>
                <w:rFonts w:ascii="Bodoni MT" w:eastAsia="Times New Roman" w:hAnsi="Bodoni MT" w:cs="Arial"/>
                <w:iCs/>
                <w:color w:val="FFFFFF" w:themeColor="background1"/>
                <w:sz w:val="18"/>
                <w:szCs w:val="18"/>
                <w:lang w:eastAsia="it-IT"/>
              </w:rPr>
              <w:t>Spese Titolo 3.01.01 -Acquisizioni di partecipazioni e conferimenti di capitale</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iCs/>
                <w:color w:val="000000"/>
                <w:sz w:val="18"/>
                <w:szCs w:val="18"/>
                <w:lang w:eastAsia="it-IT"/>
              </w:rPr>
            </w:pPr>
            <w:r w:rsidRPr="005D660C">
              <w:rPr>
                <w:rFonts w:ascii="Verdana" w:eastAsia="Times New Roman" w:hAnsi="Verdana" w:cs="Arial"/>
                <w:iCs/>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iCs/>
                <w:color w:val="000000"/>
                <w:sz w:val="18"/>
                <w:szCs w:val="18"/>
                <w:lang w:eastAsia="it-IT"/>
              </w:rPr>
            </w:pPr>
            <w:r w:rsidRPr="005D660C">
              <w:rPr>
                <w:rFonts w:ascii="Calibri" w:eastAsia="Times New Roman" w:hAnsi="Calibri" w:cs="Calibri"/>
                <w:iCs/>
                <w:color w:val="000000"/>
                <w:sz w:val="18"/>
                <w:szCs w:val="18"/>
                <w:lang w:eastAsia="it-IT"/>
              </w:rPr>
              <w:t>15.000.000,00</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iCs/>
                <w:color w:val="FFFFFF" w:themeColor="background1"/>
                <w:sz w:val="18"/>
                <w:szCs w:val="18"/>
                <w:lang w:eastAsia="it-IT"/>
              </w:rPr>
            </w:pPr>
            <w:r w:rsidRPr="005D660C">
              <w:rPr>
                <w:rFonts w:ascii="Bodoni MT" w:eastAsia="Times New Roman" w:hAnsi="Bodoni MT" w:cs="Arial"/>
                <w:b/>
                <w:bCs/>
                <w:iCs/>
                <w:color w:val="FFFFFF" w:themeColor="background1"/>
                <w:sz w:val="18"/>
                <w:szCs w:val="18"/>
                <w:lang w:eastAsia="it-IT"/>
              </w:rPr>
              <w:t xml:space="preserve">C) Variazioni attività finanziaria </w:t>
            </w:r>
            <w:r w:rsidRPr="005D660C">
              <w:rPr>
                <w:rFonts w:ascii="Bodoni MT" w:eastAsia="Times New Roman" w:hAnsi="Bodoni MT" w:cs="Arial"/>
                <w:b/>
                <w:bCs/>
                <w:iCs/>
                <w:color w:val="FFFFFF" w:themeColor="background1"/>
                <w:sz w:val="18"/>
                <w:szCs w:val="18"/>
                <w:vertAlign w:val="superscript"/>
                <w:lang w:eastAsia="it-IT"/>
              </w:rPr>
              <w:t>(3)</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b/>
                <w:bCs/>
                <w:iCs/>
                <w:color w:val="000000"/>
                <w:sz w:val="18"/>
                <w:szCs w:val="18"/>
                <w:lang w:eastAsia="it-IT"/>
              </w:rPr>
            </w:pPr>
            <w:r w:rsidRPr="005D660C">
              <w:rPr>
                <w:rFonts w:ascii="Calibri" w:eastAsia="Times New Roman" w:hAnsi="Calibri" w:cs="Calibri"/>
                <w:b/>
                <w:bCs/>
                <w:iCs/>
                <w:color w:val="000000"/>
                <w:sz w:val="18"/>
                <w:szCs w:val="18"/>
                <w:lang w:eastAsia="it-IT"/>
              </w:rPr>
              <w:t>4.545.879,47</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categoria 9010400: Anticipazioni finanziamento sanità incassate nell'anno</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missione 99.02: Rimborsi anticipazione sanità pagate nell'anno</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D) Saldo Anticipazioni/Rimborsi sanità dell'anno</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per conto terzi e partite di giro (Titolo 9) al netto di "Entrate categoria 9010400"</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126.702.896,07</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Uscite per conto terzi e partite di giro (Titolo 7) al netto di "Spese missione 99.02"</w:t>
            </w:r>
          </w:p>
        </w:tc>
        <w:tc>
          <w:tcPr>
            <w:tcW w:w="400" w:type="dxa"/>
            <w:shd w:val="clear" w:color="000000" w:fill="FFFFFF"/>
            <w:vAlign w:val="center"/>
            <w:hideMark/>
          </w:tcPr>
          <w:p w:rsidR="005D660C" w:rsidRPr="005D660C" w:rsidRDefault="005D660C" w:rsidP="005D660C">
            <w:pPr>
              <w:spacing w:after="0" w:line="240" w:lineRule="auto"/>
              <w:jc w:val="both"/>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128.602.123,34</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E) Saldo conto terzi e partite di giro</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-1.899.227,27</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Entrate titolo 7 - Anticipazioni da tesoriere</w:t>
            </w:r>
          </w:p>
        </w:tc>
        <w:tc>
          <w:tcPr>
            <w:tcW w:w="400" w:type="dxa"/>
            <w:vMerge w:val="restart"/>
            <w:shd w:val="clear" w:color="000000" w:fill="FFFFFF"/>
            <w:vAlign w:val="center"/>
            <w:hideMark/>
          </w:tcPr>
          <w:p w:rsidR="005D660C" w:rsidRPr="005D660C" w:rsidRDefault="005D660C" w:rsidP="005D660C">
            <w:pPr>
              <w:spacing w:after="0" w:line="240" w:lineRule="auto"/>
              <w:jc w:val="center"/>
              <w:rPr>
                <w:rFonts w:ascii="Verdana" w:eastAsia="Times New Roman" w:hAnsi="Verdana" w:cs="Arial"/>
                <w:color w:val="000000"/>
                <w:sz w:val="18"/>
                <w:szCs w:val="18"/>
                <w:lang w:eastAsia="it-IT"/>
              </w:rPr>
            </w:pPr>
            <w:r w:rsidRPr="005D660C">
              <w:rPr>
                <w:rFonts w:ascii="Verdana" w:eastAsia="Times New Roman" w:hAnsi="Verdana" w:cs="Arial"/>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color w:val="FFFFFF" w:themeColor="background1"/>
                <w:sz w:val="18"/>
                <w:szCs w:val="18"/>
                <w:lang w:eastAsia="it-IT"/>
              </w:rPr>
            </w:pPr>
            <w:r w:rsidRPr="005D660C">
              <w:rPr>
                <w:rFonts w:ascii="Bodoni MT" w:eastAsia="Times New Roman" w:hAnsi="Bodoni MT" w:cs="Arial"/>
                <w:color w:val="FFFFFF" w:themeColor="background1"/>
                <w:sz w:val="18"/>
                <w:szCs w:val="18"/>
                <w:lang w:eastAsia="it-IT"/>
              </w:rPr>
              <w:t>Spese titolo 5 - Chiusura Anticipazioni tesoriere</w:t>
            </w:r>
          </w:p>
        </w:tc>
        <w:tc>
          <w:tcPr>
            <w:tcW w:w="400" w:type="dxa"/>
            <w:vMerge/>
            <w:vAlign w:val="center"/>
            <w:hideMark/>
          </w:tcPr>
          <w:p w:rsidR="005D660C" w:rsidRPr="005D660C" w:rsidRDefault="005D660C" w:rsidP="005D660C">
            <w:pPr>
              <w:spacing w:after="0" w:line="240" w:lineRule="auto"/>
              <w:rPr>
                <w:rFonts w:ascii="Verdana" w:eastAsia="Times New Roman" w:hAnsi="Verdana" w:cs="Arial"/>
                <w:color w:val="000000"/>
                <w:sz w:val="18"/>
                <w:szCs w:val="18"/>
                <w:lang w:eastAsia="it-IT"/>
              </w:rPr>
            </w:pP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F) Saldo anticipazioni/rimborsi tesoriere</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w:t>
            </w:r>
          </w:p>
        </w:tc>
      </w:tr>
      <w:tr w:rsidR="005D660C" w:rsidRPr="005D660C" w:rsidTr="001E794C">
        <w:trPr>
          <w:trHeight w:val="20"/>
          <w:jc w:val="center"/>
        </w:trPr>
        <w:tc>
          <w:tcPr>
            <w:tcW w:w="6040" w:type="dxa"/>
            <w:shd w:val="clear" w:color="auto" w:fill="95B3D7" w:themeFill="accent1" w:themeFillTint="99"/>
            <w:vAlign w:val="center"/>
            <w:hideMark/>
          </w:tcPr>
          <w:p w:rsidR="005D660C" w:rsidRPr="005D660C" w:rsidRDefault="005D660C" w:rsidP="005D660C">
            <w:pPr>
              <w:spacing w:after="0" w:line="240" w:lineRule="auto"/>
              <w:rPr>
                <w:rFonts w:ascii="Bodoni MT" w:eastAsia="Times New Roman" w:hAnsi="Bodoni MT" w:cs="Arial"/>
                <w:b/>
                <w:bCs/>
                <w:color w:val="FFFFFF" w:themeColor="background1"/>
                <w:sz w:val="18"/>
                <w:szCs w:val="18"/>
                <w:lang w:eastAsia="it-IT"/>
              </w:rPr>
            </w:pPr>
            <w:r w:rsidRPr="005D660C">
              <w:rPr>
                <w:rFonts w:ascii="Bodoni MT" w:eastAsia="Times New Roman" w:hAnsi="Bodoni MT" w:cs="Arial"/>
                <w:b/>
                <w:bCs/>
                <w:color w:val="FFFFFF" w:themeColor="background1"/>
                <w:sz w:val="18"/>
                <w:szCs w:val="18"/>
                <w:lang w:eastAsia="it-IT"/>
              </w:rPr>
              <w:t>EQUILIBRIO FINALE (G=A+B+D+E+F)</w:t>
            </w:r>
          </w:p>
        </w:tc>
        <w:tc>
          <w:tcPr>
            <w:tcW w:w="400" w:type="dxa"/>
            <w:shd w:val="clear" w:color="000000" w:fill="FFFFFF"/>
            <w:vAlign w:val="center"/>
            <w:hideMark/>
          </w:tcPr>
          <w:p w:rsidR="005D660C" w:rsidRPr="005D660C" w:rsidRDefault="005D660C" w:rsidP="005D660C">
            <w:pPr>
              <w:spacing w:after="0" w:line="240" w:lineRule="auto"/>
              <w:rPr>
                <w:rFonts w:ascii="Calibri" w:eastAsia="Times New Roman" w:hAnsi="Calibri" w:cs="Calibri"/>
                <w:color w:val="000000"/>
                <w:sz w:val="18"/>
                <w:szCs w:val="18"/>
                <w:lang w:eastAsia="it-IT"/>
              </w:rPr>
            </w:pPr>
            <w:r w:rsidRPr="005D660C">
              <w:rPr>
                <w:rFonts w:ascii="Calibri" w:eastAsia="Times New Roman" w:hAnsi="Calibri" w:cs="Calibri"/>
                <w:color w:val="000000"/>
                <w:sz w:val="18"/>
                <w:szCs w:val="18"/>
                <w:lang w:eastAsia="it-IT"/>
              </w:rPr>
              <w:t> </w:t>
            </w:r>
          </w:p>
        </w:tc>
        <w:tc>
          <w:tcPr>
            <w:tcW w:w="2100" w:type="dxa"/>
            <w:shd w:val="clear" w:color="000000" w:fill="FFFFFF"/>
            <w:vAlign w:val="center"/>
            <w:hideMark/>
          </w:tcPr>
          <w:p w:rsidR="005D660C" w:rsidRPr="005D660C" w:rsidRDefault="005D660C" w:rsidP="005D660C">
            <w:pPr>
              <w:spacing w:after="0" w:line="240" w:lineRule="auto"/>
              <w:jc w:val="center"/>
              <w:rPr>
                <w:rFonts w:ascii="Calibri" w:eastAsia="Times New Roman" w:hAnsi="Calibri" w:cs="Calibri"/>
                <w:b/>
                <w:bCs/>
                <w:color w:val="000000"/>
                <w:sz w:val="18"/>
                <w:szCs w:val="18"/>
                <w:lang w:eastAsia="it-IT"/>
              </w:rPr>
            </w:pPr>
            <w:r w:rsidRPr="005D660C">
              <w:rPr>
                <w:rFonts w:ascii="Calibri" w:eastAsia="Times New Roman" w:hAnsi="Calibri" w:cs="Calibri"/>
                <w:b/>
                <w:bCs/>
                <w:color w:val="000000"/>
                <w:sz w:val="18"/>
                <w:szCs w:val="18"/>
                <w:lang w:eastAsia="it-IT"/>
              </w:rPr>
              <w:t>-281.479.434,98</w:t>
            </w:r>
          </w:p>
        </w:tc>
      </w:tr>
    </w:tbl>
    <w:p w:rsidR="00E12A0A" w:rsidRDefault="00E12A0A" w:rsidP="005D660C">
      <w:pPr>
        <w:spacing w:line="360" w:lineRule="auto"/>
        <w:jc w:val="center"/>
        <w:rPr>
          <w:rFonts w:ascii="Bodoni MT" w:hAnsi="Bodoni MT"/>
          <w:sz w:val="24"/>
          <w:szCs w:val="24"/>
        </w:rPr>
        <w:sectPr w:rsidR="00E12A0A" w:rsidSect="00CD4C84">
          <w:headerReference w:type="default" r:id="rId62"/>
          <w:type w:val="oddPage"/>
          <w:pgSz w:w="11906" w:h="16838"/>
          <w:pgMar w:top="1418" w:right="1134" w:bottom="1134" w:left="851" w:header="709" w:footer="709" w:gutter="0"/>
          <w:cols w:space="708"/>
          <w:docGrid w:linePitch="360"/>
        </w:sectPr>
      </w:pPr>
    </w:p>
    <w:p w:rsidR="005D660C" w:rsidRPr="005D660C" w:rsidRDefault="00503AC8" w:rsidP="00503AC8">
      <w:pPr>
        <w:pStyle w:val="Titolo1"/>
      </w:pPr>
      <w:bookmarkStart w:id="251" w:name="_Toc507422659"/>
      <w:r>
        <w:lastRenderedPageBreak/>
        <w:t>IL PAREGGIO DI BILANCIO</w:t>
      </w:r>
      <w:bookmarkEnd w:id="251"/>
    </w:p>
    <w:p w:rsidR="00E10AD2"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Dal 2015 alla Regione Sardegna non si applicano le regole sul patto di stabilità interno. Infatti, a seguito dell’accordo stipulato col MEF il 21/07/2014, la Regione si è impegnata a partecipare agli obiettivi di finanza pubblica attraverso il conseguimento del pareggio di bilancio previsto dall’art. 9 della legge 243/2012. </w:t>
      </w:r>
    </w:p>
    <w:p w:rsidR="007021FE"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L’art.</w:t>
      </w:r>
      <w:r w:rsidR="00DE5507">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 xml:space="preserve">9, modificato dalla legge 164/2016, è entrato in </w:t>
      </w:r>
      <w:r w:rsidR="00767DD5">
        <w:rPr>
          <w:rFonts w:ascii="Bodoni MT" w:eastAsiaTheme="minorEastAsia" w:hAnsi="Bodoni MT" w:cs="Bodoni MT"/>
          <w:color w:val="000000"/>
          <w:sz w:val="24"/>
          <w:szCs w:val="24"/>
        </w:rPr>
        <w:t xml:space="preserve">vigore il 13 </w:t>
      </w:r>
      <w:r w:rsidR="007021FE">
        <w:rPr>
          <w:rFonts w:ascii="Bodoni MT" w:eastAsiaTheme="minorEastAsia" w:hAnsi="Bodoni MT" w:cs="Bodoni MT"/>
          <w:color w:val="000000"/>
          <w:sz w:val="24"/>
          <w:szCs w:val="24"/>
        </w:rPr>
        <w:t>settembre 2016</w:t>
      </w:r>
      <w:r w:rsidRPr="005D660C">
        <w:rPr>
          <w:rFonts w:ascii="Bodoni MT" w:eastAsiaTheme="minorEastAsia" w:hAnsi="Bodoni MT" w:cs="Bodoni MT"/>
          <w:color w:val="000000"/>
          <w:sz w:val="24"/>
          <w:szCs w:val="24"/>
        </w:rPr>
        <w:t xml:space="preserve"> </w:t>
      </w:r>
      <w:r w:rsidR="007021FE">
        <w:rPr>
          <w:rFonts w:ascii="Bodoni MT" w:eastAsiaTheme="minorEastAsia" w:hAnsi="Bodoni MT" w:cs="Bodoni MT"/>
          <w:color w:val="000000"/>
          <w:sz w:val="24"/>
          <w:szCs w:val="24"/>
        </w:rPr>
        <w:t>e</w:t>
      </w:r>
      <w:r w:rsidRPr="005D660C">
        <w:rPr>
          <w:rFonts w:ascii="Bodoni MT" w:eastAsiaTheme="minorEastAsia" w:hAnsi="Bodoni MT" w:cs="Bodoni MT"/>
          <w:color w:val="000000"/>
          <w:sz w:val="24"/>
          <w:szCs w:val="24"/>
        </w:rPr>
        <w:t xml:space="preserve"> prescrive, ai fini del raggiungimento degli equilibri, il rispetto di un unico saldo non negativo sia in fase di previsione che di rendiconto in termini di competenza tra le entrate finali e le spese finali, in sostituzione dei quattro saldi prima previsti (consistenti in un saldo non negativo in termini di competenza e di cassa tra le entrate finali e le spese finali e in un saldo non negativo in termini di competenza e di cassa tra le entrate correnti e le spese correnti). </w:t>
      </w:r>
    </w:p>
    <w:p w:rsidR="007021FE"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 xml:space="preserve">In sostanza con la nuova formulazione risultano soppressi gli obblighi di pareggio in termini di cassa e di saldo corrente. </w:t>
      </w:r>
    </w:p>
    <w:p w:rsidR="005D660C" w:rsidRPr="005D660C" w:rsidRDefault="005D660C" w:rsidP="005D660C">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sidRPr="005D660C">
        <w:rPr>
          <w:rFonts w:ascii="Bodoni MT" w:eastAsiaTheme="minorEastAsia" w:hAnsi="Bodoni MT" w:cs="Bodoni MT"/>
          <w:color w:val="000000"/>
          <w:sz w:val="24"/>
          <w:szCs w:val="24"/>
        </w:rPr>
        <w:t>Nel computo del saldo viene incluso il FPV di entrata e di spesa.</w:t>
      </w:r>
      <w:r w:rsidR="007021FE">
        <w:rPr>
          <w:rFonts w:ascii="Bodoni MT" w:eastAsiaTheme="minorEastAsia" w:hAnsi="Bodoni MT" w:cs="Bodoni MT"/>
          <w:color w:val="000000"/>
          <w:sz w:val="24"/>
          <w:szCs w:val="24"/>
        </w:rPr>
        <w:t xml:space="preserve"> L’inclusione del FPV nel saldo</w:t>
      </w:r>
      <w:r w:rsidRPr="005D660C">
        <w:rPr>
          <w:rFonts w:ascii="Bodoni MT" w:eastAsiaTheme="minorEastAsia" w:hAnsi="Bodoni MT" w:cs="Bodoni MT"/>
          <w:color w:val="000000"/>
          <w:sz w:val="24"/>
          <w:szCs w:val="24"/>
        </w:rPr>
        <w:t xml:space="preserve"> </w:t>
      </w:r>
      <w:r w:rsidR="007021FE">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già introdotta in via transitoria per il solo 2016</w:t>
      </w:r>
      <w:r w:rsidR="007021FE">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viene prorogata per </w:t>
      </w:r>
      <w:r w:rsidR="00F16ECD">
        <w:rPr>
          <w:rFonts w:ascii="Bodoni MT" w:eastAsiaTheme="minorEastAsia" w:hAnsi="Bodoni MT" w:cs="Bodoni MT"/>
          <w:color w:val="000000"/>
          <w:sz w:val="24"/>
          <w:szCs w:val="24"/>
        </w:rPr>
        <w:t>il triennio 2017</w:t>
      </w:r>
      <w:r w:rsidR="00F16ECD">
        <w:rPr>
          <w:rFonts w:ascii="Bodoni MT" w:eastAsiaTheme="minorEastAsia" w:hAnsi="Bodoni MT" w:cs="Bodoni MT"/>
          <w:color w:val="000000"/>
          <w:sz w:val="24"/>
          <w:szCs w:val="24"/>
        </w:rPr>
        <w:noBreakHyphen/>
      </w:r>
      <w:r w:rsidRPr="005D660C">
        <w:rPr>
          <w:rFonts w:ascii="Bodoni MT" w:eastAsiaTheme="minorEastAsia" w:hAnsi="Bodoni MT" w:cs="Bodoni MT"/>
          <w:color w:val="000000"/>
          <w:sz w:val="24"/>
          <w:szCs w:val="24"/>
        </w:rPr>
        <w:t xml:space="preserve">2019, durante </w:t>
      </w:r>
      <w:r w:rsidR="007021FE">
        <w:rPr>
          <w:rFonts w:ascii="Bodoni MT" w:eastAsiaTheme="minorEastAsia" w:hAnsi="Bodoni MT" w:cs="Bodoni MT"/>
          <w:color w:val="000000"/>
          <w:sz w:val="24"/>
          <w:szCs w:val="24"/>
        </w:rPr>
        <w:t>il</w:t>
      </w:r>
      <w:r w:rsidRPr="005D660C">
        <w:rPr>
          <w:rFonts w:ascii="Bodoni MT" w:eastAsiaTheme="minorEastAsia" w:hAnsi="Bodoni MT" w:cs="Bodoni MT"/>
          <w:color w:val="000000"/>
          <w:sz w:val="24"/>
          <w:szCs w:val="24"/>
        </w:rPr>
        <w:t xml:space="preserve"> quale </w:t>
      </w:r>
      <w:r w:rsidR="007021FE">
        <w:rPr>
          <w:rFonts w:ascii="Bodoni MT" w:eastAsiaTheme="minorEastAsia" w:hAnsi="Bodoni MT" w:cs="Bodoni MT"/>
          <w:color w:val="000000"/>
          <w:sz w:val="24"/>
          <w:szCs w:val="24"/>
        </w:rPr>
        <w:t xml:space="preserve">l’inclusione </w:t>
      </w:r>
      <w:r w:rsidRPr="005D660C">
        <w:rPr>
          <w:rFonts w:ascii="Bodoni MT" w:eastAsiaTheme="minorEastAsia" w:hAnsi="Bodoni MT" w:cs="Bodoni MT"/>
          <w:color w:val="000000"/>
          <w:sz w:val="24"/>
          <w:szCs w:val="24"/>
        </w:rPr>
        <w:t>potrà essere effettuata con legge di bilancio, compatibilmente con gli obiettivi di finanza pubblica</w:t>
      </w:r>
      <w:r w:rsidR="007021FE">
        <w:rPr>
          <w:rFonts w:ascii="Bodoni MT" w:eastAsiaTheme="minorEastAsia" w:hAnsi="Bodoni MT" w:cs="Bodoni MT"/>
          <w:color w:val="000000"/>
          <w:sz w:val="24"/>
          <w:szCs w:val="24"/>
        </w:rPr>
        <w:t>; detta inclusione</w:t>
      </w:r>
      <w:r w:rsidRPr="005D660C">
        <w:rPr>
          <w:rFonts w:ascii="Bodoni MT" w:eastAsiaTheme="minorEastAsia" w:hAnsi="Bodoni MT" w:cs="Bodoni MT"/>
          <w:color w:val="000000"/>
          <w:sz w:val="24"/>
          <w:szCs w:val="24"/>
        </w:rPr>
        <w:t xml:space="preserve"> avrà</w:t>
      </w:r>
      <w:r w:rsidR="007021FE">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invece</w:t>
      </w:r>
      <w:r w:rsidR="007021FE">
        <w:rPr>
          <w:rFonts w:ascii="Bodoni MT" w:eastAsiaTheme="minorEastAsia" w:hAnsi="Bodoni MT" w:cs="Bodoni MT"/>
          <w:color w:val="000000"/>
          <w:sz w:val="24"/>
          <w:szCs w:val="24"/>
        </w:rPr>
        <w:t>,</w:t>
      </w:r>
      <w:r w:rsidRPr="005D660C">
        <w:rPr>
          <w:rFonts w:ascii="Bodoni MT" w:eastAsiaTheme="minorEastAsia" w:hAnsi="Bodoni MT" w:cs="Bodoni MT"/>
          <w:color w:val="000000"/>
          <w:sz w:val="24"/>
          <w:szCs w:val="24"/>
        </w:rPr>
        <w:t xml:space="preserve"> carattere permanente dal 2020. L’inclusione del FPV nel saldo, come fatto osservare anche nella Relazione sulla gestione (pag.</w:t>
      </w:r>
      <w:r w:rsidR="0015221E">
        <w:rPr>
          <w:rFonts w:ascii="Bodoni MT" w:eastAsiaTheme="minorEastAsia" w:hAnsi="Bodoni MT" w:cs="Bodoni MT"/>
          <w:color w:val="000000"/>
          <w:sz w:val="24"/>
          <w:szCs w:val="24"/>
        </w:rPr>
        <w:t xml:space="preserve"> </w:t>
      </w:r>
      <w:r w:rsidRPr="005D660C">
        <w:rPr>
          <w:rFonts w:ascii="Bodoni MT" w:eastAsiaTheme="minorEastAsia" w:hAnsi="Bodoni MT" w:cs="Bodoni MT"/>
          <w:color w:val="000000"/>
          <w:sz w:val="24"/>
          <w:szCs w:val="24"/>
        </w:rPr>
        <w:t>109), dovrebbe avere effetti positivi sugli investimenti.</w:t>
      </w:r>
      <w:r w:rsidR="00426B14">
        <w:rPr>
          <w:rFonts w:ascii="Bodoni MT" w:eastAsiaTheme="minorEastAsia" w:hAnsi="Bodoni MT" w:cs="Bodoni MT"/>
          <w:color w:val="000000"/>
          <w:sz w:val="24"/>
          <w:szCs w:val="24"/>
        </w:rPr>
        <w:t xml:space="preserve"> </w:t>
      </w:r>
    </w:p>
    <w:p w:rsidR="0060202C" w:rsidRDefault="0060202C" w:rsidP="00DE5507">
      <w:pPr>
        <w:spacing w:line="360" w:lineRule="auto"/>
        <w:jc w:val="both"/>
        <w:rPr>
          <w:rFonts w:ascii="Bodoni MT" w:hAnsi="Bodoni MT"/>
          <w:sz w:val="24"/>
          <w:szCs w:val="24"/>
        </w:rPr>
      </w:pPr>
      <w:r w:rsidRPr="00021B56">
        <w:rPr>
          <w:rFonts w:ascii="Bodoni MT" w:hAnsi="Bodoni MT"/>
          <w:sz w:val="24"/>
          <w:szCs w:val="24"/>
        </w:rPr>
        <w:t>Dalla Relazione sulla gestione emerge che la prevista certificazione è stata prese</w:t>
      </w:r>
      <w:r w:rsidR="00880BF6">
        <w:rPr>
          <w:rFonts w:ascii="Bodoni MT" w:hAnsi="Bodoni MT"/>
          <w:sz w:val="24"/>
          <w:szCs w:val="24"/>
        </w:rPr>
        <w:t>ntata al MEF, entro il 31/03/</w:t>
      </w:r>
      <w:r w:rsidRPr="00021B56">
        <w:rPr>
          <w:rFonts w:ascii="Bodoni MT" w:hAnsi="Bodoni MT"/>
          <w:sz w:val="24"/>
          <w:szCs w:val="24"/>
        </w:rPr>
        <w:t>2017</w:t>
      </w:r>
      <w:r w:rsidR="00DE5507" w:rsidRPr="00021B56">
        <w:rPr>
          <w:rStyle w:val="Rimandonotaapidipagina"/>
          <w:rFonts w:ascii="Bodoni MT" w:hAnsi="Bodoni MT"/>
          <w:sz w:val="24"/>
          <w:szCs w:val="24"/>
        </w:rPr>
        <w:footnoteReference w:id="129"/>
      </w:r>
      <w:r w:rsidR="005F1B3C">
        <w:rPr>
          <w:rFonts w:ascii="Bodoni MT" w:hAnsi="Bodoni MT"/>
          <w:sz w:val="24"/>
          <w:szCs w:val="24"/>
        </w:rPr>
        <w:t>,</w:t>
      </w:r>
      <w:r w:rsidR="00DE5507" w:rsidRPr="00021B56">
        <w:rPr>
          <w:rFonts w:ascii="Bodoni MT" w:hAnsi="Bodoni MT"/>
          <w:sz w:val="24"/>
          <w:szCs w:val="24"/>
        </w:rPr>
        <w:t xml:space="preserve"> </w:t>
      </w:r>
      <w:r w:rsidRPr="00021B56">
        <w:rPr>
          <w:rFonts w:ascii="Bodoni MT" w:hAnsi="Bodoni MT"/>
          <w:sz w:val="24"/>
          <w:szCs w:val="24"/>
        </w:rPr>
        <w:t>nel</w:t>
      </w:r>
      <w:r w:rsidR="00DE5507" w:rsidRPr="00021B56">
        <w:rPr>
          <w:rFonts w:ascii="Bodoni MT" w:hAnsi="Bodoni MT"/>
          <w:sz w:val="24"/>
          <w:szCs w:val="24"/>
        </w:rPr>
        <w:t xml:space="preserve"> rispetto </w:t>
      </w:r>
      <w:r w:rsidRPr="00021B56">
        <w:rPr>
          <w:rFonts w:ascii="Bodoni MT" w:hAnsi="Bodoni MT"/>
          <w:sz w:val="24"/>
          <w:szCs w:val="24"/>
        </w:rPr>
        <w:t>de</w:t>
      </w:r>
      <w:r w:rsidR="00DE5507" w:rsidRPr="00021B56">
        <w:rPr>
          <w:rFonts w:ascii="Bodoni MT" w:hAnsi="Bodoni MT"/>
          <w:sz w:val="24"/>
          <w:szCs w:val="24"/>
        </w:rPr>
        <w:t>gli obblighi di monitoraggio e da</w:t>
      </w:r>
      <w:r w:rsidRPr="00021B56">
        <w:rPr>
          <w:rFonts w:ascii="Bodoni MT" w:hAnsi="Bodoni MT"/>
          <w:sz w:val="24"/>
          <w:szCs w:val="24"/>
        </w:rPr>
        <w:t xml:space="preserve"> essa</w:t>
      </w:r>
      <w:r w:rsidR="00DE5507" w:rsidRPr="00021B56">
        <w:rPr>
          <w:rFonts w:ascii="Bodoni MT" w:hAnsi="Bodoni MT"/>
          <w:sz w:val="24"/>
          <w:szCs w:val="24"/>
        </w:rPr>
        <w:t xml:space="preserve"> si evince il rispetto dell’obiettivo</w:t>
      </w:r>
      <w:r w:rsidRPr="00021B56">
        <w:rPr>
          <w:rFonts w:ascii="Bodoni MT" w:hAnsi="Bodoni MT"/>
          <w:sz w:val="24"/>
          <w:szCs w:val="24"/>
        </w:rPr>
        <w:t>; infatti d</w:t>
      </w:r>
      <w:r w:rsidR="00DE5507" w:rsidRPr="00021B56">
        <w:rPr>
          <w:rFonts w:ascii="Bodoni MT" w:hAnsi="Bodoni MT"/>
          <w:sz w:val="24"/>
          <w:szCs w:val="24"/>
        </w:rPr>
        <w:t xml:space="preserve">al prospetto allegato, </w:t>
      </w:r>
      <w:r w:rsidR="00DE5507" w:rsidRPr="00021B56">
        <w:rPr>
          <w:rFonts w:ascii="Bodoni MT" w:hAnsi="Bodoni MT"/>
          <w:b/>
          <w:sz w:val="24"/>
          <w:szCs w:val="24"/>
        </w:rPr>
        <w:t>risulta un</w:t>
      </w:r>
      <w:r w:rsidR="00DE5507" w:rsidRPr="00021B56">
        <w:rPr>
          <w:rFonts w:ascii="Bodoni MT" w:hAnsi="Bodoni MT"/>
          <w:sz w:val="24"/>
          <w:szCs w:val="24"/>
        </w:rPr>
        <w:t xml:space="preserve"> </w:t>
      </w:r>
      <w:r w:rsidR="00DE5507" w:rsidRPr="00021B56">
        <w:rPr>
          <w:rFonts w:ascii="Bodoni MT" w:hAnsi="Bodoni MT"/>
          <w:b/>
          <w:sz w:val="24"/>
          <w:szCs w:val="24"/>
        </w:rPr>
        <w:t xml:space="preserve">saldo positivo pari a 260,228 </w:t>
      </w:r>
      <w:r w:rsidR="00880BF6">
        <w:rPr>
          <w:rFonts w:ascii="Bodoni MT" w:hAnsi="Bodoni MT"/>
          <w:b/>
          <w:sz w:val="24"/>
          <w:szCs w:val="24"/>
        </w:rPr>
        <w:t>milioni</w:t>
      </w:r>
      <w:r w:rsidR="00DE5507" w:rsidRPr="00021B56">
        <w:rPr>
          <w:rFonts w:ascii="Bodoni MT" w:hAnsi="Bodoni MT"/>
          <w:b/>
          <w:sz w:val="24"/>
          <w:szCs w:val="24"/>
        </w:rPr>
        <w:t xml:space="preserve"> di euro</w:t>
      </w:r>
      <w:r w:rsidR="00DE5507" w:rsidRPr="00021B56">
        <w:rPr>
          <w:rFonts w:ascii="Bodoni MT" w:hAnsi="Bodoni MT"/>
          <w:sz w:val="24"/>
          <w:szCs w:val="24"/>
        </w:rPr>
        <w:t>.</w:t>
      </w:r>
      <w:r w:rsidR="00DE5507" w:rsidRPr="007021FE">
        <w:rPr>
          <w:rFonts w:ascii="Bodoni MT" w:hAnsi="Bodoni MT"/>
          <w:sz w:val="24"/>
          <w:szCs w:val="24"/>
        </w:rPr>
        <w:t xml:space="preserve"> Nel questionario compilato dal Responsabile dei Servizi Finanziari si precisa che la certificazione relativa al rispetto dell'obiettivo di saldo 2016 è stata inviata sulla base di dati provvisori e che, come previsto dalla normativa vigente, a seguito dell’approvazione del rendiconto da parte della Giunta Regionale si è provveduto a rettificare i dati oggetto della preced</w:t>
      </w:r>
      <w:r w:rsidR="00880BF6">
        <w:rPr>
          <w:rFonts w:ascii="Bodoni MT" w:hAnsi="Bodoni MT"/>
          <w:sz w:val="24"/>
          <w:szCs w:val="24"/>
        </w:rPr>
        <w:t>ente certificazione del 31/03/2017</w:t>
      </w:r>
      <w:r w:rsidR="00DE5507" w:rsidRPr="007021FE">
        <w:rPr>
          <w:rFonts w:ascii="Bodoni MT" w:hAnsi="Bodoni MT"/>
          <w:sz w:val="24"/>
          <w:szCs w:val="24"/>
        </w:rPr>
        <w:t>.</w:t>
      </w:r>
      <w:r w:rsidR="00426B14">
        <w:rPr>
          <w:rFonts w:ascii="Bodoni MT" w:hAnsi="Bodoni MT"/>
          <w:sz w:val="24"/>
          <w:szCs w:val="24"/>
        </w:rPr>
        <w:t xml:space="preserve"> </w:t>
      </w:r>
    </w:p>
    <w:p w:rsidR="00DE5507" w:rsidRPr="007021FE" w:rsidRDefault="00DE5507" w:rsidP="00DE5507">
      <w:pPr>
        <w:spacing w:line="360" w:lineRule="auto"/>
        <w:jc w:val="both"/>
        <w:rPr>
          <w:rFonts w:ascii="Bodoni MT" w:hAnsi="Bodoni MT"/>
          <w:sz w:val="24"/>
          <w:szCs w:val="24"/>
        </w:rPr>
      </w:pPr>
      <w:r w:rsidRPr="007021FE">
        <w:rPr>
          <w:rFonts w:ascii="Bodoni MT" w:hAnsi="Bodoni MT"/>
          <w:sz w:val="24"/>
          <w:szCs w:val="24"/>
        </w:rPr>
        <w:lastRenderedPageBreak/>
        <w:t>Di seguito si ripropone il modello relativo al monitoraggio del saldo di bilancio (Allegato A – Modello ISF/16) compilato in base ai dati definitivi di rendiconto</w:t>
      </w:r>
      <w:r w:rsidR="007021FE">
        <w:rPr>
          <w:rFonts w:ascii="Bodoni MT" w:hAnsi="Bodoni MT"/>
          <w:sz w:val="24"/>
          <w:szCs w:val="24"/>
        </w:rPr>
        <w:t>, appositamente acquisito agli atti della presente verifica</w:t>
      </w:r>
      <w:r w:rsidRPr="007021FE">
        <w:rPr>
          <w:rFonts w:ascii="Bodoni MT" w:hAnsi="Bodoni MT"/>
          <w:sz w:val="24"/>
          <w:szCs w:val="24"/>
        </w:rPr>
        <w:t>.</w:t>
      </w:r>
    </w:p>
    <w:p w:rsidR="005D660C" w:rsidRDefault="00C05880" w:rsidP="00C05880">
      <w:pPr>
        <w:pStyle w:val="Didascalia"/>
      </w:pPr>
      <w:bookmarkStart w:id="252" w:name="_Toc507422513"/>
      <w:r>
        <w:t xml:space="preserve">Tabella </w:t>
      </w:r>
      <w:r w:rsidR="00B90472">
        <w:fldChar w:fldCharType="begin"/>
      </w:r>
      <w:r w:rsidR="00B90472">
        <w:instrText xml:space="preserve"> SEQ Tabella \* ARABIC </w:instrText>
      </w:r>
      <w:r w:rsidR="00B90472">
        <w:fldChar w:fldCharType="separate"/>
      </w:r>
      <w:r w:rsidR="008616B3">
        <w:rPr>
          <w:noProof/>
        </w:rPr>
        <w:t>45</w:t>
      </w:r>
      <w:r w:rsidR="00B90472">
        <w:rPr>
          <w:noProof/>
        </w:rPr>
        <w:fldChar w:fldCharType="end"/>
      </w:r>
      <w:r w:rsidR="00DE5507">
        <w:t xml:space="preserve"> – Monitoraggio delle risultanze del pareggio di bilancio per l’anno 2016</w:t>
      </w:r>
      <w:bookmarkEnd w:id="252"/>
    </w:p>
    <w:p w:rsidR="00EC7741" w:rsidRPr="00021B56" w:rsidRDefault="005F1B3C" w:rsidP="005F1B3C">
      <w:pPr>
        <w:spacing w:after="0" w:line="240" w:lineRule="auto"/>
        <w:ind w:right="140"/>
        <w:jc w:val="right"/>
        <w:rPr>
          <w:rFonts w:ascii="Bodoni MT" w:hAnsi="Bodoni MT"/>
          <w:sz w:val="18"/>
          <w:szCs w:val="18"/>
        </w:rPr>
      </w:pPr>
      <w:r>
        <w:rPr>
          <w:rFonts w:ascii="Bodoni MT" w:hAnsi="Bodoni MT"/>
          <w:sz w:val="18"/>
          <w:szCs w:val="18"/>
        </w:rPr>
        <w:t>(</w:t>
      </w:r>
      <w:r w:rsidR="00021B56">
        <w:rPr>
          <w:rFonts w:ascii="Bodoni MT" w:hAnsi="Bodoni MT"/>
          <w:sz w:val="18"/>
          <w:szCs w:val="18"/>
        </w:rPr>
        <w:t>Importi in migliaia di euro</w:t>
      </w:r>
      <w:r>
        <w:rPr>
          <w:rFonts w:ascii="Bodoni MT" w:hAnsi="Bodoni MT"/>
          <w:sz w:val="18"/>
          <w:szCs w:val="18"/>
        </w:rPr>
        <w:t>)</w:t>
      </w:r>
    </w:p>
    <w:tbl>
      <w:tblPr>
        <w:tblW w:w="5000" w:type="pct"/>
        <w:tblCellMar>
          <w:left w:w="70" w:type="dxa"/>
          <w:right w:w="70" w:type="dxa"/>
        </w:tblCellMar>
        <w:tblLook w:val="04A0" w:firstRow="1" w:lastRow="0" w:firstColumn="1" w:lastColumn="0" w:noHBand="0" w:noVBand="1"/>
      </w:tblPr>
      <w:tblGrid>
        <w:gridCol w:w="5240"/>
        <w:gridCol w:w="1545"/>
        <w:gridCol w:w="1660"/>
        <w:gridCol w:w="1616"/>
      </w:tblGrid>
      <w:tr w:rsidR="00DE5507" w:rsidRPr="00DE5507" w:rsidTr="00646EDA">
        <w:trPr>
          <w:trHeight w:val="195"/>
        </w:trPr>
        <w:tc>
          <w:tcPr>
            <w:tcW w:w="2603"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EQUILIBRIO ENTRATE FINALI - SPESE FINALI</w:t>
            </w:r>
          </w:p>
        </w:tc>
        <w:tc>
          <w:tcPr>
            <w:tcW w:w="76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PREVISIONI DI</w:t>
            </w:r>
          </w:p>
        </w:tc>
        <w:tc>
          <w:tcPr>
            <w:tcW w:w="82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ACCERTAMENTI/</w:t>
            </w:r>
          </w:p>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IMPEGNI</w:t>
            </w:r>
          </w:p>
        </w:tc>
        <w:tc>
          <w:tcPr>
            <w:tcW w:w="803"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CASSA</w:t>
            </w:r>
          </w:p>
        </w:tc>
      </w:tr>
      <w:tr w:rsidR="00DE5507" w:rsidRPr="00DE5507" w:rsidTr="00646EDA">
        <w:trPr>
          <w:trHeight w:val="399"/>
        </w:trPr>
        <w:tc>
          <w:tcPr>
            <w:tcW w:w="2603" w:type="pct"/>
            <w:tcBorders>
              <w:top w:val="nil"/>
              <w:left w:val="single" w:sz="4" w:space="0" w:color="auto"/>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(ART. 1, comma 711, Legge di stabilità 2016)</w:t>
            </w:r>
          </w:p>
        </w:tc>
        <w:tc>
          <w:tcPr>
            <w:tcW w:w="768"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COMPETENZA 2016</w:t>
            </w:r>
          </w:p>
        </w:tc>
        <w:tc>
          <w:tcPr>
            <w:tcW w:w="825"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A TUTTO IL 31/12/2016</w:t>
            </w:r>
          </w:p>
        </w:tc>
        <w:tc>
          <w:tcPr>
            <w:tcW w:w="803"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A TUTTO IL 2016</w:t>
            </w:r>
            <w:r w:rsidRPr="00DE5507">
              <w:rPr>
                <w:rFonts w:ascii="Bodoni MT" w:eastAsia="Times New Roman" w:hAnsi="Bodoni MT" w:cs="Times New Roman"/>
                <w:b/>
                <w:bCs/>
                <w:color w:val="FFFFFF" w:themeColor="background1"/>
                <w:sz w:val="16"/>
                <w:szCs w:val="16"/>
                <w:lang w:eastAsia="it-IT"/>
              </w:rPr>
              <w:br/>
              <w:t>(facoltativo) (6)</w:t>
            </w:r>
          </w:p>
        </w:tc>
      </w:tr>
      <w:tr w:rsidR="00DE5507" w:rsidRPr="00DE5507" w:rsidTr="007021FE">
        <w:trPr>
          <w:trHeight w:val="22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A) Fondo pluriennale vincolato di entrata per spese correnti (1)</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56.503</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56.503</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0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B) Fondo pluriennale vincolato di entrata in conto capitale al netto delle quote finanziate da debito (1)</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288.480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288.480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3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B/bis) Fondo pluriennale vincolato di entrata per partite finanziarie (1)</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09"/>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C) Titolo 1 - Entrate correnti di natura tributaria, contributiva e perequativa</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7.104.007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6.973.199</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41"/>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D1) Titolo 2 -  Trasferimenti correnti</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417.002</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300.346</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1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D2) Contributo di cui all'art. 1, comma 683, legge di stabilità 2016</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1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D3) Accertamenti per compartecipazione IVA effettuati a titolo di sistemazione contabile in applicazione dell'art. 1, c. 530, L 232/2016</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20"/>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D) Titolo 2 - Trasferimenti correnti validi ai fini dei saldi finanza pubblica (D=D1D2-D3)</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417.002</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300.346</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E) Titolo 3 - Entrate extratributarie</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103.204</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76.151</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F) Titolo 4 - Entrate in c/capitale</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1.062.494</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898.728</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6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G) Titolo 5 - Entrate da riduzione di attività finanziarie</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411.492</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191.664</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1E794C">
        <w:trPr>
          <w:trHeight w:val="113"/>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1E794C">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 xml:space="preserve">H) </w:t>
            </w:r>
            <w:r w:rsidR="001E794C" w:rsidRPr="00DE5507">
              <w:rPr>
                <w:rFonts w:ascii="Bodoni MT" w:eastAsia="Times New Roman" w:hAnsi="Bodoni MT" w:cs="Times New Roman"/>
                <w:b/>
                <w:bCs/>
                <w:color w:val="FFFFFF" w:themeColor="background1"/>
                <w:sz w:val="16"/>
                <w:szCs w:val="16"/>
                <w:lang w:eastAsia="it-IT"/>
              </w:rPr>
              <w:t xml:space="preserve">Entrate finali </w:t>
            </w:r>
            <w:r w:rsidRPr="00DE5507">
              <w:rPr>
                <w:rFonts w:ascii="Bodoni MT" w:eastAsia="Times New Roman" w:hAnsi="Bodoni MT" w:cs="Times New Roman"/>
                <w:b/>
                <w:bCs/>
                <w:color w:val="FFFFFF" w:themeColor="background1"/>
                <w:sz w:val="16"/>
                <w:szCs w:val="16"/>
                <w:lang w:eastAsia="it-IT"/>
              </w:rPr>
              <w:t>(H=C+D+E+F+G)</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9.098.199</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8.440.088</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8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I1) Titolo 1 - Spese correnti al netto del fondo pluriennale vincolato</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6.880.723</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6.403.132</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I2) Fondo pluriennale vincolato di parte corrente</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35.087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35.087</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51"/>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I3) Fondo crediti di dubbia esigibilità di parte corrente (2)</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11.057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EC7741">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26"/>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I4) Fondo contenzioso (destinato a confluire nel risultato di amministrazione)</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12.157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EC7741">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43"/>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I5) Altri accantonamenti (destinati a confluire nel risultato di amministrazione) (3)</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236.091</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EC7741">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642"/>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I6) Impegni del perimetro sanitario del bilancio finanziati dagli utilizzi del risultato di amministrazione relativo alla gestione sanitaria formatosi nell'esercizio 2015 (art. 1, c. 712-ter, legge stabilità 2016)</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11"/>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I7) impegni effettuati in funzione dell'acquisizione, nel 2016, delle anticipazioni di liquidità di cui all'articolo 3, comma 1, lettera a), del decreto-legge 8 aprile 2013, n. 35</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20"/>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I) Titolo 1 - Spese correnti valide ai fini dei saldi di finanza pubblica (I=I1+I2-I3I4-I5-I6-I7)</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6.656.505</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6.438.219</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2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L1) Titolo 2 - Spese in c/ capitale al netto del fondo pluriennale vincolato</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1.615.786</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240</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500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3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L2) Fondo pluriennale vincolato in c/capitale al netto della quota finanziata da debito (1)</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643.970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643</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970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L3) Fondo crediti di dubbia esigibilità in c/capitale (2)</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2"/>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L4) Altri accantonamenti (destinati a confluire nel risultato di amministrazione) (3)</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6.897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450"/>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L) Titolo 2 - Spese in c/capitale valide ai fini dei saldi di finanza pubblica (L=L1+L2-L3-L4)</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2.252.859</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884</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470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M) Titolo 3 - Spese per incremento di attività finanziaria</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426.307</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202</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152</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 xml:space="preserve">N) </w:t>
            </w:r>
            <w:r w:rsidR="001E794C" w:rsidRPr="00DE5507">
              <w:rPr>
                <w:rFonts w:ascii="Bodoni MT" w:eastAsia="Times New Roman" w:hAnsi="Bodoni MT" w:cs="Times New Roman"/>
                <w:color w:val="FFFFFF" w:themeColor="background1"/>
                <w:sz w:val="16"/>
                <w:szCs w:val="16"/>
                <w:lang w:eastAsia="it-IT"/>
              </w:rPr>
              <w:t xml:space="preserve">Spese finali </w:t>
            </w:r>
            <w:r w:rsidRPr="00DE5507">
              <w:rPr>
                <w:rFonts w:ascii="Bodoni MT" w:eastAsia="Times New Roman" w:hAnsi="Bodoni MT" w:cs="Times New Roman"/>
                <w:color w:val="FFFFFF" w:themeColor="background1"/>
                <w:sz w:val="16"/>
                <w:szCs w:val="16"/>
                <w:lang w:eastAsia="it-IT"/>
              </w:rPr>
              <w:t>(N=I+L+M)</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9.335.671</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8</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524</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841</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56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J) Saldo anticipazione finanziamento sanità (anticip. sanità concessa -  le relative regolazioni contabili per i rimborsi anticipazione sanità effettuate nell'anno) (solo ai fini saldo di cassa)</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263"/>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 xml:space="preserve">O) </w:t>
            </w:r>
            <w:r w:rsidR="001E794C" w:rsidRPr="00DE5507">
              <w:rPr>
                <w:rFonts w:ascii="Bodoni MT" w:eastAsia="Times New Roman" w:hAnsi="Bodoni MT" w:cs="Times New Roman"/>
                <w:color w:val="FFFFFF" w:themeColor="background1"/>
                <w:sz w:val="16"/>
                <w:szCs w:val="16"/>
                <w:lang w:eastAsia="it-IT"/>
              </w:rPr>
              <w:t xml:space="preserve">Saldo tra entrate e spese finali valide ai fini dei saldi di finanza pubblica </w:t>
            </w:r>
            <w:r w:rsidRPr="00DE5507">
              <w:rPr>
                <w:rFonts w:ascii="Bodoni MT" w:eastAsia="Times New Roman" w:hAnsi="Bodoni MT" w:cs="Times New Roman"/>
                <w:color w:val="FFFFFF" w:themeColor="background1"/>
                <w:sz w:val="16"/>
                <w:szCs w:val="16"/>
                <w:lang w:eastAsia="it-IT"/>
              </w:rPr>
              <w:t>(O=A+B+B/bis+H-N+J)</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107.511</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260230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5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P) Spazi finanziari ceduti agli enti locali (art. 1, comma 728, L. n. 208/2015) (4)</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57"/>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 xml:space="preserve">Q) </w:t>
            </w:r>
            <w:r w:rsidR="001E794C" w:rsidRPr="00DE5507">
              <w:rPr>
                <w:rFonts w:ascii="Bodoni MT" w:eastAsia="Times New Roman" w:hAnsi="Bodoni MT" w:cs="Times New Roman"/>
                <w:color w:val="FFFFFF" w:themeColor="background1"/>
                <w:sz w:val="16"/>
                <w:szCs w:val="16"/>
                <w:lang w:eastAsia="it-IT"/>
              </w:rPr>
              <w:t xml:space="preserve">Saldo tra entrate e spese finali netto </w:t>
            </w:r>
            <w:r w:rsidRPr="00DE5507">
              <w:rPr>
                <w:rFonts w:ascii="Bodoni MT" w:eastAsia="Times New Roman" w:hAnsi="Bodoni MT" w:cs="Times New Roman"/>
                <w:color w:val="FFFFFF" w:themeColor="background1"/>
                <w:sz w:val="16"/>
                <w:szCs w:val="16"/>
                <w:lang w:eastAsia="it-IT"/>
              </w:rPr>
              <w:t>(Q=O-P) (5)</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107.511</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260</w:t>
            </w:r>
            <w:r w:rsidR="00767DD5">
              <w:rPr>
                <w:rFonts w:ascii="Bodoni MT" w:eastAsia="Times New Roman" w:hAnsi="Bodoni MT" w:cs="Calibri"/>
                <w:color w:val="000000"/>
                <w:sz w:val="16"/>
                <w:szCs w:val="16"/>
                <w:lang w:eastAsia="it-IT"/>
              </w:rPr>
              <w:t>.</w:t>
            </w:r>
            <w:r w:rsidRPr="00DE5507">
              <w:rPr>
                <w:rFonts w:ascii="Bodoni MT" w:eastAsia="Times New Roman" w:hAnsi="Bodoni MT" w:cs="Calibri"/>
                <w:color w:val="000000"/>
                <w:sz w:val="16"/>
                <w:szCs w:val="16"/>
                <w:lang w:eastAsia="it-IT"/>
              </w:rPr>
              <w:t>230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175"/>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 xml:space="preserve">R) </w:t>
            </w:r>
            <w:r w:rsidR="001E794C" w:rsidRPr="00DE5507">
              <w:rPr>
                <w:rFonts w:ascii="Bodoni MT" w:eastAsia="Times New Roman" w:hAnsi="Bodoni MT" w:cs="Times New Roman"/>
                <w:color w:val="FFFFFF" w:themeColor="background1"/>
                <w:sz w:val="16"/>
                <w:szCs w:val="16"/>
                <w:lang w:eastAsia="it-IT"/>
              </w:rPr>
              <w:t>Obiettivo di saldo di cui all'intesa dell'11 febbraio 2016</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7021FE">
        <w:trPr>
          <w:trHeight w:val="321"/>
        </w:trPr>
        <w:tc>
          <w:tcPr>
            <w:tcW w:w="2603"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C96DEC"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 xml:space="preserve">S) </w:t>
            </w:r>
            <w:r w:rsidR="001E794C" w:rsidRPr="00DE5507">
              <w:rPr>
                <w:rFonts w:ascii="Bodoni MT" w:eastAsia="Times New Roman" w:hAnsi="Bodoni MT" w:cs="Times New Roman"/>
                <w:color w:val="FFFFFF" w:themeColor="background1"/>
                <w:sz w:val="16"/>
                <w:szCs w:val="16"/>
                <w:lang w:eastAsia="it-IT"/>
              </w:rPr>
              <w:t>Differenza tra il saldo tra entrate e spese finali netto e obiettivo</w:t>
            </w:r>
            <w:r w:rsidRPr="00DE5507">
              <w:rPr>
                <w:rFonts w:ascii="Bodoni MT" w:eastAsia="Times New Roman" w:hAnsi="Bodoni MT" w:cs="Times New Roman"/>
                <w:color w:val="FFFFFF" w:themeColor="background1"/>
                <w:sz w:val="16"/>
                <w:szCs w:val="16"/>
                <w:lang w:eastAsia="it-IT"/>
              </w:rPr>
              <w:t xml:space="preserve"> </w:t>
            </w:r>
          </w:p>
          <w:p w:rsidR="00DE5507" w:rsidRPr="00DE5507" w:rsidRDefault="00DE5507" w:rsidP="00DE5507">
            <w:pPr>
              <w:spacing w:after="0" w:line="240" w:lineRule="auto"/>
              <w:rPr>
                <w:rFonts w:ascii="Bodoni MT" w:eastAsia="Times New Roman" w:hAnsi="Bodoni MT" w:cs="Times New Roman"/>
                <w:color w:val="FFFFFF" w:themeColor="background1"/>
                <w:sz w:val="16"/>
                <w:szCs w:val="16"/>
                <w:lang w:eastAsia="it-IT"/>
              </w:rPr>
            </w:pPr>
            <w:r w:rsidRPr="00DE5507">
              <w:rPr>
                <w:rFonts w:ascii="Bodoni MT" w:eastAsia="Times New Roman" w:hAnsi="Bodoni MT" w:cs="Times New Roman"/>
                <w:color w:val="FFFFFF" w:themeColor="background1"/>
                <w:sz w:val="16"/>
                <w:szCs w:val="16"/>
                <w:lang w:eastAsia="it-IT"/>
              </w:rPr>
              <w:t>(S=Q-R)</w:t>
            </w:r>
          </w:p>
        </w:tc>
        <w:tc>
          <w:tcPr>
            <w:tcW w:w="768"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107.511</w:t>
            </w:r>
          </w:p>
        </w:tc>
        <w:tc>
          <w:tcPr>
            <w:tcW w:w="825"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5F1B3C">
              <w:rPr>
                <w:rFonts w:ascii="Bodoni MT" w:eastAsia="Times New Roman" w:hAnsi="Bodoni MT" w:cs="Calibri"/>
                <w:color w:val="000000"/>
                <w:sz w:val="16"/>
                <w:szCs w:val="16"/>
                <w:lang w:eastAsia="it-IT"/>
              </w:rPr>
              <w:t>260</w:t>
            </w:r>
            <w:r w:rsidR="00767DD5" w:rsidRPr="005F1B3C">
              <w:rPr>
                <w:rFonts w:ascii="Bodoni MT" w:eastAsia="Times New Roman" w:hAnsi="Bodoni MT" w:cs="Calibri"/>
                <w:color w:val="000000"/>
                <w:sz w:val="16"/>
                <w:szCs w:val="16"/>
                <w:lang w:eastAsia="it-IT"/>
              </w:rPr>
              <w:t>.</w:t>
            </w:r>
            <w:r w:rsidRPr="005F1B3C">
              <w:rPr>
                <w:rFonts w:ascii="Bodoni MT" w:eastAsia="Times New Roman" w:hAnsi="Bodoni MT" w:cs="Calibri"/>
                <w:color w:val="000000"/>
                <w:sz w:val="16"/>
                <w:szCs w:val="16"/>
                <w:lang w:eastAsia="it-IT"/>
              </w:rPr>
              <w:t>230</w:t>
            </w:r>
          </w:p>
        </w:tc>
        <w:tc>
          <w:tcPr>
            <w:tcW w:w="803"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bl>
    <w:p w:rsidR="007021FE" w:rsidRDefault="007021FE"/>
    <w:tbl>
      <w:tblPr>
        <w:tblW w:w="5000" w:type="pct"/>
        <w:tblCellMar>
          <w:left w:w="70" w:type="dxa"/>
          <w:right w:w="70" w:type="dxa"/>
        </w:tblCellMar>
        <w:tblLook w:val="04A0" w:firstRow="1" w:lastRow="0" w:firstColumn="1" w:lastColumn="0" w:noHBand="0" w:noVBand="1"/>
      </w:tblPr>
      <w:tblGrid>
        <w:gridCol w:w="5151"/>
        <w:gridCol w:w="1577"/>
        <w:gridCol w:w="1686"/>
        <w:gridCol w:w="1647"/>
      </w:tblGrid>
      <w:tr w:rsidR="00DE5507" w:rsidRPr="00DE5507" w:rsidTr="00AB3E80">
        <w:trPr>
          <w:trHeight w:val="143"/>
        </w:trPr>
        <w:tc>
          <w:tcPr>
            <w:tcW w:w="2567" w:type="pct"/>
            <w:vMerge w:val="restart"/>
            <w:tcBorders>
              <w:top w:val="nil"/>
              <w:left w:val="single" w:sz="4" w:space="0" w:color="auto"/>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lastRenderedPageBreak/>
              <w:t>Sezione 3-INFORMAZIONI AGGIUNTIVE</w:t>
            </w:r>
          </w:p>
        </w:tc>
        <w:tc>
          <w:tcPr>
            <w:tcW w:w="2433" w:type="pct"/>
            <w:gridSpan w:val="3"/>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Previsioni annuali aggiornate</w:t>
            </w:r>
          </w:p>
        </w:tc>
      </w:tr>
      <w:tr w:rsidR="00DE5507" w:rsidRPr="00DE5507" w:rsidTr="00AB3E80">
        <w:trPr>
          <w:trHeight w:val="43"/>
        </w:trPr>
        <w:tc>
          <w:tcPr>
            <w:tcW w:w="2567" w:type="pct"/>
            <w:vMerge/>
            <w:tcBorders>
              <w:top w:val="nil"/>
              <w:left w:val="single" w:sz="4" w:space="0" w:color="auto"/>
              <w:bottom w:val="single" w:sz="4" w:space="0" w:color="auto"/>
              <w:right w:val="single" w:sz="4" w:space="0" w:color="auto"/>
            </w:tcBorders>
            <w:shd w:val="clear" w:color="auto" w:fill="17365D" w:themeFill="text2" w:themeFillShade="BF"/>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p>
        </w:tc>
        <w:tc>
          <w:tcPr>
            <w:tcW w:w="781"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Calibri"/>
                <w:b/>
                <w:bCs/>
                <w:color w:val="FFFFFF" w:themeColor="background1"/>
                <w:sz w:val="16"/>
                <w:szCs w:val="16"/>
                <w:lang w:eastAsia="it-IT"/>
              </w:rPr>
            </w:pPr>
            <w:r w:rsidRPr="00DE5507">
              <w:rPr>
                <w:rFonts w:ascii="Bodoni MT" w:eastAsia="Times New Roman" w:hAnsi="Bodoni MT" w:cs="Calibri"/>
                <w:b/>
                <w:bCs/>
                <w:color w:val="FFFFFF" w:themeColor="background1"/>
                <w:sz w:val="16"/>
                <w:szCs w:val="16"/>
                <w:lang w:eastAsia="it-IT"/>
              </w:rPr>
              <w:t>2016</w:t>
            </w:r>
          </w:p>
        </w:tc>
        <w:tc>
          <w:tcPr>
            <w:tcW w:w="836"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Calibri"/>
                <w:b/>
                <w:bCs/>
                <w:color w:val="FFFFFF" w:themeColor="background1"/>
                <w:sz w:val="16"/>
                <w:szCs w:val="16"/>
                <w:lang w:eastAsia="it-IT"/>
              </w:rPr>
            </w:pPr>
            <w:r w:rsidRPr="00DE5507">
              <w:rPr>
                <w:rFonts w:ascii="Bodoni MT" w:eastAsia="Times New Roman" w:hAnsi="Bodoni MT" w:cs="Calibri"/>
                <w:b/>
                <w:bCs/>
                <w:color w:val="FFFFFF" w:themeColor="background1"/>
                <w:sz w:val="16"/>
                <w:szCs w:val="16"/>
                <w:lang w:eastAsia="it-IT"/>
              </w:rPr>
              <w:t>2017</w:t>
            </w:r>
          </w:p>
        </w:tc>
        <w:tc>
          <w:tcPr>
            <w:tcW w:w="816"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Calibri"/>
                <w:b/>
                <w:bCs/>
                <w:color w:val="FFFFFF" w:themeColor="background1"/>
                <w:sz w:val="16"/>
                <w:szCs w:val="16"/>
                <w:lang w:eastAsia="it-IT"/>
              </w:rPr>
            </w:pPr>
            <w:r w:rsidRPr="00DE5507">
              <w:rPr>
                <w:rFonts w:ascii="Bodoni MT" w:eastAsia="Times New Roman" w:hAnsi="Bodoni MT" w:cs="Calibri"/>
                <w:b/>
                <w:bCs/>
                <w:color w:val="FFFFFF" w:themeColor="background1"/>
                <w:sz w:val="16"/>
                <w:szCs w:val="16"/>
                <w:lang w:eastAsia="it-IT"/>
              </w:rPr>
              <w:t>2018</w:t>
            </w:r>
          </w:p>
        </w:tc>
      </w:tr>
      <w:tr w:rsidR="00DE5507" w:rsidRPr="00DE5507" w:rsidTr="00AB3E80">
        <w:trPr>
          <w:trHeight w:val="255"/>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 Fondo pluriennale di entrata di parte corrente</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56.503</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35.087</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w:t>
            </w:r>
          </w:p>
        </w:tc>
      </w:tr>
      <w:tr w:rsidR="00DE5507" w:rsidRPr="00DE5507" w:rsidTr="00AB3E80">
        <w:trPr>
          <w:trHeight w:val="255"/>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2) Fondo pluriennale di entrata in c/capitale</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288.480</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643.970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33.790</w:t>
            </w:r>
          </w:p>
        </w:tc>
      </w:tr>
      <w:tr w:rsidR="00DE5507" w:rsidRPr="00DE5507" w:rsidTr="00AB3E80">
        <w:trPr>
          <w:trHeight w:val="229"/>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3) Quota del Fondo pluriennale di entrata in c/capitale finanziata da debito</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trHeight w:val="255"/>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4) Fondo pluriennale di spesa di parte corrente</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35.087</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trHeight w:val="255"/>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5) Fondo pluriennale di spesa in c/capitale</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643.970</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33.790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6.513</w:t>
            </w:r>
          </w:p>
        </w:tc>
      </w:tr>
      <w:tr w:rsidR="00DE5507" w:rsidRPr="00DE5507" w:rsidTr="00AB3E80">
        <w:trPr>
          <w:trHeight w:val="282"/>
        </w:trPr>
        <w:tc>
          <w:tcPr>
            <w:tcW w:w="2567"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6) Quota del Fondo pluriennale di spesa in c/capitale finanziata da debito</w:t>
            </w:r>
          </w:p>
        </w:tc>
        <w:tc>
          <w:tcPr>
            <w:tcW w:w="7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trHeight w:val="420"/>
        </w:trPr>
        <w:tc>
          <w:tcPr>
            <w:tcW w:w="2567"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7) Fondo crediti di dubbia esigibilità di parte corrente iscritto nella spesa del bilancio di previsione</w:t>
            </w:r>
          </w:p>
        </w:tc>
        <w:tc>
          <w:tcPr>
            <w:tcW w:w="781" w:type="pct"/>
            <w:tcBorders>
              <w:top w:val="single" w:sz="4" w:space="0" w:color="auto"/>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11.057</w:t>
            </w:r>
          </w:p>
        </w:tc>
        <w:tc>
          <w:tcPr>
            <w:tcW w:w="836" w:type="pct"/>
            <w:tcBorders>
              <w:top w:val="single" w:sz="4" w:space="0" w:color="auto"/>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807</w:t>
            </w:r>
          </w:p>
        </w:tc>
        <w:tc>
          <w:tcPr>
            <w:tcW w:w="816" w:type="pct"/>
            <w:tcBorders>
              <w:top w:val="single" w:sz="4" w:space="0" w:color="auto"/>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761</w:t>
            </w:r>
          </w:p>
        </w:tc>
      </w:tr>
      <w:tr w:rsidR="00DE5507" w:rsidRPr="00DE5507" w:rsidTr="00AB3E80">
        <w:trPr>
          <w:trHeight w:val="420"/>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8) Fondo crediti di dubbia esigibilità di parte corrente di cui al punto 7) determinato in assenza di gradualità</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11.057</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807</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761</w:t>
            </w:r>
          </w:p>
        </w:tc>
      </w:tr>
      <w:tr w:rsidR="00DE5507" w:rsidRPr="00DE5507" w:rsidTr="00AB3E80">
        <w:trPr>
          <w:trHeight w:val="420"/>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9) Fondo crediti di dubbia esigibilità in c/capitale iscritto nella spesa del bilancio di previsione</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trHeight w:val="403"/>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10) Fondo crediti di dubbia esigibilità in c/capitale di cui al punto 9) determinato in assenza di gradualità</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3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c>
          <w:tcPr>
            <w:tcW w:w="816"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trHeight w:val="139"/>
        </w:trPr>
        <w:tc>
          <w:tcPr>
            <w:tcW w:w="2567" w:type="pct"/>
            <w:tcBorders>
              <w:top w:val="nil"/>
              <w:left w:val="single" w:sz="4" w:space="0" w:color="auto"/>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 </w:t>
            </w:r>
          </w:p>
        </w:tc>
        <w:tc>
          <w:tcPr>
            <w:tcW w:w="781" w:type="pct"/>
            <w:tcBorders>
              <w:top w:val="nil"/>
              <w:left w:val="nil"/>
              <w:bottom w:val="single" w:sz="4" w:space="0" w:color="auto"/>
              <w:right w:val="single" w:sz="4" w:space="0" w:color="auto"/>
            </w:tcBorders>
            <w:shd w:val="clear" w:color="auto" w:fill="0F243E" w:themeFill="text2" w:themeFillShade="80"/>
            <w:vAlign w:val="center"/>
            <w:hideMark/>
          </w:tcPr>
          <w:p w:rsidR="00DE5507" w:rsidRPr="00DE5507" w:rsidRDefault="00DE5507" w:rsidP="00DE5507">
            <w:pPr>
              <w:spacing w:after="0" w:line="240" w:lineRule="auto"/>
              <w:jc w:val="center"/>
              <w:rPr>
                <w:rFonts w:ascii="Bodoni MT" w:eastAsia="Times New Roman" w:hAnsi="Bodoni MT" w:cs="Calibri"/>
                <w:b/>
                <w:bCs/>
                <w:color w:val="000000"/>
                <w:sz w:val="16"/>
                <w:szCs w:val="16"/>
                <w:lang w:eastAsia="it-IT"/>
              </w:rPr>
            </w:pPr>
            <w:r w:rsidRPr="00DE5507">
              <w:rPr>
                <w:rFonts w:ascii="Bodoni MT" w:eastAsia="Times New Roman" w:hAnsi="Bodoni MT" w:cs="Calibri"/>
                <w:b/>
                <w:bCs/>
                <w:color w:val="FFFFFF" w:themeColor="background1"/>
                <w:sz w:val="16"/>
                <w:szCs w:val="16"/>
                <w:lang w:eastAsia="it-IT"/>
              </w:rPr>
              <w:t>2015</w:t>
            </w:r>
          </w:p>
        </w:tc>
        <w:tc>
          <w:tcPr>
            <w:tcW w:w="8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5507" w:rsidRPr="00DE5507" w:rsidRDefault="00DE5507" w:rsidP="00DE5507">
            <w:pPr>
              <w:spacing w:after="0" w:line="240" w:lineRule="auto"/>
              <w:jc w:val="center"/>
              <w:rPr>
                <w:rFonts w:ascii="Bodoni MT" w:eastAsia="Times New Roman" w:hAnsi="Bodoni MT" w:cs="Calibri"/>
                <w:b/>
                <w:bCs/>
                <w:color w:val="000000"/>
                <w:sz w:val="16"/>
                <w:szCs w:val="16"/>
                <w:lang w:eastAsia="it-IT"/>
              </w:rPr>
            </w:pPr>
          </w:p>
        </w:tc>
        <w:tc>
          <w:tcPr>
            <w:tcW w:w="81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5507" w:rsidRPr="00DE5507" w:rsidRDefault="00DE5507" w:rsidP="00DE5507">
            <w:pPr>
              <w:spacing w:after="0" w:line="240" w:lineRule="auto"/>
              <w:rPr>
                <w:rFonts w:ascii="Bodoni MT" w:eastAsia="Times New Roman" w:hAnsi="Bodoni MT" w:cs="Times New Roman"/>
                <w:sz w:val="16"/>
                <w:szCs w:val="16"/>
                <w:lang w:eastAsia="it-IT"/>
              </w:rPr>
            </w:pPr>
          </w:p>
        </w:tc>
      </w:tr>
      <w:tr w:rsidR="00DE5507" w:rsidRPr="00DE5507" w:rsidTr="00AB3E80">
        <w:trPr>
          <w:trHeight w:val="355"/>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11) Risultato di amministrazione al 31 dicembre 2015 (indicare il disavanzo con il segno "-")</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-628.688</w:t>
            </w:r>
          </w:p>
        </w:tc>
        <w:tc>
          <w:tcPr>
            <w:tcW w:w="8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5507" w:rsidRPr="00DE5507" w:rsidRDefault="00DE5507" w:rsidP="00DE5507">
            <w:pPr>
              <w:spacing w:after="0" w:line="240" w:lineRule="auto"/>
              <w:rPr>
                <w:rFonts w:ascii="Bodoni MT" w:eastAsia="Times New Roman" w:hAnsi="Bodoni MT" w:cs="Calibri"/>
                <w:b/>
                <w:bCs/>
                <w:color w:val="000000"/>
                <w:sz w:val="16"/>
                <w:szCs w:val="16"/>
                <w:lang w:eastAsia="it-IT"/>
              </w:rPr>
            </w:pPr>
          </w:p>
        </w:tc>
        <w:tc>
          <w:tcPr>
            <w:tcW w:w="81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5507" w:rsidRPr="00DE5507" w:rsidRDefault="00DE5507" w:rsidP="00DE5507">
            <w:pPr>
              <w:spacing w:after="0" w:line="240" w:lineRule="auto"/>
              <w:rPr>
                <w:rFonts w:ascii="Bodoni MT" w:eastAsia="Times New Roman" w:hAnsi="Bodoni MT" w:cs="Times New Roman"/>
                <w:sz w:val="16"/>
                <w:szCs w:val="16"/>
                <w:lang w:eastAsia="it-IT"/>
              </w:rPr>
            </w:pPr>
          </w:p>
        </w:tc>
      </w:tr>
      <w:tr w:rsidR="00DE5507" w:rsidRPr="00DE5507" w:rsidTr="00AB3E80">
        <w:trPr>
          <w:gridAfter w:val="2"/>
          <w:wAfter w:w="1652" w:type="pct"/>
          <w:trHeight w:val="247"/>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12) Parte accantonata del risultato di amministrazione al 31 dicembre 2015</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476.482</w:t>
            </w:r>
          </w:p>
        </w:tc>
      </w:tr>
      <w:tr w:rsidR="00DE5507" w:rsidRPr="00DE5507" w:rsidTr="00AB3E80">
        <w:trPr>
          <w:gridAfter w:val="2"/>
          <w:wAfter w:w="1652" w:type="pct"/>
          <w:trHeight w:val="279"/>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13) Parte vincolata del risultato di amministrazione al 31 dicembre 2015</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288.530</w:t>
            </w:r>
          </w:p>
        </w:tc>
      </w:tr>
      <w:tr w:rsidR="00DE5507" w:rsidRPr="00DE5507" w:rsidTr="00AB3E80">
        <w:trPr>
          <w:gridAfter w:val="2"/>
          <w:wAfter w:w="1652" w:type="pct"/>
          <w:trHeight w:val="420"/>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14) Parte del risultato di amministrazione al 31 dicembre 2015 destinata agli investimenti</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0</w:t>
            </w:r>
          </w:p>
        </w:tc>
      </w:tr>
      <w:tr w:rsidR="00DE5507" w:rsidRPr="00DE5507" w:rsidTr="00AB3E80">
        <w:trPr>
          <w:gridAfter w:val="2"/>
          <w:wAfter w:w="1652" w:type="pct"/>
          <w:trHeight w:val="544"/>
        </w:trPr>
        <w:tc>
          <w:tcPr>
            <w:tcW w:w="25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DE5507" w:rsidRPr="00DE5507" w:rsidRDefault="00DE5507" w:rsidP="00DE5507">
            <w:pPr>
              <w:spacing w:after="0" w:line="240" w:lineRule="auto"/>
              <w:rPr>
                <w:rFonts w:ascii="Bodoni MT" w:eastAsia="Times New Roman" w:hAnsi="Bodoni MT" w:cs="Times New Roman"/>
                <w:b/>
                <w:bCs/>
                <w:color w:val="FFFFFF" w:themeColor="background1"/>
                <w:sz w:val="16"/>
                <w:szCs w:val="16"/>
                <w:lang w:eastAsia="it-IT"/>
              </w:rPr>
            </w:pPr>
            <w:r w:rsidRPr="00DE5507">
              <w:rPr>
                <w:rFonts w:ascii="Bodoni MT" w:eastAsia="Times New Roman" w:hAnsi="Bodoni MT" w:cs="Times New Roman"/>
                <w:b/>
                <w:bCs/>
                <w:color w:val="FFFFFF" w:themeColor="background1"/>
                <w:sz w:val="16"/>
                <w:szCs w:val="16"/>
                <w:lang w:eastAsia="it-IT"/>
              </w:rPr>
              <w:t>15) Parte libera del risultato di amministrazione al 31 dicembre 2015/Disavanzo di amministrazione al 31 dicembre 2015 da ripianare (indicare il disavanzo con il segno "-")</w:t>
            </w:r>
          </w:p>
        </w:tc>
        <w:tc>
          <w:tcPr>
            <w:tcW w:w="781" w:type="pct"/>
            <w:tcBorders>
              <w:top w:val="nil"/>
              <w:left w:val="nil"/>
              <w:bottom w:val="single" w:sz="4" w:space="0" w:color="auto"/>
              <w:right w:val="single" w:sz="4" w:space="0" w:color="auto"/>
            </w:tcBorders>
            <w:shd w:val="clear" w:color="auto" w:fill="auto"/>
            <w:vAlign w:val="center"/>
            <w:hideMark/>
          </w:tcPr>
          <w:p w:rsidR="00DE5507" w:rsidRPr="00DE5507" w:rsidRDefault="00DE5507" w:rsidP="00DE5507">
            <w:pPr>
              <w:spacing w:after="0" w:line="240" w:lineRule="auto"/>
              <w:jc w:val="center"/>
              <w:rPr>
                <w:rFonts w:ascii="Bodoni MT" w:eastAsia="Times New Roman" w:hAnsi="Bodoni MT" w:cs="Calibri"/>
                <w:color w:val="000000"/>
                <w:sz w:val="16"/>
                <w:szCs w:val="16"/>
                <w:lang w:eastAsia="it-IT"/>
              </w:rPr>
            </w:pPr>
            <w:r w:rsidRPr="00DE5507">
              <w:rPr>
                <w:rFonts w:ascii="Bodoni MT" w:eastAsia="Times New Roman" w:hAnsi="Bodoni MT" w:cs="Calibri"/>
                <w:color w:val="000000"/>
                <w:sz w:val="16"/>
                <w:szCs w:val="16"/>
                <w:lang w:eastAsia="it-IT"/>
              </w:rPr>
              <w:t>-1.393.700</w:t>
            </w:r>
          </w:p>
        </w:tc>
      </w:tr>
      <w:tr w:rsidR="00DE5507" w:rsidRPr="00DE5507" w:rsidTr="003E55B8">
        <w:trPr>
          <w:trHeight w:val="113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507" w:rsidRPr="00DE5507" w:rsidRDefault="00DE5507" w:rsidP="00DE5507">
            <w:pPr>
              <w:spacing w:after="0" w:line="240" w:lineRule="auto"/>
              <w:rPr>
                <w:rFonts w:ascii="Bodoni MT" w:eastAsia="Times New Roman" w:hAnsi="Bodoni MT" w:cs="Times New Roman"/>
                <w:sz w:val="16"/>
                <w:szCs w:val="16"/>
                <w:lang w:eastAsia="it-IT"/>
              </w:rPr>
            </w:pPr>
            <w:r w:rsidRPr="00DE5507">
              <w:rPr>
                <w:rFonts w:ascii="Bodoni MT" w:eastAsia="Times New Roman" w:hAnsi="Bodoni MT" w:cs="Times New Roman"/>
                <w:bCs/>
                <w:color w:val="000000"/>
                <w:sz w:val="16"/>
                <w:szCs w:val="16"/>
                <w:lang w:eastAsia="it-IT"/>
              </w:rPr>
              <w:t>Note</w:t>
            </w:r>
          </w:p>
          <w:p w:rsidR="00DE5507" w:rsidRPr="00DE5507" w:rsidRDefault="00DE5507" w:rsidP="00DE5507">
            <w:pPr>
              <w:spacing w:after="0" w:line="240" w:lineRule="auto"/>
              <w:jc w:val="both"/>
              <w:rPr>
                <w:rFonts w:ascii="Bodoni MT" w:eastAsia="Times New Roman" w:hAnsi="Bodoni MT" w:cs="Times New Roman"/>
                <w:bCs/>
                <w:color w:val="000000"/>
                <w:sz w:val="16"/>
                <w:szCs w:val="16"/>
                <w:lang w:eastAsia="it-IT"/>
              </w:rPr>
            </w:pPr>
            <w:r w:rsidRPr="00DE5507">
              <w:rPr>
                <w:rFonts w:ascii="Bodoni MT" w:eastAsia="Times New Roman" w:hAnsi="Bodoni MT" w:cs="Times New Roman"/>
                <w:bCs/>
                <w:color w:val="000000"/>
                <w:sz w:val="16"/>
                <w:szCs w:val="16"/>
                <w:lang w:eastAsia="it-IT"/>
              </w:rPr>
              <w:t>1)Indicare lo stanziamento aggiornato sia nella colonna delle previsioni che in quella dei risultati. Nel monitoraggio al 31 dicembre indicare l'importo di preconsuntivo.</w:t>
            </w:r>
          </w:p>
          <w:p w:rsidR="00AB3E80" w:rsidRDefault="00DE5507" w:rsidP="00DE5507">
            <w:pPr>
              <w:spacing w:after="0" w:line="240" w:lineRule="auto"/>
              <w:jc w:val="both"/>
              <w:rPr>
                <w:rFonts w:ascii="Bodoni MT" w:eastAsia="Times New Roman" w:hAnsi="Bodoni MT" w:cs="Times New Roman"/>
                <w:bCs/>
                <w:color w:val="000000"/>
                <w:sz w:val="16"/>
                <w:szCs w:val="16"/>
                <w:lang w:eastAsia="it-IT"/>
              </w:rPr>
            </w:pPr>
            <w:r w:rsidRPr="00DE5507">
              <w:rPr>
                <w:rFonts w:ascii="Bodoni MT" w:eastAsia="Times New Roman" w:hAnsi="Bodoni MT" w:cs="Times New Roman"/>
                <w:bCs/>
                <w:color w:val="000000"/>
                <w:sz w:val="16"/>
                <w:szCs w:val="16"/>
                <w:lang w:eastAsia="it-IT"/>
              </w:rPr>
              <w:t xml:space="preserve">2) Compilare solo la voce di preventivo indicando il fondo crediti di dubbia esigibilità al netto dell'eventuale quota finanziata dall'avanzo </w:t>
            </w:r>
          </w:p>
          <w:p w:rsidR="00DE5507" w:rsidRPr="00DE5507" w:rsidRDefault="00DE5507" w:rsidP="00DE5507">
            <w:pPr>
              <w:spacing w:after="0" w:line="240" w:lineRule="auto"/>
              <w:jc w:val="both"/>
              <w:rPr>
                <w:rFonts w:ascii="Bodoni MT" w:eastAsia="Times New Roman" w:hAnsi="Bodoni MT" w:cs="Times New Roman"/>
                <w:bCs/>
                <w:color w:val="000000"/>
                <w:sz w:val="16"/>
                <w:szCs w:val="16"/>
                <w:lang w:eastAsia="it-IT"/>
              </w:rPr>
            </w:pPr>
            <w:r w:rsidRPr="00DE5507">
              <w:rPr>
                <w:rFonts w:ascii="Bodoni MT" w:eastAsia="Times New Roman" w:hAnsi="Bodoni MT" w:cs="Times New Roman"/>
                <w:bCs/>
                <w:color w:val="000000"/>
                <w:sz w:val="16"/>
                <w:szCs w:val="16"/>
                <w:lang w:eastAsia="it-IT"/>
              </w:rPr>
              <w:t>3) Compilare solo la voce a preventivo. I fondi di riserva e i fondi speciali non sono destinati a confluire nel risultato di amministrazione</w:t>
            </w:r>
            <w:r w:rsidR="005F1B3C">
              <w:rPr>
                <w:rFonts w:ascii="Bodoni MT" w:eastAsia="Times New Roman" w:hAnsi="Bodoni MT" w:cs="Times New Roman"/>
                <w:bCs/>
                <w:color w:val="000000"/>
                <w:sz w:val="16"/>
                <w:szCs w:val="16"/>
                <w:lang w:eastAsia="it-IT"/>
              </w:rPr>
              <w:t>.</w:t>
            </w:r>
          </w:p>
          <w:p w:rsidR="00DE5507" w:rsidRPr="00DE5507" w:rsidRDefault="005F1B3C" w:rsidP="00DE5507">
            <w:pPr>
              <w:spacing w:after="0" w:line="240" w:lineRule="auto"/>
              <w:rPr>
                <w:rFonts w:ascii="Bodoni MT" w:eastAsia="Times New Roman" w:hAnsi="Bodoni MT" w:cs="Times New Roman"/>
                <w:sz w:val="16"/>
                <w:szCs w:val="16"/>
                <w:lang w:eastAsia="it-IT"/>
              </w:rPr>
            </w:pPr>
            <w:r>
              <w:rPr>
                <w:rFonts w:ascii="Bodoni MT" w:eastAsia="Times New Roman" w:hAnsi="Bodoni MT" w:cs="Times New Roman"/>
                <w:bCs/>
                <w:color w:val="000000"/>
                <w:sz w:val="16"/>
                <w:szCs w:val="16"/>
                <w:lang w:eastAsia="it-IT"/>
              </w:rPr>
              <w:t xml:space="preserve">4) </w:t>
            </w:r>
            <w:r w:rsidR="00DE5507" w:rsidRPr="00DE5507">
              <w:rPr>
                <w:rFonts w:ascii="Bodoni MT" w:eastAsia="Times New Roman" w:hAnsi="Bodoni MT" w:cs="Times New Roman"/>
                <w:bCs/>
                <w:color w:val="000000"/>
                <w:sz w:val="16"/>
                <w:szCs w:val="16"/>
                <w:lang w:eastAsia="it-IT"/>
              </w:rPr>
              <w:t>Nella voce di preventivo indicare gli spazi che si prevede di cedere.</w:t>
            </w:r>
          </w:p>
          <w:p w:rsidR="00DE5507" w:rsidRPr="00DE5507" w:rsidRDefault="005F1B3C" w:rsidP="00DE5507">
            <w:pPr>
              <w:spacing w:after="0" w:line="240" w:lineRule="auto"/>
              <w:rPr>
                <w:rFonts w:ascii="Bodoni MT" w:eastAsia="Times New Roman" w:hAnsi="Bodoni MT" w:cs="Times New Roman"/>
                <w:sz w:val="16"/>
                <w:szCs w:val="16"/>
                <w:lang w:eastAsia="it-IT"/>
              </w:rPr>
            </w:pPr>
            <w:r>
              <w:rPr>
                <w:rFonts w:ascii="Bodoni MT" w:eastAsia="Times New Roman" w:hAnsi="Bodoni MT" w:cs="Times New Roman"/>
                <w:bCs/>
                <w:color w:val="000000"/>
                <w:sz w:val="16"/>
                <w:szCs w:val="16"/>
                <w:lang w:eastAsia="it-IT"/>
              </w:rPr>
              <w:t xml:space="preserve">5) </w:t>
            </w:r>
            <w:r w:rsidR="00DE5507" w:rsidRPr="00DE5507">
              <w:rPr>
                <w:rFonts w:ascii="Bodoni MT" w:eastAsia="Times New Roman" w:hAnsi="Bodoni MT" w:cs="Times New Roman"/>
                <w:bCs/>
                <w:color w:val="000000"/>
                <w:sz w:val="16"/>
                <w:szCs w:val="16"/>
                <w:lang w:eastAsia="it-IT"/>
              </w:rPr>
              <w:t>L'equilibrio finale (comprensivo degli effetti del patto regionale) deve essere positivo o pari a 0</w:t>
            </w:r>
          </w:p>
        </w:tc>
      </w:tr>
    </w:tbl>
    <w:p w:rsidR="00364B2C" w:rsidRDefault="00364B2C" w:rsidP="00DE5507">
      <w:pPr>
        <w:pStyle w:val="CdcTesto"/>
        <w:jc w:val="center"/>
      </w:pPr>
    </w:p>
    <w:p w:rsidR="00CD4C84" w:rsidRDefault="00CD4C84" w:rsidP="00364B2C">
      <w:pPr>
        <w:pStyle w:val="CdcTesto"/>
      </w:pPr>
    </w:p>
    <w:p w:rsidR="00CD4C84" w:rsidRDefault="00CD4C84" w:rsidP="00364B2C">
      <w:pPr>
        <w:pStyle w:val="CdcTesto"/>
      </w:pPr>
    </w:p>
    <w:p w:rsidR="00CD4C84" w:rsidRDefault="00CD4C84" w:rsidP="00364B2C">
      <w:pPr>
        <w:pStyle w:val="CdcTesto"/>
      </w:pPr>
    </w:p>
    <w:p w:rsidR="00CD4C84" w:rsidRDefault="00CD4C84" w:rsidP="00364B2C">
      <w:pPr>
        <w:pStyle w:val="CdcTesto"/>
      </w:pPr>
    </w:p>
    <w:p w:rsidR="00CD4C84" w:rsidRDefault="00CD4C84" w:rsidP="00364B2C">
      <w:pPr>
        <w:pStyle w:val="CdcTesto"/>
      </w:pPr>
    </w:p>
    <w:p w:rsidR="00FF2CC0" w:rsidRDefault="00FF2CC0" w:rsidP="00364B2C">
      <w:pPr>
        <w:pStyle w:val="CdcTesto"/>
      </w:pPr>
    </w:p>
    <w:p w:rsidR="00474C78" w:rsidRDefault="00474C78" w:rsidP="00364B2C">
      <w:pPr>
        <w:pStyle w:val="CdcTesto"/>
      </w:pPr>
    </w:p>
    <w:p w:rsidR="00474C78" w:rsidRDefault="00474C78" w:rsidP="00364B2C">
      <w:pPr>
        <w:pStyle w:val="CdcTesto"/>
      </w:pPr>
    </w:p>
    <w:p w:rsidR="00474C78" w:rsidRDefault="00474C78" w:rsidP="00364B2C">
      <w:pPr>
        <w:pStyle w:val="CdcTesto"/>
      </w:pPr>
    </w:p>
    <w:p w:rsidR="00474C78" w:rsidRDefault="00474C78" w:rsidP="00364B2C">
      <w:pPr>
        <w:pStyle w:val="CdcTesto"/>
        <w:sectPr w:rsidR="00474C78" w:rsidSect="00CD4C84">
          <w:headerReference w:type="default" r:id="rId63"/>
          <w:type w:val="oddPage"/>
          <w:pgSz w:w="11906" w:h="16838"/>
          <w:pgMar w:top="1418" w:right="1134" w:bottom="1134" w:left="851" w:header="709" w:footer="709" w:gutter="0"/>
          <w:cols w:space="708"/>
          <w:docGrid w:linePitch="360"/>
        </w:sectPr>
      </w:pPr>
    </w:p>
    <w:p w:rsidR="00CD4C84" w:rsidRDefault="00DE5507" w:rsidP="00DE5507">
      <w:pPr>
        <w:pStyle w:val="Titolo1"/>
      </w:pPr>
      <w:bookmarkStart w:id="253" w:name="_Toc507422660"/>
      <w:r>
        <w:lastRenderedPageBreak/>
        <w:t>L’INDEBITAMENTO</w:t>
      </w:r>
      <w:bookmarkEnd w:id="253"/>
    </w:p>
    <w:p w:rsidR="00EE404F" w:rsidRPr="00EE404F" w:rsidRDefault="00EE404F" w:rsidP="00EE404F">
      <w:pPr>
        <w:pStyle w:val="CdcTesto"/>
      </w:pPr>
      <w:r w:rsidRPr="00EE404F">
        <w:t>L’art. 97 della Costituzione prevede che le pubbliche amministrazioni, in coerenza con l’ordinamento dell’Unione Europea, assicurino l’equilibrio dei bilanci e la sostenibilità del debito pubblico. In base, poi, all’art. 119, comma 6 della Costituzione, possono ricorrere all’indebitamento solo per spese d’investimento.</w:t>
      </w:r>
    </w:p>
    <w:p w:rsidR="00EE404F" w:rsidRPr="00EE404F" w:rsidRDefault="00EE404F" w:rsidP="00EE404F">
      <w:pPr>
        <w:pStyle w:val="CdcTesto"/>
      </w:pPr>
      <w:r w:rsidRPr="00EE404F">
        <w:t>La legge 243/2012, in attuazione del pareggio di bilancio ai sensi dell’art.</w:t>
      </w:r>
      <w:r w:rsidR="0015221E">
        <w:t xml:space="preserve"> </w:t>
      </w:r>
      <w:r w:rsidRPr="00EE404F">
        <w:t xml:space="preserve">81 della Costituzione, riprendendo il principio dell’art. 119 </w:t>
      </w:r>
      <w:r w:rsidR="007021FE">
        <w:t>Cost., disciplina la materia</w:t>
      </w:r>
      <w:r w:rsidRPr="00EE404F">
        <w:t xml:space="preserve"> disponendo che le operazioni di indebitamento sono effettuate solo contestualmente all’adozione di piani di ammortamento di durata non superiore alla vita utile dell’investimento. I piani devono indicare l’incidenza delle obbligazioni assunte su ciascun esercizio finanziario e le modalità di copertura dei corrispondenti oneri.</w:t>
      </w:r>
    </w:p>
    <w:p w:rsidR="00EE404F" w:rsidRPr="00EE404F" w:rsidRDefault="00EE404F" w:rsidP="00EE404F">
      <w:pPr>
        <w:pStyle w:val="CdcTesto"/>
      </w:pPr>
      <w:r w:rsidRPr="00EE404F">
        <w:t>L’art. 62 del D.Lgs. 118/2011, nel richiamare le norme suddette, dispone che il ricorso all’indebitamento non può essere autorizzato se non è stato approvato dal consiglio regionale il rendiconto dei due anni precedenti a quello al cui bilancio il nuovo indebitamento si riferisce. L’indebitamento deve essere autorizzato nel bilancio di previsione o con legge di variazione e decade al termine dell’esercizio.</w:t>
      </w:r>
    </w:p>
    <w:p w:rsidR="00EE404F" w:rsidRPr="00EE404F" w:rsidRDefault="00EE404F" w:rsidP="00EE404F">
      <w:pPr>
        <w:pStyle w:val="CdcTesto"/>
        <w:rPr>
          <w:i/>
        </w:rPr>
      </w:pPr>
      <w:r w:rsidRPr="00EE404F">
        <w:t xml:space="preserve">L’art. 4 della L.R. n. 5/2015 aveva autorizzato il ricorso ad uno o più mutui per un importo complessivo di 700 mln di euro, con erogazione massima pari a 150 mln di euro annui, </w:t>
      </w:r>
      <w:r w:rsidRPr="00EE404F">
        <w:rPr>
          <w:i/>
        </w:rPr>
        <w:t>“al fine di rilanciare gli investimenti del settore pubblico (scuole, strade, risanamento dissesto idro-geologico)”</w:t>
      </w:r>
      <w:r w:rsidRPr="00EE404F">
        <w:rPr>
          <w:i/>
          <w:vertAlign w:val="superscript"/>
        </w:rPr>
        <w:footnoteReference w:id="130"/>
      </w:r>
      <w:r w:rsidRPr="00EE404F">
        <w:rPr>
          <w:i/>
        </w:rPr>
        <w:t>.</w:t>
      </w:r>
    </w:p>
    <w:p w:rsidR="007021FE" w:rsidRDefault="00EE404F" w:rsidP="00EE404F">
      <w:pPr>
        <w:pStyle w:val="CdcTesto"/>
      </w:pPr>
      <w:r w:rsidRPr="00EE404F">
        <w:t>Il contratto a tasso fisso</w:t>
      </w:r>
      <w:r w:rsidR="007021FE" w:rsidRPr="007021FE">
        <w:t xml:space="preserve"> </w:t>
      </w:r>
      <w:r w:rsidR="007021FE" w:rsidRPr="00EE404F">
        <w:t>ad utilizzo variabile</w:t>
      </w:r>
      <w:r w:rsidRPr="00EE404F">
        <w:t xml:space="preserve"> come stabilito dalla DGR n. 9/25 del 10/0</w:t>
      </w:r>
      <w:r w:rsidR="007021FE">
        <w:t>3/2015, è stato stipulato nel 2015</w:t>
      </w:r>
      <w:r w:rsidRPr="00EE404F">
        <w:t xml:space="preserve"> con la Cassa Depositi e Prestiti, con scadenza fi</w:t>
      </w:r>
      <w:r w:rsidR="007021FE">
        <w:t>nale al 31/12/2043</w:t>
      </w:r>
      <w:r w:rsidRPr="00EE404F">
        <w:t xml:space="preserve">. Nel 2015 sono state richieste erogazioni per complessivi </w:t>
      </w:r>
      <w:r w:rsidRPr="00025D9A">
        <w:t xml:space="preserve">60.449 </w:t>
      </w:r>
      <w:r w:rsidR="00025D9A">
        <w:t>milioni</w:t>
      </w:r>
      <w:r w:rsidR="004014B4">
        <w:rPr>
          <w:rStyle w:val="Rimandonotaapidipagina"/>
        </w:rPr>
        <w:footnoteReference w:id="131"/>
      </w:r>
      <w:r w:rsidRPr="00EE404F">
        <w:t xml:space="preserve"> di euro e la prima rata di ammortamento (€ 1.326.062,93) è stata pagata entro il 31/12/2015. </w:t>
      </w:r>
    </w:p>
    <w:p w:rsidR="00EE404F" w:rsidRPr="00EE404F" w:rsidRDefault="00E93EE4" w:rsidP="00EE404F">
      <w:pPr>
        <w:pStyle w:val="CdcTesto"/>
      </w:pPr>
      <w:r>
        <w:t xml:space="preserve">La </w:t>
      </w:r>
      <w:r w:rsidR="00EE404F" w:rsidRPr="00EE404F">
        <w:t xml:space="preserve">Relazione sulla gestione 2016 </w:t>
      </w:r>
      <w:r w:rsidRPr="004014B4">
        <w:t>riferisce</w:t>
      </w:r>
      <w:r>
        <w:t xml:space="preserve"> </w:t>
      </w:r>
      <w:r w:rsidR="00EE404F" w:rsidRPr="00EE404F">
        <w:t xml:space="preserve">che le risorse accertate e erogate da CDP nel 2015, sono state impegnate e spese nello stesso esercizio. Nel corso del 2016, è stata ottenuta un’ulteriore erogazione del mutuo infrastrutture per 50,909 </w:t>
      </w:r>
      <w:r w:rsidR="00767DD5">
        <w:t>milioni</w:t>
      </w:r>
      <w:r w:rsidR="00EE404F" w:rsidRPr="00EE404F">
        <w:t xml:space="preserve"> di euro, rispetto ai 127 </w:t>
      </w:r>
      <w:r w:rsidR="00767DD5">
        <w:t>milioni</w:t>
      </w:r>
      <w:r w:rsidR="00767DD5" w:rsidRPr="00EE404F">
        <w:t xml:space="preserve"> </w:t>
      </w:r>
      <w:r w:rsidR="00EE404F" w:rsidRPr="00EE404F">
        <w:t xml:space="preserve">di euro di indebitamento stimati per l’anno 2016. Pertanto, l’indebitamento finale è risultato inferiore, per </w:t>
      </w:r>
      <w:r w:rsidR="00EE404F" w:rsidRPr="00EE404F">
        <w:lastRenderedPageBreak/>
        <w:t>tale tipologia di mutui, e con tassi di interesse più vantaggiosi per la Regione. La prima rata di ammortamento, pari a € 2.128.505,61, scadrà a giugno 2017.</w:t>
      </w:r>
    </w:p>
    <w:p w:rsidR="00EE404F" w:rsidRPr="00EE404F" w:rsidRDefault="00EE404F" w:rsidP="00EE404F">
      <w:pPr>
        <w:pStyle w:val="CdcTesto"/>
      </w:pPr>
      <w:r w:rsidRPr="00EE404F">
        <w:t xml:space="preserve">Durante il 2015 sono stati estinti anticipatamente due mutui per complessivi 150 </w:t>
      </w:r>
      <w:r w:rsidR="00767DD5">
        <w:t>milioni</w:t>
      </w:r>
      <w:r w:rsidR="00767DD5" w:rsidRPr="00EE404F">
        <w:t xml:space="preserve"> </w:t>
      </w:r>
      <w:r w:rsidRPr="00EE404F">
        <w:t xml:space="preserve">di euro, attraverso l’utilizzo delle </w:t>
      </w:r>
      <w:r w:rsidR="00E93EE4" w:rsidRPr="004014B4">
        <w:t>entrate derivanti da</w:t>
      </w:r>
      <w:r w:rsidR="00E93EE4">
        <w:t xml:space="preserve">lle </w:t>
      </w:r>
      <w:r w:rsidRPr="00EE404F">
        <w:t>riserve erariali (L. 190/2014, art. 1, comma 511).</w:t>
      </w:r>
    </w:p>
    <w:p w:rsidR="00EE404F" w:rsidRPr="00EE404F" w:rsidRDefault="00EE404F" w:rsidP="00EE404F">
      <w:pPr>
        <w:pStyle w:val="CdcTesto"/>
      </w:pPr>
      <w:r w:rsidRPr="00EE404F">
        <w:t>L’esercizio 2015 si è chiuso con una riduzione netta dell’indebitamento, per effetto di maggiori estinzioni rispetto ai nuovi mutui accesi, cui si aggiungono i risparmi derivanti dai minori tassi di interesse dei nuovi mutui</w:t>
      </w:r>
      <w:r w:rsidRPr="00EE404F">
        <w:rPr>
          <w:vertAlign w:val="superscript"/>
        </w:rPr>
        <w:footnoteReference w:id="132"/>
      </w:r>
      <w:r w:rsidRPr="00EE404F">
        <w:t xml:space="preserve">. </w:t>
      </w:r>
    </w:p>
    <w:p w:rsidR="00EE404F" w:rsidRPr="00EE404F" w:rsidRDefault="00EE404F" w:rsidP="00EE404F">
      <w:pPr>
        <w:pStyle w:val="CdcTesto"/>
      </w:pPr>
      <w:r w:rsidRPr="00EE404F">
        <w:t xml:space="preserve">Sempre nel corso del 2015, </w:t>
      </w:r>
      <w:r w:rsidRPr="004014B4">
        <w:t xml:space="preserve">la </w:t>
      </w:r>
      <w:r w:rsidR="00E93EE4" w:rsidRPr="004014B4">
        <w:t xml:space="preserve">legge </w:t>
      </w:r>
      <w:r w:rsidRPr="004014B4">
        <w:t>finanziaria</w:t>
      </w:r>
      <w:r w:rsidRPr="00EE404F">
        <w:t xml:space="preserve"> regionale aveva autorizzato la contrazione del mutuo per la copertura del disavanzo</w:t>
      </w:r>
      <w:r w:rsidRPr="00EE404F">
        <w:rPr>
          <w:vertAlign w:val="superscript"/>
        </w:rPr>
        <w:footnoteReference w:id="133"/>
      </w:r>
      <w:r w:rsidRPr="00EE404F">
        <w:t xml:space="preserve"> derivante dall’accantonamento al fondo per la garanzia dei residui perenti, per un importo di € 504.971.572,63, da erogarsi per effettive esigenze di cassa, per una durata non superiore ai trenta anni e a un tasso d’interesse non superiore a quello applicato da CDP. I relativi oneri erano stati valutati</w:t>
      </w:r>
      <w:r w:rsidRPr="00EE404F">
        <w:rPr>
          <w:vertAlign w:val="superscript"/>
        </w:rPr>
        <w:footnoteReference w:id="134"/>
      </w:r>
      <w:r w:rsidRPr="00EE404F">
        <w:t xml:space="preserve"> in € 35.731.514,58 per l'anno 2016 e in € 25.645.917,96 per ciascuno degli anni dal 2017 al 2045. In data 01/12/2016 è stato stipulato il contratto con la CDP, a erogazione multipla, per l’importo complessivo sopra indicato, da erogarsi in un periodo massimo di cinque anni, per effettive esigenze di cassa. La CDP ha accordat</w:t>
      </w:r>
      <w:r w:rsidR="00767DD5">
        <w:t>o la prima erogazione, pari a € </w:t>
      </w:r>
      <w:r w:rsidRPr="00EE404F">
        <w:t>104.021.036,16, il cui rimborso avrà durata trentennale, con avvio dal giugno 2017. L’erogazione è correlata a spese d’investimento “per effetto del richiamo dei residui perenti”</w:t>
      </w:r>
      <w:r w:rsidRPr="00EE404F">
        <w:rPr>
          <w:vertAlign w:val="superscript"/>
        </w:rPr>
        <w:footnoteReference w:id="135"/>
      </w:r>
      <w:r w:rsidRPr="00EE404F">
        <w:t>.</w:t>
      </w:r>
    </w:p>
    <w:p w:rsidR="00EE404F" w:rsidRPr="00EE404F" w:rsidRDefault="00EE404F" w:rsidP="00EE404F">
      <w:pPr>
        <w:pStyle w:val="CdcTesto"/>
      </w:pPr>
      <w:r w:rsidRPr="00EE404F">
        <w:t>Inoltre, sempre la legge finanziaria 2015, aveva autorizzato il ricorso all’anticipazione di liquidità prevista dall’art.</w:t>
      </w:r>
      <w:r w:rsidR="008F0C14">
        <w:t xml:space="preserve"> </w:t>
      </w:r>
      <w:r w:rsidRPr="00EE404F">
        <w:t>8, comma 2, del D.L. 78/2015. Il relativo contratto è stato stipulato col MEF in data 20/06/2016 per l’importo di € 215.657.793,36, accreditati in data 1° agosto 2016. Il relativo rimborso è previsto in trenta rate annuali dell’importo di € 7.681.128,05, al tasso d’interesse dello 0,49%. La prima rata è stata pagata il 30/04/2017</w:t>
      </w:r>
      <w:r w:rsidRPr="00EE404F">
        <w:rPr>
          <w:vertAlign w:val="superscript"/>
        </w:rPr>
        <w:footnoteReference w:id="136"/>
      </w:r>
      <w:r w:rsidRPr="00EE404F">
        <w:t>.</w:t>
      </w:r>
    </w:p>
    <w:p w:rsidR="00EE404F" w:rsidRPr="00EE404F" w:rsidRDefault="00EE404F" w:rsidP="00EE404F">
      <w:pPr>
        <w:pStyle w:val="CdcTesto"/>
      </w:pPr>
      <w:r w:rsidRPr="00EE404F">
        <w:t>Nel 2016 sono state effettuate estinzioni anticipate, rappresentate nella tabella che segue, che hanno riguardato gli unici due mutui che non comportavano penali per la loro estinzione, il cui importo complessivo residuo, pagato dalla Regione, ammonta a € 60.152.526,21.</w:t>
      </w:r>
    </w:p>
    <w:p w:rsidR="00130B51" w:rsidRDefault="00130B51" w:rsidP="00C05880">
      <w:pPr>
        <w:pStyle w:val="Didascalia"/>
      </w:pPr>
      <w:r>
        <w:br w:type="page"/>
      </w:r>
    </w:p>
    <w:p w:rsidR="00EE404F" w:rsidRPr="00EE404F" w:rsidRDefault="00C05880" w:rsidP="00C05880">
      <w:pPr>
        <w:pStyle w:val="Didascalia"/>
        <w:rPr>
          <w:color w:val="auto"/>
          <w:sz w:val="24"/>
          <w:szCs w:val="24"/>
        </w:rPr>
      </w:pPr>
      <w:bookmarkStart w:id="254" w:name="_Toc507422514"/>
      <w:r>
        <w:lastRenderedPageBreak/>
        <w:t xml:space="preserve">Tabella </w:t>
      </w:r>
      <w:r w:rsidR="00B90472">
        <w:fldChar w:fldCharType="begin"/>
      </w:r>
      <w:r w:rsidR="00B90472">
        <w:instrText xml:space="preserve"> SEQ Tabella \* ARABIC </w:instrText>
      </w:r>
      <w:r w:rsidR="00B90472">
        <w:fldChar w:fldCharType="separate"/>
      </w:r>
      <w:r w:rsidR="008616B3">
        <w:rPr>
          <w:noProof/>
        </w:rPr>
        <w:t>46</w:t>
      </w:r>
      <w:r w:rsidR="00B90472">
        <w:rPr>
          <w:noProof/>
        </w:rPr>
        <w:fldChar w:fldCharType="end"/>
      </w:r>
      <w:r w:rsidR="00EE404F">
        <w:t xml:space="preserve"> </w:t>
      </w:r>
      <w:r w:rsidR="00EE404F" w:rsidRPr="00EE404F">
        <w:rPr>
          <w:color w:val="auto"/>
        </w:rPr>
        <w:t>-</w:t>
      </w:r>
      <w:r w:rsidR="00EE404F" w:rsidRPr="00EE404F">
        <w:rPr>
          <w:color w:val="auto"/>
          <w:sz w:val="24"/>
          <w:szCs w:val="24"/>
        </w:rPr>
        <w:t xml:space="preserve"> Mutui estinti anticipatamente nel 2016</w:t>
      </w:r>
      <w:bookmarkEnd w:id="2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1986"/>
        <w:gridCol w:w="1545"/>
        <w:gridCol w:w="1334"/>
        <w:gridCol w:w="809"/>
        <w:gridCol w:w="1545"/>
        <w:gridCol w:w="1195"/>
      </w:tblGrid>
      <w:tr w:rsidR="00EE404F" w:rsidRPr="00EE404F" w:rsidTr="00C2317A">
        <w:trPr>
          <w:trHeight w:val="685"/>
          <w:jc w:val="center"/>
        </w:trPr>
        <w:tc>
          <w:tcPr>
            <w:tcW w:w="818"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Banca creditrice</w:t>
            </w:r>
          </w:p>
        </w:tc>
        <w:tc>
          <w:tcPr>
            <w:tcW w:w="987"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Importo originario</w:t>
            </w:r>
          </w:p>
        </w:tc>
        <w:tc>
          <w:tcPr>
            <w:tcW w:w="768"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Debito residuo al 31/12/2016</w:t>
            </w:r>
          </w:p>
        </w:tc>
        <w:tc>
          <w:tcPr>
            <w:tcW w:w="663"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 estinzione</w:t>
            </w:r>
          </w:p>
        </w:tc>
        <w:tc>
          <w:tcPr>
            <w:tcW w:w="402"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Penale</w:t>
            </w:r>
          </w:p>
        </w:tc>
        <w:tc>
          <w:tcPr>
            <w:tcW w:w="768"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Importo estinzione</w:t>
            </w:r>
          </w:p>
        </w:tc>
        <w:tc>
          <w:tcPr>
            <w:tcW w:w="595" w:type="pct"/>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Rapporto rata/debito residuo %</w:t>
            </w:r>
          </w:p>
        </w:tc>
      </w:tr>
      <w:tr w:rsidR="00EE404F" w:rsidRPr="00EE404F" w:rsidTr="00767DD5">
        <w:trPr>
          <w:trHeight w:val="569"/>
          <w:jc w:val="center"/>
        </w:trPr>
        <w:tc>
          <w:tcPr>
            <w:tcW w:w="818" w:type="pct"/>
            <w:shd w:val="clear" w:color="auto" w:fill="95B3D7" w:themeFill="accent1" w:themeFillTint="99"/>
            <w:vAlign w:val="center"/>
            <w:hideMark/>
          </w:tcPr>
          <w:p w:rsidR="00EE404F" w:rsidRPr="00EE404F" w:rsidRDefault="00EE404F" w:rsidP="00767DD5">
            <w:pPr>
              <w:spacing w:after="0" w:line="240" w:lineRule="auto"/>
              <w:jc w:val="center"/>
              <w:rPr>
                <w:rFonts w:ascii="Bodoni MT" w:eastAsia="Times New Roman" w:hAnsi="Bodoni MT" w:cs="Arial"/>
                <w:color w:val="FFFFFF" w:themeColor="background1"/>
                <w:sz w:val="18"/>
                <w:szCs w:val="18"/>
                <w:lang w:eastAsia="it-IT"/>
              </w:rPr>
            </w:pPr>
            <w:r w:rsidRPr="00EE404F">
              <w:rPr>
                <w:rFonts w:ascii="Bodoni MT" w:eastAsia="Times New Roman" w:hAnsi="Bodoni MT" w:cs="Arial"/>
                <w:color w:val="FFFFFF" w:themeColor="background1"/>
                <w:sz w:val="18"/>
                <w:szCs w:val="18"/>
                <w:lang w:eastAsia="it-IT"/>
              </w:rPr>
              <w:t>Cassa depositi e prestiti</w:t>
            </w:r>
          </w:p>
        </w:tc>
        <w:tc>
          <w:tcPr>
            <w:tcW w:w="987"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500.000.000,00</w:t>
            </w:r>
          </w:p>
        </w:tc>
        <w:tc>
          <w:tcPr>
            <w:tcW w:w="768"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52.380.952,34</w:t>
            </w:r>
          </w:p>
        </w:tc>
        <w:tc>
          <w:tcPr>
            <w:tcW w:w="663"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100</w:t>
            </w:r>
          </w:p>
        </w:tc>
        <w:tc>
          <w:tcPr>
            <w:tcW w:w="402"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0</w:t>
            </w:r>
          </w:p>
        </w:tc>
        <w:tc>
          <w:tcPr>
            <w:tcW w:w="768"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52.380.952,34</w:t>
            </w:r>
          </w:p>
        </w:tc>
        <w:tc>
          <w:tcPr>
            <w:tcW w:w="595"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50,43</w:t>
            </w:r>
          </w:p>
        </w:tc>
      </w:tr>
      <w:tr w:rsidR="00EE404F" w:rsidRPr="00EE404F" w:rsidTr="00767DD5">
        <w:trPr>
          <w:trHeight w:val="240"/>
          <w:jc w:val="center"/>
        </w:trPr>
        <w:tc>
          <w:tcPr>
            <w:tcW w:w="818" w:type="pct"/>
            <w:shd w:val="clear" w:color="auto" w:fill="95B3D7" w:themeFill="accent1" w:themeFillTint="99"/>
            <w:vAlign w:val="center"/>
            <w:hideMark/>
          </w:tcPr>
          <w:p w:rsidR="00EE404F" w:rsidRPr="00EE404F" w:rsidRDefault="00EE404F" w:rsidP="00767DD5">
            <w:pPr>
              <w:spacing w:after="0" w:line="240" w:lineRule="auto"/>
              <w:jc w:val="center"/>
              <w:rPr>
                <w:rFonts w:ascii="Bodoni MT" w:eastAsia="Times New Roman" w:hAnsi="Bodoni MT" w:cs="Arial"/>
                <w:color w:val="FFFFFF" w:themeColor="background1"/>
                <w:sz w:val="18"/>
                <w:szCs w:val="18"/>
                <w:lang w:eastAsia="it-IT"/>
              </w:rPr>
            </w:pPr>
            <w:r w:rsidRPr="00EE404F">
              <w:rPr>
                <w:rFonts w:ascii="Bodoni MT" w:eastAsia="Times New Roman" w:hAnsi="Bodoni MT" w:cs="Arial"/>
                <w:color w:val="FFFFFF" w:themeColor="background1"/>
                <w:sz w:val="18"/>
                <w:szCs w:val="18"/>
                <w:lang w:eastAsia="it-IT"/>
              </w:rPr>
              <w:t>Dexia Crediop</w:t>
            </w:r>
          </w:p>
        </w:tc>
        <w:tc>
          <w:tcPr>
            <w:tcW w:w="987"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172.000.000,00</w:t>
            </w:r>
          </w:p>
        </w:tc>
        <w:tc>
          <w:tcPr>
            <w:tcW w:w="768"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7.771.573,87</w:t>
            </w:r>
          </w:p>
        </w:tc>
        <w:tc>
          <w:tcPr>
            <w:tcW w:w="663"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100</w:t>
            </w:r>
          </w:p>
        </w:tc>
        <w:tc>
          <w:tcPr>
            <w:tcW w:w="402"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0</w:t>
            </w:r>
          </w:p>
        </w:tc>
        <w:tc>
          <w:tcPr>
            <w:tcW w:w="768"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7.771.573,87</w:t>
            </w:r>
          </w:p>
        </w:tc>
        <w:tc>
          <w:tcPr>
            <w:tcW w:w="595" w:type="pct"/>
            <w:shd w:val="clear" w:color="000000" w:fill="FFFFFF"/>
            <w:vAlign w:val="center"/>
            <w:hideMark/>
          </w:tcPr>
          <w:p w:rsidR="00EE404F" w:rsidRPr="00EE404F" w:rsidRDefault="00EE404F" w:rsidP="00767DD5">
            <w:pPr>
              <w:spacing w:after="0" w:line="240" w:lineRule="auto"/>
              <w:jc w:val="center"/>
              <w:rPr>
                <w:rFonts w:ascii="Bodoni MT" w:eastAsia="Times New Roman" w:hAnsi="Bodoni MT" w:cs="Arial"/>
                <w:sz w:val="18"/>
                <w:szCs w:val="18"/>
                <w:lang w:eastAsia="it-IT"/>
              </w:rPr>
            </w:pPr>
            <w:r w:rsidRPr="00EE404F">
              <w:rPr>
                <w:rFonts w:ascii="Bodoni MT" w:eastAsia="Times New Roman" w:hAnsi="Bodoni MT" w:cs="Arial"/>
                <w:sz w:val="18"/>
                <w:szCs w:val="18"/>
                <w:lang w:eastAsia="it-IT"/>
              </w:rPr>
              <w:t>40,00</w:t>
            </w:r>
          </w:p>
        </w:tc>
      </w:tr>
    </w:tbl>
    <w:p w:rsidR="00EE404F" w:rsidRPr="00EE404F" w:rsidRDefault="00EE404F" w:rsidP="00C2317A">
      <w:pPr>
        <w:spacing w:line="360" w:lineRule="auto"/>
        <w:jc w:val="both"/>
        <w:rPr>
          <w:rFonts w:ascii="Bodoni MT" w:hAnsi="Bodoni MT"/>
          <w:sz w:val="18"/>
          <w:szCs w:val="18"/>
        </w:rPr>
      </w:pPr>
      <w:r w:rsidRPr="00EE404F">
        <w:rPr>
          <w:rFonts w:ascii="Bodoni MT" w:hAnsi="Bodoni MT"/>
          <w:sz w:val="18"/>
          <w:szCs w:val="18"/>
        </w:rPr>
        <w:t>Fonte: RAS</w:t>
      </w:r>
    </w:p>
    <w:p w:rsidR="00EE404F" w:rsidRPr="00EE404F" w:rsidRDefault="00EE404F" w:rsidP="00EE404F">
      <w:pPr>
        <w:spacing w:line="360" w:lineRule="auto"/>
        <w:jc w:val="both"/>
        <w:rPr>
          <w:rFonts w:ascii="Bodoni MT" w:hAnsi="Bodoni MT"/>
          <w:sz w:val="24"/>
          <w:szCs w:val="24"/>
        </w:rPr>
      </w:pPr>
      <w:r w:rsidRPr="007021FE">
        <w:rPr>
          <w:rFonts w:ascii="Bodoni MT" w:hAnsi="Bodoni MT"/>
          <w:b/>
          <w:sz w:val="24"/>
          <w:szCs w:val="24"/>
        </w:rPr>
        <w:t>Il debito finanziario residuo a carico della RAS è pari a € 1.338.032.677,11</w:t>
      </w:r>
      <w:r w:rsidRPr="00EE404F">
        <w:rPr>
          <w:rFonts w:ascii="Bodoni MT" w:hAnsi="Bodoni MT"/>
          <w:sz w:val="24"/>
          <w:szCs w:val="24"/>
        </w:rPr>
        <w:t>. Al netto dei debiti a carico dello Stato (€ 14.077.516) e dei trasferimenti agli Enti locali per il pagamento dei mutui a loro carico, l’indebitamento regionale si riduce a € 1.323.955.161,61, composto da mutui a tasso fisso, aventi una durata media di circa 12 anni, in aumento rispetto all’esercizio 2015 (quando era di circa 7 anni) in conseguenza dell’accensione di nuovi mutui, come il</w:t>
      </w:r>
      <w:r>
        <w:rPr>
          <w:rFonts w:ascii="Bodoni MT" w:hAnsi="Bodoni MT"/>
          <w:sz w:val="24"/>
          <w:szCs w:val="24"/>
        </w:rPr>
        <w:t>lustrato nella tabella seguente.</w:t>
      </w:r>
    </w:p>
    <w:p w:rsidR="00EE404F" w:rsidRPr="00EE404F" w:rsidRDefault="00C05880" w:rsidP="00C05880">
      <w:pPr>
        <w:pStyle w:val="Didascalia"/>
        <w:rPr>
          <w:sz w:val="24"/>
          <w:szCs w:val="24"/>
        </w:rPr>
      </w:pPr>
      <w:bookmarkStart w:id="255" w:name="_Toc507422515"/>
      <w:r>
        <w:t xml:space="preserve">Tabella </w:t>
      </w:r>
      <w:r w:rsidR="00B90472">
        <w:fldChar w:fldCharType="begin"/>
      </w:r>
      <w:r w:rsidR="00B90472">
        <w:instrText xml:space="preserve"> SEQ Tabella \* ARABIC </w:instrText>
      </w:r>
      <w:r w:rsidR="00B90472">
        <w:fldChar w:fldCharType="separate"/>
      </w:r>
      <w:r w:rsidR="008616B3">
        <w:rPr>
          <w:noProof/>
        </w:rPr>
        <w:t>47</w:t>
      </w:r>
      <w:r w:rsidR="00B90472">
        <w:rPr>
          <w:noProof/>
        </w:rPr>
        <w:fldChar w:fldCharType="end"/>
      </w:r>
      <w:r w:rsidR="00EE404F">
        <w:t xml:space="preserve"> - </w:t>
      </w:r>
      <w:r w:rsidR="00EE404F" w:rsidRPr="00EE404F">
        <w:rPr>
          <w:sz w:val="24"/>
          <w:szCs w:val="24"/>
        </w:rPr>
        <w:t>Composizione del debito regionale</w:t>
      </w:r>
      <w:bookmarkEnd w:id="2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5"/>
        <w:gridCol w:w="3354"/>
        <w:gridCol w:w="3352"/>
      </w:tblGrid>
      <w:tr w:rsidR="00EE404F" w:rsidRPr="00EE404F" w:rsidTr="00C2317A">
        <w:trPr>
          <w:trHeight w:val="253"/>
          <w:jc w:val="center"/>
        </w:trPr>
        <w:tc>
          <w:tcPr>
            <w:tcW w:w="1667" w:type="pct"/>
            <w:shd w:val="clear" w:color="auto" w:fill="0F243E" w:themeFill="text2" w:themeFillShade="80"/>
            <w:noWrap/>
            <w:vAlign w:val="center"/>
            <w:hideMark/>
          </w:tcPr>
          <w:p w:rsidR="00EE404F" w:rsidRPr="00EE404F" w:rsidRDefault="00EE404F" w:rsidP="00EE404F">
            <w:pPr>
              <w:spacing w:after="0" w:line="240" w:lineRule="auto"/>
              <w:jc w:val="center"/>
              <w:rPr>
                <w:rFonts w:ascii="Calibri" w:eastAsia="Times New Roman" w:hAnsi="Calibri" w:cs="Calibri"/>
                <w:lang w:eastAsia="it-IT"/>
              </w:rPr>
            </w:pPr>
          </w:p>
        </w:tc>
        <w:tc>
          <w:tcPr>
            <w:tcW w:w="1667" w:type="pct"/>
            <w:shd w:val="clear" w:color="auto" w:fill="0F243E" w:themeFill="text2" w:themeFillShade="80"/>
            <w:noWrap/>
            <w:vAlign w:val="center"/>
            <w:hideMark/>
          </w:tcPr>
          <w:p w:rsidR="00EE404F" w:rsidRPr="00EE404F" w:rsidRDefault="00EE404F" w:rsidP="00EE404F">
            <w:pPr>
              <w:spacing w:after="0" w:line="240" w:lineRule="auto"/>
              <w:jc w:val="center"/>
              <w:rPr>
                <w:rFonts w:ascii="Bodoni MT" w:eastAsia="Times New Roman" w:hAnsi="Bodoni MT" w:cs="Arial"/>
                <w:b/>
                <w:bCs/>
                <w:color w:val="FFFFFF"/>
                <w:lang w:eastAsia="it-IT"/>
              </w:rPr>
            </w:pPr>
            <w:r w:rsidRPr="00EE404F">
              <w:rPr>
                <w:rFonts w:ascii="Bodoni MT" w:eastAsia="Times New Roman" w:hAnsi="Bodoni MT" w:cs="Arial"/>
                <w:b/>
                <w:bCs/>
                <w:color w:val="FFFFFF"/>
                <w:lang w:eastAsia="it-IT"/>
              </w:rPr>
              <w:t>Complessivo</w:t>
            </w:r>
          </w:p>
        </w:tc>
        <w:tc>
          <w:tcPr>
            <w:tcW w:w="1667" w:type="pct"/>
            <w:shd w:val="clear" w:color="auto" w:fill="0F243E" w:themeFill="text2" w:themeFillShade="80"/>
            <w:noWrap/>
            <w:vAlign w:val="center"/>
            <w:hideMark/>
          </w:tcPr>
          <w:p w:rsidR="00EE404F" w:rsidRPr="00EE404F" w:rsidRDefault="00EE404F" w:rsidP="00EE404F">
            <w:pPr>
              <w:spacing w:after="0" w:line="240" w:lineRule="auto"/>
              <w:jc w:val="center"/>
              <w:rPr>
                <w:rFonts w:ascii="Bodoni MT" w:eastAsia="Times New Roman" w:hAnsi="Bodoni MT" w:cs="Arial"/>
                <w:b/>
                <w:bCs/>
                <w:color w:val="FFFFFF"/>
                <w:lang w:eastAsia="it-IT"/>
              </w:rPr>
            </w:pPr>
            <w:r w:rsidRPr="00EE404F">
              <w:rPr>
                <w:rFonts w:ascii="Bodoni MT" w:eastAsia="Times New Roman" w:hAnsi="Bodoni MT" w:cs="Arial"/>
                <w:b/>
                <w:bCs/>
                <w:color w:val="FFFFFF"/>
                <w:lang w:eastAsia="it-IT"/>
              </w:rPr>
              <w:t>Tasso Fisso</w:t>
            </w:r>
          </w:p>
        </w:tc>
      </w:tr>
      <w:tr w:rsidR="00EE404F" w:rsidRPr="00EE404F" w:rsidTr="00724694">
        <w:trPr>
          <w:trHeight w:val="257"/>
          <w:jc w:val="center"/>
        </w:trPr>
        <w:tc>
          <w:tcPr>
            <w:tcW w:w="1667" w:type="pct"/>
            <w:shd w:val="clear" w:color="auto" w:fill="95B3D7" w:themeFill="accent1" w:themeFillTint="99"/>
            <w:noWrap/>
            <w:vAlign w:val="center"/>
            <w:hideMark/>
          </w:tcPr>
          <w:p w:rsidR="00EE404F" w:rsidRPr="00EE404F" w:rsidRDefault="00EE404F" w:rsidP="00724694">
            <w:pPr>
              <w:spacing w:after="0" w:line="240" w:lineRule="auto"/>
              <w:rPr>
                <w:rFonts w:ascii="Bodoni MT" w:eastAsia="Times New Roman" w:hAnsi="Bodoni MT" w:cs="Arial"/>
                <w:b/>
                <w:bCs/>
                <w:color w:val="FFFFFF" w:themeColor="background1"/>
                <w:lang w:eastAsia="it-IT"/>
              </w:rPr>
            </w:pPr>
            <w:r w:rsidRPr="00EE404F">
              <w:rPr>
                <w:rFonts w:ascii="Bodoni MT" w:eastAsia="Times New Roman" w:hAnsi="Bodoni MT" w:cs="Arial"/>
                <w:b/>
                <w:bCs/>
                <w:color w:val="FFFFFF" w:themeColor="background1"/>
                <w:lang w:eastAsia="it-IT"/>
              </w:rPr>
              <w:t>Debito residuo (€)</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bCs/>
                <w:sz w:val="20"/>
                <w:szCs w:val="20"/>
                <w:lang w:eastAsia="it-IT"/>
              </w:rPr>
            </w:pPr>
            <w:r w:rsidRPr="00EE404F">
              <w:rPr>
                <w:rFonts w:eastAsia="Times New Roman" w:cstheme="minorHAnsi"/>
                <w:bCs/>
                <w:sz w:val="20"/>
                <w:szCs w:val="20"/>
                <w:lang w:eastAsia="it-IT"/>
              </w:rPr>
              <w:t>1.323.955.161,61</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sz w:val="20"/>
                <w:szCs w:val="20"/>
                <w:lang w:eastAsia="it-IT"/>
              </w:rPr>
            </w:pPr>
            <w:r w:rsidRPr="00EE404F">
              <w:rPr>
                <w:rFonts w:eastAsia="Times New Roman" w:cstheme="minorHAnsi"/>
                <w:sz w:val="20"/>
                <w:szCs w:val="20"/>
                <w:lang w:eastAsia="it-IT"/>
              </w:rPr>
              <w:t>1.323.955.161,61</w:t>
            </w:r>
          </w:p>
        </w:tc>
      </w:tr>
      <w:tr w:rsidR="00EE404F" w:rsidRPr="00EE404F" w:rsidTr="00724694">
        <w:trPr>
          <w:trHeight w:val="236"/>
          <w:jc w:val="center"/>
        </w:trPr>
        <w:tc>
          <w:tcPr>
            <w:tcW w:w="1667" w:type="pct"/>
            <w:shd w:val="clear" w:color="auto" w:fill="95B3D7" w:themeFill="accent1" w:themeFillTint="99"/>
            <w:noWrap/>
            <w:vAlign w:val="center"/>
            <w:hideMark/>
          </w:tcPr>
          <w:p w:rsidR="00EE404F" w:rsidRPr="00EE404F" w:rsidRDefault="00EE404F" w:rsidP="00724694">
            <w:pPr>
              <w:spacing w:after="0" w:line="240" w:lineRule="auto"/>
              <w:rPr>
                <w:rFonts w:ascii="Bodoni MT" w:eastAsia="Times New Roman" w:hAnsi="Bodoni MT" w:cs="Arial"/>
                <w:b/>
                <w:bCs/>
                <w:color w:val="FFFFFF" w:themeColor="background1"/>
                <w:lang w:eastAsia="it-IT"/>
              </w:rPr>
            </w:pPr>
            <w:r w:rsidRPr="00EE404F">
              <w:rPr>
                <w:rFonts w:ascii="Bodoni MT" w:eastAsia="Times New Roman" w:hAnsi="Bodoni MT" w:cs="Arial"/>
                <w:b/>
                <w:bCs/>
                <w:color w:val="FFFFFF" w:themeColor="background1"/>
                <w:lang w:eastAsia="it-IT"/>
              </w:rPr>
              <w:t>Debito residuo (%)</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bCs/>
                <w:sz w:val="20"/>
                <w:szCs w:val="20"/>
                <w:lang w:eastAsia="it-IT"/>
              </w:rPr>
            </w:pPr>
            <w:r w:rsidRPr="00EE404F">
              <w:rPr>
                <w:rFonts w:eastAsia="Times New Roman" w:cstheme="minorHAnsi"/>
                <w:bCs/>
                <w:sz w:val="20"/>
                <w:szCs w:val="20"/>
                <w:lang w:eastAsia="it-IT"/>
              </w:rPr>
              <w:t>-</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sz w:val="20"/>
                <w:szCs w:val="20"/>
                <w:lang w:eastAsia="it-IT"/>
              </w:rPr>
            </w:pPr>
            <w:r w:rsidRPr="00EE404F">
              <w:rPr>
                <w:rFonts w:eastAsia="Times New Roman" w:cstheme="minorHAnsi"/>
                <w:sz w:val="20"/>
                <w:szCs w:val="20"/>
                <w:lang w:eastAsia="it-IT"/>
              </w:rPr>
              <w:t>100,00%</w:t>
            </w:r>
          </w:p>
        </w:tc>
      </w:tr>
      <w:tr w:rsidR="00EE404F" w:rsidRPr="00EE404F" w:rsidTr="00724694">
        <w:trPr>
          <w:trHeight w:val="212"/>
          <w:jc w:val="center"/>
        </w:trPr>
        <w:tc>
          <w:tcPr>
            <w:tcW w:w="1667" w:type="pct"/>
            <w:shd w:val="clear" w:color="auto" w:fill="95B3D7" w:themeFill="accent1" w:themeFillTint="99"/>
            <w:noWrap/>
            <w:vAlign w:val="center"/>
            <w:hideMark/>
          </w:tcPr>
          <w:p w:rsidR="00EE404F" w:rsidRPr="00EE404F" w:rsidRDefault="00EE404F" w:rsidP="00724694">
            <w:pPr>
              <w:spacing w:after="0" w:line="240" w:lineRule="auto"/>
              <w:rPr>
                <w:rFonts w:ascii="Bodoni MT" w:eastAsia="Times New Roman" w:hAnsi="Bodoni MT" w:cs="Arial"/>
                <w:b/>
                <w:bCs/>
                <w:color w:val="FFFFFF" w:themeColor="background1"/>
                <w:lang w:eastAsia="it-IT"/>
              </w:rPr>
            </w:pPr>
            <w:r w:rsidRPr="00EE404F">
              <w:rPr>
                <w:rFonts w:ascii="Bodoni MT" w:eastAsia="Times New Roman" w:hAnsi="Bodoni MT" w:cs="Arial"/>
                <w:b/>
                <w:bCs/>
                <w:color w:val="FFFFFF" w:themeColor="background1"/>
                <w:lang w:eastAsia="it-IT"/>
              </w:rPr>
              <w:t>Vita residua (anni)</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bCs/>
                <w:sz w:val="20"/>
                <w:szCs w:val="20"/>
                <w:lang w:eastAsia="it-IT"/>
              </w:rPr>
            </w:pPr>
            <w:r w:rsidRPr="00EE404F">
              <w:rPr>
                <w:rFonts w:eastAsia="Times New Roman" w:cstheme="minorHAnsi"/>
                <w:bCs/>
                <w:sz w:val="20"/>
                <w:szCs w:val="20"/>
                <w:lang w:eastAsia="it-IT"/>
              </w:rPr>
              <w:t>19,64</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sz w:val="20"/>
                <w:szCs w:val="20"/>
                <w:lang w:eastAsia="it-IT"/>
              </w:rPr>
            </w:pPr>
            <w:r w:rsidRPr="00EE404F">
              <w:rPr>
                <w:rFonts w:eastAsia="Times New Roman" w:cstheme="minorHAnsi"/>
                <w:sz w:val="20"/>
                <w:szCs w:val="20"/>
                <w:lang w:eastAsia="it-IT"/>
              </w:rPr>
              <w:t>19,64</w:t>
            </w:r>
          </w:p>
        </w:tc>
      </w:tr>
      <w:tr w:rsidR="00EE404F" w:rsidRPr="00EE404F" w:rsidTr="00724694">
        <w:trPr>
          <w:trHeight w:val="188"/>
          <w:jc w:val="center"/>
        </w:trPr>
        <w:tc>
          <w:tcPr>
            <w:tcW w:w="1667" w:type="pct"/>
            <w:shd w:val="clear" w:color="auto" w:fill="95B3D7" w:themeFill="accent1" w:themeFillTint="99"/>
            <w:noWrap/>
            <w:vAlign w:val="center"/>
            <w:hideMark/>
          </w:tcPr>
          <w:p w:rsidR="00EE404F" w:rsidRPr="00EE404F" w:rsidRDefault="00EE404F" w:rsidP="00724694">
            <w:pPr>
              <w:spacing w:after="0" w:line="240" w:lineRule="auto"/>
              <w:rPr>
                <w:rFonts w:ascii="Bodoni MT" w:eastAsia="Times New Roman" w:hAnsi="Bodoni MT" w:cs="Arial"/>
                <w:b/>
                <w:bCs/>
                <w:color w:val="FFFFFF" w:themeColor="background1"/>
                <w:lang w:eastAsia="it-IT"/>
              </w:rPr>
            </w:pPr>
            <w:r w:rsidRPr="00EE404F">
              <w:rPr>
                <w:rFonts w:ascii="Bodoni MT" w:eastAsia="Times New Roman" w:hAnsi="Bodoni MT" w:cs="Arial"/>
                <w:b/>
                <w:bCs/>
                <w:color w:val="FFFFFF" w:themeColor="background1"/>
                <w:lang w:eastAsia="it-IT"/>
              </w:rPr>
              <w:t>Vita media (anni)</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bCs/>
                <w:sz w:val="20"/>
                <w:szCs w:val="20"/>
                <w:lang w:eastAsia="it-IT"/>
              </w:rPr>
            </w:pPr>
            <w:r w:rsidRPr="00EE404F">
              <w:rPr>
                <w:rFonts w:eastAsia="Times New Roman" w:cstheme="minorHAnsi"/>
                <w:bCs/>
                <w:sz w:val="20"/>
                <w:szCs w:val="20"/>
                <w:lang w:eastAsia="it-IT"/>
              </w:rPr>
              <w:t>12,43</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sz w:val="20"/>
                <w:szCs w:val="20"/>
                <w:lang w:eastAsia="it-IT"/>
              </w:rPr>
            </w:pPr>
            <w:r w:rsidRPr="00EE404F">
              <w:rPr>
                <w:rFonts w:eastAsia="Times New Roman" w:cstheme="minorHAnsi"/>
                <w:sz w:val="20"/>
                <w:szCs w:val="20"/>
                <w:lang w:eastAsia="it-IT"/>
              </w:rPr>
              <w:t>12,43</w:t>
            </w:r>
          </w:p>
        </w:tc>
      </w:tr>
      <w:tr w:rsidR="00EE404F" w:rsidRPr="00EE404F" w:rsidTr="00724694">
        <w:trPr>
          <w:trHeight w:val="150"/>
          <w:jc w:val="center"/>
        </w:trPr>
        <w:tc>
          <w:tcPr>
            <w:tcW w:w="1667" w:type="pct"/>
            <w:shd w:val="clear" w:color="auto" w:fill="95B3D7" w:themeFill="accent1" w:themeFillTint="99"/>
            <w:noWrap/>
            <w:vAlign w:val="center"/>
            <w:hideMark/>
          </w:tcPr>
          <w:p w:rsidR="00EE404F" w:rsidRPr="00EE404F" w:rsidRDefault="00EE404F" w:rsidP="00724694">
            <w:pPr>
              <w:spacing w:after="0" w:line="240" w:lineRule="auto"/>
              <w:rPr>
                <w:rFonts w:ascii="Bodoni MT" w:eastAsia="Times New Roman" w:hAnsi="Bodoni MT" w:cs="Arial"/>
                <w:b/>
                <w:bCs/>
                <w:color w:val="FFFFFF" w:themeColor="background1"/>
                <w:lang w:eastAsia="it-IT"/>
              </w:rPr>
            </w:pPr>
            <w:r w:rsidRPr="00EE404F">
              <w:rPr>
                <w:rFonts w:ascii="Bodoni MT" w:eastAsia="Times New Roman" w:hAnsi="Bodoni MT" w:cs="Arial"/>
                <w:b/>
                <w:bCs/>
                <w:color w:val="FFFFFF" w:themeColor="background1"/>
                <w:lang w:eastAsia="it-IT"/>
              </w:rPr>
              <w:t>Tasso medio</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bCs/>
                <w:sz w:val="20"/>
                <w:szCs w:val="20"/>
                <w:lang w:eastAsia="it-IT"/>
              </w:rPr>
            </w:pPr>
            <w:r w:rsidRPr="00EE404F">
              <w:rPr>
                <w:rFonts w:eastAsia="Times New Roman" w:cstheme="minorHAnsi"/>
                <w:bCs/>
                <w:sz w:val="20"/>
                <w:szCs w:val="20"/>
                <w:lang w:eastAsia="it-IT"/>
              </w:rPr>
              <w:t>3,40%</w:t>
            </w:r>
          </w:p>
        </w:tc>
        <w:tc>
          <w:tcPr>
            <w:tcW w:w="1667" w:type="pct"/>
            <w:shd w:val="clear" w:color="000000" w:fill="FFFFFF"/>
            <w:noWrap/>
            <w:vAlign w:val="center"/>
            <w:hideMark/>
          </w:tcPr>
          <w:p w:rsidR="00EE404F" w:rsidRPr="00EE404F" w:rsidRDefault="00EE404F" w:rsidP="00EE404F">
            <w:pPr>
              <w:spacing w:after="0" w:line="240" w:lineRule="auto"/>
              <w:jc w:val="center"/>
              <w:rPr>
                <w:rFonts w:eastAsia="Times New Roman" w:cstheme="minorHAnsi"/>
                <w:sz w:val="20"/>
                <w:szCs w:val="20"/>
                <w:lang w:eastAsia="it-IT"/>
              </w:rPr>
            </w:pPr>
            <w:r w:rsidRPr="00EE404F">
              <w:rPr>
                <w:rFonts w:eastAsia="Times New Roman" w:cstheme="minorHAnsi"/>
                <w:sz w:val="20"/>
                <w:szCs w:val="20"/>
                <w:lang w:eastAsia="it-IT"/>
              </w:rPr>
              <w:t>3,40%</w:t>
            </w:r>
          </w:p>
        </w:tc>
      </w:tr>
    </w:tbl>
    <w:p w:rsidR="00EE404F" w:rsidRPr="00EE404F" w:rsidRDefault="00EE404F" w:rsidP="00C2317A">
      <w:pPr>
        <w:spacing w:line="360" w:lineRule="auto"/>
        <w:jc w:val="both"/>
        <w:rPr>
          <w:rFonts w:ascii="Bodoni MT" w:hAnsi="Bodoni MT"/>
          <w:sz w:val="20"/>
          <w:szCs w:val="20"/>
        </w:rPr>
      </w:pPr>
      <w:r w:rsidRPr="00EE404F">
        <w:rPr>
          <w:rFonts w:ascii="Bodoni MT" w:hAnsi="Bodoni MT"/>
          <w:sz w:val="20"/>
          <w:szCs w:val="20"/>
        </w:rPr>
        <w:t>Fonte: Dati RAS - Relazione sulla gestione 2016</w:t>
      </w:r>
    </w:p>
    <w:p w:rsidR="00EE404F" w:rsidRDefault="00EE404F" w:rsidP="00EE404F">
      <w:pPr>
        <w:spacing w:line="360" w:lineRule="auto"/>
        <w:jc w:val="both"/>
        <w:rPr>
          <w:rFonts w:ascii="Bodoni MT" w:hAnsi="Bodoni MT"/>
          <w:sz w:val="24"/>
          <w:szCs w:val="24"/>
        </w:rPr>
      </w:pPr>
      <w:r w:rsidRPr="00EE404F">
        <w:rPr>
          <w:rFonts w:ascii="Bodoni MT" w:hAnsi="Bodoni MT"/>
          <w:sz w:val="24"/>
          <w:szCs w:val="24"/>
        </w:rPr>
        <w:t>Nella seguente tabella è esposto il dettaglio delle posizioni debitorie delle Regione, con indicazione dell’importo originario, degli oneri sostenuti nel 2016 e il residuo debito al 31/12/2016.</w:t>
      </w:r>
    </w:p>
    <w:p w:rsidR="00E93EE4" w:rsidRPr="00EE404F" w:rsidRDefault="00E93EE4" w:rsidP="00EE404F">
      <w:pPr>
        <w:spacing w:line="360" w:lineRule="auto"/>
        <w:jc w:val="both"/>
        <w:rPr>
          <w:rFonts w:ascii="Bodoni MT" w:hAnsi="Bodoni MT"/>
          <w:sz w:val="24"/>
          <w:szCs w:val="24"/>
        </w:rPr>
      </w:pPr>
      <w:r w:rsidRPr="004014B4">
        <w:rPr>
          <w:rFonts w:ascii="Bodoni MT" w:hAnsi="Bodoni MT"/>
          <w:sz w:val="24"/>
          <w:szCs w:val="24"/>
        </w:rPr>
        <w:t>Nel complesso il debito finanziario complessi</w:t>
      </w:r>
      <w:r w:rsidR="004014B4" w:rsidRPr="004014B4">
        <w:rPr>
          <w:rFonts w:ascii="Bodoni MT" w:hAnsi="Bodoni MT"/>
          <w:sz w:val="24"/>
          <w:szCs w:val="24"/>
        </w:rPr>
        <w:t>vo in ammortamento risultante da</w:t>
      </w:r>
      <w:r w:rsidRPr="004014B4">
        <w:rPr>
          <w:rFonts w:ascii="Bodoni MT" w:hAnsi="Bodoni MT"/>
          <w:sz w:val="24"/>
          <w:szCs w:val="24"/>
        </w:rPr>
        <w:t xml:space="preserve">lle operazioni di estinzione anticipata e di nuovo indebitamento effettivamente contratto è </w:t>
      </w:r>
      <w:r w:rsidR="0010391A" w:rsidRPr="004014B4">
        <w:rPr>
          <w:rFonts w:ascii="Bodoni MT" w:hAnsi="Bodoni MT"/>
          <w:sz w:val="24"/>
          <w:szCs w:val="24"/>
        </w:rPr>
        <w:t>aumenta</w:t>
      </w:r>
      <w:r w:rsidR="004014B4">
        <w:rPr>
          <w:rFonts w:ascii="Bodoni MT" w:hAnsi="Bodoni MT"/>
          <w:sz w:val="24"/>
          <w:szCs w:val="24"/>
        </w:rPr>
        <w:t>to nel corso del 201</w:t>
      </w:r>
      <w:r w:rsidRPr="004014B4">
        <w:rPr>
          <w:rFonts w:ascii="Bodoni MT" w:hAnsi="Bodoni MT"/>
          <w:sz w:val="24"/>
          <w:szCs w:val="24"/>
        </w:rPr>
        <w:t>6</w:t>
      </w:r>
      <w:r w:rsidR="0010391A" w:rsidRPr="004014B4">
        <w:rPr>
          <w:rFonts w:ascii="Bodoni MT" w:hAnsi="Bodoni MT"/>
          <w:sz w:val="24"/>
          <w:szCs w:val="24"/>
        </w:rPr>
        <w:t xml:space="preserve"> (circa </w:t>
      </w:r>
      <w:r w:rsidR="00174D62" w:rsidRPr="004014B4">
        <w:rPr>
          <w:rFonts w:ascii="Bodoni MT" w:hAnsi="Bodoni MT"/>
          <w:sz w:val="24"/>
          <w:szCs w:val="24"/>
        </w:rPr>
        <w:t>il 15</w:t>
      </w:r>
      <w:r w:rsidR="0010391A" w:rsidRPr="004014B4">
        <w:rPr>
          <w:rFonts w:ascii="Bodoni MT" w:hAnsi="Bodoni MT"/>
          <w:sz w:val="24"/>
          <w:szCs w:val="24"/>
        </w:rPr>
        <w:t>%),</w:t>
      </w:r>
      <w:r w:rsidRPr="004014B4">
        <w:rPr>
          <w:rFonts w:ascii="Bodoni MT" w:hAnsi="Bodoni MT"/>
          <w:sz w:val="24"/>
          <w:szCs w:val="24"/>
        </w:rPr>
        <w:t xml:space="preserve"> </w:t>
      </w:r>
      <w:r w:rsidR="0010391A" w:rsidRPr="004014B4">
        <w:rPr>
          <w:rFonts w:ascii="Bodoni MT" w:hAnsi="Bodoni MT"/>
          <w:sz w:val="24"/>
          <w:szCs w:val="24"/>
        </w:rPr>
        <w:t xml:space="preserve">ma </w:t>
      </w:r>
      <w:r w:rsidRPr="004014B4">
        <w:rPr>
          <w:rFonts w:ascii="Bodoni MT" w:hAnsi="Bodoni MT"/>
          <w:sz w:val="24"/>
          <w:szCs w:val="24"/>
        </w:rPr>
        <w:t>p</w:t>
      </w:r>
      <w:r w:rsidR="0010391A" w:rsidRPr="004014B4">
        <w:rPr>
          <w:rFonts w:ascii="Bodoni MT" w:hAnsi="Bodoni MT"/>
          <w:sz w:val="24"/>
          <w:szCs w:val="24"/>
        </w:rPr>
        <w:t>e</w:t>
      </w:r>
      <w:r w:rsidRPr="004014B4">
        <w:rPr>
          <w:rFonts w:ascii="Bodoni MT" w:hAnsi="Bodoni MT"/>
          <w:sz w:val="24"/>
          <w:szCs w:val="24"/>
        </w:rPr>
        <w:t>r</w:t>
      </w:r>
      <w:r w:rsidR="0010391A" w:rsidRPr="004014B4">
        <w:rPr>
          <w:rFonts w:ascii="Bodoni MT" w:hAnsi="Bodoni MT"/>
          <w:sz w:val="24"/>
          <w:szCs w:val="24"/>
        </w:rPr>
        <w:t>man</w:t>
      </w:r>
      <w:r w:rsidRPr="004014B4">
        <w:rPr>
          <w:rFonts w:ascii="Bodoni MT" w:hAnsi="Bodoni MT"/>
          <w:sz w:val="24"/>
          <w:szCs w:val="24"/>
        </w:rPr>
        <w:t>e di importo sostenibile rispetto alle grandezze del bilancio regionale</w:t>
      </w:r>
      <w:r w:rsidR="0010391A" w:rsidRPr="004014B4">
        <w:rPr>
          <w:rFonts w:ascii="Bodoni MT" w:hAnsi="Bodoni MT"/>
          <w:sz w:val="24"/>
          <w:szCs w:val="24"/>
        </w:rPr>
        <w:t xml:space="preserve"> e, come si vedrà in prosieguo, i relativi oneri si mantengono al di sotto del limite massimo ammissibile</w:t>
      </w:r>
      <w:r w:rsidRPr="004014B4">
        <w:rPr>
          <w:rFonts w:ascii="Bodoni MT" w:hAnsi="Bodoni MT"/>
          <w:sz w:val="24"/>
          <w:szCs w:val="24"/>
        </w:rPr>
        <w:t>.</w:t>
      </w:r>
    </w:p>
    <w:p w:rsidR="00EE404F" w:rsidRDefault="00EE404F" w:rsidP="00EE404F">
      <w:pPr>
        <w:pStyle w:val="Didascalia"/>
      </w:pPr>
      <w:r>
        <w:br w:type="page"/>
      </w:r>
    </w:p>
    <w:p w:rsidR="00EE404F" w:rsidRPr="00EE404F" w:rsidRDefault="00C05880" w:rsidP="00C05880">
      <w:pPr>
        <w:pStyle w:val="Didascalia"/>
        <w:rPr>
          <w:sz w:val="24"/>
          <w:szCs w:val="24"/>
        </w:rPr>
      </w:pPr>
      <w:bookmarkStart w:id="256" w:name="_Toc507422516"/>
      <w:r>
        <w:lastRenderedPageBreak/>
        <w:t xml:space="preserve">Tabella </w:t>
      </w:r>
      <w:r w:rsidR="00B90472">
        <w:fldChar w:fldCharType="begin"/>
      </w:r>
      <w:r w:rsidR="00B90472">
        <w:instrText xml:space="preserve"> SEQ Tabella \* ARABIC </w:instrText>
      </w:r>
      <w:r w:rsidR="00B90472">
        <w:fldChar w:fldCharType="separate"/>
      </w:r>
      <w:r w:rsidR="008616B3">
        <w:rPr>
          <w:noProof/>
        </w:rPr>
        <w:t>48</w:t>
      </w:r>
      <w:r w:rsidR="00B90472">
        <w:rPr>
          <w:noProof/>
        </w:rPr>
        <w:fldChar w:fldCharType="end"/>
      </w:r>
      <w:r w:rsidR="00EE404F">
        <w:t xml:space="preserve"> -</w:t>
      </w:r>
      <w:r w:rsidR="00EE404F" w:rsidRPr="00EE404F">
        <w:rPr>
          <w:sz w:val="24"/>
          <w:szCs w:val="24"/>
        </w:rPr>
        <w:t xml:space="preserve"> Dettaglio posizioni debitorie</w:t>
      </w:r>
      <w:bookmarkEnd w:id="256"/>
    </w:p>
    <w:tbl>
      <w:tblPr>
        <w:tblW w:w="54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7"/>
        <w:gridCol w:w="3624"/>
        <w:gridCol w:w="844"/>
        <w:gridCol w:w="1453"/>
        <w:gridCol w:w="744"/>
        <w:gridCol w:w="1159"/>
        <w:gridCol w:w="1805"/>
      </w:tblGrid>
      <w:tr w:rsidR="00906D8F" w:rsidRPr="00906D8F" w:rsidTr="00C2317A">
        <w:trPr>
          <w:trHeight w:val="196"/>
          <w:jc w:val="center"/>
        </w:trPr>
        <w:tc>
          <w:tcPr>
            <w:tcW w:w="578" w:type="pct"/>
            <w:shd w:val="clear" w:color="auto" w:fill="0F243E" w:themeFill="text2" w:themeFillShade="80"/>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Posizione</w:t>
            </w:r>
          </w:p>
        </w:tc>
        <w:tc>
          <w:tcPr>
            <w:tcW w:w="1670"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Descrizione</w:t>
            </w:r>
          </w:p>
        </w:tc>
        <w:tc>
          <w:tcPr>
            <w:tcW w:w="392"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A carico</w:t>
            </w:r>
          </w:p>
        </w:tc>
        <w:tc>
          <w:tcPr>
            <w:tcW w:w="672"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Importo originario</w:t>
            </w:r>
          </w:p>
        </w:tc>
        <w:tc>
          <w:tcPr>
            <w:tcW w:w="346"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Anno scad.za</w:t>
            </w:r>
          </w:p>
        </w:tc>
        <w:tc>
          <w:tcPr>
            <w:tcW w:w="508"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Totale oneri 2016</w:t>
            </w:r>
          </w:p>
        </w:tc>
        <w:tc>
          <w:tcPr>
            <w:tcW w:w="822" w:type="pct"/>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Debito residuo al 31/12/2016</w:t>
            </w:r>
          </w:p>
        </w:tc>
      </w:tr>
      <w:tr w:rsidR="00906D8F" w:rsidRPr="00906D8F" w:rsidTr="00906D8F">
        <w:trPr>
          <w:trHeight w:val="365"/>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4416757/00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Investimenti in opere di carattere permanente - art. 1 L.R. n. 7/2002 - tabella D</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750.000.000,00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2017</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w:t>
            </w:r>
          </w:p>
        </w:tc>
      </w:tr>
      <w:tr w:rsidR="00906D8F" w:rsidRPr="00906D8F" w:rsidTr="00906D8F">
        <w:trPr>
          <w:trHeight w:val="370"/>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4427434/01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Investimenti in opere di carattere permanente - L.R. n. 7/2002- tabella F</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500.000.000,00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26.220.665,07</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0,00</w:t>
            </w:r>
          </w:p>
        </w:tc>
      </w:tr>
      <w:tr w:rsidR="00906D8F" w:rsidRPr="00906D8F" w:rsidTr="00906D8F">
        <w:trPr>
          <w:trHeight w:val="362"/>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4445920/00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n. 3/03 - tabella C - copertura degli oneri derivanti dall'esecuzione di investimenti</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289.149.000,00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26.716.987,18</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50.558.427,82</w:t>
            </w:r>
          </w:p>
        </w:tc>
      </w:tr>
      <w:tr w:rsidR="00906D8F" w:rsidRPr="00906D8F" w:rsidTr="00906D8F">
        <w:trPr>
          <w:trHeight w:val="368"/>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4445117/00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n. 3/03 - tabella C - copertura degli oneri derivanti dall'esecuzione di investimenti</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186.730.000,00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17.253.606,32</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32.650.208,81</w:t>
            </w:r>
          </w:p>
        </w:tc>
      </w:tr>
      <w:tr w:rsidR="00906D8F" w:rsidRPr="00906D8F" w:rsidTr="00906D8F">
        <w:trPr>
          <w:trHeight w:val="360"/>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BEI 22260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Copertura delle spese sul POR (Fondo FESR) 2000-2006</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100.000.000,00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w:t>
            </w:r>
          </w:p>
        </w:tc>
      </w:tr>
      <w:tr w:rsidR="00906D8F" w:rsidRPr="00906D8F" w:rsidTr="00906D8F">
        <w:trPr>
          <w:trHeight w:val="367"/>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4446206/00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11/03 - ripiano dei disavanzi delle ASL relativi all'anno 2000</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144.000.000,00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2013</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w:t>
            </w:r>
          </w:p>
        </w:tc>
      </w:tr>
      <w:tr w:rsidR="00906D8F" w:rsidRPr="00906D8F" w:rsidTr="00906D8F">
        <w:trPr>
          <w:trHeight w:val="516"/>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4412476/00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Trasferimenti di capitale ad EE.LL. e II.AA.CC.PP. - Art. 6, comma 15, L.R. n. 6/2001 - Bando 2001 </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19.000.000,00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2017</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1.858.177,98</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1.786.191,70</w:t>
            </w:r>
          </w:p>
        </w:tc>
      </w:tr>
      <w:tr w:rsidR="00906D8F" w:rsidRPr="00906D8F" w:rsidTr="00906D8F">
        <w:trPr>
          <w:trHeight w:val="438"/>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429863001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Finanziamento iniziative locali per sviluppo e occupazione ex art. 19 L.R. 37/98 - Bando 2003</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172.000.000,00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2019</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3.115.340,25</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0,00</w:t>
            </w:r>
          </w:p>
        </w:tc>
      </w:tr>
      <w:tr w:rsidR="00906D8F" w:rsidRPr="00906D8F" w:rsidTr="00906D8F">
        <w:trPr>
          <w:trHeight w:val="405"/>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4448147/00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Trasferimenti di capitale ad EE.LL. e II.AA.CC.PP. - Art. 6, comma 15, L.R. n. 6/2001 - Bando 2002</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6.175.116,65</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2019</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566.716,82</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1.576.554,97</w:t>
            </w:r>
          </w:p>
        </w:tc>
      </w:tr>
      <w:tr w:rsidR="00906D8F" w:rsidRPr="00906D8F" w:rsidTr="00906D8F">
        <w:trPr>
          <w:trHeight w:val="357"/>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XS0208374628</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n. 6/2004 - Art. 1, comma 8 - Prestito Obbligazionario a tasso fisso</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500.000.000,00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2034</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30.117.143,00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372.280.477,00</w:t>
            </w:r>
          </w:p>
        </w:tc>
      </w:tr>
      <w:tr w:rsidR="00906D8F" w:rsidRPr="00906D8F" w:rsidTr="00906D8F">
        <w:trPr>
          <w:trHeight w:val="350"/>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XS0236470521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n. 7/2005 - Art. 1, comma 5 - Prestito Obbligazionario a tasso fisso</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500.000.000,00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2035</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28.854.693,00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380.490.000,00</w:t>
            </w:r>
          </w:p>
        </w:tc>
      </w:tr>
      <w:tr w:rsidR="00906D8F" w:rsidRPr="00906D8F" w:rsidTr="00906D8F">
        <w:trPr>
          <w:trHeight w:val="342"/>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4477750/00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Iniziative locali per sviluppo e occupazione art. 19, L.R. n. 37/1998 - Bando 2004</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172.000.000,00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2020</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14.722.951,94</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54.642.265,63</w:t>
            </w:r>
          </w:p>
        </w:tc>
      </w:tr>
      <w:tr w:rsidR="00906D8F" w:rsidRPr="00906D8F" w:rsidTr="00906D8F">
        <w:trPr>
          <w:trHeight w:val="334"/>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4477323/00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Trasferimenti di capitale ad EE.LL. e II.AA.CC.PP. - Art. 6, comma 15, L.R. n. 6/2001 - Bando 2002</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8.604.966,28</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2020</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734.510,66</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2.728.404,76</w:t>
            </w:r>
          </w:p>
        </w:tc>
      </w:tr>
      <w:tr w:rsidR="00906D8F" w:rsidRPr="00906D8F" w:rsidTr="00906D8F">
        <w:trPr>
          <w:trHeight w:val="286"/>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4448147/01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Trasferimenti di capitale ad EE.LL. e II.AA.CC.PP. - Art. 6, comma 15, L.R. n. 6/2001 - Bando 2002 </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1.345.064,07</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2020</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118.468,74</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435.796,46</w:t>
            </w:r>
          </w:p>
        </w:tc>
      </w:tr>
      <w:tr w:rsidR="00906D8F" w:rsidRPr="00906D8F" w:rsidTr="00906D8F">
        <w:trPr>
          <w:trHeight w:val="82"/>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Oss.1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Mutuo a tasso variabile ex Osservatorio Economico - Ge.Se.</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500.000,00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2016</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w:t>
            </w:r>
          </w:p>
        </w:tc>
      </w:tr>
      <w:tr w:rsidR="00906D8F" w:rsidRPr="00906D8F" w:rsidTr="00906D8F">
        <w:trPr>
          <w:trHeight w:val="200"/>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Oss.2</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Mutuo a tasso fisso ex Osservatorio Economico - B.d.S.</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532.000,00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2014</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w:t>
            </w:r>
          </w:p>
        </w:tc>
      </w:tr>
      <w:tr w:rsidR="00906D8F" w:rsidRPr="00906D8F" w:rsidTr="00906D8F">
        <w:trPr>
          <w:trHeight w:val="222"/>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4558496/01</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Mutuo CDP di euro 700.000.000. L.R. 9 marzo 2015 n. 5 </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47.638.130,00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2035</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3.758.833,06</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44.065.270,25</w:t>
            </w:r>
          </w:p>
        </w:tc>
      </w:tr>
      <w:tr w:rsidR="00906D8F" w:rsidRPr="00906D8F" w:rsidTr="00906D8F">
        <w:trPr>
          <w:trHeight w:val="86"/>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4558496/02</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Mutuo CDP di euro 700.000.000. L.R. 9 marzo 2015 n. 5 </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12.811.146,00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2035</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1.066.824,64</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12.154.164,16</w:t>
            </w:r>
          </w:p>
        </w:tc>
      </w:tr>
      <w:tr w:rsidR="00906D8F" w:rsidRPr="00906D8F" w:rsidTr="00906D8F">
        <w:trPr>
          <w:trHeight w:val="78"/>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4558496/03</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Mutuo CDP di euro 700.000.000. L.R. 9 marzo 2015 n. 5 </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50.908.570,53</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2036</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50.908.570,53</w:t>
            </w:r>
          </w:p>
        </w:tc>
      </w:tr>
      <w:tr w:rsidR="00906D8F" w:rsidRPr="00906D8F" w:rsidTr="00906D8F">
        <w:trPr>
          <w:trHeight w:val="71"/>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4559056</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Mutuo CDP di euro 504.971.572,63. L.R. 9 marzo 2015 n.5</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RAS</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104.021.036,16</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2046</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104.021.036,16</w:t>
            </w:r>
          </w:p>
        </w:tc>
      </w:tr>
      <w:tr w:rsidR="00906D8F" w:rsidRPr="00906D8F" w:rsidTr="00130B51">
        <w:trPr>
          <w:trHeight w:val="275"/>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17000/2</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Mutuo per anticipazione liquidità</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MEF</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215.657.793,36</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2046</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0,00</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215.657.793,36</w:t>
            </w:r>
          </w:p>
        </w:tc>
      </w:tr>
      <w:tr w:rsidR="00906D8F" w:rsidRPr="00906D8F" w:rsidTr="00130B51">
        <w:trPr>
          <w:trHeight w:val="279"/>
          <w:jc w:val="center"/>
        </w:trPr>
        <w:tc>
          <w:tcPr>
            <w:tcW w:w="2640" w:type="pct"/>
            <w:gridSpan w:val="3"/>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Totale Indebitamento Regionale</w:t>
            </w:r>
          </w:p>
        </w:tc>
        <w:tc>
          <w:tcPr>
            <w:tcW w:w="672"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3.781.072.823,05</w:t>
            </w:r>
          </w:p>
        </w:tc>
        <w:tc>
          <w:tcPr>
            <w:tcW w:w="346" w:type="pct"/>
            <w:shd w:val="clear" w:color="auto" w:fill="FFFFFF" w:themeFill="background1"/>
            <w:noWrap/>
            <w:vAlign w:val="center"/>
            <w:hideMark/>
          </w:tcPr>
          <w:p w:rsidR="00EE404F" w:rsidRPr="00906D8F" w:rsidRDefault="00EE404F" w:rsidP="00EE404F">
            <w:pPr>
              <w:spacing w:after="0" w:line="240" w:lineRule="auto"/>
              <w:jc w:val="center"/>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 </w:t>
            </w:r>
          </w:p>
        </w:tc>
        <w:tc>
          <w:tcPr>
            <w:tcW w:w="508"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155.104.918,66</w:t>
            </w:r>
          </w:p>
        </w:tc>
        <w:tc>
          <w:tcPr>
            <w:tcW w:w="834"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1.323.955.161,61</w:t>
            </w:r>
          </w:p>
        </w:tc>
      </w:tr>
      <w:tr w:rsidR="00906D8F" w:rsidRPr="00906D8F" w:rsidTr="00906D8F">
        <w:trPr>
          <w:trHeight w:val="437"/>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4448148/00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L.R. n. 426/98 nuovi interventi in campo ambientale. Sito Sulcis-Iglesiente-Guspinese</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Stato</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21.848.866,38</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2023</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1.704.307,78</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sz w:val="16"/>
                <w:szCs w:val="16"/>
                <w:lang w:eastAsia="it-IT"/>
              </w:rPr>
            </w:pPr>
            <w:r w:rsidRPr="00906D8F">
              <w:rPr>
                <w:rFonts w:ascii="Calibri" w:eastAsia="Times New Roman" w:hAnsi="Calibri" w:cs="Calibri"/>
                <w:sz w:val="16"/>
                <w:szCs w:val="16"/>
                <w:lang w:eastAsia="it-IT"/>
              </w:rPr>
              <w:t>10.049.259,38</w:t>
            </w:r>
          </w:p>
        </w:tc>
      </w:tr>
      <w:tr w:rsidR="00906D8F" w:rsidRPr="00906D8F" w:rsidTr="00906D8F">
        <w:trPr>
          <w:trHeight w:val="246"/>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4423478/00</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L. n. 472/99, art. 14 - Mutuo a tasso fisso per acquisto mezzi di trasporto</w:t>
            </w:r>
          </w:p>
        </w:tc>
        <w:tc>
          <w:tcPr>
            <w:tcW w:w="392" w:type="pct"/>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Stato</w:t>
            </w:r>
          </w:p>
        </w:tc>
        <w:tc>
          <w:tcPr>
            <w:tcW w:w="67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22.999.638,50</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2.129.455,08</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4.028.256,12</w:t>
            </w:r>
          </w:p>
        </w:tc>
      </w:tr>
      <w:tr w:rsidR="00906D8F" w:rsidRPr="00906D8F" w:rsidTr="00130B51">
        <w:trPr>
          <w:trHeight w:val="281"/>
          <w:jc w:val="center"/>
        </w:trPr>
        <w:tc>
          <w:tcPr>
            <w:tcW w:w="2248" w:type="pct"/>
            <w:gridSpan w:val="2"/>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DEBITO A CARICO DELLO STATO</w:t>
            </w:r>
          </w:p>
        </w:tc>
        <w:tc>
          <w:tcPr>
            <w:tcW w:w="392" w:type="pct"/>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 </w:t>
            </w:r>
          </w:p>
        </w:tc>
        <w:tc>
          <w:tcPr>
            <w:tcW w:w="672"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44.848.504,88</w:t>
            </w:r>
          </w:p>
        </w:tc>
        <w:tc>
          <w:tcPr>
            <w:tcW w:w="346" w:type="pct"/>
            <w:shd w:val="clear" w:color="auto" w:fill="FFFFFF" w:themeFill="background1"/>
            <w:noWrap/>
            <w:vAlign w:val="center"/>
            <w:hideMark/>
          </w:tcPr>
          <w:p w:rsidR="00EE404F" w:rsidRPr="00906D8F" w:rsidRDefault="00EE404F" w:rsidP="00EE404F">
            <w:pPr>
              <w:spacing w:after="0" w:line="240" w:lineRule="auto"/>
              <w:jc w:val="center"/>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 </w:t>
            </w:r>
          </w:p>
        </w:tc>
        <w:tc>
          <w:tcPr>
            <w:tcW w:w="508" w:type="pct"/>
            <w:shd w:val="clear" w:color="auto" w:fill="FFFFFF" w:themeFill="background1"/>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3.833.762,86</w:t>
            </w:r>
          </w:p>
        </w:tc>
        <w:tc>
          <w:tcPr>
            <w:tcW w:w="822" w:type="pct"/>
            <w:shd w:val="clear" w:color="auto" w:fill="FFFFFF" w:themeFill="background1"/>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14.077.515,50</w:t>
            </w:r>
          </w:p>
        </w:tc>
      </w:tr>
      <w:tr w:rsidR="00906D8F" w:rsidRPr="00906D8F" w:rsidTr="00130B51">
        <w:trPr>
          <w:trHeight w:val="271"/>
          <w:jc w:val="center"/>
        </w:trPr>
        <w:tc>
          <w:tcPr>
            <w:tcW w:w="2248" w:type="pct"/>
            <w:gridSpan w:val="2"/>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DEBITO COMPLESSIVO (RAS+STATO)</w:t>
            </w:r>
          </w:p>
        </w:tc>
        <w:tc>
          <w:tcPr>
            <w:tcW w:w="392"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 </w:t>
            </w:r>
          </w:p>
        </w:tc>
        <w:tc>
          <w:tcPr>
            <w:tcW w:w="672" w:type="pct"/>
            <w:shd w:val="clear" w:color="auto" w:fill="FFFFFF" w:themeFill="background1"/>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3.825.921.327,93</w:t>
            </w:r>
          </w:p>
        </w:tc>
        <w:tc>
          <w:tcPr>
            <w:tcW w:w="346" w:type="pct"/>
            <w:shd w:val="clear" w:color="auto" w:fill="FFFFFF" w:themeFill="background1"/>
            <w:vAlign w:val="center"/>
            <w:hideMark/>
          </w:tcPr>
          <w:p w:rsidR="00EE404F" w:rsidRPr="00906D8F" w:rsidRDefault="00EE404F" w:rsidP="00EE404F">
            <w:pPr>
              <w:spacing w:after="0" w:line="240" w:lineRule="auto"/>
              <w:jc w:val="center"/>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 </w:t>
            </w:r>
          </w:p>
        </w:tc>
        <w:tc>
          <w:tcPr>
            <w:tcW w:w="508" w:type="pct"/>
            <w:shd w:val="clear" w:color="auto" w:fill="FFFFFF" w:themeFill="background1"/>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184.401.596,84</w:t>
            </w:r>
          </w:p>
        </w:tc>
        <w:tc>
          <w:tcPr>
            <w:tcW w:w="822" w:type="pct"/>
            <w:shd w:val="clear" w:color="auto" w:fill="FFFFFF" w:themeFill="background1"/>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1.338.032.677,11</w:t>
            </w:r>
          </w:p>
        </w:tc>
      </w:tr>
      <w:tr w:rsidR="00906D8F" w:rsidRPr="00906D8F" w:rsidTr="00906D8F">
        <w:trPr>
          <w:trHeight w:val="158"/>
          <w:jc w:val="center"/>
        </w:trPr>
        <w:tc>
          <w:tcPr>
            <w:tcW w:w="578" w:type="pct"/>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themeColor="background1"/>
                <w:sz w:val="16"/>
                <w:szCs w:val="16"/>
                <w:lang w:eastAsia="it-IT"/>
              </w:rPr>
            </w:pPr>
            <w:r w:rsidRPr="00906D8F">
              <w:rPr>
                <w:rFonts w:ascii="Bodoni MT" w:eastAsia="Times New Roman" w:hAnsi="Bodoni MT" w:cs="Arial"/>
                <w:b/>
                <w:bCs/>
                <w:color w:val="FFFFFF" w:themeColor="background1"/>
                <w:sz w:val="16"/>
                <w:szCs w:val="16"/>
                <w:lang w:eastAsia="it-IT"/>
              </w:rPr>
              <w:t> </w:t>
            </w:r>
          </w:p>
        </w:tc>
        <w:tc>
          <w:tcPr>
            <w:tcW w:w="1670" w:type="pct"/>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Contributi ai Comuni</w:t>
            </w:r>
          </w:p>
        </w:tc>
        <w:tc>
          <w:tcPr>
            <w:tcW w:w="392" w:type="pct"/>
            <w:shd w:val="clear" w:color="auto" w:fill="95B3D7" w:themeFill="accent1" w:themeFillTint="99"/>
            <w:vAlign w:val="center"/>
            <w:hideMark/>
          </w:tcPr>
          <w:p w:rsidR="00906D8F" w:rsidRPr="00906D8F" w:rsidRDefault="00EE404F" w:rsidP="00906D8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 xml:space="preserve">RAS </w:t>
            </w:r>
          </w:p>
          <w:p w:rsidR="00EE404F" w:rsidRPr="00906D8F" w:rsidRDefault="00EE404F" w:rsidP="00906D8F">
            <w:pPr>
              <w:spacing w:after="0" w:line="240" w:lineRule="auto"/>
              <w:jc w:val="center"/>
              <w:rPr>
                <w:rFonts w:ascii="Bodoni MT" w:eastAsia="Times New Roman" w:hAnsi="Bodoni MT" w:cs="Arial"/>
                <w:color w:val="FFFFFF" w:themeColor="background1"/>
                <w:sz w:val="16"/>
                <w:szCs w:val="16"/>
                <w:lang w:eastAsia="it-IT"/>
              </w:rPr>
            </w:pPr>
            <w:r w:rsidRPr="00906D8F">
              <w:rPr>
                <w:rFonts w:ascii="Bodoni MT" w:eastAsia="Times New Roman" w:hAnsi="Bodoni MT" w:cs="Arial"/>
                <w:color w:val="FFFFFF" w:themeColor="background1"/>
                <w:sz w:val="16"/>
                <w:szCs w:val="16"/>
                <w:lang w:eastAsia="it-IT"/>
              </w:rPr>
              <w:t>per i Comuni</w:t>
            </w:r>
          </w:p>
        </w:tc>
        <w:tc>
          <w:tcPr>
            <w:tcW w:w="672"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101.297.808,12</w:t>
            </w:r>
          </w:p>
        </w:tc>
        <w:tc>
          <w:tcPr>
            <w:tcW w:w="346"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2018</w:t>
            </w:r>
          </w:p>
        </w:tc>
        <w:tc>
          <w:tcPr>
            <w:tcW w:w="508" w:type="pct"/>
            <w:shd w:val="clear" w:color="000000" w:fill="FFFFFF"/>
            <w:vAlign w:val="center"/>
            <w:hideMark/>
          </w:tcPr>
          <w:p w:rsidR="00EE404F" w:rsidRPr="00906D8F" w:rsidRDefault="00EE404F" w:rsidP="00EE404F">
            <w:pPr>
              <w:spacing w:after="0" w:line="240" w:lineRule="auto"/>
              <w:jc w:val="center"/>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101.299.826,12</w:t>
            </w:r>
          </w:p>
        </w:tc>
        <w:tc>
          <w:tcPr>
            <w:tcW w:w="822" w:type="pct"/>
            <w:shd w:val="clear" w:color="000000" w:fill="FFFFFF"/>
            <w:vAlign w:val="center"/>
            <w:hideMark/>
          </w:tcPr>
          <w:p w:rsidR="00EE404F" w:rsidRPr="00906D8F" w:rsidRDefault="00EE404F" w:rsidP="00EE404F">
            <w:pPr>
              <w:spacing w:after="0" w:line="240" w:lineRule="auto"/>
              <w:jc w:val="right"/>
              <w:rPr>
                <w:rFonts w:ascii="Calibri" w:eastAsia="Times New Roman" w:hAnsi="Calibri" w:cs="Calibri"/>
                <w:color w:val="000000"/>
                <w:sz w:val="16"/>
                <w:szCs w:val="16"/>
                <w:lang w:eastAsia="it-IT"/>
              </w:rPr>
            </w:pPr>
            <w:r w:rsidRPr="00906D8F">
              <w:rPr>
                <w:rFonts w:ascii="Calibri" w:eastAsia="Times New Roman" w:hAnsi="Calibri" w:cs="Calibri"/>
                <w:color w:val="000000"/>
                <w:sz w:val="16"/>
                <w:szCs w:val="16"/>
                <w:lang w:eastAsia="it-IT"/>
              </w:rPr>
              <w:t>487.465,34</w:t>
            </w:r>
          </w:p>
        </w:tc>
      </w:tr>
      <w:tr w:rsidR="00906D8F" w:rsidRPr="00906D8F" w:rsidTr="00130B51">
        <w:trPr>
          <w:trHeight w:val="397"/>
          <w:jc w:val="center"/>
        </w:trPr>
        <w:tc>
          <w:tcPr>
            <w:tcW w:w="2248" w:type="pct"/>
            <w:gridSpan w:val="2"/>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DEBITO RAS AL NETTO DEI MUTUI A CARICO DELLO STATO</w:t>
            </w:r>
          </w:p>
        </w:tc>
        <w:tc>
          <w:tcPr>
            <w:tcW w:w="392" w:type="pct"/>
            <w:shd w:val="clear" w:color="auto" w:fill="95B3D7" w:themeFill="accent1" w:themeFillTint="99"/>
            <w:noWrap/>
            <w:vAlign w:val="center"/>
            <w:hideMark/>
          </w:tcPr>
          <w:p w:rsidR="00EE404F" w:rsidRPr="00906D8F" w:rsidRDefault="00EE404F" w:rsidP="00EE404F">
            <w:pPr>
              <w:spacing w:after="0" w:line="240" w:lineRule="auto"/>
              <w:rPr>
                <w:rFonts w:ascii="Bodoni MT" w:eastAsia="Times New Roman" w:hAnsi="Bodoni MT" w:cs="Arial"/>
                <w:b/>
                <w:bCs/>
                <w:color w:val="FFFFFF"/>
                <w:sz w:val="16"/>
                <w:szCs w:val="16"/>
                <w:lang w:eastAsia="it-IT"/>
              </w:rPr>
            </w:pPr>
            <w:r w:rsidRPr="00906D8F">
              <w:rPr>
                <w:rFonts w:ascii="Bodoni MT" w:eastAsia="Times New Roman" w:hAnsi="Bodoni MT" w:cs="Arial"/>
                <w:b/>
                <w:bCs/>
                <w:color w:val="FFFFFF"/>
                <w:sz w:val="16"/>
                <w:szCs w:val="16"/>
                <w:lang w:eastAsia="it-IT"/>
              </w:rPr>
              <w:t> </w:t>
            </w:r>
          </w:p>
        </w:tc>
        <w:tc>
          <w:tcPr>
            <w:tcW w:w="672"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3.882.370.631,17</w:t>
            </w:r>
          </w:p>
        </w:tc>
        <w:tc>
          <w:tcPr>
            <w:tcW w:w="346" w:type="pct"/>
            <w:shd w:val="clear" w:color="auto" w:fill="FFFFFF" w:themeFill="background1"/>
            <w:noWrap/>
            <w:vAlign w:val="center"/>
            <w:hideMark/>
          </w:tcPr>
          <w:p w:rsidR="00EE404F" w:rsidRPr="00906D8F" w:rsidRDefault="00EE404F" w:rsidP="00EE404F">
            <w:pPr>
              <w:spacing w:after="0" w:line="240" w:lineRule="auto"/>
              <w:jc w:val="center"/>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 </w:t>
            </w:r>
          </w:p>
        </w:tc>
        <w:tc>
          <w:tcPr>
            <w:tcW w:w="508"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256.404.744,78</w:t>
            </w:r>
          </w:p>
        </w:tc>
        <w:tc>
          <w:tcPr>
            <w:tcW w:w="822" w:type="pct"/>
            <w:shd w:val="clear" w:color="auto" w:fill="FFFFFF" w:themeFill="background1"/>
            <w:noWrap/>
            <w:vAlign w:val="center"/>
            <w:hideMark/>
          </w:tcPr>
          <w:p w:rsidR="00EE404F" w:rsidRPr="00906D8F" w:rsidRDefault="00EE404F" w:rsidP="00EE404F">
            <w:pPr>
              <w:spacing w:after="0" w:line="240" w:lineRule="auto"/>
              <w:jc w:val="right"/>
              <w:rPr>
                <w:rFonts w:ascii="Calibri" w:eastAsia="Times New Roman" w:hAnsi="Calibri" w:cs="Calibri"/>
                <w:b/>
                <w:bCs/>
                <w:sz w:val="16"/>
                <w:szCs w:val="16"/>
                <w:lang w:eastAsia="it-IT"/>
              </w:rPr>
            </w:pPr>
            <w:r w:rsidRPr="00906D8F">
              <w:rPr>
                <w:rFonts w:ascii="Calibri" w:eastAsia="Times New Roman" w:hAnsi="Calibri" w:cs="Calibri"/>
                <w:b/>
                <w:bCs/>
                <w:sz w:val="16"/>
                <w:szCs w:val="16"/>
                <w:lang w:eastAsia="it-IT"/>
              </w:rPr>
              <w:t>1.324.442.626,95</w:t>
            </w:r>
          </w:p>
        </w:tc>
      </w:tr>
    </w:tbl>
    <w:p w:rsidR="00EE404F" w:rsidRPr="00EE404F" w:rsidRDefault="00EE404F" w:rsidP="00906D8F">
      <w:pPr>
        <w:ind w:hanging="426"/>
        <w:rPr>
          <w:rFonts w:ascii="Bodoni MT" w:hAnsi="Bodoni MT"/>
          <w:sz w:val="16"/>
          <w:szCs w:val="16"/>
        </w:rPr>
      </w:pPr>
      <w:r w:rsidRPr="00906D8F">
        <w:rPr>
          <w:rFonts w:ascii="Bodoni MT" w:hAnsi="Bodoni MT"/>
          <w:sz w:val="18"/>
          <w:szCs w:val="18"/>
        </w:rPr>
        <w:t>Fonte: Elaborazione Corte dei conti su dati forniti da RAS</w:t>
      </w:r>
    </w:p>
    <w:p w:rsidR="00EE404F" w:rsidRPr="00767DD5" w:rsidRDefault="00EE404F" w:rsidP="00EE404F">
      <w:pPr>
        <w:rPr>
          <w:rFonts w:ascii="Bodoni MT" w:hAnsi="Bodoni MT"/>
          <w:sz w:val="24"/>
          <w:szCs w:val="24"/>
        </w:rPr>
      </w:pPr>
      <w:r w:rsidRPr="00EE404F">
        <w:rPr>
          <w:rFonts w:ascii="Bodoni MT" w:hAnsi="Bodoni MT"/>
          <w:color w:val="FF0000"/>
          <w:sz w:val="24"/>
          <w:szCs w:val="24"/>
        </w:rPr>
        <w:br w:type="page"/>
      </w:r>
    </w:p>
    <w:p w:rsidR="00EE404F" w:rsidRPr="00EE404F" w:rsidRDefault="00EE404F" w:rsidP="00EE404F">
      <w:pPr>
        <w:spacing w:line="360" w:lineRule="auto"/>
        <w:jc w:val="both"/>
        <w:rPr>
          <w:rFonts w:ascii="Bodoni MT" w:hAnsi="Bodoni MT"/>
          <w:sz w:val="24"/>
          <w:szCs w:val="24"/>
        </w:rPr>
      </w:pPr>
      <w:r w:rsidRPr="00EE404F">
        <w:rPr>
          <w:rFonts w:ascii="Bodoni MT" w:hAnsi="Bodoni MT"/>
          <w:sz w:val="24"/>
          <w:szCs w:val="24"/>
        </w:rPr>
        <w:lastRenderedPageBreak/>
        <w:t>Gli oneri a carico della Regione per l’ammortamento dei mutui in essere nel 2016, compresi i mutui a favore dei Comuni ed esclusi quelli a carico dello Stato, ammontano a € 256.404.744,78, di cui €</w:t>
      </w:r>
      <w:r w:rsidR="00906D8F">
        <w:rPr>
          <w:rFonts w:ascii="Bodoni MT" w:hAnsi="Bodoni MT"/>
          <w:sz w:val="24"/>
          <w:szCs w:val="24"/>
        </w:rPr>
        <w:t> </w:t>
      </w:r>
      <w:r w:rsidRPr="00EE404F">
        <w:rPr>
          <w:rFonts w:ascii="Bodoni MT" w:hAnsi="Bodoni MT"/>
          <w:sz w:val="24"/>
          <w:szCs w:val="24"/>
        </w:rPr>
        <w:t>114.096.108,17 a titolo di rimborso della quota capitale e €</w:t>
      </w:r>
      <w:r w:rsidR="00906D8F">
        <w:rPr>
          <w:rFonts w:ascii="Bodoni MT" w:hAnsi="Bodoni MT"/>
          <w:sz w:val="24"/>
          <w:szCs w:val="24"/>
        </w:rPr>
        <w:t xml:space="preserve"> </w:t>
      </w:r>
      <w:r w:rsidRPr="00EE404F">
        <w:rPr>
          <w:rFonts w:ascii="Bodoni MT" w:hAnsi="Bodoni MT"/>
          <w:sz w:val="24"/>
          <w:szCs w:val="24"/>
        </w:rPr>
        <w:t>41.945.571,92 a titolo di interessi, come illustrato nella tabella seguente.</w:t>
      </w:r>
    </w:p>
    <w:p w:rsidR="00EE404F" w:rsidRPr="00EE404F" w:rsidRDefault="00C05880" w:rsidP="00C05880">
      <w:pPr>
        <w:pStyle w:val="Didascalia"/>
        <w:rPr>
          <w:sz w:val="24"/>
          <w:szCs w:val="24"/>
        </w:rPr>
      </w:pPr>
      <w:bookmarkStart w:id="257" w:name="_Toc507422517"/>
      <w:r>
        <w:t xml:space="preserve">Tabella </w:t>
      </w:r>
      <w:r w:rsidR="00B90472">
        <w:fldChar w:fldCharType="begin"/>
      </w:r>
      <w:r w:rsidR="00B90472">
        <w:instrText xml:space="preserve"> SEQ Tabella \* ARABIC </w:instrText>
      </w:r>
      <w:r w:rsidR="00B90472">
        <w:fldChar w:fldCharType="separate"/>
      </w:r>
      <w:r w:rsidR="008616B3">
        <w:rPr>
          <w:noProof/>
        </w:rPr>
        <w:t>49</w:t>
      </w:r>
      <w:r w:rsidR="00B90472">
        <w:rPr>
          <w:noProof/>
        </w:rPr>
        <w:fldChar w:fldCharType="end"/>
      </w:r>
      <w:r w:rsidR="00906D8F">
        <w:t xml:space="preserve"> -</w:t>
      </w:r>
      <w:r w:rsidR="00EE404F" w:rsidRPr="00EE404F">
        <w:rPr>
          <w:sz w:val="24"/>
          <w:szCs w:val="24"/>
        </w:rPr>
        <w:t xml:space="preserve"> Mutui e prestiti – Oneri 2016</w:t>
      </w:r>
      <w:bookmarkEnd w:id="257"/>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3"/>
        <w:gridCol w:w="1559"/>
        <w:gridCol w:w="1414"/>
        <w:gridCol w:w="1313"/>
        <w:gridCol w:w="1414"/>
        <w:gridCol w:w="1569"/>
      </w:tblGrid>
      <w:tr w:rsidR="00EE404F" w:rsidRPr="00906D8F" w:rsidTr="00C2317A">
        <w:trPr>
          <w:trHeight w:val="360"/>
          <w:jc w:val="center"/>
        </w:trPr>
        <w:tc>
          <w:tcPr>
            <w:tcW w:w="1833" w:type="dxa"/>
            <w:shd w:val="clear" w:color="auto" w:fill="0F243E" w:themeFill="text2" w:themeFillShade="80"/>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Posizione</w:t>
            </w:r>
          </w:p>
        </w:tc>
        <w:tc>
          <w:tcPr>
            <w:tcW w:w="1559" w:type="dxa"/>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Importo originario</w:t>
            </w:r>
          </w:p>
        </w:tc>
        <w:tc>
          <w:tcPr>
            <w:tcW w:w="1414" w:type="dxa"/>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Oneri capitale 2016</w:t>
            </w:r>
          </w:p>
        </w:tc>
        <w:tc>
          <w:tcPr>
            <w:tcW w:w="1313" w:type="dxa"/>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Oneri interessi 2016</w:t>
            </w:r>
          </w:p>
        </w:tc>
        <w:tc>
          <w:tcPr>
            <w:tcW w:w="1414" w:type="dxa"/>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Totale Oneri 2016</w:t>
            </w:r>
          </w:p>
        </w:tc>
        <w:tc>
          <w:tcPr>
            <w:tcW w:w="1569" w:type="dxa"/>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Debito residuo al 31/12/2016</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4416757/00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750.000.000,00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4427434/01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500.000.000,00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26.190.476,18</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30.188,89</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26.220.665,07</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4445920/00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289.149.000,00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23.641.014,90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3.075.972,28</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26.716.987,18</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50.558.427,82</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4445117/00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186.730.000,00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15.267.169,22</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1.986.437,10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17.253.606,32</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32.650.208,81</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BEI 22260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100.000.000,00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4446206/00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144.000.000,00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4412476/00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19.000.000,00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1.694.332,52</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163.845,46</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1.858.177,98</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1.786.191,70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429863001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172.000.000,00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3.108.629,58</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6.710,67</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3.115.340,25</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4448147/00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6.175.116,65</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481.404,45</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85.312,37</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566.716,82</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1.576.554,97</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XS0208374628</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500.000.000,00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13.359.348,00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16.757.795,00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30.117.143,00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372.280.477,00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XS0236470521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500.000.000,00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13.150.000,00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15.701.284,70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28.851.284,70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380.490.000,00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4477750/00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172.000.000,00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12.550.586,59</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2.172.365,35</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14.722.951,94</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54.642.265,63</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4477323/00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8.604.966,28</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627.304,44</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107.206,22</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734.510,66</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2.728.404,76</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4448147/01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1.345.064,07</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99.075,95</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19.392,79</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118.468,74</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435.796,46</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Oss.1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500.000,00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Oss.2</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532.000,00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4558496/01</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47.638.130,00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2.381.906,50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1.376.926,56</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3.758.833,06</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44.065.270,25</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4558496/02</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12.811.146,00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656.981,84</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409.842,80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1.066.824,64</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12.154.164,16</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4558496/03</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50.908.570,53</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50.908.570,53</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4559056</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104.021.036,16</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104.021.036,16</w:t>
            </w:r>
          </w:p>
        </w:tc>
      </w:tr>
      <w:tr w:rsidR="00EE404F" w:rsidRPr="00906D8F" w:rsidTr="00906D8F">
        <w:trPr>
          <w:trHeight w:val="240"/>
          <w:jc w:val="center"/>
        </w:trPr>
        <w:tc>
          <w:tcPr>
            <w:tcW w:w="1833" w:type="dxa"/>
            <w:shd w:val="clear" w:color="auto" w:fill="95B3D7" w:themeFill="accent1" w:themeFillTint="99"/>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17000/2</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215.657.793,36</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0,00</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215.657.793,36</w:t>
            </w:r>
          </w:p>
        </w:tc>
      </w:tr>
      <w:tr w:rsidR="00EE404F" w:rsidRPr="00906D8F" w:rsidTr="00906D8F">
        <w:trPr>
          <w:trHeight w:val="180"/>
          <w:jc w:val="center"/>
        </w:trPr>
        <w:tc>
          <w:tcPr>
            <w:tcW w:w="3392" w:type="dxa"/>
            <w:gridSpan w:val="2"/>
            <w:shd w:val="clear" w:color="auto" w:fill="95B3D7" w:themeFill="accent1" w:themeFillTint="99"/>
            <w:noWrap/>
            <w:vAlign w:val="center"/>
            <w:hideMark/>
          </w:tcPr>
          <w:p w:rsidR="00EE404F" w:rsidRPr="00906D8F" w:rsidRDefault="00906D8F" w:rsidP="00EE404F">
            <w:pPr>
              <w:spacing w:after="0" w:line="240" w:lineRule="auto"/>
              <w:jc w:val="center"/>
              <w:rPr>
                <w:rFonts w:ascii="Bodoni MT" w:eastAsia="Times New Roman" w:hAnsi="Bodoni MT" w:cstheme="minorHAnsi"/>
                <w:b/>
                <w:bCs/>
                <w:color w:val="FFFFFF"/>
                <w:sz w:val="20"/>
                <w:szCs w:val="20"/>
                <w:lang w:eastAsia="it-IT"/>
              </w:rPr>
            </w:pPr>
            <w:r>
              <w:rPr>
                <w:rFonts w:ascii="Bodoni MT" w:eastAsia="Times New Roman" w:hAnsi="Bodoni MT" w:cstheme="minorHAnsi"/>
                <w:b/>
                <w:bCs/>
                <w:color w:val="FFFFFF"/>
                <w:sz w:val="20"/>
                <w:szCs w:val="20"/>
                <w:lang w:eastAsia="it-IT"/>
              </w:rPr>
              <w:t xml:space="preserve">Debito a carico della </w:t>
            </w:r>
            <w:r w:rsidR="00EE404F" w:rsidRPr="00906D8F">
              <w:rPr>
                <w:rFonts w:ascii="Bodoni MT" w:eastAsia="Times New Roman" w:hAnsi="Bodoni MT" w:cstheme="minorHAnsi"/>
                <w:b/>
                <w:bCs/>
                <w:color w:val="FFFFFF"/>
                <w:sz w:val="20"/>
                <w:szCs w:val="20"/>
                <w:lang w:eastAsia="it-IT"/>
              </w:rPr>
              <w:t>RAS</w:t>
            </w:r>
          </w:p>
        </w:tc>
        <w:tc>
          <w:tcPr>
            <w:tcW w:w="1414" w:type="dxa"/>
            <w:shd w:val="clear" w:color="auto" w:fill="FFFFFF" w:themeFill="background1"/>
            <w:noWrap/>
            <w:vAlign w:val="center"/>
            <w:hideMark/>
          </w:tcPr>
          <w:p w:rsidR="00EE404F" w:rsidRPr="00906D8F" w:rsidRDefault="00EE404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113.208.230,17</w:t>
            </w:r>
          </w:p>
        </w:tc>
        <w:tc>
          <w:tcPr>
            <w:tcW w:w="1313" w:type="dxa"/>
            <w:shd w:val="clear" w:color="auto" w:fill="FFFFFF" w:themeFill="background1"/>
            <w:noWrap/>
            <w:vAlign w:val="center"/>
            <w:hideMark/>
          </w:tcPr>
          <w:p w:rsidR="00EE404F" w:rsidRPr="00906D8F" w:rsidRDefault="00EE404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41.893.280,19</w:t>
            </w:r>
          </w:p>
        </w:tc>
        <w:tc>
          <w:tcPr>
            <w:tcW w:w="1414" w:type="dxa"/>
            <w:shd w:val="clear" w:color="auto" w:fill="FFFFFF" w:themeFill="background1"/>
            <w:noWrap/>
            <w:vAlign w:val="center"/>
            <w:hideMark/>
          </w:tcPr>
          <w:p w:rsidR="00EE404F" w:rsidRPr="00906D8F" w:rsidRDefault="00EE404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155.101.510,36</w:t>
            </w:r>
          </w:p>
        </w:tc>
        <w:tc>
          <w:tcPr>
            <w:tcW w:w="1569" w:type="dxa"/>
            <w:shd w:val="clear" w:color="auto" w:fill="FFFFFF" w:themeFill="background1"/>
            <w:noWrap/>
            <w:vAlign w:val="center"/>
            <w:hideMark/>
          </w:tcPr>
          <w:p w:rsidR="00EE404F" w:rsidRPr="00906D8F" w:rsidRDefault="00EE404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1.323.955.161,61</w:t>
            </w:r>
          </w:p>
        </w:tc>
      </w:tr>
      <w:tr w:rsidR="00EE404F" w:rsidRPr="00906D8F" w:rsidTr="00906D8F">
        <w:trPr>
          <w:trHeight w:val="240"/>
          <w:jc w:val="center"/>
        </w:trPr>
        <w:tc>
          <w:tcPr>
            <w:tcW w:w="1833" w:type="dxa"/>
            <w:shd w:val="clear" w:color="000000" w:fill="8EAADB"/>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4448148/00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21.848.866,38</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1.184.601,44</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519.706,34</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1.704.307,78</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10.049.259,38</w:t>
            </w:r>
          </w:p>
        </w:tc>
      </w:tr>
      <w:tr w:rsidR="00EE404F" w:rsidRPr="00906D8F" w:rsidTr="00906D8F">
        <w:trPr>
          <w:trHeight w:val="240"/>
          <w:jc w:val="center"/>
        </w:trPr>
        <w:tc>
          <w:tcPr>
            <w:tcW w:w="1833" w:type="dxa"/>
            <w:shd w:val="clear" w:color="000000" w:fill="8EAADB"/>
            <w:noWrap/>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4423478/00</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22.999.638,50</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1.882.769,23</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246.685,85</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2.129.455,08</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sz w:val="20"/>
                <w:szCs w:val="20"/>
                <w:lang w:eastAsia="it-IT"/>
              </w:rPr>
            </w:pPr>
            <w:r w:rsidRPr="00906D8F">
              <w:rPr>
                <w:rFonts w:eastAsia="Times New Roman" w:cstheme="minorHAnsi"/>
                <w:sz w:val="20"/>
                <w:szCs w:val="20"/>
                <w:lang w:eastAsia="it-IT"/>
              </w:rPr>
              <w:t>4.028.256,12</w:t>
            </w:r>
          </w:p>
        </w:tc>
      </w:tr>
      <w:tr w:rsidR="00906D8F" w:rsidRPr="00906D8F" w:rsidTr="00906D8F">
        <w:trPr>
          <w:trHeight w:val="240"/>
          <w:jc w:val="center"/>
        </w:trPr>
        <w:tc>
          <w:tcPr>
            <w:tcW w:w="3392" w:type="dxa"/>
            <w:gridSpan w:val="2"/>
            <w:shd w:val="clear" w:color="auto" w:fill="95B3D7" w:themeFill="accent1" w:themeFillTint="99"/>
            <w:noWrap/>
            <w:vAlign w:val="center"/>
            <w:hideMark/>
          </w:tcPr>
          <w:p w:rsidR="00906D8F" w:rsidRPr="00906D8F" w:rsidRDefault="00906D8F" w:rsidP="00906D8F">
            <w:pPr>
              <w:spacing w:after="0" w:line="240" w:lineRule="auto"/>
              <w:rPr>
                <w:rFonts w:eastAsia="Times New Roman" w:cstheme="minorHAnsi"/>
                <w:b/>
                <w:bCs/>
                <w:color w:val="FFFFFF"/>
                <w:sz w:val="20"/>
                <w:szCs w:val="20"/>
                <w:lang w:eastAsia="it-IT"/>
              </w:rPr>
            </w:pPr>
            <w:r w:rsidRPr="00906D8F">
              <w:rPr>
                <w:rFonts w:ascii="Bodoni MT" w:eastAsia="Times New Roman" w:hAnsi="Bodoni MT" w:cs="Arial"/>
                <w:b/>
                <w:bCs/>
                <w:color w:val="FFFFFF"/>
                <w:sz w:val="20"/>
                <w:szCs w:val="20"/>
                <w:lang w:eastAsia="it-IT"/>
              </w:rPr>
              <w:t>Debito a carico dello Stato</w:t>
            </w:r>
            <w:r w:rsidRPr="00906D8F">
              <w:rPr>
                <w:rFonts w:eastAsia="Times New Roman" w:cstheme="minorHAnsi"/>
                <w:b/>
                <w:bCs/>
                <w:color w:val="FFFFFF"/>
                <w:sz w:val="20"/>
                <w:szCs w:val="20"/>
                <w:lang w:eastAsia="it-IT"/>
              </w:rPr>
              <w:t> </w:t>
            </w:r>
          </w:p>
        </w:tc>
        <w:tc>
          <w:tcPr>
            <w:tcW w:w="1414"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3.067.370,67</w:t>
            </w:r>
          </w:p>
        </w:tc>
        <w:tc>
          <w:tcPr>
            <w:tcW w:w="1313"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766.392,19</w:t>
            </w:r>
          </w:p>
        </w:tc>
        <w:tc>
          <w:tcPr>
            <w:tcW w:w="1414"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3.833.762,86</w:t>
            </w:r>
          </w:p>
        </w:tc>
        <w:tc>
          <w:tcPr>
            <w:tcW w:w="1569"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14.077.515,50</w:t>
            </w:r>
          </w:p>
        </w:tc>
      </w:tr>
      <w:tr w:rsidR="00906D8F" w:rsidRPr="00906D8F" w:rsidTr="00906D8F">
        <w:trPr>
          <w:trHeight w:val="240"/>
          <w:jc w:val="center"/>
        </w:trPr>
        <w:tc>
          <w:tcPr>
            <w:tcW w:w="3392" w:type="dxa"/>
            <w:gridSpan w:val="2"/>
            <w:shd w:val="clear" w:color="auto" w:fill="95B3D7" w:themeFill="accent1" w:themeFillTint="99"/>
            <w:noWrap/>
            <w:vAlign w:val="center"/>
            <w:hideMark/>
          </w:tcPr>
          <w:p w:rsidR="00906D8F" w:rsidRPr="00906D8F" w:rsidRDefault="00906D8F" w:rsidP="00906D8F">
            <w:pPr>
              <w:spacing w:after="0" w:line="240" w:lineRule="auto"/>
              <w:rPr>
                <w:rFonts w:eastAsia="Times New Roman" w:cstheme="minorHAnsi"/>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Debito complessivo (RAS+Stato)</w:t>
            </w:r>
            <w:r w:rsidRPr="00906D8F">
              <w:rPr>
                <w:rFonts w:eastAsia="Times New Roman" w:cstheme="minorHAnsi"/>
                <w:b/>
                <w:bCs/>
                <w:color w:val="FFFFFF" w:themeColor="background1"/>
                <w:sz w:val="20"/>
                <w:szCs w:val="20"/>
                <w:lang w:eastAsia="it-IT"/>
              </w:rPr>
              <w:t> </w:t>
            </w:r>
          </w:p>
        </w:tc>
        <w:tc>
          <w:tcPr>
            <w:tcW w:w="1414"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116.275.600,84</w:t>
            </w:r>
          </w:p>
        </w:tc>
        <w:tc>
          <w:tcPr>
            <w:tcW w:w="1313"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42.659.672,38</w:t>
            </w:r>
          </w:p>
        </w:tc>
        <w:tc>
          <w:tcPr>
            <w:tcW w:w="1414"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158.935.273,22</w:t>
            </w:r>
          </w:p>
        </w:tc>
        <w:tc>
          <w:tcPr>
            <w:tcW w:w="1569" w:type="dxa"/>
            <w:shd w:val="clear" w:color="auto" w:fill="FFFFFF" w:themeFill="background1"/>
            <w:noWrap/>
            <w:vAlign w:val="center"/>
            <w:hideMark/>
          </w:tcPr>
          <w:p w:rsidR="00906D8F" w:rsidRPr="00906D8F" w:rsidRDefault="00906D8F" w:rsidP="00EE404F">
            <w:pPr>
              <w:spacing w:after="0" w:line="240" w:lineRule="auto"/>
              <w:jc w:val="center"/>
              <w:rPr>
                <w:rFonts w:eastAsia="Times New Roman" w:cstheme="minorHAnsi"/>
                <w:b/>
                <w:bCs/>
                <w:sz w:val="20"/>
                <w:szCs w:val="20"/>
                <w:lang w:eastAsia="it-IT"/>
              </w:rPr>
            </w:pPr>
            <w:r w:rsidRPr="00906D8F">
              <w:rPr>
                <w:rFonts w:eastAsia="Times New Roman" w:cstheme="minorHAnsi"/>
                <w:b/>
                <w:bCs/>
                <w:sz w:val="20"/>
                <w:szCs w:val="20"/>
                <w:lang w:eastAsia="it-IT"/>
              </w:rPr>
              <w:t>1.338.032.677,11</w:t>
            </w:r>
          </w:p>
        </w:tc>
      </w:tr>
      <w:tr w:rsidR="00EE404F" w:rsidRPr="00906D8F" w:rsidTr="00906D8F">
        <w:trPr>
          <w:trHeight w:val="585"/>
          <w:jc w:val="center"/>
        </w:trPr>
        <w:tc>
          <w:tcPr>
            <w:tcW w:w="1833" w:type="dxa"/>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b/>
                <w:bCs/>
                <w:color w:val="FFFFFF" w:themeColor="background1"/>
                <w:sz w:val="20"/>
                <w:szCs w:val="20"/>
                <w:lang w:eastAsia="it-IT"/>
              </w:rPr>
            </w:pPr>
            <w:r w:rsidRPr="00906D8F">
              <w:rPr>
                <w:rFonts w:ascii="Bodoni MT" w:eastAsia="Times New Roman" w:hAnsi="Bodoni MT" w:cs="Arial"/>
                <w:b/>
                <w:bCs/>
                <w:color w:val="FFFFFF" w:themeColor="background1"/>
                <w:sz w:val="20"/>
                <w:szCs w:val="20"/>
                <w:lang w:eastAsia="it-IT"/>
              </w:rPr>
              <w:t>Contributi ai Comuni (a carico della RAS)</w:t>
            </w:r>
          </w:p>
        </w:tc>
        <w:tc>
          <w:tcPr>
            <w:tcW w:w="155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101.297.808,12</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887.878,00</w:t>
            </w:r>
          </w:p>
        </w:tc>
        <w:tc>
          <w:tcPr>
            <w:tcW w:w="1313"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52.291,73</w:t>
            </w:r>
          </w:p>
        </w:tc>
        <w:tc>
          <w:tcPr>
            <w:tcW w:w="1414"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940.169,73</w:t>
            </w:r>
          </w:p>
        </w:tc>
        <w:tc>
          <w:tcPr>
            <w:tcW w:w="1569" w:type="dxa"/>
            <w:shd w:val="clear" w:color="000000" w:fill="FFFFFF"/>
            <w:vAlign w:val="center"/>
            <w:hideMark/>
          </w:tcPr>
          <w:p w:rsidR="00EE404F" w:rsidRPr="00906D8F" w:rsidRDefault="00EE404F" w:rsidP="00EE404F">
            <w:pPr>
              <w:spacing w:after="0" w:line="240" w:lineRule="auto"/>
              <w:jc w:val="right"/>
              <w:rPr>
                <w:rFonts w:eastAsia="Times New Roman" w:cstheme="minorHAnsi"/>
                <w:color w:val="000000"/>
                <w:sz w:val="20"/>
                <w:szCs w:val="20"/>
                <w:lang w:eastAsia="it-IT"/>
              </w:rPr>
            </w:pPr>
            <w:r w:rsidRPr="00906D8F">
              <w:rPr>
                <w:rFonts w:eastAsia="Times New Roman" w:cstheme="minorHAnsi"/>
                <w:color w:val="000000"/>
                <w:sz w:val="20"/>
                <w:szCs w:val="20"/>
                <w:lang w:eastAsia="it-IT"/>
              </w:rPr>
              <w:t>487.465,34</w:t>
            </w:r>
          </w:p>
        </w:tc>
      </w:tr>
      <w:tr w:rsidR="00906D8F" w:rsidRPr="00906D8F" w:rsidTr="00582DE2">
        <w:trPr>
          <w:trHeight w:val="240"/>
          <w:jc w:val="center"/>
        </w:trPr>
        <w:tc>
          <w:tcPr>
            <w:tcW w:w="3392" w:type="dxa"/>
            <w:gridSpan w:val="2"/>
            <w:shd w:val="clear" w:color="auto" w:fill="95B3D7" w:themeFill="accent1" w:themeFillTint="99"/>
            <w:noWrap/>
            <w:vAlign w:val="center"/>
            <w:hideMark/>
          </w:tcPr>
          <w:p w:rsidR="00906D8F" w:rsidRPr="00906D8F" w:rsidRDefault="00906D8F" w:rsidP="00906D8F">
            <w:pPr>
              <w:spacing w:after="0" w:line="240" w:lineRule="auto"/>
              <w:rPr>
                <w:rFonts w:eastAsia="Times New Roman" w:cstheme="minorHAnsi"/>
                <w:b/>
                <w:bCs/>
                <w:sz w:val="20"/>
                <w:szCs w:val="20"/>
                <w:lang w:eastAsia="it-IT"/>
              </w:rPr>
            </w:pPr>
            <w:r w:rsidRPr="00906D8F">
              <w:rPr>
                <w:rFonts w:ascii="Bodoni MT" w:eastAsia="Times New Roman" w:hAnsi="Bodoni MT" w:cs="Arial"/>
                <w:b/>
                <w:bCs/>
                <w:color w:val="FFFFFF" w:themeColor="background1"/>
                <w:sz w:val="20"/>
                <w:szCs w:val="20"/>
                <w:lang w:eastAsia="it-IT"/>
              </w:rPr>
              <w:t>Debito RAS al netto dei mutui a carico dello Stato</w:t>
            </w:r>
            <w:r w:rsidRPr="00906D8F">
              <w:rPr>
                <w:rFonts w:eastAsia="Times New Roman" w:cstheme="minorHAnsi"/>
                <w:b/>
                <w:bCs/>
                <w:sz w:val="20"/>
                <w:szCs w:val="20"/>
                <w:lang w:eastAsia="it-IT"/>
              </w:rPr>
              <w:t> </w:t>
            </w:r>
          </w:p>
        </w:tc>
        <w:tc>
          <w:tcPr>
            <w:tcW w:w="1414" w:type="dxa"/>
            <w:shd w:val="clear" w:color="auto" w:fill="FFFFFF" w:themeFill="background1"/>
            <w:noWrap/>
            <w:vAlign w:val="center"/>
            <w:hideMark/>
          </w:tcPr>
          <w:p w:rsidR="00906D8F" w:rsidRPr="00906D8F" w:rsidRDefault="00906D8F" w:rsidP="00EE404F">
            <w:pPr>
              <w:spacing w:after="0" w:line="240" w:lineRule="auto"/>
              <w:jc w:val="right"/>
              <w:rPr>
                <w:rFonts w:eastAsia="Times New Roman" w:cstheme="minorHAnsi"/>
                <w:b/>
                <w:bCs/>
                <w:sz w:val="20"/>
                <w:szCs w:val="20"/>
                <w:lang w:eastAsia="it-IT"/>
              </w:rPr>
            </w:pPr>
            <w:r w:rsidRPr="00906D8F">
              <w:rPr>
                <w:rFonts w:eastAsia="Times New Roman" w:cstheme="minorHAnsi"/>
                <w:b/>
                <w:bCs/>
                <w:sz w:val="20"/>
                <w:szCs w:val="20"/>
                <w:lang w:eastAsia="it-IT"/>
              </w:rPr>
              <w:t>114.096.108,17</w:t>
            </w:r>
          </w:p>
        </w:tc>
        <w:tc>
          <w:tcPr>
            <w:tcW w:w="1313" w:type="dxa"/>
            <w:shd w:val="clear" w:color="auto" w:fill="FFFFFF" w:themeFill="background1"/>
            <w:noWrap/>
            <w:vAlign w:val="center"/>
            <w:hideMark/>
          </w:tcPr>
          <w:p w:rsidR="00906D8F" w:rsidRPr="00906D8F" w:rsidRDefault="00906D8F" w:rsidP="00EE404F">
            <w:pPr>
              <w:spacing w:after="0" w:line="240" w:lineRule="auto"/>
              <w:jc w:val="right"/>
              <w:rPr>
                <w:rFonts w:eastAsia="Times New Roman" w:cstheme="minorHAnsi"/>
                <w:b/>
                <w:bCs/>
                <w:sz w:val="20"/>
                <w:szCs w:val="20"/>
                <w:lang w:eastAsia="it-IT"/>
              </w:rPr>
            </w:pPr>
            <w:r w:rsidRPr="00906D8F">
              <w:rPr>
                <w:rFonts w:eastAsia="Times New Roman" w:cstheme="minorHAnsi"/>
                <w:b/>
                <w:bCs/>
                <w:sz w:val="20"/>
                <w:szCs w:val="20"/>
                <w:lang w:eastAsia="it-IT"/>
              </w:rPr>
              <w:t>41.945.571,92</w:t>
            </w:r>
          </w:p>
        </w:tc>
        <w:tc>
          <w:tcPr>
            <w:tcW w:w="1414" w:type="dxa"/>
            <w:shd w:val="clear" w:color="auto" w:fill="FFFFFF" w:themeFill="background1"/>
            <w:noWrap/>
            <w:vAlign w:val="center"/>
            <w:hideMark/>
          </w:tcPr>
          <w:p w:rsidR="00906D8F" w:rsidRPr="00906D8F" w:rsidRDefault="00906D8F" w:rsidP="00EE404F">
            <w:pPr>
              <w:spacing w:after="0" w:line="240" w:lineRule="auto"/>
              <w:jc w:val="right"/>
              <w:rPr>
                <w:rFonts w:eastAsia="Times New Roman" w:cstheme="minorHAnsi"/>
                <w:b/>
                <w:bCs/>
                <w:sz w:val="20"/>
                <w:szCs w:val="20"/>
                <w:lang w:eastAsia="it-IT"/>
              </w:rPr>
            </w:pPr>
            <w:r w:rsidRPr="00906D8F">
              <w:rPr>
                <w:rFonts w:eastAsia="Times New Roman" w:cstheme="minorHAnsi"/>
                <w:b/>
                <w:bCs/>
                <w:sz w:val="20"/>
                <w:szCs w:val="20"/>
                <w:lang w:eastAsia="it-IT"/>
              </w:rPr>
              <w:t>156.041.680,09</w:t>
            </w:r>
          </w:p>
        </w:tc>
        <w:tc>
          <w:tcPr>
            <w:tcW w:w="1569" w:type="dxa"/>
            <w:shd w:val="clear" w:color="auto" w:fill="FFFFFF" w:themeFill="background1"/>
            <w:noWrap/>
            <w:vAlign w:val="center"/>
            <w:hideMark/>
          </w:tcPr>
          <w:p w:rsidR="00906D8F" w:rsidRPr="00906D8F" w:rsidRDefault="00906D8F" w:rsidP="00EE404F">
            <w:pPr>
              <w:spacing w:after="0" w:line="240" w:lineRule="auto"/>
              <w:jc w:val="right"/>
              <w:rPr>
                <w:rFonts w:eastAsia="Times New Roman" w:cstheme="minorHAnsi"/>
                <w:b/>
                <w:bCs/>
                <w:sz w:val="20"/>
                <w:szCs w:val="20"/>
                <w:lang w:eastAsia="it-IT"/>
              </w:rPr>
            </w:pPr>
            <w:r w:rsidRPr="00906D8F">
              <w:rPr>
                <w:rFonts w:eastAsia="Times New Roman" w:cstheme="minorHAnsi"/>
                <w:b/>
                <w:bCs/>
                <w:sz w:val="20"/>
                <w:szCs w:val="20"/>
                <w:lang w:eastAsia="it-IT"/>
              </w:rPr>
              <w:t>1.324.442.626,95</w:t>
            </w:r>
          </w:p>
        </w:tc>
      </w:tr>
    </w:tbl>
    <w:p w:rsidR="00EE404F" w:rsidRPr="00EE404F" w:rsidRDefault="00EE404F" w:rsidP="008F0C14">
      <w:pPr>
        <w:spacing w:line="240" w:lineRule="auto"/>
        <w:ind w:firstLine="426"/>
        <w:rPr>
          <w:rFonts w:ascii="Bodoni MT" w:hAnsi="Bodoni MT"/>
          <w:sz w:val="24"/>
          <w:szCs w:val="24"/>
        </w:rPr>
      </w:pPr>
      <w:r w:rsidRPr="00EE404F">
        <w:rPr>
          <w:rFonts w:ascii="Bodoni MT" w:hAnsi="Bodoni MT"/>
          <w:sz w:val="16"/>
          <w:szCs w:val="16"/>
        </w:rPr>
        <w:t>Fonte: Elaborazione Corte d</w:t>
      </w:r>
      <w:r w:rsidR="008F0C14">
        <w:rPr>
          <w:rFonts w:ascii="Bodoni MT" w:hAnsi="Bodoni MT"/>
          <w:sz w:val="16"/>
          <w:szCs w:val="16"/>
        </w:rPr>
        <w:t>ei conti su dati forniti da RAS</w:t>
      </w:r>
    </w:p>
    <w:p w:rsidR="00EE404F" w:rsidRPr="00EE404F" w:rsidRDefault="00EE404F" w:rsidP="008F0C14">
      <w:pPr>
        <w:pStyle w:val="CdcTesto"/>
      </w:pPr>
      <w:r w:rsidRPr="00EE404F">
        <w:t>Le accensioni dei nuovi prestiti intervenute nel 2016, secondo quanto affermato nella relazione sulla gestione, non incidono in maniera rilevante sull’ammontare delle spese, il cui andamento si mantiene costante poiché i mutui a tassi elevati sono stati sostituiti con mutui più vantaggiosi e grazie anche alle estinzioni che interverranno nell’esercizio 2018.</w:t>
      </w:r>
    </w:p>
    <w:p w:rsidR="00EE404F" w:rsidRPr="00EE404F" w:rsidRDefault="00EE404F" w:rsidP="008F0C14">
      <w:pPr>
        <w:pStyle w:val="CdcTesto"/>
      </w:pPr>
      <w:r w:rsidRPr="00EE404F">
        <w:t>La dimostrazione dell’andamento del servizio del debito (per gli anni dal 2012 al 2019), viene esposto nella tabella che segue.</w:t>
      </w:r>
    </w:p>
    <w:p w:rsidR="00EE404F" w:rsidRPr="00EE404F" w:rsidRDefault="00C05880" w:rsidP="00C05880">
      <w:pPr>
        <w:pStyle w:val="Didascalia"/>
        <w:rPr>
          <w:sz w:val="24"/>
          <w:szCs w:val="24"/>
        </w:rPr>
      </w:pPr>
      <w:bookmarkStart w:id="258" w:name="_Toc507422518"/>
      <w:r>
        <w:lastRenderedPageBreak/>
        <w:t xml:space="preserve">Tabella </w:t>
      </w:r>
      <w:r w:rsidR="00B90472">
        <w:fldChar w:fldCharType="begin"/>
      </w:r>
      <w:r w:rsidR="00B90472">
        <w:instrText xml:space="preserve"> SEQ Tabella \* ARABIC </w:instrText>
      </w:r>
      <w:r w:rsidR="00B90472">
        <w:fldChar w:fldCharType="separate"/>
      </w:r>
      <w:r w:rsidR="008616B3">
        <w:rPr>
          <w:noProof/>
        </w:rPr>
        <w:t>50</w:t>
      </w:r>
      <w:r w:rsidR="00B90472">
        <w:rPr>
          <w:noProof/>
        </w:rPr>
        <w:fldChar w:fldCharType="end"/>
      </w:r>
      <w:r w:rsidR="00906D8F">
        <w:t xml:space="preserve"> </w:t>
      </w:r>
      <w:r w:rsidR="00906D8F">
        <w:rPr>
          <w:sz w:val="24"/>
          <w:szCs w:val="24"/>
        </w:rPr>
        <w:t>-</w:t>
      </w:r>
      <w:r w:rsidR="00EE404F" w:rsidRPr="00EE404F">
        <w:rPr>
          <w:sz w:val="24"/>
          <w:szCs w:val="24"/>
        </w:rPr>
        <w:t xml:space="preserve"> </w:t>
      </w:r>
      <w:r w:rsidR="00906D8F" w:rsidRPr="00EE404F">
        <w:rPr>
          <w:sz w:val="24"/>
          <w:szCs w:val="24"/>
        </w:rPr>
        <w:t xml:space="preserve">Periodo </w:t>
      </w:r>
      <w:r w:rsidR="00EE404F" w:rsidRPr="00EE404F">
        <w:rPr>
          <w:sz w:val="24"/>
          <w:szCs w:val="24"/>
        </w:rPr>
        <w:t>2012-2019 ripartizione quota capitale e quota interessi</w:t>
      </w:r>
      <w:bookmarkEnd w:id="258"/>
    </w:p>
    <w:tbl>
      <w:tblPr>
        <w:tblW w:w="10060" w:type="dxa"/>
        <w:tblCellMar>
          <w:left w:w="70" w:type="dxa"/>
          <w:right w:w="70" w:type="dxa"/>
        </w:tblCellMar>
        <w:tblLook w:val="04A0" w:firstRow="1" w:lastRow="0" w:firstColumn="1" w:lastColumn="0" w:noHBand="0" w:noVBand="1"/>
      </w:tblPr>
      <w:tblGrid>
        <w:gridCol w:w="1413"/>
        <w:gridCol w:w="1134"/>
        <w:gridCol w:w="1134"/>
        <w:gridCol w:w="1134"/>
        <w:gridCol w:w="992"/>
        <w:gridCol w:w="1134"/>
        <w:gridCol w:w="1134"/>
        <w:gridCol w:w="992"/>
        <w:gridCol w:w="993"/>
      </w:tblGrid>
      <w:tr w:rsidR="00EE404F" w:rsidRPr="00EE404F" w:rsidTr="00C2317A">
        <w:trPr>
          <w:trHeight w:val="240"/>
        </w:trPr>
        <w:tc>
          <w:tcPr>
            <w:tcW w:w="1413" w:type="dxa"/>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 </w:t>
            </w:r>
          </w:p>
        </w:tc>
        <w:tc>
          <w:tcPr>
            <w:tcW w:w="1134"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31/12/2012</w:t>
            </w:r>
          </w:p>
        </w:tc>
        <w:tc>
          <w:tcPr>
            <w:tcW w:w="1134"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31/12/2013</w:t>
            </w:r>
          </w:p>
        </w:tc>
        <w:tc>
          <w:tcPr>
            <w:tcW w:w="1134"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31/12/2014</w:t>
            </w:r>
          </w:p>
        </w:tc>
        <w:tc>
          <w:tcPr>
            <w:tcW w:w="992"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31/12/2015</w:t>
            </w:r>
          </w:p>
        </w:tc>
        <w:tc>
          <w:tcPr>
            <w:tcW w:w="1134"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31/12/2016</w:t>
            </w:r>
          </w:p>
        </w:tc>
        <w:tc>
          <w:tcPr>
            <w:tcW w:w="1134"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31/12/2017</w:t>
            </w:r>
          </w:p>
        </w:tc>
        <w:tc>
          <w:tcPr>
            <w:tcW w:w="992"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31/12/2018</w:t>
            </w:r>
          </w:p>
        </w:tc>
        <w:tc>
          <w:tcPr>
            <w:tcW w:w="993"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EE404F" w:rsidRDefault="00EE404F" w:rsidP="00EE404F">
            <w:pPr>
              <w:spacing w:after="0" w:line="240" w:lineRule="auto"/>
              <w:jc w:val="center"/>
              <w:rPr>
                <w:rFonts w:ascii="Bodoni MT" w:eastAsia="Times New Roman" w:hAnsi="Bodoni MT" w:cs="Arial"/>
                <w:b/>
                <w:bCs/>
                <w:color w:val="FFFFFF"/>
                <w:sz w:val="18"/>
                <w:szCs w:val="18"/>
                <w:lang w:eastAsia="it-IT"/>
              </w:rPr>
            </w:pPr>
            <w:r w:rsidRPr="00EE404F">
              <w:rPr>
                <w:rFonts w:ascii="Bodoni MT" w:eastAsia="Times New Roman" w:hAnsi="Bodoni MT" w:cs="Arial"/>
                <w:b/>
                <w:bCs/>
                <w:color w:val="FFFFFF"/>
                <w:sz w:val="18"/>
                <w:szCs w:val="18"/>
                <w:lang w:eastAsia="it-IT"/>
              </w:rPr>
              <w:t>31/12/2019</w:t>
            </w:r>
          </w:p>
        </w:tc>
      </w:tr>
      <w:tr w:rsidR="00EE404F" w:rsidRPr="00EE404F" w:rsidTr="00906D8F">
        <w:trPr>
          <w:trHeight w:val="240"/>
        </w:trPr>
        <w:tc>
          <w:tcPr>
            <w:tcW w:w="1413"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906D8F" w:rsidP="00EE404F">
            <w:pPr>
              <w:spacing w:after="0" w:line="240" w:lineRule="auto"/>
              <w:jc w:val="center"/>
              <w:rPr>
                <w:rFonts w:ascii="Bodoni MT" w:eastAsia="Times New Roman" w:hAnsi="Bodoni MT" w:cs="Arial"/>
                <w:color w:val="FFFFFF" w:themeColor="background1"/>
                <w:sz w:val="18"/>
                <w:szCs w:val="18"/>
                <w:lang w:eastAsia="it-IT"/>
              </w:rPr>
            </w:pPr>
            <w:r w:rsidRPr="00906D8F">
              <w:rPr>
                <w:rFonts w:ascii="Bodoni MT" w:eastAsia="Times New Roman" w:hAnsi="Bodoni MT" w:cs="Arial"/>
                <w:color w:val="FFFFFF" w:themeColor="background1"/>
                <w:sz w:val="18"/>
                <w:szCs w:val="18"/>
                <w:lang w:eastAsia="it-IT"/>
              </w:rPr>
              <w:t>Amm</w:t>
            </w:r>
            <w:r w:rsidR="00EE404F" w:rsidRPr="00906D8F">
              <w:rPr>
                <w:rFonts w:ascii="Bodoni MT" w:eastAsia="Times New Roman" w:hAnsi="Bodoni MT" w:cs="Arial"/>
                <w:color w:val="FFFFFF" w:themeColor="background1"/>
                <w:sz w:val="18"/>
                <w:szCs w:val="18"/>
                <w:lang w:eastAsia="it-IT"/>
              </w:rPr>
              <w:t>.to capitale</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200</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284</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176</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139</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116</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113</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134</w:t>
            </w:r>
          </w:p>
        </w:tc>
        <w:tc>
          <w:tcPr>
            <w:tcW w:w="993"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99</w:t>
            </w:r>
          </w:p>
        </w:tc>
      </w:tr>
      <w:tr w:rsidR="00EE404F" w:rsidRPr="00EE404F" w:rsidTr="00906D8F">
        <w:trPr>
          <w:trHeight w:val="240"/>
        </w:trPr>
        <w:tc>
          <w:tcPr>
            <w:tcW w:w="1413"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906D8F" w:rsidP="00EE404F">
            <w:pPr>
              <w:spacing w:after="0" w:line="240" w:lineRule="auto"/>
              <w:jc w:val="center"/>
              <w:rPr>
                <w:rFonts w:ascii="Bodoni MT" w:eastAsia="Times New Roman" w:hAnsi="Bodoni MT" w:cs="Arial"/>
                <w:color w:val="FFFFFF" w:themeColor="background1"/>
                <w:sz w:val="18"/>
                <w:szCs w:val="18"/>
                <w:lang w:eastAsia="it-IT"/>
              </w:rPr>
            </w:pPr>
            <w:r w:rsidRPr="00906D8F">
              <w:rPr>
                <w:rFonts w:ascii="Bodoni MT" w:eastAsia="Times New Roman" w:hAnsi="Bodoni MT" w:cs="Arial"/>
                <w:color w:val="FFFFFF" w:themeColor="background1"/>
                <w:sz w:val="18"/>
                <w:szCs w:val="18"/>
                <w:lang w:eastAsia="it-IT"/>
              </w:rPr>
              <w:t xml:space="preserve">Quota </w:t>
            </w:r>
            <w:r w:rsidR="00EE404F" w:rsidRPr="00906D8F">
              <w:rPr>
                <w:rFonts w:ascii="Bodoni MT" w:eastAsia="Times New Roman" w:hAnsi="Bodoni MT" w:cs="Arial"/>
                <w:color w:val="FFFFFF" w:themeColor="background1"/>
                <w:sz w:val="18"/>
                <w:szCs w:val="18"/>
                <w:lang w:eastAsia="it-IT"/>
              </w:rPr>
              <w:t>interessi</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65</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54</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50</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45</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43</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50</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64</w:t>
            </w:r>
          </w:p>
        </w:tc>
        <w:tc>
          <w:tcPr>
            <w:tcW w:w="993"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65</w:t>
            </w:r>
          </w:p>
        </w:tc>
      </w:tr>
      <w:tr w:rsidR="00EE404F" w:rsidRPr="00EE404F" w:rsidTr="00906D8F">
        <w:trPr>
          <w:trHeight w:val="240"/>
        </w:trPr>
        <w:tc>
          <w:tcPr>
            <w:tcW w:w="1413"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jc w:val="center"/>
              <w:rPr>
                <w:rFonts w:ascii="Bodoni MT" w:eastAsia="Times New Roman" w:hAnsi="Bodoni MT" w:cs="Arial"/>
                <w:color w:val="FFFFFF" w:themeColor="background1"/>
                <w:sz w:val="18"/>
                <w:szCs w:val="18"/>
                <w:lang w:eastAsia="it-IT"/>
              </w:rPr>
            </w:pPr>
            <w:r w:rsidRPr="00906D8F">
              <w:rPr>
                <w:rFonts w:ascii="Bodoni MT" w:eastAsia="Times New Roman" w:hAnsi="Bodoni MT" w:cs="Arial"/>
                <w:color w:val="FFFFFF" w:themeColor="background1"/>
                <w:sz w:val="18"/>
                <w:szCs w:val="18"/>
                <w:lang w:eastAsia="it-IT"/>
              </w:rPr>
              <w:t xml:space="preserve">Totale </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265</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338</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226</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184</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159</w:t>
            </w:r>
          </w:p>
        </w:tc>
        <w:tc>
          <w:tcPr>
            <w:tcW w:w="1134"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163</w:t>
            </w:r>
          </w:p>
        </w:tc>
        <w:tc>
          <w:tcPr>
            <w:tcW w:w="992"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198</w:t>
            </w:r>
          </w:p>
        </w:tc>
        <w:tc>
          <w:tcPr>
            <w:tcW w:w="993" w:type="dxa"/>
            <w:tcBorders>
              <w:top w:val="nil"/>
              <w:left w:val="nil"/>
              <w:bottom w:val="single" w:sz="4" w:space="0" w:color="auto"/>
              <w:right w:val="single" w:sz="4" w:space="0" w:color="auto"/>
            </w:tcBorders>
            <w:shd w:val="clear" w:color="auto" w:fill="auto"/>
            <w:noWrap/>
            <w:vAlign w:val="bottom"/>
            <w:hideMark/>
          </w:tcPr>
          <w:p w:rsidR="00EE404F" w:rsidRPr="00EE404F" w:rsidRDefault="00EE404F" w:rsidP="00EE404F">
            <w:pPr>
              <w:spacing w:after="0" w:line="240" w:lineRule="auto"/>
              <w:jc w:val="right"/>
              <w:rPr>
                <w:rFonts w:ascii="Calibri" w:eastAsia="Times New Roman" w:hAnsi="Calibri" w:cs="Calibri"/>
                <w:sz w:val="20"/>
                <w:szCs w:val="20"/>
                <w:lang w:eastAsia="it-IT"/>
              </w:rPr>
            </w:pPr>
            <w:r w:rsidRPr="00EE404F">
              <w:rPr>
                <w:rFonts w:ascii="Calibri" w:eastAsia="Times New Roman" w:hAnsi="Calibri" w:cs="Calibri"/>
                <w:sz w:val="20"/>
                <w:szCs w:val="20"/>
                <w:lang w:eastAsia="it-IT"/>
              </w:rPr>
              <w:t>164</w:t>
            </w:r>
          </w:p>
        </w:tc>
      </w:tr>
    </w:tbl>
    <w:p w:rsidR="00EE404F" w:rsidRPr="00EE404F" w:rsidRDefault="00EE404F" w:rsidP="00EE404F">
      <w:pPr>
        <w:spacing w:line="360" w:lineRule="auto"/>
        <w:jc w:val="both"/>
        <w:rPr>
          <w:rFonts w:ascii="Bodoni MT" w:hAnsi="Bodoni MT"/>
          <w:sz w:val="16"/>
          <w:szCs w:val="16"/>
        </w:rPr>
      </w:pPr>
      <w:r w:rsidRPr="00EE404F">
        <w:rPr>
          <w:rFonts w:ascii="Bodoni MT" w:hAnsi="Bodoni MT"/>
          <w:sz w:val="16"/>
          <w:szCs w:val="16"/>
        </w:rPr>
        <w:t>Dati in milioni di euro. Fonte: Dati RAS</w:t>
      </w:r>
    </w:p>
    <w:p w:rsidR="00EE404F" w:rsidRPr="008F0C14" w:rsidRDefault="00EE404F" w:rsidP="008F0C14">
      <w:pPr>
        <w:pStyle w:val="CdcTesto"/>
      </w:pPr>
      <w:r w:rsidRPr="008F0C14">
        <w:t>I dati esposti nella tabella comprendono anche le rate a carico dello Stato.</w:t>
      </w:r>
    </w:p>
    <w:p w:rsidR="00EE404F" w:rsidRPr="008F0C14" w:rsidRDefault="00EE404F" w:rsidP="008F0C14">
      <w:pPr>
        <w:pStyle w:val="CdcTesto"/>
      </w:pPr>
      <w:r w:rsidRPr="008F0C14">
        <w:t>Lo stock del debito a carico della Regione, comprensivo della quota a carico dello Stato, per gli esercizi dal 2015 al</w:t>
      </w:r>
      <w:r w:rsidR="00906D8F" w:rsidRPr="008F0C14">
        <w:t xml:space="preserve"> 2019, </w:t>
      </w:r>
      <w:r w:rsidRPr="008F0C14">
        <w:t>si riassume nella tabella seguente.</w:t>
      </w:r>
    </w:p>
    <w:p w:rsidR="00EE404F" w:rsidRPr="00C05880" w:rsidRDefault="00C05880" w:rsidP="00C05880">
      <w:pPr>
        <w:pStyle w:val="Didascalia"/>
        <w:rPr>
          <w:color w:val="auto"/>
        </w:rPr>
      </w:pPr>
      <w:bookmarkStart w:id="259" w:name="_Toc507422519"/>
      <w:r w:rsidRPr="00C05880">
        <w:rPr>
          <w:color w:val="auto"/>
        </w:rPr>
        <w:t xml:space="preserve">Tabella </w:t>
      </w:r>
      <w:r w:rsidRPr="00C05880">
        <w:rPr>
          <w:color w:val="auto"/>
        </w:rPr>
        <w:fldChar w:fldCharType="begin"/>
      </w:r>
      <w:r w:rsidRPr="00C05880">
        <w:rPr>
          <w:color w:val="auto"/>
        </w:rPr>
        <w:instrText xml:space="preserve"> SEQ Tabella \* ARABIC </w:instrText>
      </w:r>
      <w:r w:rsidRPr="00C05880">
        <w:rPr>
          <w:color w:val="auto"/>
        </w:rPr>
        <w:fldChar w:fldCharType="separate"/>
      </w:r>
      <w:r w:rsidR="008616B3">
        <w:rPr>
          <w:noProof/>
          <w:color w:val="auto"/>
        </w:rPr>
        <w:t>51</w:t>
      </w:r>
      <w:r w:rsidRPr="00C05880">
        <w:rPr>
          <w:color w:val="auto"/>
        </w:rPr>
        <w:fldChar w:fldCharType="end"/>
      </w:r>
      <w:r w:rsidR="00906D8F" w:rsidRPr="00C05880">
        <w:rPr>
          <w:color w:val="auto"/>
        </w:rPr>
        <w:t xml:space="preserve"> -</w:t>
      </w:r>
      <w:r w:rsidR="00EE404F" w:rsidRPr="00C05880">
        <w:rPr>
          <w:color w:val="auto"/>
        </w:rPr>
        <w:t xml:space="preserve"> Dimostrazione Stock Debito</w:t>
      </w:r>
      <w:bookmarkEnd w:id="259"/>
    </w:p>
    <w:tbl>
      <w:tblPr>
        <w:tblW w:w="5000" w:type="pct"/>
        <w:jc w:val="center"/>
        <w:tblCellMar>
          <w:left w:w="70" w:type="dxa"/>
          <w:right w:w="70" w:type="dxa"/>
        </w:tblCellMar>
        <w:tblLook w:val="04A0" w:firstRow="1" w:lastRow="0" w:firstColumn="1" w:lastColumn="0" w:noHBand="0" w:noVBand="1"/>
      </w:tblPr>
      <w:tblGrid>
        <w:gridCol w:w="3905"/>
        <w:gridCol w:w="1244"/>
        <w:gridCol w:w="1244"/>
        <w:gridCol w:w="1223"/>
        <w:gridCol w:w="1201"/>
        <w:gridCol w:w="1244"/>
      </w:tblGrid>
      <w:tr w:rsidR="00EE404F" w:rsidRPr="00906D8F" w:rsidTr="00C2317A">
        <w:trPr>
          <w:trHeight w:val="240"/>
          <w:jc w:val="center"/>
        </w:trPr>
        <w:tc>
          <w:tcPr>
            <w:tcW w:w="1940"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 </w:t>
            </w:r>
          </w:p>
        </w:tc>
        <w:tc>
          <w:tcPr>
            <w:tcW w:w="61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2015</w:t>
            </w:r>
          </w:p>
        </w:tc>
        <w:tc>
          <w:tcPr>
            <w:tcW w:w="61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2016</w:t>
            </w:r>
          </w:p>
        </w:tc>
        <w:tc>
          <w:tcPr>
            <w:tcW w:w="60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2017</w:t>
            </w:r>
          </w:p>
        </w:tc>
        <w:tc>
          <w:tcPr>
            <w:tcW w:w="597"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2018</w:t>
            </w:r>
          </w:p>
        </w:tc>
        <w:tc>
          <w:tcPr>
            <w:tcW w:w="61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EE404F" w:rsidRPr="00906D8F" w:rsidRDefault="00EE404F" w:rsidP="00EE404F">
            <w:pPr>
              <w:spacing w:after="0" w:line="240" w:lineRule="auto"/>
              <w:jc w:val="center"/>
              <w:rPr>
                <w:rFonts w:ascii="Bodoni MT" w:eastAsia="Times New Roman" w:hAnsi="Bodoni MT" w:cs="Arial"/>
                <w:b/>
                <w:bCs/>
                <w:color w:val="FFFFFF"/>
                <w:sz w:val="20"/>
                <w:szCs w:val="20"/>
                <w:lang w:eastAsia="it-IT"/>
              </w:rPr>
            </w:pPr>
            <w:r w:rsidRPr="00906D8F">
              <w:rPr>
                <w:rFonts w:ascii="Bodoni MT" w:eastAsia="Times New Roman" w:hAnsi="Bodoni MT" w:cs="Arial"/>
                <w:b/>
                <w:bCs/>
                <w:color w:val="FFFFFF"/>
                <w:sz w:val="20"/>
                <w:szCs w:val="20"/>
                <w:lang w:eastAsia="it-IT"/>
              </w:rPr>
              <w:t>2019</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Debito Residuo Iniziale (RAS + Stato)</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1373</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1144</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1338</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1475</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1600</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Rimb. Quota capitale</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139</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116</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113</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125</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94</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Estinzioni</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150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60</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Mutui Infrastrutture</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60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51</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150</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150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150</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Mutuo Disavanzo (accantonamento perenti)</w:t>
            </w:r>
          </w:p>
        </w:tc>
        <w:tc>
          <w:tcPr>
            <w:tcW w:w="618" w:type="pct"/>
            <w:tcBorders>
              <w:top w:val="nil"/>
              <w:left w:val="nil"/>
              <w:bottom w:val="single" w:sz="4" w:space="0" w:color="auto"/>
              <w:right w:val="single" w:sz="4" w:space="0" w:color="auto"/>
            </w:tcBorders>
            <w:shd w:val="clear" w:color="auto" w:fill="auto"/>
            <w:noWrap/>
            <w:vAlign w:val="center"/>
            <w:hideMark/>
          </w:tcPr>
          <w:p w:rsidR="00EE404F" w:rsidRPr="00906D8F" w:rsidRDefault="00EE404F" w:rsidP="00906D8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618" w:type="pct"/>
            <w:tcBorders>
              <w:top w:val="nil"/>
              <w:left w:val="nil"/>
              <w:bottom w:val="single" w:sz="4" w:space="0" w:color="auto"/>
              <w:right w:val="single" w:sz="4" w:space="0" w:color="auto"/>
            </w:tcBorders>
            <w:shd w:val="clear" w:color="auto" w:fill="auto"/>
            <w:noWrap/>
            <w:vAlign w:val="center"/>
            <w:hideMark/>
          </w:tcPr>
          <w:p w:rsidR="00EE404F" w:rsidRPr="00906D8F" w:rsidRDefault="00EE404F" w:rsidP="00906D8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104</w:t>
            </w:r>
          </w:p>
        </w:tc>
        <w:tc>
          <w:tcPr>
            <w:tcW w:w="608" w:type="pct"/>
            <w:tcBorders>
              <w:top w:val="nil"/>
              <w:left w:val="nil"/>
              <w:bottom w:val="single" w:sz="4" w:space="0" w:color="auto"/>
              <w:right w:val="single" w:sz="4" w:space="0" w:color="auto"/>
            </w:tcBorders>
            <w:shd w:val="clear" w:color="auto" w:fill="auto"/>
            <w:noWrap/>
            <w:vAlign w:val="center"/>
            <w:hideMark/>
          </w:tcPr>
          <w:p w:rsidR="00EE404F" w:rsidRPr="00906D8F" w:rsidRDefault="00EE404F" w:rsidP="00906D8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100</w:t>
            </w:r>
          </w:p>
        </w:tc>
        <w:tc>
          <w:tcPr>
            <w:tcW w:w="597" w:type="pct"/>
            <w:tcBorders>
              <w:top w:val="nil"/>
              <w:left w:val="nil"/>
              <w:bottom w:val="single" w:sz="4" w:space="0" w:color="auto"/>
              <w:right w:val="single" w:sz="4" w:space="0" w:color="auto"/>
            </w:tcBorders>
            <w:shd w:val="clear" w:color="auto" w:fill="auto"/>
            <w:noWrap/>
            <w:vAlign w:val="center"/>
            <w:hideMark/>
          </w:tcPr>
          <w:p w:rsidR="00EE404F" w:rsidRPr="00906D8F" w:rsidRDefault="00EE404F" w:rsidP="00906D8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100</w:t>
            </w:r>
          </w:p>
        </w:tc>
        <w:tc>
          <w:tcPr>
            <w:tcW w:w="618" w:type="pct"/>
            <w:tcBorders>
              <w:top w:val="nil"/>
              <w:left w:val="nil"/>
              <w:bottom w:val="single" w:sz="4" w:space="0" w:color="auto"/>
              <w:right w:val="single" w:sz="4" w:space="0" w:color="auto"/>
            </w:tcBorders>
            <w:shd w:val="clear" w:color="auto" w:fill="auto"/>
            <w:noWrap/>
            <w:vAlign w:val="center"/>
            <w:hideMark/>
          </w:tcPr>
          <w:p w:rsidR="00EE404F" w:rsidRPr="00906D8F" w:rsidRDefault="00EE404F" w:rsidP="00906D8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100</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Anticipazioni di liquidità</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215</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0</w:t>
            </w:r>
          </w:p>
        </w:tc>
      </w:tr>
      <w:tr w:rsidR="00EE404F" w:rsidRPr="00906D8F" w:rsidTr="00C2317A">
        <w:trPr>
          <w:trHeight w:val="240"/>
          <w:jc w:val="center"/>
        </w:trPr>
        <w:tc>
          <w:tcPr>
            <w:tcW w:w="194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E404F" w:rsidRPr="00906D8F" w:rsidRDefault="00EE404F" w:rsidP="00EE404F">
            <w:pPr>
              <w:spacing w:after="0" w:line="240" w:lineRule="auto"/>
              <w:rPr>
                <w:rFonts w:ascii="Bodoni MT" w:eastAsia="Times New Roman" w:hAnsi="Bodoni MT" w:cs="Arial"/>
                <w:color w:val="FFFFFF" w:themeColor="background1"/>
                <w:sz w:val="20"/>
                <w:szCs w:val="20"/>
                <w:lang w:eastAsia="it-IT"/>
              </w:rPr>
            </w:pPr>
            <w:r w:rsidRPr="00906D8F">
              <w:rPr>
                <w:rFonts w:ascii="Bodoni MT" w:eastAsia="Times New Roman" w:hAnsi="Bodoni MT" w:cs="Arial"/>
                <w:color w:val="FFFFFF" w:themeColor="background1"/>
                <w:sz w:val="20"/>
                <w:szCs w:val="20"/>
                <w:lang w:eastAsia="it-IT"/>
              </w:rPr>
              <w:t>Debito residuo finale (RAS + Stato)</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1144</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1338</w:t>
            </w:r>
          </w:p>
        </w:tc>
        <w:tc>
          <w:tcPr>
            <w:tcW w:w="60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1475</w:t>
            </w:r>
          </w:p>
        </w:tc>
        <w:tc>
          <w:tcPr>
            <w:tcW w:w="597"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1600</w:t>
            </w:r>
          </w:p>
        </w:tc>
        <w:tc>
          <w:tcPr>
            <w:tcW w:w="618" w:type="pct"/>
            <w:tcBorders>
              <w:top w:val="nil"/>
              <w:left w:val="nil"/>
              <w:bottom w:val="single" w:sz="4" w:space="0" w:color="auto"/>
              <w:right w:val="single" w:sz="4" w:space="0" w:color="auto"/>
            </w:tcBorders>
            <w:shd w:val="clear" w:color="auto" w:fill="auto"/>
            <w:noWrap/>
            <w:vAlign w:val="bottom"/>
            <w:hideMark/>
          </w:tcPr>
          <w:p w:rsidR="00EE404F" w:rsidRPr="00906D8F" w:rsidRDefault="00EE404F" w:rsidP="00EE404F">
            <w:pPr>
              <w:spacing w:after="0" w:line="240" w:lineRule="auto"/>
              <w:jc w:val="right"/>
              <w:rPr>
                <w:rFonts w:ascii="Calibri" w:eastAsia="Times New Roman" w:hAnsi="Calibri" w:cs="Arial"/>
                <w:sz w:val="20"/>
                <w:szCs w:val="20"/>
                <w:lang w:eastAsia="it-IT"/>
              </w:rPr>
            </w:pPr>
            <w:r w:rsidRPr="00906D8F">
              <w:rPr>
                <w:rFonts w:ascii="Calibri" w:eastAsia="Times New Roman" w:hAnsi="Calibri" w:cs="Arial"/>
                <w:sz w:val="20"/>
                <w:szCs w:val="20"/>
                <w:lang w:eastAsia="it-IT"/>
              </w:rPr>
              <w:t>1756</w:t>
            </w:r>
          </w:p>
        </w:tc>
      </w:tr>
    </w:tbl>
    <w:p w:rsidR="00EE404F" w:rsidRPr="00906D8F" w:rsidRDefault="00EE404F" w:rsidP="00906D8F">
      <w:pPr>
        <w:spacing w:line="360" w:lineRule="auto"/>
        <w:ind w:firstLine="284"/>
        <w:jc w:val="both"/>
        <w:rPr>
          <w:rFonts w:ascii="Bodoni MT" w:hAnsi="Bodoni MT"/>
          <w:sz w:val="18"/>
          <w:szCs w:val="18"/>
        </w:rPr>
      </w:pPr>
      <w:r w:rsidRPr="00906D8F">
        <w:rPr>
          <w:rFonts w:ascii="Bodoni MT" w:hAnsi="Bodoni MT"/>
          <w:sz w:val="18"/>
          <w:szCs w:val="18"/>
        </w:rPr>
        <w:t>Fonte: Dati RAS</w:t>
      </w:r>
    </w:p>
    <w:p w:rsidR="00EE404F" w:rsidRPr="00EE404F" w:rsidRDefault="00EE404F" w:rsidP="008F0C14">
      <w:pPr>
        <w:pStyle w:val="CdcTesto"/>
      </w:pPr>
      <w:r w:rsidRPr="00EE404F">
        <w:t>Con riferimento all’indebitamento complessivo, si rileva, nell’arco temporale considerato, una ripresa del debito già dal 2016. Facendo riferimento alla popolazione della Sardegna rilevata dall’ISTAT, il debito pro capite si si</w:t>
      </w:r>
      <w:r w:rsidR="00906D8F">
        <w:t>ntetizza nella tabella seguente.</w:t>
      </w:r>
    </w:p>
    <w:p w:rsidR="00EE404F" w:rsidRPr="00EE404F" w:rsidRDefault="00C05880" w:rsidP="00C05880">
      <w:pPr>
        <w:pStyle w:val="Didascalia"/>
        <w:rPr>
          <w:sz w:val="24"/>
          <w:szCs w:val="24"/>
        </w:rPr>
      </w:pPr>
      <w:bookmarkStart w:id="260" w:name="_Toc507422520"/>
      <w:r>
        <w:t xml:space="preserve">Tabella </w:t>
      </w:r>
      <w:r w:rsidR="00B90472">
        <w:fldChar w:fldCharType="begin"/>
      </w:r>
      <w:r w:rsidR="00B90472">
        <w:instrText xml:space="preserve"> SEQ Tabella \* ARABIC </w:instrText>
      </w:r>
      <w:r w:rsidR="00B90472">
        <w:fldChar w:fldCharType="separate"/>
      </w:r>
      <w:r w:rsidR="008616B3">
        <w:rPr>
          <w:noProof/>
        </w:rPr>
        <w:t>52</w:t>
      </w:r>
      <w:r w:rsidR="00B90472">
        <w:rPr>
          <w:noProof/>
        </w:rPr>
        <w:fldChar w:fldCharType="end"/>
      </w:r>
      <w:r w:rsidR="00906D8F">
        <w:t xml:space="preserve"> </w:t>
      </w:r>
      <w:r w:rsidR="00582DE2">
        <w:t>-</w:t>
      </w:r>
      <w:r w:rsidR="00906D8F">
        <w:t>Stock del debito pro</w:t>
      </w:r>
      <w:r w:rsidR="00582DE2">
        <w:t xml:space="preserve"> capite</w:t>
      </w:r>
      <w:bookmarkEnd w:id="2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5"/>
        <w:gridCol w:w="3218"/>
        <w:gridCol w:w="2326"/>
        <w:gridCol w:w="3002"/>
      </w:tblGrid>
      <w:tr w:rsidR="00EE404F" w:rsidRPr="00582DE2" w:rsidTr="00C2317A">
        <w:trPr>
          <w:trHeight w:val="195"/>
          <w:jc w:val="center"/>
        </w:trPr>
        <w:tc>
          <w:tcPr>
            <w:tcW w:w="753" w:type="pct"/>
            <w:shd w:val="clear" w:color="auto" w:fill="0F243E" w:themeFill="text2" w:themeFillShade="80"/>
            <w:vAlign w:val="center"/>
            <w:hideMark/>
          </w:tcPr>
          <w:p w:rsidR="00EE404F" w:rsidRPr="00582DE2" w:rsidRDefault="00EE404F" w:rsidP="00EE404F">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Anno</w:t>
            </w:r>
          </w:p>
        </w:tc>
        <w:tc>
          <w:tcPr>
            <w:tcW w:w="1599" w:type="pct"/>
            <w:shd w:val="clear" w:color="auto" w:fill="0F243E" w:themeFill="text2" w:themeFillShade="80"/>
            <w:vAlign w:val="center"/>
            <w:hideMark/>
          </w:tcPr>
          <w:p w:rsidR="00EE404F" w:rsidRPr="00582DE2" w:rsidRDefault="00EE404F" w:rsidP="00EE404F">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Popolazione al 31/12</w:t>
            </w:r>
          </w:p>
        </w:tc>
        <w:tc>
          <w:tcPr>
            <w:tcW w:w="1156" w:type="pct"/>
            <w:shd w:val="clear" w:color="auto" w:fill="0F243E" w:themeFill="text2" w:themeFillShade="80"/>
            <w:vAlign w:val="center"/>
            <w:hideMark/>
          </w:tcPr>
          <w:p w:rsidR="00EE404F" w:rsidRPr="00582DE2" w:rsidRDefault="00EE404F" w:rsidP="00EE404F">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Stock debito residuo</w:t>
            </w:r>
          </w:p>
        </w:tc>
        <w:tc>
          <w:tcPr>
            <w:tcW w:w="1492" w:type="pct"/>
            <w:shd w:val="clear" w:color="auto" w:fill="0F243E" w:themeFill="text2" w:themeFillShade="80"/>
            <w:vAlign w:val="center"/>
            <w:hideMark/>
          </w:tcPr>
          <w:p w:rsidR="00EE404F" w:rsidRPr="00582DE2" w:rsidRDefault="00EE404F" w:rsidP="00EE404F">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Stock debito pro capite</w:t>
            </w:r>
          </w:p>
        </w:tc>
      </w:tr>
      <w:tr w:rsidR="00EE404F" w:rsidRPr="00582DE2" w:rsidTr="00582DE2">
        <w:trPr>
          <w:trHeight w:val="240"/>
          <w:jc w:val="center"/>
        </w:trPr>
        <w:tc>
          <w:tcPr>
            <w:tcW w:w="753" w:type="pct"/>
            <w:shd w:val="clear" w:color="auto" w:fill="95B3D7" w:themeFill="accent1" w:themeFillTint="99"/>
            <w:vAlign w:val="center"/>
            <w:hideMark/>
          </w:tcPr>
          <w:p w:rsidR="00EE404F" w:rsidRPr="00582DE2" w:rsidRDefault="00EE404F" w:rsidP="00582DE2">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2013</w:t>
            </w:r>
          </w:p>
        </w:tc>
        <w:tc>
          <w:tcPr>
            <w:tcW w:w="1599" w:type="pct"/>
            <w:shd w:val="clear" w:color="000000" w:fill="FFFFFF"/>
            <w:vAlign w:val="center"/>
            <w:hideMark/>
          </w:tcPr>
          <w:p w:rsidR="00EE404F" w:rsidRPr="00582DE2" w:rsidRDefault="00EE404F" w:rsidP="00582DE2">
            <w:pPr>
              <w:spacing w:after="0" w:line="240" w:lineRule="auto"/>
              <w:jc w:val="center"/>
              <w:rPr>
                <w:rFonts w:eastAsia="Times New Roman" w:cstheme="minorHAnsi"/>
                <w:color w:val="333333"/>
                <w:sz w:val="20"/>
                <w:szCs w:val="20"/>
                <w:lang w:eastAsia="it-IT"/>
              </w:rPr>
            </w:pPr>
            <w:r w:rsidRPr="00582DE2">
              <w:rPr>
                <w:rFonts w:eastAsia="Times New Roman" w:cstheme="minorHAnsi"/>
                <w:color w:val="333333"/>
                <w:sz w:val="20"/>
                <w:szCs w:val="20"/>
                <w:lang w:eastAsia="it-IT"/>
              </w:rPr>
              <w:t>1.663.859</w:t>
            </w:r>
          </w:p>
        </w:tc>
        <w:tc>
          <w:tcPr>
            <w:tcW w:w="1156"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1.536.994.796,45</w:t>
            </w:r>
          </w:p>
        </w:tc>
        <w:tc>
          <w:tcPr>
            <w:tcW w:w="1492"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923,75</w:t>
            </w:r>
          </w:p>
        </w:tc>
      </w:tr>
      <w:tr w:rsidR="00EE404F" w:rsidRPr="00582DE2" w:rsidTr="00582DE2">
        <w:trPr>
          <w:trHeight w:val="240"/>
          <w:jc w:val="center"/>
        </w:trPr>
        <w:tc>
          <w:tcPr>
            <w:tcW w:w="753" w:type="pct"/>
            <w:shd w:val="clear" w:color="auto" w:fill="95B3D7" w:themeFill="accent1" w:themeFillTint="99"/>
            <w:vAlign w:val="center"/>
            <w:hideMark/>
          </w:tcPr>
          <w:p w:rsidR="00EE404F" w:rsidRPr="00582DE2" w:rsidRDefault="00EE404F" w:rsidP="00582DE2">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2014</w:t>
            </w:r>
          </w:p>
        </w:tc>
        <w:tc>
          <w:tcPr>
            <w:tcW w:w="1599" w:type="pct"/>
            <w:shd w:val="clear" w:color="000000" w:fill="FFFFFF"/>
            <w:vAlign w:val="center"/>
            <w:hideMark/>
          </w:tcPr>
          <w:p w:rsidR="00EE404F" w:rsidRPr="00582DE2" w:rsidRDefault="00EE404F" w:rsidP="00582DE2">
            <w:pPr>
              <w:spacing w:after="0" w:line="240" w:lineRule="auto"/>
              <w:jc w:val="center"/>
              <w:rPr>
                <w:rFonts w:eastAsia="Times New Roman" w:cstheme="minorHAnsi"/>
                <w:color w:val="333333"/>
                <w:sz w:val="20"/>
                <w:szCs w:val="20"/>
                <w:lang w:eastAsia="it-IT"/>
              </w:rPr>
            </w:pPr>
            <w:r w:rsidRPr="00582DE2">
              <w:rPr>
                <w:rFonts w:eastAsia="Times New Roman" w:cstheme="minorHAnsi"/>
                <w:color w:val="333333"/>
                <w:sz w:val="20"/>
                <w:szCs w:val="20"/>
                <w:lang w:eastAsia="it-IT"/>
              </w:rPr>
              <w:t>1.663.286</w:t>
            </w:r>
          </w:p>
        </w:tc>
        <w:tc>
          <w:tcPr>
            <w:tcW w:w="1156"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1.360.835.081,21</w:t>
            </w:r>
          </w:p>
        </w:tc>
        <w:tc>
          <w:tcPr>
            <w:tcW w:w="1492"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818,16</w:t>
            </w:r>
          </w:p>
        </w:tc>
      </w:tr>
      <w:tr w:rsidR="00EE404F" w:rsidRPr="00582DE2" w:rsidTr="00582DE2">
        <w:trPr>
          <w:trHeight w:val="240"/>
          <w:jc w:val="center"/>
        </w:trPr>
        <w:tc>
          <w:tcPr>
            <w:tcW w:w="753" w:type="pct"/>
            <w:shd w:val="clear" w:color="auto" w:fill="95B3D7" w:themeFill="accent1" w:themeFillTint="99"/>
            <w:vAlign w:val="center"/>
            <w:hideMark/>
          </w:tcPr>
          <w:p w:rsidR="00EE404F" w:rsidRPr="00582DE2" w:rsidRDefault="00EE404F" w:rsidP="00582DE2">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2015</w:t>
            </w:r>
          </w:p>
        </w:tc>
        <w:tc>
          <w:tcPr>
            <w:tcW w:w="1599" w:type="pct"/>
            <w:shd w:val="clear" w:color="000000" w:fill="FFFFFF"/>
            <w:vAlign w:val="center"/>
            <w:hideMark/>
          </w:tcPr>
          <w:p w:rsidR="00EE404F" w:rsidRPr="00582DE2" w:rsidRDefault="00EE404F" w:rsidP="00582DE2">
            <w:pPr>
              <w:spacing w:after="0" w:line="240" w:lineRule="auto"/>
              <w:jc w:val="center"/>
              <w:rPr>
                <w:rFonts w:eastAsia="Times New Roman" w:cstheme="minorHAnsi"/>
                <w:color w:val="333333"/>
                <w:sz w:val="20"/>
                <w:szCs w:val="20"/>
                <w:lang w:eastAsia="it-IT"/>
              </w:rPr>
            </w:pPr>
            <w:r w:rsidRPr="00582DE2">
              <w:rPr>
                <w:rFonts w:eastAsia="Times New Roman" w:cstheme="minorHAnsi"/>
                <w:color w:val="333333"/>
                <w:sz w:val="20"/>
                <w:szCs w:val="20"/>
                <w:lang w:eastAsia="it-IT"/>
              </w:rPr>
              <w:t>1.658.138</w:t>
            </w:r>
          </w:p>
        </w:tc>
        <w:tc>
          <w:tcPr>
            <w:tcW w:w="1156"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1.128.103.861,33</w:t>
            </w:r>
          </w:p>
        </w:tc>
        <w:tc>
          <w:tcPr>
            <w:tcW w:w="1492"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680,34</w:t>
            </w:r>
          </w:p>
        </w:tc>
      </w:tr>
      <w:tr w:rsidR="00EE404F" w:rsidRPr="00582DE2" w:rsidTr="00582DE2">
        <w:trPr>
          <w:trHeight w:val="240"/>
          <w:jc w:val="center"/>
        </w:trPr>
        <w:tc>
          <w:tcPr>
            <w:tcW w:w="753" w:type="pct"/>
            <w:shd w:val="clear" w:color="auto" w:fill="95B3D7" w:themeFill="accent1" w:themeFillTint="99"/>
            <w:vAlign w:val="center"/>
            <w:hideMark/>
          </w:tcPr>
          <w:p w:rsidR="00EE404F" w:rsidRPr="00582DE2" w:rsidRDefault="00EE404F" w:rsidP="00582DE2">
            <w:pPr>
              <w:spacing w:after="0" w:line="240" w:lineRule="auto"/>
              <w:jc w:val="center"/>
              <w:rPr>
                <w:rFonts w:ascii="Bodoni MT" w:eastAsia="Times New Roman" w:hAnsi="Bodoni MT" w:cs="Arial"/>
                <w:color w:val="FFFFFF" w:themeColor="background1"/>
                <w:sz w:val="20"/>
                <w:szCs w:val="20"/>
                <w:lang w:eastAsia="it-IT"/>
              </w:rPr>
            </w:pPr>
            <w:r w:rsidRPr="00582DE2">
              <w:rPr>
                <w:rFonts w:ascii="Bodoni MT" w:eastAsia="Times New Roman" w:hAnsi="Bodoni MT" w:cs="Arial"/>
                <w:color w:val="FFFFFF" w:themeColor="background1"/>
                <w:sz w:val="20"/>
                <w:szCs w:val="20"/>
                <w:lang w:eastAsia="it-IT"/>
              </w:rPr>
              <w:t>2016</w:t>
            </w:r>
          </w:p>
        </w:tc>
        <w:tc>
          <w:tcPr>
            <w:tcW w:w="1599" w:type="pct"/>
            <w:shd w:val="clear" w:color="000000" w:fill="FFFFFF"/>
            <w:vAlign w:val="center"/>
            <w:hideMark/>
          </w:tcPr>
          <w:p w:rsidR="00EE404F" w:rsidRPr="00582DE2" w:rsidRDefault="00EE404F" w:rsidP="00582DE2">
            <w:pPr>
              <w:spacing w:after="0" w:line="240" w:lineRule="auto"/>
              <w:jc w:val="center"/>
              <w:rPr>
                <w:rFonts w:eastAsia="Times New Roman" w:cstheme="minorHAnsi"/>
                <w:color w:val="333333"/>
                <w:sz w:val="20"/>
                <w:szCs w:val="20"/>
                <w:lang w:eastAsia="it-IT"/>
              </w:rPr>
            </w:pPr>
            <w:r w:rsidRPr="00582DE2">
              <w:rPr>
                <w:rFonts w:eastAsia="Times New Roman" w:cstheme="minorHAnsi"/>
                <w:color w:val="333333"/>
                <w:sz w:val="20"/>
                <w:szCs w:val="20"/>
                <w:lang w:eastAsia="it-IT"/>
              </w:rPr>
              <w:t>1.653.135</w:t>
            </w:r>
          </w:p>
        </w:tc>
        <w:tc>
          <w:tcPr>
            <w:tcW w:w="1156"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1.324.442.626,95</w:t>
            </w:r>
          </w:p>
        </w:tc>
        <w:tc>
          <w:tcPr>
            <w:tcW w:w="1492" w:type="pct"/>
            <w:shd w:val="clear" w:color="auto" w:fill="auto"/>
            <w:noWrap/>
            <w:vAlign w:val="center"/>
            <w:hideMark/>
          </w:tcPr>
          <w:p w:rsidR="00EE404F" w:rsidRPr="00582DE2" w:rsidRDefault="00EE404F" w:rsidP="00582DE2">
            <w:pPr>
              <w:spacing w:after="0" w:line="240" w:lineRule="auto"/>
              <w:jc w:val="center"/>
              <w:rPr>
                <w:rFonts w:eastAsia="Times New Roman" w:cstheme="minorHAnsi"/>
                <w:sz w:val="20"/>
                <w:szCs w:val="20"/>
                <w:lang w:eastAsia="it-IT"/>
              </w:rPr>
            </w:pPr>
            <w:r w:rsidRPr="00582DE2">
              <w:rPr>
                <w:rFonts w:eastAsia="Times New Roman" w:cstheme="minorHAnsi"/>
                <w:sz w:val="20"/>
                <w:szCs w:val="20"/>
                <w:lang w:eastAsia="it-IT"/>
              </w:rPr>
              <w:t>801,17</w:t>
            </w:r>
          </w:p>
        </w:tc>
      </w:tr>
    </w:tbl>
    <w:p w:rsidR="00EE404F" w:rsidRPr="00582DE2" w:rsidRDefault="00EE404F" w:rsidP="00EE404F">
      <w:pPr>
        <w:spacing w:line="360" w:lineRule="auto"/>
        <w:jc w:val="both"/>
        <w:rPr>
          <w:rFonts w:ascii="Bodoni MT" w:hAnsi="Bodoni MT"/>
          <w:sz w:val="18"/>
          <w:szCs w:val="18"/>
        </w:rPr>
      </w:pPr>
      <w:r w:rsidRPr="00582DE2">
        <w:rPr>
          <w:rFonts w:ascii="Bodoni MT" w:hAnsi="Bodoni MT"/>
          <w:sz w:val="18"/>
          <w:szCs w:val="18"/>
        </w:rPr>
        <w:t>Font</w:t>
      </w:r>
      <w:r w:rsidR="00582DE2">
        <w:rPr>
          <w:rFonts w:ascii="Bodoni MT" w:hAnsi="Bodoni MT"/>
          <w:sz w:val="18"/>
          <w:szCs w:val="18"/>
        </w:rPr>
        <w:t>e: Elaborazione Corte dei conti</w:t>
      </w:r>
    </w:p>
    <w:p w:rsidR="00EE404F" w:rsidRDefault="00EE404F" w:rsidP="006F3EBA">
      <w:pPr>
        <w:spacing w:after="120" w:line="360" w:lineRule="auto"/>
        <w:jc w:val="both"/>
        <w:rPr>
          <w:rFonts w:ascii="Bodoni MT" w:hAnsi="Bodoni MT"/>
          <w:sz w:val="24"/>
          <w:szCs w:val="24"/>
        </w:rPr>
      </w:pPr>
      <w:r w:rsidRPr="00EE404F">
        <w:rPr>
          <w:rFonts w:ascii="Bodoni MT" w:hAnsi="Bodoni MT"/>
          <w:sz w:val="24"/>
          <w:szCs w:val="24"/>
        </w:rPr>
        <w:t>Il D</w:t>
      </w:r>
      <w:r w:rsidR="00582DE2">
        <w:rPr>
          <w:rFonts w:ascii="Bodoni MT" w:hAnsi="Bodoni MT"/>
          <w:sz w:val="24"/>
          <w:szCs w:val="24"/>
        </w:rPr>
        <w:t>.</w:t>
      </w:r>
      <w:r w:rsidR="00582DE2" w:rsidRPr="00EE404F">
        <w:rPr>
          <w:rFonts w:ascii="Bodoni MT" w:hAnsi="Bodoni MT"/>
          <w:sz w:val="24"/>
          <w:szCs w:val="24"/>
        </w:rPr>
        <w:t>Lgs</w:t>
      </w:r>
      <w:r w:rsidR="00582DE2">
        <w:rPr>
          <w:rFonts w:ascii="Bodoni MT" w:hAnsi="Bodoni MT"/>
          <w:sz w:val="24"/>
          <w:szCs w:val="24"/>
        </w:rPr>
        <w:t>.</w:t>
      </w:r>
      <w:r w:rsidRPr="00EE404F">
        <w:rPr>
          <w:rFonts w:ascii="Bodoni MT" w:hAnsi="Bodoni MT"/>
          <w:sz w:val="24"/>
          <w:szCs w:val="24"/>
        </w:rPr>
        <w:t xml:space="preserve"> 118/2011, all’articolo 62, comma 6, impone specifici vincoli per il ricorso all’indebitamento da parte delle regioni</w:t>
      </w:r>
      <w:r w:rsidRPr="00582DE2">
        <w:rPr>
          <w:rFonts w:ascii="Bodoni MT" w:hAnsi="Bodoni MT"/>
          <w:sz w:val="24"/>
          <w:szCs w:val="24"/>
          <w:vertAlign w:val="superscript"/>
        </w:rPr>
        <w:footnoteReference w:id="137"/>
      </w:r>
      <w:r w:rsidRPr="00582DE2">
        <w:rPr>
          <w:rFonts w:ascii="Bodoni MT" w:hAnsi="Bodoni MT"/>
          <w:sz w:val="24"/>
          <w:szCs w:val="24"/>
          <w:vertAlign w:val="superscript"/>
        </w:rPr>
        <w:t>.</w:t>
      </w:r>
      <w:r w:rsidRPr="00EE404F">
        <w:rPr>
          <w:rFonts w:ascii="Bodoni MT" w:hAnsi="Bodoni MT"/>
          <w:sz w:val="24"/>
          <w:szCs w:val="24"/>
        </w:rPr>
        <w:t xml:space="preserve"> Nella relazione sulla gestione, e nel questionario sul </w:t>
      </w:r>
      <w:r w:rsidRPr="00EE404F">
        <w:rPr>
          <w:rFonts w:ascii="Bodoni MT" w:hAnsi="Bodoni MT"/>
          <w:sz w:val="24"/>
          <w:szCs w:val="24"/>
        </w:rPr>
        <w:lastRenderedPageBreak/>
        <w:t>rendiconto 2016 compilato dal Responsabile degli uffici finanziari regionali, si riferisce che i vincoli</w:t>
      </w:r>
      <w:r w:rsidR="00174D62">
        <w:rPr>
          <w:rFonts w:ascii="Bodoni MT" w:hAnsi="Bodoni MT"/>
          <w:sz w:val="24"/>
          <w:szCs w:val="24"/>
        </w:rPr>
        <w:t xml:space="preserve"> </w:t>
      </w:r>
      <w:r w:rsidR="00174D62" w:rsidRPr="004014B4">
        <w:rPr>
          <w:rFonts w:ascii="Bodoni MT" w:hAnsi="Bodoni MT"/>
          <w:sz w:val="24"/>
          <w:szCs w:val="24"/>
        </w:rPr>
        <w:t xml:space="preserve">alla contrazione di nuovo debito </w:t>
      </w:r>
      <w:r w:rsidRPr="004014B4">
        <w:rPr>
          <w:rFonts w:ascii="Bodoni MT" w:hAnsi="Bodoni MT"/>
          <w:sz w:val="24"/>
          <w:szCs w:val="24"/>
        </w:rPr>
        <w:t>sono stati rispettati</w:t>
      </w:r>
      <w:r w:rsidRPr="004014B4">
        <w:rPr>
          <w:rFonts w:ascii="Bodoni MT" w:hAnsi="Bodoni MT"/>
          <w:sz w:val="24"/>
          <w:szCs w:val="24"/>
          <w:vertAlign w:val="superscript"/>
        </w:rPr>
        <w:footnoteReference w:id="138"/>
      </w:r>
      <w:r w:rsidR="007021FE" w:rsidRPr="004014B4">
        <w:rPr>
          <w:rFonts w:ascii="Bodoni MT" w:hAnsi="Bodoni MT"/>
          <w:sz w:val="24"/>
          <w:szCs w:val="24"/>
        </w:rPr>
        <w:t xml:space="preserve"> </w:t>
      </w:r>
      <w:r w:rsidRPr="004014B4">
        <w:rPr>
          <w:rFonts w:ascii="Bodoni MT" w:hAnsi="Bodoni MT"/>
          <w:sz w:val="24"/>
          <w:szCs w:val="24"/>
          <w:vertAlign w:val="superscript"/>
        </w:rPr>
        <w:footnoteReference w:id="139"/>
      </w:r>
      <w:r w:rsidRPr="004014B4">
        <w:rPr>
          <w:rFonts w:ascii="Bodoni MT" w:hAnsi="Bodoni MT"/>
          <w:sz w:val="24"/>
          <w:szCs w:val="24"/>
        </w:rPr>
        <w:t>.</w:t>
      </w:r>
      <w:r w:rsidRPr="00EE404F">
        <w:rPr>
          <w:rFonts w:ascii="Bodoni MT" w:hAnsi="Bodoni MT"/>
          <w:sz w:val="24"/>
          <w:szCs w:val="24"/>
        </w:rPr>
        <w:t xml:space="preserve"> </w:t>
      </w:r>
    </w:p>
    <w:p w:rsidR="003450B6" w:rsidRPr="004014B4" w:rsidRDefault="00174D62" w:rsidP="00174D62">
      <w:pPr>
        <w:spacing w:after="120" w:line="360" w:lineRule="auto"/>
        <w:jc w:val="both"/>
        <w:rPr>
          <w:rFonts w:ascii="Bodoni MT" w:hAnsi="Bodoni MT"/>
          <w:sz w:val="24"/>
          <w:szCs w:val="24"/>
        </w:rPr>
      </w:pPr>
      <w:bookmarkStart w:id="261" w:name="_Toc500312630"/>
      <w:r w:rsidRPr="004014B4">
        <w:rPr>
          <w:rFonts w:ascii="Bodoni MT" w:hAnsi="Bodoni MT"/>
          <w:sz w:val="24"/>
          <w:szCs w:val="24"/>
        </w:rPr>
        <w:t>Al</w:t>
      </w:r>
      <w:r w:rsidR="003450B6" w:rsidRPr="004014B4">
        <w:rPr>
          <w:rFonts w:ascii="Bodoni MT" w:hAnsi="Bodoni MT"/>
          <w:sz w:val="24"/>
          <w:szCs w:val="24"/>
        </w:rPr>
        <w:t xml:space="preserve"> fine di verificare il rispetto </w:t>
      </w:r>
      <w:r w:rsidRPr="004014B4">
        <w:rPr>
          <w:rFonts w:ascii="Bodoni MT" w:hAnsi="Bodoni MT"/>
          <w:sz w:val="24"/>
          <w:szCs w:val="24"/>
        </w:rPr>
        <w:t xml:space="preserve">a consuntivo </w:t>
      </w:r>
      <w:r w:rsidR="003450B6" w:rsidRPr="004014B4">
        <w:rPr>
          <w:rFonts w:ascii="Bodoni MT" w:hAnsi="Bodoni MT"/>
          <w:sz w:val="24"/>
          <w:szCs w:val="24"/>
        </w:rPr>
        <w:t>dei suddetti vincoli</w:t>
      </w:r>
      <w:r w:rsidRPr="004014B4">
        <w:rPr>
          <w:rFonts w:ascii="Bodoni MT" w:hAnsi="Bodoni MT"/>
          <w:sz w:val="24"/>
          <w:szCs w:val="24"/>
          <w:vertAlign w:val="superscript"/>
        </w:rPr>
        <w:footnoteReference w:id="140"/>
      </w:r>
      <w:r w:rsidR="00643E80">
        <w:rPr>
          <w:rFonts w:ascii="Bodoni MT" w:hAnsi="Bodoni MT"/>
          <w:sz w:val="24"/>
          <w:szCs w:val="24"/>
        </w:rPr>
        <w:t>,</w:t>
      </w:r>
      <w:r w:rsidRPr="004014B4">
        <w:rPr>
          <w:rFonts w:ascii="Bodoni MT" w:hAnsi="Bodoni MT"/>
          <w:sz w:val="24"/>
          <w:szCs w:val="24"/>
        </w:rPr>
        <w:t xml:space="preserve"> la Regione</w:t>
      </w:r>
      <w:r w:rsidR="003450B6" w:rsidRPr="004014B4">
        <w:rPr>
          <w:rFonts w:ascii="Bodoni MT" w:hAnsi="Bodoni MT"/>
          <w:sz w:val="24"/>
          <w:szCs w:val="24"/>
        </w:rPr>
        <w:t xml:space="preserve"> ha trasmesso</w:t>
      </w:r>
      <w:r w:rsidRPr="004014B4">
        <w:rPr>
          <w:rStyle w:val="Rimandonotaapidipagina"/>
          <w:rFonts w:ascii="Bodoni MT" w:hAnsi="Bodoni MT"/>
          <w:sz w:val="24"/>
          <w:szCs w:val="24"/>
        </w:rPr>
        <w:footnoteReference w:id="141"/>
      </w:r>
      <w:r w:rsidRPr="004014B4">
        <w:rPr>
          <w:rFonts w:ascii="Bodoni MT" w:hAnsi="Bodoni MT"/>
          <w:sz w:val="24"/>
          <w:szCs w:val="24"/>
        </w:rPr>
        <w:t xml:space="preserve"> </w:t>
      </w:r>
      <w:r w:rsidR="003450B6" w:rsidRPr="004014B4">
        <w:rPr>
          <w:rFonts w:ascii="Bodoni MT" w:hAnsi="Bodoni MT"/>
          <w:sz w:val="24"/>
          <w:szCs w:val="24"/>
        </w:rPr>
        <w:t>il prospetto relativo</w:t>
      </w:r>
      <w:r w:rsidR="003450B6" w:rsidRPr="004014B4">
        <w:t xml:space="preserve"> </w:t>
      </w:r>
      <w:r w:rsidR="003450B6" w:rsidRPr="004014B4">
        <w:rPr>
          <w:rFonts w:ascii="Bodoni MT" w:hAnsi="Bodoni MT"/>
          <w:sz w:val="24"/>
          <w:szCs w:val="24"/>
        </w:rPr>
        <w:t xml:space="preserve">alla dimostrazione del rispetto dei vincoli di indebitamento </w:t>
      </w:r>
      <w:r w:rsidR="007F2C73" w:rsidRPr="004014B4">
        <w:rPr>
          <w:rFonts w:ascii="Bodoni MT" w:hAnsi="Bodoni MT"/>
          <w:sz w:val="24"/>
          <w:szCs w:val="24"/>
        </w:rPr>
        <w:t>(</w:t>
      </w:r>
      <w:r w:rsidR="003450B6" w:rsidRPr="004014B4">
        <w:rPr>
          <w:rFonts w:ascii="Bodoni MT" w:hAnsi="Bodoni MT"/>
          <w:sz w:val="24"/>
          <w:szCs w:val="24"/>
        </w:rPr>
        <w:t>allegato 21 alla legge regionale n.</w:t>
      </w:r>
      <w:r w:rsidR="00C05880" w:rsidRPr="004014B4">
        <w:rPr>
          <w:rFonts w:ascii="Bodoni MT" w:hAnsi="Bodoni MT"/>
          <w:sz w:val="24"/>
          <w:szCs w:val="24"/>
        </w:rPr>
        <w:t xml:space="preserve"> </w:t>
      </w:r>
      <w:r w:rsidR="007F2C73" w:rsidRPr="004014B4">
        <w:rPr>
          <w:rFonts w:ascii="Bodoni MT" w:hAnsi="Bodoni MT"/>
          <w:sz w:val="24"/>
          <w:szCs w:val="24"/>
        </w:rPr>
        <w:t xml:space="preserve">10/2017 - </w:t>
      </w:r>
      <w:r w:rsidR="003450B6" w:rsidRPr="004014B4">
        <w:rPr>
          <w:rFonts w:ascii="Bodoni MT" w:hAnsi="Bodoni MT"/>
          <w:sz w:val="24"/>
          <w:szCs w:val="24"/>
        </w:rPr>
        <w:t xml:space="preserve">correzione della legge di assestamento del bilancio di previsione 2016-2018), nonché quello relativo ai dati di rendiconto, significando che la compilazione ha richiesto una rettifica dello schema che il </w:t>
      </w:r>
      <w:r w:rsidR="00C05880" w:rsidRPr="004014B4">
        <w:rPr>
          <w:rFonts w:ascii="Bodoni MT" w:hAnsi="Bodoni MT"/>
          <w:sz w:val="24"/>
          <w:szCs w:val="24"/>
        </w:rPr>
        <w:t>D.Lgs</w:t>
      </w:r>
      <w:r w:rsidR="003450B6" w:rsidRPr="004014B4">
        <w:rPr>
          <w:rFonts w:ascii="Bodoni MT" w:hAnsi="Bodoni MT"/>
          <w:sz w:val="24"/>
          <w:szCs w:val="24"/>
        </w:rPr>
        <w:t>. n.</w:t>
      </w:r>
      <w:r w:rsidR="00C05880" w:rsidRPr="004014B4">
        <w:rPr>
          <w:rFonts w:ascii="Bodoni MT" w:hAnsi="Bodoni MT"/>
          <w:sz w:val="24"/>
          <w:szCs w:val="24"/>
        </w:rPr>
        <w:t xml:space="preserve"> </w:t>
      </w:r>
      <w:r w:rsidR="003450B6" w:rsidRPr="004014B4">
        <w:rPr>
          <w:rFonts w:ascii="Bodoni MT" w:hAnsi="Bodoni MT"/>
          <w:sz w:val="24"/>
          <w:szCs w:val="24"/>
        </w:rPr>
        <w:t xml:space="preserve">118/2011 ha previsto solo in relazione al bilancio di previsione. Le rettifiche apportate sono inserite nella tabella che segue, che </w:t>
      </w:r>
      <w:r w:rsidR="007F2C73" w:rsidRPr="004014B4">
        <w:rPr>
          <w:rFonts w:ascii="Bodoni MT" w:hAnsi="Bodoni MT"/>
          <w:sz w:val="24"/>
          <w:szCs w:val="24"/>
        </w:rPr>
        <w:t>espone</w:t>
      </w:r>
      <w:r w:rsidR="003450B6" w:rsidRPr="004014B4">
        <w:rPr>
          <w:rFonts w:ascii="Bodoni MT" w:hAnsi="Bodoni MT"/>
          <w:sz w:val="24"/>
          <w:szCs w:val="24"/>
        </w:rPr>
        <w:t xml:space="preserve"> i dati assestati e i dati di rend</w:t>
      </w:r>
      <w:r w:rsidR="00767DD5">
        <w:rPr>
          <w:rFonts w:ascii="Bodoni MT" w:hAnsi="Bodoni MT"/>
          <w:sz w:val="24"/>
          <w:szCs w:val="24"/>
        </w:rPr>
        <w:t>iconto come elaborati dalla RAS.</w:t>
      </w:r>
    </w:p>
    <w:p w:rsidR="00E150FF" w:rsidRPr="004014B4" w:rsidRDefault="00E150FF" w:rsidP="003450B6">
      <w:pPr>
        <w:pStyle w:val="Didascalia"/>
        <w:rPr>
          <w:color w:val="auto"/>
        </w:rPr>
      </w:pPr>
      <w:r>
        <w:rPr>
          <w:color w:val="FF0000"/>
        </w:rPr>
        <w:br w:type="page"/>
      </w:r>
    </w:p>
    <w:p w:rsidR="003450B6" w:rsidRPr="004A7E6A" w:rsidRDefault="004A7E6A" w:rsidP="004A7E6A">
      <w:pPr>
        <w:pStyle w:val="Didascalia"/>
        <w:rPr>
          <w:color w:val="auto"/>
        </w:rPr>
      </w:pPr>
      <w:bookmarkStart w:id="262" w:name="_Toc507422521"/>
      <w:bookmarkEnd w:id="261"/>
      <w:r>
        <w:lastRenderedPageBreak/>
        <w:t xml:space="preserve">Tabella </w:t>
      </w:r>
      <w:r w:rsidR="00B90472">
        <w:fldChar w:fldCharType="begin"/>
      </w:r>
      <w:r w:rsidR="00B90472">
        <w:instrText xml:space="preserve"> SEQ Tabella \* ARABIC </w:instrText>
      </w:r>
      <w:r w:rsidR="00B90472">
        <w:fldChar w:fldCharType="separate"/>
      </w:r>
      <w:r w:rsidR="008616B3">
        <w:rPr>
          <w:noProof/>
        </w:rPr>
        <w:t>53</w:t>
      </w:r>
      <w:r w:rsidR="00B90472">
        <w:rPr>
          <w:noProof/>
        </w:rPr>
        <w:fldChar w:fldCharType="end"/>
      </w:r>
      <w:r w:rsidR="00E150FF" w:rsidRPr="004A7E6A">
        <w:rPr>
          <w:color w:val="auto"/>
        </w:rPr>
        <w:t xml:space="preserve"> </w:t>
      </w:r>
      <w:r>
        <w:rPr>
          <w:color w:val="auto"/>
        </w:rPr>
        <w:t xml:space="preserve">- </w:t>
      </w:r>
      <w:r w:rsidR="003F71D8" w:rsidRPr="004A7E6A">
        <w:rPr>
          <w:color w:val="auto"/>
        </w:rPr>
        <w:t xml:space="preserve">Rispetto dei vincoli di indebitamento </w:t>
      </w:r>
      <w:r w:rsidR="00E150FF" w:rsidRPr="004A7E6A">
        <w:rPr>
          <w:color w:val="auto"/>
        </w:rPr>
        <w:t>2016</w:t>
      </w:r>
      <w:bookmarkEnd w:id="262"/>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01"/>
        <w:gridCol w:w="2733"/>
        <w:gridCol w:w="2374"/>
      </w:tblGrid>
      <w:tr w:rsidR="004014B4" w:rsidRPr="00767DD5" w:rsidTr="004014B4">
        <w:trPr>
          <w:trHeight w:val="399"/>
        </w:trPr>
        <w:tc>
          <w:tcPr>
            <w:tcW w:w="10008" w:type="dxa"/>
            <w:gridSpan w:val="3"/>
            <w:shd w:val="clear" w:color="auto" w:fill="0F243E" w:themeFill="text2" w:themeFillShade="80"/>
            <w:vAlign w:val="bottom"/>
            <w:hideMark/>
          </w:tcPr>
          <w:p w:rsidR="003450B6" w:rsidRPr="00767DD5" w:rsidRDefault="003450B6" w:rsidP="001F2FD8">
            <w:pPr>
              <w:spacing w:after="0" w:line="240" w:lineRule="auto"/>
              <w:jc w:val="center"/>
              <w:rPr>
                <w:rFonts w:ascii="Bodoni MT" w:eastAsia="Times New Roman" w:hAnsi="Bodoni MT" w:cs="Arial"/>
                <w:b/>
                <w:bCs/>
                <w:sz w:val="20"/>
                <w:szCs w:val="20"/>
                <w:lang w:eastAsia="it-IT"/>
              </w:rPr>
            </w:pPr>
            <w:r w:rsidRPr="00767DD5">
              <w:rPr>
                <w:rFonts w:ascii="Bodoni MT" w:eastAsia="Times New Roman" w:hAnsi="Bodoni MT" w:cs="Arial"/>
                <w:b/>
                <w:bCs/>
                <w:sz w:val="20"/>
                <w:szCs w:val="20"/>
                <w:lang w:eastAsia="it-IT"/>
              </w:rPr>
              <w:t>PROSPETTO DIMOSTRATIVO DEL RISPETTO DEI VINCOLI DI INDEBITAMENTO DELLE REGIONI E DELLE PROVINCE AUTONOME</w:t>
            </w:r>
          </w:p>
        </w:tc>
      </w:tr>
      <w:tr w:rsidR="004014B4" w:rsidRPr="00767DD5" w:rsidTr="004014B4">
        <w:trPr>
          <w:trHeight w:val="203"/>
        </w:trPr>
        <w:tc>
          <w:tcPr>
            <w:tcW w:w="10008" w:type="dxa"/>
            <w:gridSpan w:val="3"/>
            <w:shd w:val="clear" w:color="auto" w:fill="0F243E" w:themeFill="text2" w:themeFillShade="80"/>
            <w:noWrap/>
            <w:vAlign w:val="bottom"/>
            <w:hideMark/>
          </w:tcPr>
          <w:p w:rsidR="003450B6" w:rsidRPr="00767DD5" w:rsidRDefault="003450B6"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Dati da bilancio 2016</w:t>
            </w:r>
          </w:p>
        </w:tc>
      </w:tr>
      <w:tr w:rsidR="004014B4" w:rsidRPr="00767DD5" w:rsidTr="004014B4">
        <w:trPr>
          <w:trHeight w:val="355"/>
        </w:trPr>
        <w:tc>
          <w:tcPr>
            <w:tcW w:w="4901" w:type="dxa"/>
            <w:shd w:val="clear" w:color="auto" w:fill="0F243E" w:themeFill="text2" w:themeFillShade="80"/>
            <w:noWrap/>
            <w:vAlign w:val="bottom"/>
          </w:tcPr>
          <w:p w:rsidR="00E150FF" w:rsidRPr="00767DD5" w:rsidRDefault="00E150FF" w:rsidP="001F2FD8">
            <w:pPr>
              <w:spacing w:after="0" w:line="240" w:lineRule="auto"/>
              <w:rPr>
                <w:rFonts w:ascii="Bodoni MT" w:eastAsia="Times New Roman" w:hAnsi="Bodoni MT" w:cs="Arial"/>
                <w:sz w:val="20"/>
                <w:szCs w:val="20"/>
                <w:lang w:eastAsia="it-IT"/>
              </w:rPr>
            </w:pPr>
          </w:p>
        </w:tc>
        <w:tc>
          <w:tcPr>
            <w:tcW w:w="2733" w:type="dxa"/>
            <w:shd w:val="clear" w:color="auto" w:fill="0F243E" w:themeFill="text2" w:themeFillShade="80"/>
            <w:hideMark/>
          </w:tcPr>
          <w:p w:rsidR="00E150FF" w:rsidRPr="00767DD5" w:rsidRDefault="00E150FF"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Assestato</w:t>
            </w:r>
            <w:r w:rsidRPr="00767DD5">
              <w:rPr>
                <w:rFonts w:ascii="Bodoni MT" w:eastAsia="Times New Roman" w:hAnsi="Bodoni MT" w:cs="Arial"/>
                <w:sz w:val="20"/>
                <w:szCs w:val="20"/>
                <w:lang w:eastAsia="it-IT"/>
              </w:rPr>
              <w:br/>
              <w:t>(L.R. 10/2017)</w:t>
            </w:r>
          </w:p>
        </w:tc>
        <w:tc>
          <w:tcPr>
            <w:tcW w:w="2374" w:type="dxa"/>
            <w:shd w:val="clear" w:color="auto" w:fill="0F243E" w:themeFill="text2" w:themeFillShade="80"/>
            <w:noWrap/>
            <w:vAlign w:val="center"/>
            <w:hideMark/>
          </w:tcPr>
          <w:p w:rsidR="00E150FF" w:rsidRPr="00767DD5" w:rsidRDefault="00E150FF"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Rendiconto</w:t>
            </w:r>
          </w:p>
        </w:tc>
      </w:tr>
      <w:tr w:rsidR="004014B4" w:rsidRPr="00767DD5" w:rsidTr="004014B4">
        <w:trPr>
          <w:trHeight w:val="275"/>
        </w:trPr>
        <w:tc>
          <w:tcPr>
            <w:tcW w:w="10008" w:type="dxa"/>
            <w:gridSpan w:val="3"/>
            <w:shd w:val="clear" w:color="auto" w:fill="0F243E" w:themeFill="text2" w:themeFillShade="80"/>
            <w:noWrap/>
            <w:vAlign w:val="center"/>
            <w:hideMark/>
          </w:tcPr>
          <w:p w:rsidR="003450B6" w:rsidRPr="00767DD5" w:rsidRDefault="003450B6"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 xml:space="preserve">ENTRATE TRIBUTARIE NON VINCOLATE </w:t>
            </w:r>
            <w:r w:rsidRPr="00767DD5">
              <w:rPr>
                <w:rFonts w:ascii="Bodoni MT" w:eastAsia="Times New Roman" w:hAnsi="Bodoni MT" w:cs="Arial"/>
                <w:i/>
                <w:iCs/>
                <w:sz w:val="20"/>
                <w:szCs w:val="20"/>
                <w:lang w:eastAsia="it-IT"/>
              </w:rPr>
              <w:t xml:space="preserve">2016, </w:t>
            </w:r>
            <w:r w:rsidRPr="00767DD5">
              <w:rPr>
                <w:rFonts w:ascii="Bodoni MT" w:eastAsia="Times New Roman" w:hAnsi="Bodoni MT" w:cs="Arial"/>
                <w:sz w:val="20"/>
                <w:szCs w:val="20"/>
                <w:lang w:eastAsia="it-IT"/>
              </w:rPr>
              <w:t>art. 62, c. 6 del D.Lgs. 118/2011</w:t>
            </w:r>
          </w:p>
        </w:tc>
      </w:tr>
      <w:tr w:rsidR="004014B4" w:rsidRPr="00767DD5" w:rsidTr="004014B4">
        <w:trPr>
          <w:trHeight w:val="300"/>
        </w:trPr>
        <w:tc>
          <w:tcPr>
            <w:tcW w:w="4901" w:type="dxa"/>
            <w:shd w:val="clear" w:color="auto" w:fill="95B3D7" w:themeFill="accent1" w:themeFillTint="99"/>
            <w:noWrap/>
            <w:vAlign w:val="center"/>
            <w:hideMark/>
          </w:tcPr>
          <w:p w:rsidR="00E150FF" w:rsidRPr="00767DD5" w:rsidRDefault="00E150FF" w:rsidP="0060750B">
            <w:pPr>
              <w:spacing w:after="0" w:line="240" w:lineRule="auto"/>
              <w:rPr>
                <w:rFonts w:ascii="Calibri" w:eastAsia="Times New Roman" w:hAnsi="Calibri" w:cs="Calibri"/>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A) Entrate correnti di natura tributaria, contributiva e perequativa (Titolo I)</w:t>
            </w:r>
            <w:r w:rsidRPr="00767DD5">
              <w:rPr>
                <w:rFonts w:ascii="Calibri" w:eastAsia="Times New Roman" w:hAnsi="Calibri" w:cs="Calibri"/>
                <w:color w:val="FFFFFF" w:themeColor="background1"/>
                <w:sz w:val="20"/>
                <w:szCs w:val="20"/>
                <w:lang w:eastAsia="it-IT"/>
              </w:rPr>
              <w:t> </w:t>
            </w:r>
          </w:p>
        </w:tc>
        <w:tc>
          <w:tcPr>
            <w:tcW w:w="2733" w:type="dxa"/>
            <w:shd w:val="clear" w:color="000000" w:fill="FFFFFF"/>
            <w:vAlign w:val="center"/>
            <w:hideMark/>
          </w:tcPr>
          <w:p w:rsidR="00E150FF" w:rsidRPr="00767DD5" w:rsidRDefault="00E150FF" w:rsidP="004014B4">
            <w:pPr>
              <w:spacing w:after="0" w:line="240" w:lineRule="auto"/>
              <w:jc w:val="right"/>
              <w:rPr>
                <w:rFonts w:ascii="Calibri" w:eastAsia="Times New Roman" w:hAnsi="Calibri" w:cs="Calibri"/>
                <w:sz w:val="20"/>
                <w:szCs w:val="20"/>
                <w:lang w:eastAsia="it-IT"/>
              </w:rPr>
            </w:pPr>
            <w:r w:rsidRPr="00767DD5">
              <w:rPr>
                <w:rFonts w:ascii="Calibri" w:eastAsia="Times New Roman" w:hAnsi="Calibri" w:cs="Calibri"/>
                <w:sz w:val="20"/>
                <w:szCs w:val="20"/>
                <w:lang w:eastAsia="it-IT"/>
              </w:rPr>
              <w:t>7.104.006.640,11</w:t>
            </w:r>
          </w:p>
        </w:tc>
        <w:tc>
          <w:tcPr>
            <w:tcW w:w="2374" w:type="dxa"/>
            <w:shd w:val="clear" w:color="000000" w:fill="FFFFFF"/>
            <w:vAlign w:val="center"/>
            <w:hideMark/>
          </w:tcPr>
          <w:p w:rsidR="00E150FF" w:rsidRPr="00767DD5" w:rsidRDefault="00E150FF" w:rsidP="004014B4">
            <w:pPr>
              <w:spacing w:after="0" w:line="240" w:lineRule="auto"/>
              <w:jc w:val="right"/>
              <w:rPr>
                <w:rFonts w:ascii="Calibri" w:eastAsia="Times New Roman" w:hAnsi="Calibri" w:cs="Calibri"/>
                <w:sz w:val="20"/>
                <w:szCs w:val="20"/>
                <w:lang w:eastAsia="it-IT"/>
              </w:rPr>
            </w:pPr>
            <w:r w:rsidRPr="00767DD5">
              <w:rPr>
                <w:rFonts w:ascii="Calibri" w:eastAsia="Times New Roman" w:hAnsi="Calibri" w:cs="Calibri"/>
                <w:sz w:val="20"/>
                <w:szCs w:val="20"/>
                <w:lang w:eastAsia="it-IT"/>
              </w:rPr>
              <w:t>6.973.199.419,32</w:t>
            </w:r>
          </w:p>
        </w:tc>
      </w:tr>
      <w:tr w:rsidR="004014B4" w:rsidRPr="00767DD5" w:rsidTr="004014B4">
        <w:trPr>
          <w:trHeight w:val="211"/>
        </w:trPr>
        <w:tc>
          <w:tcPr>
            <w:tcW w:w="4901" w:type="dxa"/>
            <w:shd w:val="clear" w:color="auto" w:fill="95B3D7" w:themeFill="accent1" w:themeFillTint="99"/>
            <w:noWrap/>
            <w:vAlign w:val="center"/>
            <w:hideMark/>
          </w:tcPr>
          <w:p w:rsidR="00E150FF" w:rsidRPr="00767DD5" w:rsidRDefault="00E150FF" w:rsidP="0060750B">
            <w:pPr>
              <w:spacing w:after="0" w:line="240" w:lineRule="auto"/>
              <w:ind w:left="215" w:hanging="215"/>
              <w:rPr>
                <w:rFonts w:ascii="Calibri" w:eastAsia="Times New Roman" w:hAnsi="Calibri" w:cs="Calibri"/>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B) Tributi destinati al finanziamento della sanità</w:t>
            </w:r>
            <w:r w:rsidRPr="00767DD5">
              <w:rPr>
                <w:rFonts w:ascii="Calibri" w:eastAsia="Times New Roman" w:hAnsi="Calibri" w:cs="Calibri"/>
                <w:color w:val="FFFFFF" w:themeColor="background1"/>
                <w:sz w:val="20"/>
                <w:szCs w:val="20"/>
                <w:lang w:eastAsia="it-IT"/>
              </w:rPr>
              <w:t> </w:t>
            </w:r>
          </w:p>
        </w:tc>
        <w:tc>
          <w:tcPr>
            <w:tcW w:w="2733" w:type="dxa"/>
            <w:shd w:val="clear" w:color="000000" w:fill="FFFFFF"/>
            <w:vAlign w:val="center"/>
            <w:hideMark/>
          </w:tcPr>
          <w:p w:rsidR="00E150FF" w:rsidRPr="00767DD5" w:rsidRDefault="00E150FF" w:rsidP="004014B4">
            <w:pPr>
              <w:spacing w:after="0" w:line="240" w:lineRule="auto"/>
              <w:jc w:val="right"/>
              <w:rPr>
                <w:rFonts w:ascii="Calibri" w:eastAsia="Times New Roman" w:hAnsi="Calibri" w:cs="Calibri"/>
                <w:sz w:val="20"/>
                <w:szCs w:val="20"/>
                <w:lang w:eastAsia="it-IT"/>
              </w:rPr>
            </w:pPr>
            <w:r w:rsidRPr="00767DD5">
              <w:rPr>
                <w:rFonts w:ascii="Calibri" w:eastAsia="Times New Roman" w:hAnsi="Calibri" w:cs="Calibri"/>
                <w:sz w:val="20"/>
                <w:szCs w:val="20"/>
                <w:lang w:eastAsia="it-IT"/>
              </w:rPr>
              <w:t>3.600.631.136,00</w:t>
            </w:r>
          </w:p>
        </w:tc>
        <w:tc>
          <w:tcPr>
            <w:tcW w:w="2374" w:type="dxa"/>
            <w:shd w:val="clear" w:color="000000" w:fill="FFFFFF"/>
            <w:vAlign w:val="center"/>
            <w:hideMark/>
          </w:tcPr>
          <w:p w:rsidR="00E150FF" w:rsidRPr="00767DD5" w:rsidRDefault="00E150FF" w:rsidP="004014B4">
            <w:pPr>
              <w:spacing w:after="0" w:line="240" w:lineRule="auto"/>
              <w:jc w:val="right"/>
              <w:rPr>
                <w:rFonts w:ascii="Calibri" w:eastAsia="Times New Roman" w:hAnsi="Calibri" w:cs="Calibri"/>
                <w:sz w:val="20"/>
                <w:szCs w:val="20"/>
                <w:lang w:eastAsia="it-IT"/>
              </w:rPr>
            </w:pPr>
            <w:r w:rsidRPr="00767DD5">
              <w:rPr>
                <w:rFonts w:ascii="Calibri" w:eastAsia="Times New Roman" w:hAnsi="Calibri" w:cs="Calibri"/>
                <w:sz w:val="20"/>
                <w:szCs w:val="20"/>
                <w:lang w:eastAsia="it-IT"/>
              </w:rPr>
              <w:t>3.523.249.523,52</w:t>
            </w:r>
          </w:p>
        </w:tc>
      </w:tr>
      <w:tr w:rsidR="004014B4" w:rsidRPr="00767DD5" w:rsidTr="004014B4">
        <w:trPr>
          <w:trHeight w:val="330"/>
        </w:trPr>
        <w:tc>
          <w:tcPr>
            <w:tcW w:w="4901" w:type="dxa"/>
            <w:shd w:val="clear" w:color="auto" w:fill="95B3D7" w:themeFill="accent1" w:themeFillTint="99"/>
            <w:noWrap/>
            <w:vAlign w:val="center"/>
            <w:hideMark/>
          </w:tcPr>
          <w:p w:rsidR="003450B6" w:rsidRPr="00767DD5" w:rsidRDefault="003450B6" w:rsidP="0060750B">
            <w:pPr>
              <w:spacing w:after="0" w:line="240" w:lineRule="auto"/>
              <w:rPr>
                <w:rFonts w:ascii="Bodoni MT" w:eastAsia="Times New Roman" w:hAnsi="Bodoni MT" w:cs="Arial"/>
                <w:b/>
                <w:bCs/>
                <w:color w:val="FFFFFF" w:themeColor="background1"/>
                <w:sz w:val="20"/>
                <w:szCs w:val="20"/>
                <w:lang w:eastAsia="it-IT"/>
              </w:rPr>
            </w:pPr>
            <w:r w:rsidRPr="00767DD5">
              <w:rPr>
                <w:rFonts w:ascii="Bodoni MT" w:eastAsia="Times New Roman" w:hAnsi="Bodoni MT" w:cs="Arial"/>
                <w:b/>
                <w:bCs/>
                <w:color w:val="FFFFFF" w:themeColor="background1"/>
                <w:sz w:val="20"/>
                <w:szCs w:val="20"/>
                <w:lang w:eastAsia="it-IT"/>
              </w:rPr>
              <w:t>C) TOTALE ENTRATE TRIBUTARIE AL NETTO DELLA SANITA' (A - B)</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3.503.375.504,11</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3.449.949.895,80</w:t>
            </w:r>
          </w:p>
        </w:tc>
      </w:tr>
      <w:tr w:rsidR="004014B4" w:rsidRPr="00767DD5" w:rsidTr="004014B4">
        <w:trPr>
          <w:trHeight w:val="375"/>
        </w:trPr>
        <w:tc>
          <w:tcPr>
            <w:tcW w:w="10008" w:type="dxa"/>
            <w:gridSpan w:val="3"/>
            <w:shd w:val="clear" w:color="auto" w:fill="0F243E" w:themeFill="text2" w:themeFillShade="80"/>
            <w:noWrap/>
            <w:vAlign w:val="center"/>
            <w:hideMark/>
          </w:tcPr>
          <w:p w:rsidR="003450B6" w:rsidRPr="00767DD5" w:rsidRDefault="003450B6"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SPESA ANNUALE PER RATE MUTUI/OBBLIGAZIONI</w:t>
            </w:r>
          </w:p>
        </w:tc>
      </w:tr>
      <w:tr w:rsidR="004014B4" w:rsidRPr="00767DD5" w:rsidTr="004014B4">
        <w:trPr>
          <w:trHeight w:val="165"/>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 Livello massimo di spesa annuale (pari al 20% di C)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700.675.100,82</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689.989.979,16</w:t>
            </w:r>
          </w:p>
        </w:tc>
      </w:tr>
      <w:tr w:rsidR="004014B4" w:rsidRPr="00767DD5" w:rsidTr="004014B4">
        <w:trPr>
          <w:trHeight w:val="240"/>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E) Ammontare rate per mutui e prestiti autorizzati fino al 31/12/</w:t>
            </w:r>
            <w:r w:rsidRPr="00767DD5">
              <w:rPr>
                <w:rFonts w:ascii="Bodoni MT" w:eastAsia="Times New Roman" w:hAnsi="Bodoni MT" w:cs="Arial"/>
                <w:iCs/>
                <w:color w:val="FFFFFF" w:themeColor="background1"/>
                <w:sz w:val="20"/>
                <w:szCs w:val="20"/>
                <w:lang w:eastAsia="it-IT"/>
              </w:rPr>
              <w:t>2015</w:t>
            </w:r>
            <w:r w:rsidRPr="00767DD5">
              <w:rPr>
                <w:rFonts w:ascii="Bodoni MT" w:eastAsia="Times New Roman" w:hAnsi="Bodoni MT" w:cs="Arial"/>
                <w:color w:val="FFFFFF" w:themeColor="background1"/>
                <w:sz w:val="20"/>
                <w:szCs w:val="20"/>
                <w:lang w:eastAsia="it-IT"/>
              </w:rPr>
              <w:t>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223.045.350,00</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220.027.969,16</w:t>
            </w:r>
          </w:p>
        </w:tc>
      </w:tr>
      <w:tr w:rsidR="004014B4" w:rsidRPr="00767DD5" w:rsidTr="004014B4">
        <w:trPr>
          <w:trHeight w:val="240"/>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F) Ammontare rate per mutui e prestiti autorizzati nell'esercizio in corso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r>
      <w:tr w:rsidR="004014B4" w:rsidRPr="00767DD5" w:rsidTr="004014B4">
        <w:trPr>
          <w:trHeight w:val="240"/>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G) Ammontare rate relative a mutui e prestiti che costituiscono debito potenziale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15.000.000,00</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16.767.639,09</w:t>
            </w:r>
          </w:p>
        </w:tc>
      </w:tr>
      <w:tr w:rsidR="004014B4" w:rsidRPr="00767DD5" w:rsidTr="004014B4">
        <w:trPr>
          <w:trHeight w:val="240"/>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H) Ammontare rate per mutui e prestiti autorizzati con la Legge in esame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
                <w:iCs/>
                <w:sz w:val="20"/>
                <w:szCs w:val="20"/>
                <w:lang w:eastAsia="it-IT"/>
              </w:rPr>
            </w:pPr>
            <w:r w:rsidRPr="00767DD5">
              <w:rPr>
                <w:rFonts w:ascii="Calibri" w:eastAsia="Times New Roman" w:hAnsi="Calibri" w:cs="Calibri"/>
                <w:i/>
                <w:iCs/>
                <w:sz w:val="20"/>
                <w:szCs w:val="20"/>
                <w:lang w:eastAsia="it-IT"/>
              </w:rPr>
              <w:t> </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
                <w:iCs/>
                <w:sz w:val="20"/>
                <w:szCs w:val="20"/>
                <w:lang w:eastAsia="it-IT"/>
              </w:rPr>
            </w:pPr>
            <w:r w:rsidRPr="00767DD5">
              <w:rPr>
                <w:rFonts w:ascii="Calibri" w:eastAsia="Times New Roman" w:hAnsi="Calibri" w:cs="Calibri"/>
                <w:i/>
                <w:iCs/>
                <w:sz w:val="20"/>
                <w:szCs w:val="20"/>
                <w:lang w:eastAsia="it-IT"/>
              </w:rPr>
              <w:t> </w:t>
            </w:r>
          </w:p>
        </w:tc>
      </w:tr>
      <w:tr w:rsidR="004014B4" w:rsidRPr="00767DD5" w:rsidTr="004014B4">
        <w:trPr>
          <w:trHeight w:val="555"/>
        </w:trPr>
        <w:tc>
          <w:tcPr>
            <w:tcW w:w="4901" w:type="dxa"/>
            <w:shd w:val="clear" w:color="auto" w:fill="95B3D7" w:themeFill="accent1" w:themeFillTint="99"/>
            <w:hideMark/>
          </w:tcPr>
          <w:p w:rsidR="003450B6" w:rsidRPr="00767DD5" w:rsidRDefault="003450B6" w:rsidP="001F2FD8">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 xml:space="preserve">I) Contributi erariali sulle rate di ammortamento dei mutui in essere al momento della sottoscrizione del finanziamento </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3.835.000,00</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3.833.762,86</w:t>
            </w:r>
          </w:p>
        </w:tc>
      </w:tr>
      <w:tr w:rsidR="004014B4" w:rsidRPr="00767DD5" w:rsidTr="004014B4">
        <w:trPr>
          <w:trHeight w:val="585"/>
        </w:trPr>
        <w:tc>
          <w:tcPr>
            <w:tcW w:w="4901" w:type="dxa"/>
            <w:shd w:val="clear" w:color="auto" w:fill="95B3D7" w:themeFill="accent1" w:themeFillTint="99"/>
            <w:hideMark/>
          </w:tcPr>
          <w:p w:rsidR="003450B6" w:rsidRPr="00767DD5" w:rsidRDefault="003450B6" w:rsidP="001F2FD8">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L) Ammontare rate riguardanti debiti espressamente esclusi dai limiti di indebitamento</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
                <w:iCs/>
                <w:sz w:val="20"/>
                <w:szCs w:val="20"/>
                <w:lang w:eastAsia="it-IT"/>
              </w:rPr>
            </w:pPr>
            <w:r w:rsidRPr="00767DD5">
              <w:rPr>
                <w:rFonts w:ascii="Calibri" w:eastAsia="Times New Roman" w:hAnsi="Calibri" w:cs="Calibri"/>
                <w:i/>
                <w:iCs/>
                <w:sz w:val="20"/>
                <w:szCs w:val="20"/>
                <w:lang w:eastAsia="it-IT"/>
              </w:rPr>
              <w:t> </w:t>
            </w:r>
          </w:p>
        </w:tc>
        <w:tc>
          <w:tcPr>
            <w:tcW w:w="2374" w:type="dxa"/>
            <w:shd w:val="clear" w:color="auto" w:fill="auto"/>
            <w:noWrap/>
            <w:vAlign w:val="center"/>
            <w:hideMark/>
          </w:tcPr>
          <w:p w:rsidR="003450B6" w:rsidRPr="00767DD5" w:rsidRDefault="003450B6" w:rsidP="004014B4">
            <w:pPr>
              <w:spacing w:after="0" w:line="240" w:lineRule="auto"/>
              <w:jc w:val="right"/>
              <w:rPr>
                <w:rFonts w:ascii="Calibri" w:eastAsia="Times New Roman" w:hAnsi="Calibri" w:cs="Calibri"/>
                <w:sz w:val="20"/>
                <w:szCs w:val="20"/>
                <w:lang w:eastAsia="it-IT"/>
              </w:rPr>
            </w:pPr>
            <w:r w:rsidRPr="00767DD5">
              <w:rPr>
                <w:rFonts w:ascii="Calibri" w:eastAsia="Times New Roman" w:hAnsi="Calibri" w:cs="Calibri"/>
                <w:sz w:val="20"/>
                <w:szCs w:val="20"/>
                <w:lang w:eastAsia="it-IT"/>
              </w:rPr>
              <w:t> </w:t>
            </w:r>
          </w:p>
        </w:tc>
      </w:tr>
      <w:tr w:rsidR="004014B4" w:rsidRPr="00767DD5" w:rsidTr="004014B4">
        <w:trPr>
          <w:trHeight w:val="473"/>
        </w:trPr>
        <w:tc>
          <w:tcPr>
            <w:tcW w:w="4901" w:type="dxa"/>
            <w:shd w:val="clear" w:color="auto" w:fill="95B3D7" w:themeFill="accent1" w:themeFillTint="99"/>
            <w:hideMark/>
          </w:tcPr>
          <w:p w:rsidR="00E150FF" w:rsidRPr="00767DD5" w:rsidRDefault="00E150FF" w:rsidP="00E150FF">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M) Ammontare disponibile per nuove rate di ammortamento (M = D-E-F-G-H+I+L)</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b/>
                <w:iCs/>
                <w:sz w:val="20"/>
                <w:szCs w:val="20"/>
                <w:lang w:eastAsia="it-IT"/>
              </w:rPr>
            </w:pPr>
            <w:r w:rsidRPr="00767DD5">
              <w:rPr>
                <w:rFonts w:ascii="Calibri" w:eastAsia="Times New Roman" w:hAnsi="Calibri" w:cs="Calibri"/>
                <w:b/>
                <w:iCs/>
                <w:sz w:val="20"/>
                <w:szCs w:val="20"/>
                <w:lang w:eastAsia="it-IT"/>
              </w:rPr>
              <w:t>466.464.750,82</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b/>
                <w:iCs/>
                <w:sz w:val="20"/>
                <w:szCs w:val="20"/>
                <w:lang w:eastAsia="it-IT"/>
              </w:rPr>
            </w:pPr>
            <w:r w:rsidRPr="00767DD5">
              <w:rPr>
                <w:rFonts w:ascii="Calibri" w:eastAsia="Times New Roman" w:hAnsi="Calibri" w:cs="Calibri"/>
                <w:b/>
                <w:iCs/>
                <w:sz w:val="20"/>
                <w:szCs w:val="20"/>
                <w:lang w:eastAsia="it-IT"/>
              </w:rPr>
              <w:t>457.028.133,77</w:t>
            </w:r>
          </w:p>
        </w:tc>
      </w:tr>
      <w:tr w:rsidR="004014B4" w:rsidRPr="00767DD5" w:rsidTr="004014B4">
        <w:trPr>
          <w:trHeight w:val="390"/>
        </w:trPr>
        <w:tc>
          <w:tcPr>
            <w:tcW w:w="10008" w:type="dxa"/>
            <w:gridSpan w:val="3"/>
            <w:shd w:val="clear" w:color="auto" w:fill="0F243E" w:themeFill="text2" w:themeFillShade="80"/>
            <w:vAlign w:val="center"/>
            <w:hideMark/>
          </w:tcPr>
          <w:p w:rsidR="003450B6" w:rsidRPr="00767DD5" w:rsidRDefault="003450B6" w:rsidP="001F2FD8">
            <w:pPr>
              <w:spacing w:after="0" w:line="240" w:lineRule="auto"/>
              <w:jc w:val="center"/>
              <w:rPr>
                <w:rFonts w:ascii="Bodoni MT" w:eastAsia="Times New Roman" w:hAnsi="Bodoni MT" w:cs="Arial"/>
                <w:sz w:val="20"/>
                <w:szCs w:val="20"/>
                <w:lang w:eastAsia="it-IT"/>
              </w:rPr>
            </w:pPr>
            <w:r w:rsidRPr="00767DD5">
              <w:rPr>
                <w:rFonts w:ascii="Bodoni MT" w:eastAsia="Times New Roman" w:hAnsi="Bodoni MT" w:cs="Arial"/>
                <w:sz w:val="20"/>
                <w:szCs w:val="20"/>
                <w:lang w:eastAsia="it-IT"/>
              </w:rPr>
              <w:t xml:space="preserve">TOTALE DEBITO </w:t>
            </w:r>
          </w:p>
        </w:tc>
      </w:tr>
      <w:tr w:rsidR="004014B4" w:rsidRPr="00767DD5" w:rsidTr="004014B4">
        <w:trPr>
          <w:trHeight w:val="360"/>
        </w:trPr>
        <w:tc>
          <w:tcPr>
            <w:tcW w:w="4901" w:type="dxa"/>
            <w:shd w:val="clear" w:color="auto" w:fill="95B3D7" w:themeFill="accent1" w:themeFillTint="99"/>
            <w:noWrap/>
            <w:vAlign w:val="center"/>
            <w:hideMark/>
          </w:tcPr>
          <w:p w:rsidR="00E150FF" w:rsidRPr="00767DD5" w:rsidRDefault="00E150FF" w:rsidP="0060750B">
            <w:pPr>
              <w:spacing w:after="0" w:line="240" w:lineRule="auto"/>
              <w:ind w:right="-682"/>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Debito contratto al 31/12/</w:t>
            </w:r>
            <w:r w:rsidRPr="00767DD5">
              <w:rPr>
                <w:rFonts w:ascii="Bodoni MT" w:eastAsia="Times New Roman" w:hAnsi="Bodoni MT" w:cs="Arial"/>
                <w:iCs/>
                <w:color w:val="FFFFFF" w:themeColor="background1"/>
                <w:sz w:val="20"/>
                <w:szCs w:val="20"/>
                <w:lang w:eastAsia="it-IT"/>
              </w:rPr>
              <w:t>2015</w:t>
            </w:r>
            <w:r w:rsidRPr="00767DD5">
              <w:rPr>
                <w:rFonts w:ascii="Bodoni MT" w:eastAsia="Times New Roman" w:hAnsi="Bodoni MT" w:cs="Arial"/>
                <w:color w:val="FFFFFF" w:themeColor="background1"/>
                <w:sz w:val="20"/>
                <w:szCs w:val="20"/>
                <w:lang w:eastAsia="it-IT"/>
              </w:rPr>
              <w:t>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1.128.103.860,32</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1.128.103.861,33 </w:t>
            </w:r>
          </w:p>
        </w:tc>
      </w:tr>
      <w:tr w:rsidR="004014B4" w:rsidRPr="00767DD5" w:rsidTr="004014B4">
        <w:trPr>
          <w:trHeight w:val="240"/>
        </w:trPr>
        <w:tc>
          <w:tcPr>
            <w:tcW w:w="4901" w:type="dxa"/>
            <w:shd w:val="clear" w:color="auto" w:fill="95B3D7" w:themeFill="accent1" w:themeFillTint="99"/>
            <w:noWrap/>
            <w:vAlign w:val="center"/>
            <w:hideMark/>
          </w:tcPr>
          <w:p w:rsidR="00E150FF" w:rsidRPr="00767DD5" w:rsidRDefault="00E150FF" w:rsidP="0060750B">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Debito autorizzato nell'esercizio in corso</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651.300.000,00</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r>
      <w:tr w:rsidR="004014B4" w:rsidRPr="00767DD5" w:rsidTr="004014B4">
        <w:trPr>
          <w:trHeight w:val="240"/>
        </w:trPr>
        <w:tc>
          <w:tcPr>
            <w:tcW w:w="4901" w:type="dxa"/>
            <w:shd w:val="clear" w:color="auto" w:fill="95B3D7" w:themeFill="accent1" w:themeFillTint="99"/>
            <w:noWrap/>
            <w:vAlign w:val="center"/>
            <w:hideMark/>
          </w:tcPr>
          <w:p w:rsidR="00E150FF" w:rsidRPr="00767DD5" w:rsidRDefault="00E150FF" w:rsidP="0060750B">
            <w:pPr>
              <w:spacing w:after="0" w:line="240" w:lineRule="auto"/>
              <w:ind w:right="-824"/>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Debito effettivamente contratto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370.587.400,05 </w:t>
            </w:r>
          </w:p>
        </w:tc>
      </w:tr>
      <w:tr w:rsidR="004014B4" w:rsidRPr="00767DD5" w:rsidTr="004014B4">
        <w:trPr>
          <w:trHeight w:val="240"/>
        </w:trPr>
        <w:tc>
          <w:tcPr>
            <w:tcW w:w="4901" w:type="dxa"/>
            <w:shd w:val="clear" w:color="auto" w:fill="95B3D7" w:themeFill="accent1" w:themeFillTint="99"/>
            <w:noWrap/>
            <w:vAlign w:val="center"/>
            <w:hideMark/>
          </w:tcPr>
          <w:p w:rsidR="00E150FF" w:rsidRPr="00767DD5" w:rsidRDefault="00E150FF" w:rsidP="0060750B">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Debito autorizzato dalla Legge in esame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156.880.000,00</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r>
      <w:tr w:rsidR="004014B4" w:rsidRPr="00767DD5" w:rsidTr="004014B4">
        <w:trPr>
          <w:trHeight w:val="233"/>
        </w:trPr>
        <w:tc>
          <w:tcPr>
            <w:tcW w:w="4901" w:type="dxa"/>
            <w:shd w:val="clear" w:color="auto" w:fill="95B3D7" w:themeFill="accent1" w:themeFillTint="99"/>
            <w:noWrap/>
            <w:vAlign w:val="center"/>
            <w:hideMark/>
          </w:tcPr>
          <w:p w:rsidR="00E150FF" w:rsidRPr="00767DD5" w:rsidRDefault="00E150FF" w:rsidP="0060750B">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Rimborsi del debito effettuati nell'esercizio in corso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174.248.634,38 </w:t>
            </w:r>
          </w:p>
        </w:tc>
      </w:tr>
      <w:tr w:rsidR="004014B4" w:rsidRPr="00767DD5" w:rsidTr="004014B4">
        <w:trPr>
          <w:trHeight w:val="137"/>
        </w:trPr>
        <w:tc>
          <w:tcPr>
            <w:tcW w:w="4901" w:type="dxa"/>
            <w:shd w:val="clear" w:color="auto" w:fill="95B3D7" w:themeFill="accent1" w:themeFillTint="99"/>
            <w:noWrap/>
            <w:vAlign w:val="center"/>
            <w:hideMark/>
          </w:tcPr>
          <w:p w:rsidR="00E150FF" w:rsidRPr="00767DD5" w:rsidRDefault="00E150FF" w:rsidP="0060750B">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Insussistenza del passivo </w:t>
            </w:r>
          </w:p>
        </w:tc>
        <w:tc>
          <w:tcPr>
            <w:tcW w:w="2733"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w:t>
            </w:r>
          </w:p>
        </w:tc>
        <w:tc>
          <w:tcPr>
            <w:tcW w:w="2374" w:type="dxa"/>
            <w:shd w:val="clear" w:color="000000" w:fill="FFFFFF"/>
            <w:noWrap/>
            <w:vAlign w:val="center"/>
            <w:hideMark/>
          </w:tcPr>
          <w:p w:rsidR="00E150FF" w:rsidRPr="00767DD5" w:rsidRDefault="00E150FF"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 0,04 </w:t>
            </w:r>
          </w:p>
        </w:tc>
      </w:tr>
      <w:tr w:rsidR="004014B4" w:rsidRPr="00767DD5" w:rsidTr="004014B4">
        <w:trPr>
          <w:trHeight w:val="169"/>
        </w:trPr>
        <w:tc>
          <w:tcPr>
            <w:tcW w:w="4901" w:type="dxa"/>
            <w:shd w:val="clear" w:color="auto" w:fill="95B3D7" w:themeFill="accent1" w:themeFillTint="99"/>
            <w:vAlign w:val="center"/>
            <w:hideMark/>
          </w:tcPr>
          <w:p w:rsidR="003450B6" w:rsidRPr="00767DD5" w:rsidRDefault="003450B6" w:rsidP="0060750B">
            <w:pPr>
              <w:spacing w:after="0" w:line="240" w:lineRule="auto"/>
              <w:rPr>
                <w:rFonts w:ascii="Bodoni MT" w:eastAsia="Times New Roman" w:hAnsi="Bodoni MT" w:cs="Arial"/>
                <w:b/>
                <w:bCs/>
                <w:color w:val="FFFFFF" w:themeColor="background1"/>
                <w:sz w:val="20"/>
                <w:szCs w:val="20"/>
                <w:lang w:eastAsia="it-IT"/>
              </w:rPr>
            </w:pPr>
            <w:r w:rsidRPr="00767DD5">
              <w:rPr>
                <w:rFonts w:ascii="Bodoni MT" w:eastAsia="Times New Roman" w:hAnsi="Bodoni MT" w:cs="Arial"/>
                <w:b/>
                <w:bCs/>
                <w:color w:val="FFFFFF" w:themeColor="background1"/>
                <w:sz w:val="20"/>
                <w:szCs w:val="20"/>
                <w:lang w:eastAsia="it-IT"/>
              </w:rPr>
              <w:t>TOTALE DEBITO DELLA REGIONE</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1.936.283.860,32</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 xml:space="preserve">1.324.442.626,95 </w:t>
            </w:r>
          </w:p>
        </w:tc>
      </w:tr>
      <w:tr w:rsidR="004014B4" w:rsidRPr="00767DD5" w:rsidTr="004014B4">
        <w:trPr>
          <w:trHeight w:val="240"/>
        </w:trPr>
        <w:tc>
          <w:tcPr>
            <w:tcW w:w="10008" w:type="dxa"/>
            <w:gridSpan w:val="3"/>
            <w:shd w:val="clear" w:color="auto" w:fill="0F243E" w:themeFill="text2" w:themeFillShade="80"/>
            <w:noWrap/>
            <w:vAlign w:val="center"/>
            <w:hideMark/>
          </w:tcPr>
          <w:p w:rsidR="003450B6" w:rsidRPr="00767DD5" w:rsidRDefault="003450B6" w:rsidP="001F2FD8">
            <w:pPr>
              <w:spacing w:after="0" w:line="240" w:lineRule="auto"/>
              <w:jc w:val="center"/>
              <w:rPr>
                <w:rFonts w:ascii="Bodoni MT" w:eastAsia="Times New Roman" w:hAnsi="Bodoni MT" w:cs="Arial"/>
                <w:b/>
                <w:bCs/>
                <w:sz w:val="20"/>
                <w:szCs w:val="20"/>
                <w:lang w:eastAsia="it-IT"/>
              </w:rPr>
            </w:pPr>
            <w:r w:rsidRPr="00767DD5">
              <w:rPr>
                <w:rFonts w:ascii="Bodoni MT" w:eastAsia="Times New Roman" w:hAnsi="Bodoni MT" w:cs="Arial"/>
                <w:b/>
                <w:bCs/>
                <w:sz w:val="20"/>
                <w:szCs w:val="20"/>
                <w:lang w:eastAsia="it-IT"/>
              </w:rPr>
              <w:t>DEBITO POTENZIALE</w:t>
            </w:r>
          </w:p>
        </w:tc>
      </w:tr>
      <w:tr w:rsidR="004014B4" w:rsidRPr="00767DD5" w:rsidTr="004014B4">
        <w:trPr>
          <w:trHeight w:val="315"/>
        </w:trPr>
        <w:tc>
          <w:tcPr>
            <w:tcW w:w="4901" w:type="dxa"/>
            <w:shd w:val="clear" w:color="auto" w:fill="95B3D7" w:themeFill="accent1" w:themeFillTint="99"/>
            <w:vAlign w:val="bottom"/>
            <w:hideMark/>
          </w:tcPr>
          <w:p w:rsidR="003450B6" w:rsidRPr="00767DD5" w:rsidRDefault="003450B6" w:rsidP="001F2FD8">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Garanzie principali o sussidiarie prestate dalla Regione a favore di altre Amm. pubbliche e di altri soggetti</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113.417.039,75 </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121.981.953,71 </w:t>
            </w:r>
          </w:p>
        </w:tc>
      </w:tr>
      <w:tr w:rsidR="004014B4" w:rsidRPr="00767DD5" w:rsidTr="004014B4">
        <w:trPr>
          <w:trHeight w:val="360"/>
        </w:trPr>
        <w:tc>
          <w:tcPr>
            <w:tcW w:w="4901" w:type="dxa"/>
            <w:shd w:val="clear" w:color="auto" w:fill="95B3D7" w:themeFill="accent1" w:themeFillTint="99"/>
            <w:vAlign w:val="bottom"/>
            <w:hideMark/>
          </w:tcPr>
          <w:p w:rsidR="003450B6" w:rsidRPr="00767DD5" w:rsidRDefault="003450B6" w:rsidP="001F2FD8">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di cui, garanzie per le quali è stato costituito accantonamento</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36.543.224,10</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iCs/>
                <w:sz w:val="20"/>
                <w:szCs w:val="20"/>
                <w:lang w:eastAsia="it-IT"/>
              </w:rPr>
            </w:pPr>
            <w:r w:rsidRPr="00767DD5">
              <w:rPr>
                <w:rFonts w:ascii="Calibri" w:eastAsia="Times New Roman" w:hAnsi="Calibri" w:cs="Calibri"/>
                <w:iCs/>
                <w:sz w:val="20"/>
                <w:szCs w:val="20"/>
                <w:lang w:eastAsia="it-IT"/>
              </w:rPr>
              <w:t xml:space="preserve">36.543.224,10 </w:t>
            </w:r>
          </w:p>
        </w:tc>
      </w:tr>
      <w:tr w:rsidR="004014B4" w:rsidRPr="00767DD5" w:rsidTr="004014B4">
        <w:trPr>
          <w:trHeight w:val="136"/>
        </w:trPr>
        <w:tc>
          <w:tcPr>
            <w:tcW w:w="4901" w:type="dxa"/>
            <w:shd w:val="clear" w:color="auto" w:fill="95B3D7" w:themeFill="accent1" w:themeFillTint="99"/>
            <w:vAlign w:val="bottom"/>
            <w:hideMark/>
          </w:tcPr>
          <w:p w:rsidR="003450B6" w:rsidRPr="00767DD5" w:rsidRDefault="003450B6" w:rsidP="001F2FD8">
            <w:pPr>
              <w:spacing w:after="0" w:line="240" w:lineRule="auto"/>
              <w:rPr>
                <w:rFonts w:ascii="Bodoni MT" w:eastAsia="Times New Roman" w:hAnsi="Bodoni MT" w:cs="Arial"/>
                <w:color w:val="FFFFFF" w:themeColor="background1"/>
                <w:sz w:val="20"/>
                <w:szCs w:val="20"/>
                <w:lang w:eastAsia="it-IT"/>
              </w:rPr>
            </w:pPr>
            <w:r w:rsidRPr="00767DD5">
              <w:rPr>
                <w:rFonts w:ascii="Bodoni MT" w:eastAsia="Times New Roman" w:hAnsi="Bodoni MT" w:cs="Arial"/>
                <w:color w:val="FFFFFF" w:themeColor="background1"/>
                <w:sz w:val="20"/>
                <w:szCs w:val="20"/>
                <w:lang w:eastAsia="it-IT"/>
              </w:rPr>
              <w:t>Garanzie che concorrono al limite di indebitamento</w:t>
            </w:r>
          </w:p>
        </w:tc>
        <w:tc>
          <w:tcPr>
            <w:tcW w:w="2733"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76.873.815,65</w:t>
            </w:r>
          </w:p>
        </w:tc>
        <w:tc>
          <w:tcPr>
            <w:tcW w:w="2374" w:type="dxa"/>
            <w:shd w:val="clear" w:color="000000" w:fill="FFFFFF"/>
            <w:noWrap/>
            <w:vAlign w:val="center"/>
            <w:hideMark/>
          </w:tcPr>
          <w:p w:rsidR="003450B6" w:rsidRPr="00767DD5" w:rsidRDefault="003450B6" w:rsidP="004014B4">
            <w:pPr>
              <w:spacing w:after="0" w:line="240" w:lineRule="auto"/>
              <w:jc w:val="right"/>
              <w:rPr>
                <w:rFonts w:ascii="Calibri" w:eastAsia="Times New Roman" w:hAnsi="Calibri" w:cs="Calibri"/>
                <w:b/>
                <w:bCs/>
                <w:iCs/>
                <w:sz w:val="20"/>
                <w:szCs w:val="20"/>
                <w:lang w:eastAsia="it-IT"/>
              </w:rPr>
            </w:pPr>
            <w:r w:rsidRPr="00767DD5">
              <w:rPr>
                <w:rFonts w:ascii="Calibri" w:eastAsia="Times New Roman" w:hAnsi="Calibri" w:cs="Calibri"/>
                <w:b/>
                <w:bCs/>
                <w:iCs/>
                <w:sz w:val="20"/>
                <w:szCs w:val="20"/>
                <w:lang w:eastAsia="it-IT"/>
              </w:rPr>
              <w:t xml:space="preserve">85.438.729,61 </w:t>
            </w:r>
          </w:p>
        </w:tc>
      </w:tr>
    </w:tbl>
    <w:p w:rsidR="003450B6" w:rsidRPr="004014B4" w:rsidRDefault="003450B6" w:rsidP="003450B6">
      <w:pPr>
        <w:jc w:val="both"/>
        <w:rPr>
          <w:rFonts w:ascii="Bodoni MT" w:hAnsi="Bodoni MT"/>
          <w:sz w:val="16"/>
          <w:szCs w:val="16"/>
        </w:rPr>
      </w:pPr>
      <w:r w:rsidRPr="004014B4">
        <w:rPr>
          <w:rFonts w:ascii="Bodoni MT" w:hAnsi="Bodoni MT"/>
          <w:sz w:val="16"/>
          <w:szCs w:val="16"/>
        </w:rPr>
        <w:t>Fonte: Dati forniti dalla RAS.</w:t>
      </w:r>
    </w:p>
    <w:p w:rsidR="003450B6" w:rsidRPr="004014B4" w:rsidRDefault="003450B6" w:rsidP="00893F70">
      <w:pPr>
        <w:pStyle w:val="CdcTesto"/>
      </w:pPr>
      <w:r w:rsidRPr="004014B4">
        <w:t xml:space="preserve">Le differenze tra i dati assestati e quelli a rendiconto derivano innanzitutto </w:t>
      </w:r>
      <w:r w:rsidR="0010391A" w:rsidRPr="004014B4">
        <w:t>dal fatto che non tutto lo</w:t>
      </w:r>
      <w:r w:rsidRPr="004014B4">
        <w:t xml:space="preserve"> stanzia</w:t>
      </w:r>
      <w:r w:rsidR="0010391A" w:rsidRPr="004014B4">
        <w:t>men</w:t>
      </w:r>
      <w:r w:rsidRPr="004014B4">
        <w:t>t</w:t>
      </w:r>
      <w:r w:rsidR="0010391A" w:rsidRPr="004014B4">
        <w:t>o vi</w:t>
      </w:r>
      <w:r w:rsidRPr="004014B4">
        <w:t>e</w:t>
      </w:r>
      <w:r w:rsidR="0010391A" w:rsidRPr="004014B4">
        <w:t>ne</w:t>
      </w:r>
      <w:r w:rsidRPr="004014B4">
        <w:t xml:space="preserve"> accertat</w:t>
      </w:r>
      <w:r w:rsidR="0010391A" w:rsidRPr="004014B4">
        <w:t>o</w:t>
      </w:r>
      <w:r w:rsidRPr="004014B4">
        <w:t xml:space="preserve"> </w:t>
      </w:r>
      <w:r w:rsidR="0010391A" w:rsidRPr="004014B4">
        <w:t xml:space="preserve">e </w:t>
      </w:r>
      <w:r w:rsidRPr="004014B4">
        <w:t>c</w:t>
      </w:r>
      <w:r w:rsidR="0010391A" w:rsidRPr="004014B4">
        <w:t xml:space="preserve">iò </w:t>
      </w:r>
      <w:r w:rsidRPr="004014B4">
        <w:t xml:space="preserve">ha </w:t>
      </w:r>
      <w:r w:rsidR="00174D62" w:rsidRPr="004014B4">
        <w:t xml:space="preserve">comportato una lieve riduzione del </w:t>
      </w:r>
      <w:r w:rsidRPr="004014B4">
        <w:t xml:space="preserve">livello massimo di spesa annuale (20% delle Entrate tributarie al netto di quelle destinate alla sanità). Inoltre, con riguardo all’ammontare delle rate per mutui e prestiti autorizzati fino al 31/12/2015 (riga E), l’importo determinato a consuntivo </w:t>
      </w:r>
      <w:r w:rsidR="00174D62" w:rsidRPr="004014B4">
        <w:t>risulta</w:t>
      </w:r>
      <w:r w:rsidRPr="004014B4">
        <w:t xml:space="preserve"> inferiore a causa del minor “tiraggio” del mutuo infrastrutture autorizzato dalla legge di stabilità 2015 (€ 50.908.570,53 rispetto ai 127 </w:t>
      </w:r>
      <w:r w:rsidR="00767DD5" w:rsidRPr="00767DD5">
        <w:t>milioni</w:t>
      </w:r>
      <w:r w:rsidR="00767DD5" w:rsidRPr="00EE404F">
        <w:t xml:space="preserve"> </w:t>
      </w:r>
      <w:r w:rsidRPr="004014B4">
        <w:t xml:space="preserve">di </w:t>
      </w:r>
      <w:r w:rsidRPr="004014B4">
        <w:lastRenderedPageBreak/>
        <w:t xml:space="preserve">euro stimati) e della minore contrazione del mutuo a copertura del disavanzo (€ 104.021.036,16 rispetto ai 505 </w:t>
      </w:r>
      <w:r w:rsidR="00767DD5" w:rsidRPr="00767DD5">
        <w:t>milioni</w:t>
      </w:r>
      <w:r w:rsidR="00767DD5" w:rsidRPr="00EE404F">
        <w:t xml:space="preserve"> </w:t>
      </w:r>
      <w:r w:rsidRPr="004014B4">
        <w:t xml:space="preserve">di euro circa autorizzati). </w:t>
      </w:r>
    </w:p>
    <w:p w:rsidR="003450B6" w:rsidRPr="004014B4" w:rsidRDefault="003450B6" w:rsidP="00893F70">
      <w:pPr>
        <w:pStyle w:val="CdcTesto"/>
      </w:pPr>
      <w:r w:rsidRPr="004014B4">
        <w:t>Nel prospetto sono state aggiunte le voci relative all’ammontare dei rimborsi di capitale effettivamente pagati nel corso del 2016, ivi inclusi i rimborsi anticipati a seguito di estinzione totale o parziale di alcuni mutui (“Rimborsi del debito effettuati nell’esercizio in corso”), e il minor importo pagato per l’estinzione anticipata degli stessi, rispetto a quanto previsto nei piani di ammortamento (“Insussistenza del passivo”).</w:t>
      </w:r>
    </w:p>
    <w:p w:rsidR="003450B6" w:rsidRPr="004014B4" w:rsidRDefault="003450B6" w:rsidP="00893F70">
      <w:pPr>
        <w:pStyle w:val="CdcTesto"/>
      </w:pPr>
      <w:r w:rsidRPr="004014B4">
        <w:t>A seguito delle variazioni sopra descritte il debito regionale effettivo al 31/12/2016 è pertanto pari a € 1.324.442.626,95, inferiore al limite determinato in sede di assestamento (€ 1.936.283.860,32).</w:t>
      </w:r>
    </w:p>
    <w:p w:rsidR="003450B6" w:rsidRPr="004014B4" w:rsidRDefault="003450B6" w:rsidP="00893F70">
      <w:pPr>
        <w:pStyle w:val="CdcTesto"/>
      </w:pPr>
      <w:r w:rsidRPr="004014B4">
        <w:t xml:space="preserve">Con riferimento al debito potenziale, il dato a consuntivo risulta superiore di 1,7 </w:t>
      </w:r>
      <w:r w:rsidR="00767DD5" w:rsidRPr="00767DD5">
        <w:t>milioni</w:t>
      </w:r>
      <w:r w:rsidR="00767DD5" w:rsidRPr="00EE404F">
        <w:t xml:space="preserve"> </w:t>
      </w:r>
      <w:r w:rsidRPr="004014B4">
        <w:t>di euro rispetto al dato assestato per effetto dell’incremento delle garanzie concesse.</w:t>
      </w:r>
    </w:p>
    <w:p w:rsidR="00EE404F" w:rsidRPr="00893F70" w:rsidRDefault="00EE404F" w:rsidP="00893F70">
      <w:pPr>
        <w:pStyle w:val="CdcTesto"/>
      </w:pPr>
      <w:r w:rsidRPr="00EE404F">
        <w:t xml:space="preserve">Le garanzie prestate dalla RAS a favore di terzi, ammontano a € 121.981.956,71 e riguardano </w:t>
      </w:r>
      <w:r w:rsidRPr="00893F70">
        <w:t>garanzie rilasciate in favore di istituti di credito per la concessione di finanziamenti alle imprese, nell’ambito di specifiche leggi agevolative.</w:t>
      </w:r>
    </w:p>
    <w:p w:rsidR="00474C78" w:rsidRPr="00893F70" w:rsidRDefault="00EE404F" w:rsidP="00893F70">
      <w:pPr>
        <w:pStyle w:val="CdcTesto"/>
      </w:pPr>
      <w:r w:rsidRPr="00893F70">
        <w:t>A copertura delle obbligazioni, è apprestato apposito fondo ai sensi dell’art.</w:t>
      </w:r>
      <w:r w:rsidR="00582DE2" w:rsidRPr="00893F70">
        <w:t xml:space="preserve"> </w:t>
      </w:r>
      <w:r w:rsidRPr="00893F70">
        <w:t>1 della L.R.</w:t>
      </w:r>
      <w:r w:rsidR="00582DE2" w:rsidRPr="00893F70">
        <w:t xml:space="preserve"> </w:t>
      </w:r>
      <w:r w:rsidRPr="00893F70">
        <w:t xml:space="preserve">3/2008, che aveva previsto uno stanziamento annuale almeno pari a 5 </w:t>
      </w:r>
      <w:r w:rsidR="00767DD5" w:rsidRPr="00893F70">
        <w:t xml:space="preserve">milioni </w:t>
      </w:r>
      <w:r w:rsidRPr="00893F70">
        <w:t>di euro. A seguito dell’entrata in vigore dell</w:t>
      </w:r>
      <w:r w:rsidR="00204FBC" w:rsidRPr="00893F70">
        <w:t xml:space="preserve">a contabilità </w:t>
      </w:r>
      <w:r w:rsidRPr="00893F70">
        <w:t>armonizza</w:t>
      </w:r>
      <w:r w:rsidR="00204FBC" w:rsidRPr="00893F70">
        <w:t>ta</w:t>
      </w:r>
      <w:r w:rsidRPr="00893F70">
        <w:t>, detto fondo costituisce quota accantonata del risultato di amministrazione, alla voce “Fondi per passività potenziali”</w:t>
      </w:r>
      <w:r w:rsidRPr="00893F70">
        <w:rPr>
          <w:vertAlign w:val="superscript"/>
        </w:rPr>
        <w:footnoteReference w:id="142"/>
      </w:r>
      <w:r w:rsidRPr="00893F70">
        <w:rPr>
          <w:vertAlign w:val="superscript"/>
        </w:rPr>
        <w:t>.</w:t>
      </w:r>
      <w:r w:rsidRPr="00893F70">
        <w:t xml:space="preserve"> La quota stanziata nel bilancio 2016 non risulta utilizzata</w:t>
      </w:r>
      <w:r w:rsidRPr="00893F70">
        <w:rPr>
          <w:vertAlign w:val="superscript"/>
        </w:rPr>
        <w:footnoteReference w:id="143"/>
      </w:r>
      <w:r w:rsidRPr="00893F70">
        <w:t xml:space="preserve"> e è andata ad incrementare il fondo acca</w:t>
      </w:r>
      <w:r w:rsidR="00582DE2" w:rsidRPr="00893F70">
        <w:t>ntonato al 31/12/2015 (pari a € </w:t>
      </w:r>
      <w:r w:rsidRPr="00893F70">
        <w:t>31.543.224,10). L’ammontare finale del fondo è pertanto di € 36.543.224,10.</w:t>
      </w:r>
    </w:p>
    <w:p w:rsidR="00474C78" w:rsidRPr="00893F70" w:rsidRDefault="00474C78" w:rsidP="00893F70">
      <w:pPr>
        <w:pStyle w:val="CdcTesto"/>
        <w:sectPr w:rsidR="00474C78" w:rsidRPr="00893F70" w:rsidSect="00CD4C84">
          <w:headerReference w:type="default" r:id="rId64"/>
          <w:type w:val="oddPage"/>
          <w:pgSz w:w="11906" w:h="16838"/>
          <w:pgMar w:top="1418" w:right="1134" w:bottom="1134" w:left="851" w:header="709" w:footer="709" w:gutter="0"/>
          <w:cols w:space="708"/>
          <w:docGrid w:linePitch="360"/>
        </w:sectPr>
      </w:pPr>
    </w:p>
    <w:p w:rsidR="00582DE2" w:rsidRDefault="00E0473A" w:rsidP="00582DE2">
      <w:pPr>
        <w:pStyle w:val="Titolo1"/>
      </w:pPr>
      <w:bookmarkStart w:id="263" w:name="_Toc507422661"/>
      <w:r>
        <w:lastRenderedPageBreak/>
        <w:t>LA GESTIONE DEI CREDITI</w:t>
      </w:r>
      <w:bookmarkEnd w:id="263"/>
    </w:p>
    <w:p w:rsidR="00F4781C" w:rsidRPr="00F4781C" w:rsidRDefault="002B5DE9" w:rsidP="00F4781C">
      <w:r>
        <w:rPr>
          <w:rFonts w:ascii="Bodoni MT" w:hAnsi="Bodoni MT"/>
          <w:i/>
          <w:sz w:val="20"/>
          <w:szCs w:val="20"/>
        </w:rPr>
        <w:t>Sommario: 11.1 I crediti patrimoniali – 11.2 I crediti verso lo Stato – 11</w:t>
      </w:r>
      <w:r w:rsidR="00F4781C">
        <w:rPr>
          <w:rFonts w:ascii="Bodoni MT" w:hAnsi="Bodoni MT"/>
          <w:i/>
          <w:sz w:val="20"/>
          <w:szCs w:val="20"/>
        </w:rPr>
        <w:t>.3 I crediti non iscritti in bilancio</w:t>
      </w:r>
    </w:p>
    <w:p w:rsidR="00FF2CC0" w:rsidRPr="003450B6" w:rsidRDefault="003450B6" w:rsidP="003450B6">
      <w:pPr>
        <w:pStyle w:val="Titolo2"/>
      </w:pPr>
      <w:r w:rsidRPr="003450B6">
        <w:t xml:space="preserve"> </w:t>
      </w:r>
      <w:bookmarkStart w:id="264" w:name="_Toc507422662"/>
      <w:r w:rsidRPr="003450B6">
        <w:t>I crediti patrimoniali</w:t>
      </w:r>
      <w:bookmarkEnd w:id="264"/>
    </w:p>
    <w:p w:rsidR="003450B6" w:rsidRPr="008A7612" w:rsidRDefault="003450B6" w:rsidP="00893F70">
      <w:pPr>
        <w:pStyle w:val="CdcTesto"/>
      </w:pPr>
      <w:r w:rsidRPr="008A7612">
        <w:t>In corso di istruttoria</w:t>
      </w:r>
      <w:r w:rsidRPr="008A7612">
        <w:rPr>
          <w:rStyle w:val="Rimandonotaapidipagina"/>
        </w:rPr>
        <w:footnoteReference w:id="144"/>
      </w:r>
      <w:r w:rsidRPr="008A7612">
        <w:t xml:space="preserve"> sono state chieste alla Direzione Generale dei Servizi finanziari notizie in merito alle iniziative intraprese per la </w:t>
      </w:r>
      <w:r w:rsidRPr="00142935">
        <w:rPr>
          <w:b/>
        </w:rPr>
        <w:t>velocizzazione della riscossione dei residui attivi</w:t>
      </w:r>
      <w:r w:rsidRPr="008A7612">
        <w:t xml:space="preserve">, con particolare riferimento ai </w:t>
      </w:r>
      <w:r w:rsidRPr="00142935">
        <w:rPr>
          <w:b/>
        </w:rPr>
        <w:t>crediti in sofferenza e allo stato del contenzioso</w:t>
      </w:r>
      <w:r w:rsidRPr="008A7612">
        <w:t xml:space="preserve">. Inoltre, si sono chieste informazioni in merito ai crediti non iscritti in bilancio, stimati al 31/12/2015 in € 558.118.690,66, che dovrebbero essere oggetto di ricognizione </w:t>
      </w:r>
      <w:r w:rsidR="00204FBC" w:rsidRPr="008A7612">
        <w:t>p</w:t>
      </w:r>
      <w:r w:rsidRPr="008A7612">
        <w:t>e</w:t>
      </w:r>
      <w:r w:rsidR="00204FBC" w:rsidRPr="008A7612">
        <w:t>r</w:t>
      </w:r>
      <w:r w:rsidRPr="008A7612">
        <w:t xml:space="preserve"> </w:t>
      </w:r>
      <w:r w:rsidR="00204FBC" w:rsidRPr="008A7612">
        <w:t>l’</w:t>
      </w:r>
      <w:r w:rsidRPr="008A7612">
        <w:t>inserimento nel</w:t>
      </w:r>
      <w:r w:rsidR="00767DD5">
        <w:t xml:space="preserve"> primo Stato Patrimoniale al 1°</w:t>
      </w:r>
      <w:r w:rsidRPr="008A7612">
        <w:t>gennaio 2016</w:t>
      </w:r>
      <w:r w:rsidRPr="008A7612">
        <w:rPr>
          <w:rStyle w:val="Rimandonotaapidipagina"/>
        </w:rPr>
        <w:footnoteReference w:id="145"/>
      </w:r>
      <w:r w:rsidRPr="008A7612">
        <w:t>.</w:t>
      </w:r>
    </w:p>
    <w:p w:rsidR="003450B6" w:rsidRPr="008A7612" w:rsidRDefault="003450B6" w:rsidP="00893F70">
      <w:pPr>
        <w:pStyle w:val="CdcTesto"/>
      </w:pPr>
      <w:r w:rsidRPr="008A7612">
        <w:t xml:space="preserve">Dai documenti e dalle notizie forniti, nonché dalla Relazione sulla gestione allegata al rendiconto, è emerso che, a partire dal 2010, il recupero coattivo dei crediti avviene a mezzo ruolo. Tale procedura viene applicata solo ai crediti connessi a entrate patrimoniali, in quanto la riscossione delle entrate di natura tributaria avviene per il tramite dell’Agenzia delle entrate. I crediti si riferiscono in prevalenza alle entrate derivanti dal risarcimento di danni, sanzioni amministrative, canoni di locazione e concessione, revoca di contributi a imprese o famiglie. </w:t>
      </w:r>
    </w:p>
    <w:p w:rsidR="003450B6" w:rsidRPr="008A7612" w:rsidRDefault="003450B6" w:rsidP="00893F70">
      <w:pPr>
        <w:pStyle w:val="CdcTesto"/>
      </w:pPr>
      <w:r w:rsidRPr="00142935">
        <w:rPr>
          <w:b/>
        </w:rPr>
        <w:t>L’Amministrazione regionale riferisce che nel 2016 si sono realizzati incassi di un certo rilievo, grazie al perfezionarsi delle procedure esecutive e alla risoluzione di importanti controversie</w:t>
      </w:r>
      <w:r w:rsidRPr="008A7612">
        <w:t xml:space="preserve"> a favore della RAS. Le somme riscosse nell’anno dall’incaricato alla riscossione coattiva (E</w:t>
      </w:r>
      <w:r w:rsidR="00204FBC" w:rsidRPr="008A7612">
        <w:t>quitalia</w:t>
      </w:r>
      <w:r w:rsidRPr="008A7612">
        <w:t xml:space="preserve">) sono state pari a </w:t>
      </w:r>
      <w:r w:rsidR="00C2317A" w:rsidRPr="008A7612">
        <w:t xml:space="preserve">€ </w:t>
      </w:r>
      <w:r w:rsidRPr="008A7612">
        <w:t>9.622.077,35, e i riversamenti sono stati di € 9.243.440,78.</w:t>
      </w:r>
    </w:p>
    <w:p w:rsidR="003450B6" w:rsidRPr="008A7612" w:rsidRDefault="003450B6" w:rsidP="00893F70">
      <w:pPr>
        <w:pStyle w:val="CdcTesto"/>
      </w:pPr>
      <w:r w:rsidRPr="008A7612">
        <w:t>In considerazione delle difficoltà di recupero coattivo del credito, già dal 2014 la Regione ha promosso la rateizzazione dei crediti regionali</w:t>
      </w:r>
      <w:r w:rsidRPr="008A7612">
        <w:rPr>
          <w:rStyle w:val="Rimandonotaapidipagina"/>
        </w:rPr>
        <w:footnoteReference w:id="146"/>
      </w:r>
      <w:r w:rsidRPr="008A7612">
        <w:t>. Nel 2016 sono state concesse, dai diversi CDR regionali, 127 rateizzazioni per complessivi € 3.284.442,80.</w:t>
      </w:r>
    </w:p>
    <w:p w:rsidR="003450B6" w:rsidRPr="008A7612" w:rsidRDefault="003450B6" w:rsidP="00893F70">
      <w:pPr>
        <w:pStyle w:val="CdcTesto"/>
      </w:pPr>
      <w:r w:rsidRPr="008A7612">
        <w:t>Dal 2010 sono state concesse</w:t>
      </w:r>
      <w:r w:rsidR="00C2317A" w:rsidRPr="008A7612">
        <w:t xml:space="preserve"> rateizzazioni per complessivi € 1</w:t>
      </w:r>
      <w:r w:rsidRPr="008A7612">
        <w:t xml:space="preserve">5.334.442,00, incassate rate per </w:t>
      </w:r>
      <w:r w:rsidR="00C2317A" w:rsidRPr="008A7612">
        <w:t>€ </w:t>
      </w:r>
      <w:r w:rsidRPr="008A7612">
        <w:t>2.097.147,52 e di</w:t>
      </w:r>
      <w:r w:rsidR="006E3588">
        <w:t>chiarate decadute dal beneficio</w:t>
      </w:r>
      <w:r w:rsidRPr="008A7612">
        <w:t xml:space="preserve"> pratiche per </w:t>
      </w:r>
      <w:r w:rsidR="00C2317A" w:rsidRPr="008A7612">
        <w:t xml:space="preserve">€ </w:t>
      </w:r>
      <w:r w:rsidRPr="008A7612">
        <w:t>792.683,00, registrando un tasso di insolvenza pari al 5,17%. I crediti antecedenti al 1 gennaio 2015 non sono iscritti in bilancio in quanto vengono accertati ancora per cassa o al momento dell’iscrizione a ruolo.</w:t>
      </w:r>
    </w:p>
    <w:p w:rsidR="003450B6" w:rsidRPr="008A7612" w:rsidRDefault="003450B6" w:rsidP="00893F70">
      <w:pPr>
        <w:pStyle w:val="CdcTesto"/>
      </w:pPr>
      <w:r w:rsidRPr="008A7612">
        <w:lastRenderedPageBreak/>
        <w:t>Le riscossioni totali dell’anno 2016 sono state di € 12.426.754,94, relativamente alle suddette tipologie di crediti.</w:t>
      </w:r>
    </w:p>
    <w:p w:rsidR="003450B6" w:rsidRPr="008A7612" w:rsidRDefault="003450B6" w:rsidP="00893F70">
      <w:pPr>
        <w:pStyle w:val="CdcTesto"/>
      </w:pPr>
      <w:r w:rsidRPr="008A7612">
        <w:t>Con la DGR n.</w:t>
      </w:r>
      <w:r w:rsidR="003F71D8" w:rsidRPr="008A7612">
        <w:t xml:space="preserve"> </w:t>
      </w:r>
      <w:r w:rsidRPr="008A7612">
        <w:t xml:space="preserve">12/25 del 07/03/2017 sono state stabilite le linee guida per la </w:t>
      </w:r>
      <w:r w:rsidRPr="008A7612">
        <w:rPr>
          <w:b/>
        </w:rPr>
        <w:t>gestione dei crediti affidata alle società in house</w:t>
      </w:r>
      <w:r w:rsidR="00204FBC" w:rsidRPr="008A7612">
        <w:rPr>
          <w:b/>
        </w:rPr>
        <w:t>,</w:t>
      </w:r>
      <w:r w:rsidRPr="008A7612">
        <w:rPr>
          <w:b/>
        </w:rPr>
        <w:t xml:space="preserve"> </w:t>
      </w:r>
      <w:r w:rsidR="00204FBC" w:rsidRPr="008A7612">
        <w:rPr>
          <w:b/>
        </w:rPr>
        <w:t>inoltr</w:t>
      </w:r>
      <w:r w:rsidRPr="008A7612">
        <w:t xml:space="preserve">e è in fase di studio la revisione delle </w:t>
      </w:r>
      <w:r w:rsidRPr="008A7612">
        <w:rPr>
          <w:b/>
        </w:rPr>
        <w:t>linee guida per la gestione dei crediti affidata alle Banche,</w:t>
      </w:r>
      <w:r w:rsidRPr="008A7612">
        <w:t xml:space="preserve"> in particolare per la gestione delle rateizzazioni e dei piani di rientro e per il controllo a campione dell’operato dei gestori dei fondi di rotazione e assimilati.</w:t>
      </w:r>
    </w:p>
    <w:p w:rsidR="003450B6" w:rsidRPr="008A7612" w:rsidRDefault="003450B6" w:rsidP="00893F70">
      <w:pPr>
        <w:pStyle w:val="CdcTesto"/>
      </w:pPr>
      <w:r w:rsidRPr="008A7612">
        <w:t xml:space="preserve">Nel 2016 sono stati integralmente recuperati gli </w:t>
      </w:r>
      <w:r w:rsidRPr="008A7612">
        <w:rPr>
          <w:b/>
        </w:rPr>
        <w:t>aiuti di Stato</w:t>
      </w:r>
      <w:r w:rsidRPr="008A7612">
        <w:t xml:space="preserve"> concessi a Germanwings, Moby e impresa Onorato per complessivi 7,5 mln di euro, mentre è in corso di svolgimento la procedura di concordato con la SAREMAR.</w:t>
      </w:r>
    </w:p>
    <w:p w:rsidR="003450B6" w:rsidRPr="008A7612" w:rsidRDefault="003450B6" w:rsidP="00893F70">
      <w:pPr>
        <w:pStyle w:val="CdcTesto"/>
      </w:pPr>
      <w:r w:rsidRPr="008A7612">
        <w:t xml:space="preserve">Per ciò che riguarda il </w:t>
      </w:r>
      <w:r w:rsidRPr="008A7612">
        <w:rPr>
          <w:b/>
        </w:rPr>
        <w:t>recupero degli aiuti concessi alle aziende turistiche ex L.R. n.9/98</w:t>
      </w:r>
      <w:r w:rsidRPr="008A7612">
        <w:t>, in seguito all’accordo con la Commissione europea e le imprese per la rateizzazione dei pagamenti in 12 rate annuali, è già stato recuperato il 48% degli aiuti concessi. I debiti delle imprese inadempienti sono stati iscritti a ruolo tra il secondo semestre 2016 e i primi mesi del 2017.</w:t>
      </w:r>
    </w:p>
    <w:p w:rsidR="003450B6" w:rsidRPr="003450B6" w:rsidRDefault="003450B6" w:rsidP="003450B6">
      <w:pPr>
        <w:pStyle w:val="Titolo2"/>
      </w:pPr>
      <w:bookmarkStart w:id="265" w:name="_Toc507422663"/>
      <w:r w:rsidRPr="003450B6">
        <w:t>I crediti verso lo</w:t>
      </w:r>
      <w:r>
        <w:t xml:space="preserve"> </w:t>
      </w:r>
      <w:r w:rsidRPr="003450B6">
        <w:t>Stato</w:t>
      </w:r>
      <w:r w:rsidR="00142935">
        <w:t xml:space="preserve"> e la rendicontazione sul Piano di Rinascita</w:t>
      </w:r>
      <w:bookmarkEnd w:id="265"/>
    </w:p>
    <w:p w:rsidR="003450B6" w:rsidRPr="0060485F" w:rsidRDefault="003450B6" w:rsidP="00FB04AC">
      <w:pPr>
        <w:spacing w:after="120" w:line="360" w:lineRule="auto"/>
        <w:jc w:val="both"/>
        <w:rPr>
          <w:rFonts w:ascii="Bodoni MT" w:hAnsi="Bodoni MT"/>
          <w:sz w:val="24"/>
          <w:szCs w:val="24"/>
        </w:rPr>
      </w:pPr>
      <w:r w:rsidRPr="0060485F">
        <w:rPr>
          <w:rFonts w:ascii="Bodoni MT" w:hAnsi="Bodoni MT"/>
          <w:sz w:val="24"/>
          <w:szCs w:val="24"/>
        </w:rPr>
        <w:t xml:space="preserve">Considerata l’incompletezza dei dati forniti, riferiti alle sole entrate di tipo patrimoniale, e considerata la gran mole di residui attivi derivanti da entrate erariali, è stato richiesto alla Regione di illustrare </w:t>
      </w:r>
      <w:r w:rsidRPr="0060485F">
        <w:rPr>
          <w:rFonts w:ascii="Bodoni MT" w:hAnsi="Bodoni MT"/>
          <w:b/>
          <w:sz w:val="24"/>
          <w:szCs w:val="24"/>
        </w:rPr>
        <w:t>la situazione creditoria/debitoria nei confronti dello Stato</w:t>
      </w:r>
      <w:r w:rsidRPr="0060485F">
        <w:rPr>
          <w:rStyle w:val="Rimandonotaapidipagina"/>
          <w:rFonts w:ascii="Bodoni MT" w:hAnsi="Bodoni MT"/>
          <w:sz w:val="24"/>
          <w:szCs w:val="24"/>
        </w:rPr>
        <w:footnoteReference w:id="147"/>
      </w:r>
      <w:r w:rsidRPr="0060485F">
        <w:rPr>
          <w:rFonts w:ascii="Bodoni MT" w:hAnsi="Bodoni MT"/>
          <w:sz w:val="24"/>
          <w:szCs w:val="24"/>
        </w:rPr>
        <w:t xml:space="preserve">. La Regione, in corso di audizione, ha riferito che è in atto un carteggio con il MEF che parrebbe voler riconoscere anche </w:t>
      </w:r>
      <w:r w:rsidR="002C597C">
        <w:rPr>
          <w:rFonts w:ascii="Bodoni MT" w:hAnsi="Bodoni MT"/>
          <w:sz w:val="24"/>
          <w:szCs w:val="24"/>
        </w:rPr>
        <w:t>residui perenti</w:t>
      </w:r>
      <w:r w:rsidR="00142935">
        <w:rPr>
          <w:rFonts w:ascii="Bodoni MT" w:hAnsi="Bodoni MT"/>
          <w:sz w:val="24"/>
          <w:szCs w:val="24"/>
        </w:rPr>
        <w:t xml:space="preserve"> (v. anche precedente paragrafo 6.1)</w:t>
      </w:r>
      <w:r w:rsidRPr="0060485F">
        <w:rPr>
          <w:rFonts w:ascii="Bodoni MT" w:hAnsi="Bodoni MT"/>
          <w:sz w:val="24"/>
          <w:szCs w:val="24"/>
        </w:rPr>
        <w:t>. Nelle successive note di risposta</w:t>
      </w:r>
      <w:r w:rsidRPr="0060485F">
        <w:rPr>
          <w:rStyle w:val="Rimandonotaapidipagina"/>
          <w:rFonts w:ascii="Bodoni MT" w:hAnsi="Bodoni MT"/>
          <w:sz w:val="24"/>
          <w:szCs w:val="24"/>
        </w:rPr>
        <w:footnoteReference w:id="148"/>
      </w:r>
      <w:r w:rsidRPr="0060485F">
        <w:rPr>
          <w:rFonts w:ascii="Bodoni MT" w:hAnsi="Bodoni MT"/>
          <w:sz w:val="24"/>
          <w:szCs w:val="24"/>
        </w:rPr>
        <w:t>, la Regione ha t</w:t>
      </w:r>
      <w:r w:rsidR="00142935">
        <w:rPr>
          <w:rFonts w:ascii="Bodoni MT" w:hAnsi="Bodoni MT"/>
          <w:sz w:val="24"/>
          <w:szCs w:val="24"/>
        </w:rPr>
        <w:t>rasmesso la nota n.</w:t>
      </w:r>
      <w:r w:rsidR="00893F70">
        <w:rPr>
          <w:rFonts w:ascii="Bodoni MT" w:hAnsi="Bodoni MT"/>
          <w:sz w:val="24"/>
          <w:szCs w:val="24"/>
        </w:rPr>
        <w:t xml:space="preserve"> </w:t>
      </w:r>
      <w:r w:rsidR="00142935">
        <w:rPr>
          <w:rFonts w:ascii="Bodoni MT" w:hAnsi="Bodoni MT"/>
          <w:sz w:val="24"/>
          <w:szCs w:val="24"/>
        </w:rPr>
        <w:t xml:space="preserve">77637 del 26 </w:t>
      </w:r>
      <w:r w:rsidRPr="0060485F">
        <w:rPr>
          <w:rFonts w:ascii="Bodoni MT" w:hAnsi="Bodoni MT"/>
          <w:sz w:val="24"/>
          <w:szCs w:val="24"/>
        </w:rPr>
        <w:t>aprile 2017 con la quale il MEF ha richiesto alle Regioni di indicare in appositi prospetti l’ammontare dei residui attivi nei confronti dello Stato presenti nel consuntivo 2016 (dopo il riaccertamento ordinario dei residui), esclusi quelli derivanti da cofinanziamenti statali di programmi comunitari (POR ecc.) e il FSC, sui quali si svolgerà la verifica con gli Uffici centrali di Bilancio presso i Ministeri</w:t>
      </w:r>
      <w:r w:rsidRPr="0060485F">
        <w:rPr>
          <w:rStyle w:val="Rimandonotaapidipagina"/>
          <w:rFonts w:ascii="Bodoni MT" w:hAnsi="Bodoni MT"/>
          <w:sz w:val="24"/>
          <w:szCs w:val="24"/>
        </w:rPr>
        <w:footnoteReference w:id="149"/>
      </w:r>
      <w:r w:rsidRPr="0060485F">
        <w:rPr>
          <w:rFonts w:ascii="Bodoni MT" w:hAnsi="Bodoni MT"/>
          <w:sz w:val="24"/>
          <w:szCs w:val="24"/>
        </w:rPr>
        <w:t>. Ha inoltre trasmesso l’elenco riepilogativo dei crediti regionali inviato al MEF e la nota n.</w:t>
      </w:r>
      <w:r w:rsidR="00893F70">
        <w:rPr>
          <w:rFonts w:ascii="Bodoni MT" w:hAnsi="Bodoni MT"/>
          <w:sz w:val="24"/>
          <w:szCs w:val="24"/>
        </w:rPr>
        <w:t xml:space="preserve"> </w:t>
      </w:r>
      <w:r w:rsidRPr="0060485F">
        <w:rPr>
          <w:rFonts w:ascii="Bodoni MT" w:hAnsi="Bodoni MT"/>
          <w:sz w:val="24"/>
          <w:szCs w:val="24"/>
        </w:rPr>
        <w:t xml:space="preserve">30642 del 29/09/2017 con la quale si </w:t>
      </w:r>
      <w:r w:rsidRPr="0060485F">
        <w:rPr>
          <w:rFonts w:ascii="Bodoni MT" w:hAnsi="Bodoni MT"/>
          <w:sz w:val="24"/>
          <w:szCs w:val="24"/>
        </w:rPr>
        <w:lastRenderedPageBreak/>
        <w:t>chiede alle Direzioni Generali di integrare i dati</w:t>
      </w:r>
      <w:r w:rsidRPr="0060485F">
        <w:rPr>
          <w:rStyle w:val="Rimandonotaapidipagina"/>
          <w:rFonts w:ascii="Bodoni MT" w:hAnsi="Bodoni MT"/>
          <w:sz w:val="24"/>
          <w:szCs w:val="24"/>
        </w:rPr>
        <w:footnoteReference w:id="150"/>
      </w:r>
      <w:r w:rsidRPr="0060485F">
        <w:rPr>
          <w:rFonts w:ascii="Bodoni MT" w:hAnsi="Bodoni MT"/>
          <w:sz w:val="24"/>
          <w:szCs w:val="24"/>
        </w:rPr>
        <w:t xml:space="preserve"> in base alle ulteriori richieste pervenute dal MEF (tramite mail dell’8 agosto 2017), entro e non oltre il 7 ottobre 2017. Alla data del 17 ottobre 2017 l’attività di raccolta dati era ancora in corso.</w:t>
      </w:r>
    </w:p>
    <w:p w:rsidR="003450B6" w:rsidRPr="00E8434E" w:rsidRDefault="003450B6" w:rsidP="00FB04AC">
      <w:pPr>
        <w:spacing w:after="120" w:line="360" w:lineRule="auto"/>
        <w:jc w:val="both"/>
        <w:rPr>
          <w:rFonts w:ascii="Bodoni MT" w:hAnsi="Bodoni MT"/>
          <w:sz w:val="24"/>
          <w:szCs w:val="24"/>
        </w:rPr>
      </w:pPr>
      <w:r w:rsidRPr="0060485F">
        <w:rPr>
          <w:rFonts w:ascii="Bodoni MT" w:hAnsi="Bodoni MT"/>
          <w:sz w:val="24"/>
          <w:szCs w:val="24"/>
        </w:rPr>
        <w:t xml:space="preserve">Dall’elenco </w:t>
      </w:r>
      <w:r w:rsidR="002C597C">
        <w:rPr>
          <w:rFonts w:ascii="Bodoni MT" w:hAnsi="Bodoni MT"/>
          <w:sz w:val="24"/>
          <w:szCs w:val="24"/>
        </w:rPr>
        <w:t xml:space="preserve">già </w:t>
      </w:r>
      <w:r w:rsidRPr="0060485F">
        <w:rPr>
          <w:rFonts w:ascii="Bodoni MT" w:hAnsi="Bodoni MT"/>
          <w:sz w:val="24"/>
          <w:szCs w:val="24"/>
        </w:rPr>
        <w:t xml:space="preserve">trasmesso </w:t>
      </w:r>
      <w:r w:rsidR="002C597C">
        <w:rPr>
          <w:rFonts w:ascii="Bodoni MT" w:hAnsi="Bodoni MT"/>
          <w:sz w:val="24"/>
          <w:szCs w:val="24"/>
        </w:rPr>
        <w:t xml:space="preserve">in sede istruttoria </w:t>
      </w:r>
      <w:r w:rsidRPr="0060485F">
        <w:rPr>
          <w:rFonts w:ascii="Bodoni MT" w:hAnsi="Bodoni MT"/>
          <w:b/>
          <w:sz w:val="24"/>
          <w:szCs w:val="24"/>
        </w:rPr>
        <w:t>risulta</w:t>
      </w:r>
      <w:r w:rsidR="002C597C">
        <w:rPr>
          <w:rFonts w:ascii="Bodoni MT" w:hAnsi="Bodoni MT"/>
          <w:b/>
          <w:sz w:val="24"/>
          <w:szCs w:val="24"/>
        </w:rPr>
        <w:t>va</w:t>
      </w:r>
      <w:r w:rsidRPr="0060485F">
        <w:rPr>
          <w:rFonts w:ascii="Bodoni MT" w:hAnsi="Bodoni MT"/>
          <w:b/>
          <w:sz w:val="24"/>
          <w:szCs w:val="24"/>
        </w:rPr>
        <w:t>no residui attivi nei confronti dello Stato, allocati nel conto consuntivo regionale 2016, pari a € 1.008.688.233,27, cui si devono aggiungere i cofinanziamenti dei programmi comunitari e le risorse del FSC.</w:t>
      </w:r>
      <w:r w:rsidR="00E8434E">
        <w:rPr>
          <w:rFonts w:ascii="Bodoni MT" w:hAnsi="Bodoni MT"/>
          <w:b/>
          <w:sz w:val="24"/>
          <w:szCs w:val="24"/>
        </w:rPr>
        <w:t xml:space="preserve"> </w:t>
      </w:r>
      <w:r w:rsidR="002C597C">
        <w:rPr>
          <w:rFonts w:ascii="Bodoni MT" w:hAnsi="Bodoni MT"/>
          <w:sz w:val="24"/>
          <w:szCs w:val="24"/>
        </w:rPr>
        <w:t>Successivamente (i</w:t>
      </w:r>
      <w:r w:rsidR="00E8434E">
        <w:rPr>
          <w:rFonts w:ascii="Bodoni MT" w:hAnsi="Bodoni MT"/>
          <w:sz w:val="24"/>
          <w:szCs w:val="24"/>
        </w:rPr>
        <w:t>n data 30</w:t>
      </w:r>
      <w:r w:rsidR="00893F70">
        <w:rPr>
          <w:rFonts w:ascii="Bodoni MT" w:hAnsi="Bodoni MT"/>
          <w:sz w:val="24"/>
          <w:szCs w:val="24"/>
        </w:rPr>
        <w:t>/01/</w:t>
      </w:r>
      <w:r w:rsidR="00E8434E">
        <w:rPr>
          <w:rFonts w:ascii="Bodoni MT" w:hAnsi="Bodoni MT"/>
          <w:sz w:val="24"/>
          <w:szCs w:val="24"/>
        </w:rPr>
        <w:t>2018</w:t>
      </w:r>
      <w:r w:rsidR="002C597C">
        <w:rPr>
          <w:rFonts w:ascii="Bodoni MT" w:hAnsi="Bodoni MT"/>
          <w:sz w:val="24"/>
          <w:szCs w:val="24"/>
        </w:rPr>
        <w:t>)</w:t>
      </w:r>
      <w:r w:rsidR="00E8434E">
        <w:rPr>
          <w:rFonts w:ascii="Bodoni MT" w:hAnsi="Bodoni MT"/>
          <w:sz w:val="24"/>
          <w:szCs w:val="24"/>
        </w:rPr>
        <w:t xml:space="preserve"> la Regione ha comunicato che, dalla ricognizione effettuata dalle Direzioni Generali sono emersi crediti complessivi nei confronti dello Stato </w:t>
      </w:r>
      <w:r w:rsidR="002C597C">
        <w:rPr>
          <w:rFonts w:ascii="Bodoni MT" w:hAnsi="Bodoni MT"/>
          <w:sz w:val="24"/>
          <w:szCs w:val="24"/>
        </w:rPr>
        <w:t xml:space="preserve">(al netto dei cofinanziamenti di programmi comunitari e del FSC) </w:t>
      </w:r>
      <w:r w:rsidR="00E8434E">
        <w:rPr>
          <w:rFonts w:ascii="Bodoni MT" w:hAnsi="Bodoni MT"/>
          <w:sz w:val="24"/>
          <w:szCs w:val="24"/>
        </w:rPr>
        <w:t>pari a 868 milioni di euro circa.</w:t>
      </w:r>
      <w:r w:rsidR="002C597C">
        <w:rPr>
          <w:rFonts w:ascii="Bodoni MT" w:hAnsi="Bodoni MT"/>
          <w:sz w:val="24"/>
          <w:szCs w:val="24"/>
        </w:rPr>
        <w:t xml:space="preserve"> Con ulteriore successiva nota</w:t>
      </w:r>
      <w:r w:rsidR="002C597C">
        <w:rPr>
          <w:rStyle w:val="Rimandonotaapidipagina"/>
          <w:rFonts w:ascii="Bodoni MT" w:hAnsi="Bodoni MT"/>
          <w:sz w:val="24"/>
          <w:szCs w:val="24"/>
        </w:rPr>
        <w:footnoteReference w:id="151"/>
      </w:r>
      <w:r w:rsidR="002C597C">
        <w:rPr>
          <w:rFonts w:ascii="Bodoni MT" w:hAnsi="Bodoni MT"/>
          <w:sz w:val="24"/>
          <w:szCs w:val="24"/>
        </w:rPr>
        <w:t xml:space="preserve"> la Regione ha specificato che i dati comunicati a gennaio sono quelli definitivamente trasmessi anche al MEF in</w:t>
      </w:r>
      <w:r w:rsidR="00A65EE1">
        <w:rPr>
          <w:rFonts w:ascii="Bodoni MT" w:hAnsi="Bodoni MT"/>
          <w:sz w:val="24"/>
          <w:szCs w:val="24"/>
        </w:rPr>
        <w:t xml:space="preserve"> </w:t>
      </w:r>
      <w:r w:rsidR="002C597C">
        <w:rPr>
          <w:rFonts w:ascii="Bodoni MT" w:hAnsi="Bodoni MT"/>
          <w:sz w:val="24"/>
          <w:szCs w:val="24"/>
        </w:rPr>
        <w:t>data 20/11/2017, come aggiornati e int</w:t>
      </w:r>
      <w:r w:rsidR="00A65EE1">
        <w:rPr>
          <w:rFonts w:ascii="Bodoni MT" w:hAnsi="Bodoni MT"/>
          <w:sz w:val="24"/>
          <w:szCs w:val="24"/>
        </w:rPr>
        <w:t xml:space="preserve">egrati dalle Direzioni generali, si riferiscono sia alla competenza sia a ai residui e ricomprendono quelli degli anni pregressi. Alla stessa nota è allegata una tabella da cui risulta che </w:t>
      </w:r>
      <w:r w:rsidR="00A65EE1" w:rsidRPr="00A65EE1">
        <w:rPr>
          <w:rFonts w:ascii="Bodoni MT" w:hAnsi="Bodoni MT"/>
          <w:b/>
          <w:sz w:val="24"/>
          <w:szCs w:val="24"/>
        </w:rPr>
        <w:t>i crediti complessivi vantati nei confronti dello Stato a tutto il 2016</w:t>
      </w:r>
      <w:r w:rsidR="00A65EE1">
        <w:rPr>
          <w:rFonts w:ascii="Bodoni MT" w:hAnsi="Bodoni MT"/>
          <w:sz w:val="24"/>
          <w:szCs w:val="24"/>
        </w:rPr>
        <w:t xml:space="preserve"> (competenza+residui) e risultanti dal rendiconto 2016, sono pari a </w:t>
      </w:r>
      <w:r w:rsidR="00A65EE1" w:rsidRPr="00A65EE1">
        <w:rPr>
          <w:rFonts w:ascii="Bodoni MT" w:hAnsi="Bodoni MT"/>
          <w:b/>
          <w:sz w:val="24"/>
          <w:szCs w:val="24"/>
        </w:rPr>
        <w:t>€ 1.034.965.889,62</w:t>
      </w:r>
      <w:r w:rsidR="00A65EE1">
        <w:rPr>
          <w:rFonts w:ascii="Bodoni MT" w:hAnsi="Bodoni MT"/>
          <w:sz w:val="24"/>
          <w:szCs w:val="24"/>
        </w:rPr>
        <w:t xml:space="preserve"> (comprensivi delle quote di cofinanziamento statale).</w:t>
      </w:r>
    </w:p>
    <w:p w:rsidR="003450B6" w:rsidRPr="0060485F" w:rsidRDefault="00FB04AC" w:rsidP="003450B6">
      <w:pPr>
        <w:spacing w:line="360" w:lineRule="auto"/>
        <w:jc w:val="both"/>
        <w:rPr>
          <w:rFonts w:ascii="Bodoni MT" w:hAnsi="Bodoni MT"/>
          <w:sz w:val="24"/>
          <w:szCs w:val="24"/>
        </w:rPr>
      </w:pPr>
      <w:r>
        <w:rPr>
          <w:rFonts w:ascii="Bodoni MT" w:hAnsi="Bodoni MT"/>
          <w:sz w:val="24"/>
          <w:szCs w:val="24"/>
        </w:rPr>
        <w:t>E’ stata avviata una ricognizione presso le Direzioni Generali anche in ordine alle</w:t>
      </w:r>
      <w:r w:rsidR="003450B6" w:rsidRPr="0060485F">
        <w:rPr>
          <w:rFonts w:ascii="Bodoni MT" w:hAnsi="Bodoni MT"/>
          <w:sz w:val="24"/>
          <w:szCs w:val="24"/>
        </w:rPr>
        <w:t xml:space="preserve"> risorse ancora da acquisire a valere sul </w:t>
      </w:r>
      <w:r w:rsidR="003450B6" w:rsidRPr="00FB04AC">
        <w:rPr>
          <w:rFonts w:ascii="Bodoni MT" w:hAnsi="Bodoni MT"/>
          <w:b/>
          <w:sz w:val="24"/>
          <w:szCs w:val="24"/>
        </w:rPr>
        <w:t>Piano di Rinascita</w:t>
      </w:r>
      <w:r w:rsidR="003450B6" w:rsidRPr="0060485F">
        <w:rPr>
          <w:rFonts w:ascii="Bodoni MT" w:hAnsi="Bodoni MT"/>
          <w:sz w:val="24"/>
          <w:szCs w:val="24"/>
        </w:rPr>
        <w:t>.</w:t>
      </w:r>
      <w:r w:rsidR="00204FBC" w:rsidRPr="0060485F">
        <w:rPr>
          <w:rFonts w:ascii="Bodoni MT" w:hAnsi="Bodoni MT"/>
          <w:sz w:val="24"/>
          <w:szCs w:val="24"/>
        </w:rPr>
        <w:t xml:space="preserve"> </w:t>
      </w:r>
      <w:r>
        <w:rPr>
          <w:rFonts w:ascii="Bodoni MT" w:hAnsi="Bodoni MT"/>
          <w:sz w:val="24"/>
          <w:szCs w:val="24"/>
        </w:rPr>
        <w:t>Lo stato di attuazione finale degli interventi realizzati è stato c</w:t>
      </w:r>
      <w:r w:rsidR="00A65EE1">
        <w:rPr>
          <w:rFonts w:ascii="Bodoni MT" w:hAnsi="Bodoni MT"/>
          <w:sz w:val="24"/>
          <w:szCs w:val="24"/>
        </w:rPr>
        <w:t>omunicato allo Stato in data 30/12/</w:t>
      </w:r>
      <w:r>
        <w:rPr>
          <w:rFonts w:ascii="Bodoni MT" w:hAnsi="Bodoni MT"/>
          <w:sz w:val="24"/>
          <w:szCs w:val="24"/>
        </w:rPr>
        <w:t>2016 e a seguito della rendicontazione presentata lo Stato ha trasferito alla Regione l’ultima tranche del finanziamento del programma, pari a 90 milioni di euro circa, incassati a dicembre 2017</w:t>
      </w:r>
      <w:r>
        <w:rPr>
          <w:rStyle w:val="Rimandonotaapidipagina"/>
          <w:rFonts w:ascii="Bodoni MT" w:hAnsi="Bodoni MT"/>
          <w:sz w:val="24"/>
          <w:szCs w:val="24"/>
        </w:rPr>
        <w:footnoteReference w:id="152"/>
      </w:r>
      <w:r>
        <w:rPr>
          <w:rFonts w:ascii="Bodoni MT" w:hAnsi="Bodoni MT"/>
          <w:sz w:val="24"/>
          <w:szCs w:val="24"/>
        </w:rPr>
        <w:t xml:space="preserve">. Il quadro finanziario predisposto dagli Uffici regionali espone per ciascuna annualità a partire dal 1994 gli importi rendicontati che ammontano a totali 461,144 milioni di euro. </w:t>
      </w:r>
      <w:r w:rsidRPr="00FB04AC">
        <w:rPr>
          <w:rFonts w:ascii="Bodoni MT" w:hAnsi="Bodoni MT"/>
          <w:b/>
          <w:sz w:val="24"/>
          <w:szCs w:val="24"/>
        </w:rPr>
        <w:t>Dal prospetto si osserva che l’ultima annualità interessata dalla rendicontazione risale al 1999</w:t>
      </w:r>
      <w:r>
        <w:rPr>
          <w:rFonts w:ascii="Bodoni MT" w:hAnsi="Bodoni MT"/>
          <w:sz w:val="24"/>
          <w:szCs w:val="24"/>
        </w:rPr>
        <w:t>.</w:t>
      </w:r>
    </w:p>
    <w:p w:rsidR="00474C78" w:rsidRPr="0060485F" w:rsidRDefault="00E150FF" w:rsidP="00E150FF">
      <w:pPr>
        <w:pStyle w:val="Titolo2"/>
        <w:rPr>
          <w:color w:val="auto"/>
        </w:rPr>
      </w:pPr>
      <w:bookmarkStart w:id="266" w:name="_Toc507422664"/>
      <w:r w:rsidRPr="0060485F">
        <w:rPr>
          <w:color w:val="auto"/>
        </w:rPr>
        <w:t>I crediti non iscritti in bilancio</w:t>
      </w:r>
      <w:bookmarkEnd w:id="266"/>
    </w:p>
    <w:p w:rsidR="00E150FF" w:rsidRPr="0060485F" w:rsidRDefault="00204FBC" w:rsidP="00767DD5">
      <w:pPr>
        <w:pStyle w:val="CdcTesto"/>
        <w:rPr>
          <w:b/>
        </w:rPr>
      </w:pPr>
      <w:r w:rsidRPr="0060485F">
        <w:t xml:space="preserve">La problematica relativa </w:t>
      </w:r>
      <w:r w:rsidR="00E150FF" w:rsidRPr="0060485F">
        <w:t xml:space="preserve">ai </w:t>
      </w:r>
      <w:r w:rsidR="00E150FF" w:rsidRPr="0060485F">
        <w:rPr>
          <w:b/>
        </w:rPr>
        <w:t xml:space="preserve">crediti non iscritti in bilancio al 31/12/2015, </w:t>
      </w:r>
      <w:r w:rsidR="00E150FF" w:rsidRPr="0060485F">
        <w:t xml:space="preserve">è stata individuata nell’ambito delle scritture in allegato al rendiconto della Regione per l’esercizio 2015. Infatti, in nota al prospetto 2.1 CREDITI del Conto del Patrimonio per l’esercizio 2015, </w:t>
      </w:r>
      <w:r w:rsidRPr="0060485F">
        <w:t>è riportato che</w:t>
      </w:r>
      <w:r w:rsidR="005F1B3C" w:rsidRPr="005F1B3C">
        <w:t xml:space="preserve"> </w:t>
      </w:r>
      <w:r w:rsidR="00E150FF" w:rsidRPr="0060485F">
        <w:t xml:space="preserve">l’importo dei crediti non risultanti in bilancio era stimabile in € 558.118.690,66 e che si sarebbe </w:t>
      </w:r>
      <w:r w:rsidR="00E150FF" w:rsidRPr="0060485F">
        <w:lastRenderedPageBreak/>
        <w:t>provveduto alla riconciliazione con l’importo iscritto nel conto del patrimonio (pari a € 164.378.483,68) con l’elaborazione del primo stato patrimoniale di apertura dell’esercizio 2016.</w:t>
      </w:r>
    </w:p>
    <w:p w:rsidR="00E150FF" w:rsidRPr="0060485F" w:rsidRDefault="00E150FF" w:rsidP="00767DD5">
      <w:pPr>
        <w:pStyle w:val="CdcTesto"/>
      </w:pPr>
      <w:r w:rsidRPr="0060485F">
        <w:t xml:space="preserve">In corso di istruttoria la RAS ha precisato che l’introduzione dello Stato Patrimoniale al 01/01/2016, ha comportato la necessità di rivedere le procedure contabili già in essere e la riclassificazione di voci e valori già presenti nel conto del patrimonio, e che i crediti nello Stato Patrimoniali vengono distinti in: </w:t>
      </w:r>
    </w:p>
    <w:p w:rsidR="00E150FF" w:rsidRPr="0060485F" w:rsidRDefault="00E150FF" w:rsidP="007D10C5">
      <w:pPr>
        <w:pStyle w:val="Paragrafoelenco"/>
        <w:numPr>
          <w:ilvl w:val="0"/>
          <w:numId w:val="12"/>
        </w:numPr>
        <w:spacing w:after="0"/>
        <w:jc w:val="both"/>
        <w:rPr>
          <w:rFonts w:ascii="Bodoni MT" w:hAnsi="Bodoni MT"/>
          <w:sz w:val="24"/>
          <w:szCs w:val="24"/>
        </w:rPr>
      </w:pPr>
      <w:r w:rsidRPr="0060485F">
        <w:rPr>
          <w:rFonts w:ascii="Bodoni MT" w:hAnsi="Bodoni MT"/>
          <w:sz w:val="24"/>
          <w:szCs w:val="24"/>
        </w:rPr>
        <w:t>Crediti da residui attivi;</w:t>
      </w:r>
    </w:p>
    <w:p w:rsidR="00E150FF" w:rsidRPr="0060485F" w:rsidRDefault="00E150FF" w:rsidP="007D10C5">
      <w:pPr>
        <w:pStyle w:val="Paragrafoelenco"/>
        <w:numPr>
          <w:ilvl w:val="0"/>
          <w:numId w:val="12"/>
        </w:numPr>
        <w:spacing w:after="0"/>
        <w:jc w:val="both"/>
        <w:rPr>
          <w:rFonts w:ascii="Bodoni MT" w:hAnsi="Bodoni MT"/>
          <w:sz w:val="24"/>
          <w:szCs w:val="24"/>
        </w:rPr>
      </w:pPr>
      <w:r w:rsidRPr="0060485F">
        <w:rPr>
          <w:rFonts w:ascii="Bodoni MT" w:hAnsi="Bodoni MT"/>
          <w:sz w:val="24"/>
          <w:szCs w:val="24"/>
        </w:rPr>
        <w:t>Crediti non presenti nei residui attivi.</w:t>
      </w:r>
    </w:p>
    <w:p w:rsidR="00E150FF" w:rsidRPr="0060485F" w:rsidRDefault="00E150FF" w:rsidP="00E150FF">
      <w:pPr>
        <w:spacing w:after="0" w:line="360" w:lineRule="auto"/>
        <w:jc w:val="both"/>
        <w:rPr>
          <w:rFonts w:ascii="Bodoni MT" w:hAnsi="Bodoni MT"/>
          <w:sz w:val="24"/>
          <w:szCs w:val="24"/>
        </w:rPr>
      </w:pPr>
      <w:r w:rsidRPr="0060485F">
        <w:rPr>
          <w:rFonts w:ascii="Bodoni MT" w:hAnsi="Bodoni MT"/>
          <w:sz w:val="24"/>
          <w:szCs w:val="24"/>
        </w:rPr>
        <w:t xml:space="preserve">Secondo quanto riferito dalla Regione, </w:t>
      </w:r>
      <w:r w:rsidRPr="0060485F">
        <w:rPr>
          <w:rFonts w:ascii="Bodoni MT" w:hAnsi="Bodoni MT"/>
          <w:i/>
          <w:sz w:val="24"/>
          <w:szCs w:val="24"/>
        </w:rPr>
        <w:t>la prima tipologia di crediti deriva direttamente dalla contabilità finanziaria, mentre la seconda presenta maggiori difficoltà di classificazione in quanto non puntualmente normata in precedenza</w:t>
      </w:r>
      <w:r w:rsidRPr="0060485F">
        <w:rPr>
          <w:rFonts w:ascii="Bodoni MT" w:hAnsi="Bodoni MT"/>
          <w:sz w:val="24"/>
          <w:szCs w:val="24"/>
        </w:rPr>
        <w:t>.</w:t>
      </w:r>
      <w:r w:rsidR="005274C2" w:rsidRPr="0060485F">
        <w:rPr>
          <w:rFonts w:ascii="Bodoni MT" w:hAnsi="Bodoni MT"/>
          <w:sz w:val="24"/>
          <w:szCs w:val="24"/>
        </w:rPr>
        <w:t xml:space="preserve"> Viene, poi, precisato </w:t>
      </w:r>
      <w:r w:rsidRPr="0060485F">
        <w:rPr>
          <w:rFonts w:ascii="Bodoni MT" w:hAnsi="Bodoni MT"/>
          <w:sz w:val="24"/>
          <w:szCs w:val="24"/>
        </w:rPr>
        <w:t xml:space="preserve">che, </w:t>
      </w:r>
      <w:r w:rsidRPr="0060485F">
        <w:rPr>
          <w:rFonts w:ascii="Bodoni MT" w:hAnsi="Bodoni MT"/>
          <w:i/>
          <w:sz w:val="24"/>
          <w:szCs w:val="24"/>
        </w:rPr>
        <w:t>sulla base delle</w:t>
      </w:r>
      <w:r w:rsidR="005F1B3C">
        <w:rPr>
          <w:rFonts w:ascii="Bodoni MT" w:hAnsi="Bodoni MT"/>
          <w:i/>
          <w:sz w:val="24"/>
          <w:szCs w:val="24"/>
        </w:rPr>
        <w:t xml:space="preserve"> previsioni normative del D.Lgs </w:t>
      </w:r>
      <w:r w:rsidRPr="0060485F">
        <w:rPr>
          <w:rFonts w:ascii="Bodoni MT" w:hAnsi="Bodoni MT"/>
          <w:i/>
          <w:sz w:val="24"/>
          <w:szCs w:val="24"/>
        </w:rPr>
        <w:t>118/2011, numerose tipologie di operazioni che comportano la rilevazione del credito da parte della RAS, gestito direttamente o attraverso istituti di credito o assimilati, devono essere rilevate a prescindere dall’accertamento nella contabilità finanziaria.</w:t>
      </w:r>
      <w:r w:rsidRPr="0060485F">
        <w:rPr>
          <w:rFonts w:ascii="Bodoni MT" w:hAnsi="Bodoni MT"/>
          <w:sz w:val="24"/>
          <w:szCs w:val="24"/>
        </w:rPr>
        <w:t xml:space="preserve"> Tali crediti, da iscriversi nello Stato Patrimoniale, vengono distinti dalla Regione in:</w:t>
      </w:r>
    </w:p>
    <w:p w:rsidR="00E150FF" w:rsidRPr="0060485F" w:rsidRDefault="00E150FF" w:rsidP="007D10C5">
      <w:pPr>
        <w:pStyle w:val="Paragrafoelenco"/>
        <w:numPr>
          <w:ilvl w:val="0"/>
          <w:numId w:val="13"/>
        </w:numPr>
        <w:spacing w:after="0"/>
        <w:jc w:val="both"/>
        <w:rPr>
          <w:rFonts w:ascii="Bodoni MT" w:hAnsi="Bodoni MT"/>
          <w:i/>
          <w:sz w:val="24"/>
          <w:szCs w:val="24"/>
        </w:rPr>
      </w:pPr>
      <w:r w:rsidRPr="0060485F">
        <w:rPr>
          <w:rFonts w:ascii="Bodoni MT" w:hAnsi="Bodoni MT"/>
          <w:i/>
          <w:sz w:val="24"/>
          <w:szCs w:val="24"/>
        </w:rPr>
        <w:t>Crediti non scaduti che, pertanto, non rientrano nei residui attivi;</w:t>
      </w:r>
    </w:p>
    <w:p w:rsidR="00E150FF" w:rsidRPr="0060485F" w:rsidRDefault="00E150FF" w:rsidP="007D10C5">
      <w:pPr>
        <w:pStyle w:val="Paragrafoelenco"/>
        <w:numPr>
          <w:ilvl w:val="0"/>
          <w:numId w:val="13"/>
        </w:numPr>
        <w:spacing w:after="0"/>
        <w:jc w:val="both"/>
        <w:rPr>
          <w:rFonts w:ascii="Bodoni MT" w:hAnsi="Bodoni MT"/>
          <w:i/>
          <w:sz w:val="24"/>
          <w:szCs w:val="24"/>
        </w:rPr>
      </w:pPr>
      <w:r w:rsidRPr="0060485F">
        <w:rPr>
          <w:rFonts w:ascii="Bodoni MT" w:hAnsi="Bodoni MT"/>
          <w:i/>
          <w:sz w:val="24"/>
          <w:szCs w:val="24"/>
        </w:rPr>
        <w:t>Crediti scaduti che rientrano nei residui attivi, in quanto sussiste l’aspettativa d’incasso;</w:t>
      </w:r>
    </w:p>
    <w:p w:rsidR="00E150FF" w:rsidRPr="0060485F" w:rsidRDefault="00E150FF" w:rsidP="007D10C5">
      <w:pPr>
        <w:pStyle w:val="Paragrafoelenco"/>
        <w:numPr>
          <w:ilvl w:val="0"/>
          <w:numId w:val="13"/>
        </w:numPr>
        <w:jc w:val="both"/>
        <w:rPr>
          <w:rFonts w:ascii="Bodoni MT" w:hAnsi="Bodoni MT"/>
          <w:i/>
          <w:sz w:val="24"/>
          <w:szCs w:val="24"/>
        </w:rPr>
      </w:pPr>
      <w:r w:rsidRPr="0060485F">
        <w:rPr>
          <w:rFonts w:ascii="Bodoni MT" w:hAnsi="Bodoni MT"/>
          <w:i/>
          <w:sz w:val="24"/>
          <w:szCs w:val="24"/>
        </w:rPr>
        <w:t>Crediti scaduti non inseriti nei residui attivi in quanto dichiarati inesigibili.</w:t>
      </w:r>
    </w:p>
    <w:p w:rsidR="00E150FF" w:rsidRPr="0060485F" w:rsidRDefault="00E150FF" w:rsidP="00E150FF">
      <w:pPr>
        <w:spacing w:line="360" w:lineRule="auto"/>
        <w:jc w:val="both"/>
        <w:rPr>
          <w:rFonts w:ascii="Bodoni MT" w:hAnsi="Bodoni MT"/>
          <w:sz w:val="24"/>
          <w:szCs w:val="24"/>
        </w:rPr>
      </w:pPr>
      <w:r w:rsidRPr="0060485F">
        <w:rPr>
          <w:rFonts w:ascii="Bodoni MT" w:hAnsi="Bodoni MT"/>
          <w:sz w:val="24"/>
          <w:szCs w:val="24"/>
        </w:rPr>
        <w:t>Allo s</w:t>
      </w:r>
      <w:r w:rsidR="005274C2" w:rsidRPr="0060485F">
        <w:rPr>
          <w:rFonts w:ascii="Bodoni MT" w:hAnsi="Bodoni MT"/>
          <w:sz w:val="24"/>
          <w:szCs w:val="24"/>
        </w:rPr>
        <w:t xml:space="preserve">tato attuale, precisa ancora l’amministrazione </w:t>
      </w:r>
      <w:r w:rsidRPr="0060485F">
        <w:rPr>
          <w:rFonts w:ascii="Bodoni MT" w:hAnsi="Bodoni MT"/>
          <w:sz w:val="24"/>
          <w:szCs w:val="24"/>
        </w:rPr>
        <w:t>R</w:t>
      </w:r>
      <w:r w:rsidR="005F1B3C">
        <w:rPr>
          <w:rFonts w:ascii="Bodoni MT" w:hAnsi="Bodoni MT"/>
          <w:sz w:val="24"/>
          <w:szCs w:val="24"/>
        </w:rPr>
        <w:t>egiona</w:t>
      </w:r>
      <w:r w:rsidR="005274C2" w:rsidRPr="0060485F">
        <w:rPr>
          <w:rFonts w:ascii="Bodoni MT" w:hAnsi="Bodoni MT"/>
          <w:sz w:val="24"/>
          <w:szCs w:val="24"/>
        </w:rPr>
        <w:t>le</w:t>
      </w:r>
      <w:r w:rsidRPr="0060485F">
        <w:rPr>
          <w:rFonts w:ascii="Bodoni MT" w:hAnsi="Bodoni MT"/>
          <w:sz w:val="24"/>
          <w:szCs w:val="24"/>
        </w:rPr>
        <w:t>, sono deputati alla raccolta delle informazioni gli Assessorati</w:t>
      </w:r>
      <w:r w:rsidRPr="0060485F">
        <w:rPr>
          <w:rFonts w:ascii="Bodoni MT" w:hAnsi="Bodoni MT"/>
          <w:i/>
          <w:sz w:val="24"/>
          <w:szCs w:val="24"/>
        </w:rPr>
        <w:t xml:space="preserve">, in quanto gestiscono la spesa e, conseguentemente, l’entrata. </w:t>
      </w:r>
      <w:r w:rsidRPr="0060485F">
        <w:rPr>
          <w:rFonts w:ascii="Bodoni MT" w:hAnsi="Bodoni MT"/>
          <w:sz w:val="24"/>
          <w:szCs w:val="24"/>
        </w:rPr>
        <w:t>La raccolta delle informazioni è avvenuta finora attraverso riepiloghi annuali o periodici che non consentirebbero una rappresentazione analitica nel sistema contabile regionale. Pertanto, per il 2016, viene chiarito che le risultanze della contabilità economico-patrimoniale saranno basate su valori, per tali crediti, desunti da scritture extracontabili</w:t>
      </w:r>
      <w:r w:rsidRPr="0060485F">
        <w:rPr>
          <w:rFonts w:ascii="Bodoni MT" w:hAnsi="Bodoni MT"/>
          <w:i/>
          <w:sz w:val="24"/>
          <w:szCs w:val="24"/>
        </w:rPr>
        <w:t xml:space="preserve">. Solo per i residui attivi contenuti nelle scritture di bilancio, le informazioni in contabilità economico-patrimoniale sono di diretta derivazione dalla contabilità finanziaria. </w:t>
      </w:r>
    </w:p>
    <w:p w:rsidR="00E150FF" w:rsidRPr="0060485F" w:rsidRDefault="00E150FF" w:rsidP="00E150FF">
      <w:pPr>
        <w:spacing w:line="360" w:lineRule="auto"/>
        <w:jc w:val="both"/>
        <w:rPr>
          <w:rFonts w:ascii="Bodoni MT" w:hAnsi="Bodoni MT"/>
          <w:sz w:val="24"/>
          <w:szCs w:val="24"/>
        </w:rPr>
      </w:pPr>
      <w:r w:rsidRPr="0060485F">
        <w:rPr>
          <w:rFonts w:ascii="Bodoni MT" w:hAnsi="Bodoni MT"/>
          <w:sz w:val="24"/>
          <w:szCs w:val="24"/>
        </w:rPr>
        <w:t>Con riguardo ai crediti non registrati nella contabilità finanziaria da iscrivere nello Stato Patrimoniale, è stato rappresentato</w:t>
      </w:r>
      <w:r w:rsidRPr="0060485F">
        <w:rPr>
          <w:rStyle w:val="Rimandonotaapidipagina"/>
          <w:rFonts w:ascii="Bodoni MT" w:hAnsi="Bodoni MT"/>
          <w:sz w:val="24"/>
          <w:szCs w:val="24"/>
        </w:rPr>
        <w:footnoteReference w:id="153"/>
      </w:r>
      <w:r w:rsidRPr="0060485F">
        <w:rPr>
          <w:rFonts w:ascii="Bodoni MT" w:hAnsi="Bodoni MT"/>
          <w:sz w:val="24"/>
          <w:szCs w:val="24"/>
        </w:rPr>
        <w:t xml:space="preserve"> che: </w:t>
      </w:r>
    </w:p>
    <w:p w:rsidR="00E150FF" w:rsidRPr="0060485F" w:rsidRDefault="00E150FF" w:rsidP="00E150FF">
      <w:pPr>
        <w:spacing w:line="360" w:lineRule="auto"/>
        <w:jc w:val="both"/>
        <w:rPr>
          <w:rFonts w:ascii="Bodoni MT" w:hAnsi="Bodoni MT"/>
          <w:sz w:val="24"/>
          <w:szCs w:val="24"/>
        </w:rPr>
      </w:pPr>
      <w:r w:rsidRPr="0060485F">
        <w:rPr>
          <w:rFonts w:ascii="Bodoni MT" w:hAnsi="Bodoni MT"/>
          <w:sz w:val="24"/>
          <w:szCs w:val="24"/>
        </w:rPr>
        <w:t xml:space="preserve">a) per i crediti connessi a fondi di rotazione e assimilati era in corso la raccolta e l’elaborazione dei rendiconti periodici ex art.5, all.2, della delibera 38/11 del 2014. Tali rendiconti dovevano essere </w:t>
      </w:r>
      <w:r w:rsidRPr="0060485F">
        <w:rPr>
          <w:rFonts w:ascii="Bodoni MT" w:hAnsi="Bodoni MT"/>
          <w:sz w:val="24"/>
          <w:szCs w:val="24"/>
        </w:rPr>
        <w:lastRenderedPageBreak/>
        <w:t xml:space="preserve">trasmessi entro il 28/02/2017, utilizzando, ai fini della determinazione dei crediti, la circolare della Direzione Generale dei Servizi Finanziari n. 10109 del 07/04/2017; </w:t>
      </w:r>
    </w:p>
    <w:p w:rsidR="00E150FF" w:rsidRPr="0060485F" w:rsidRDefault="00E150FF" w:rsidP="00E150FF">
      <w:pPr>
        <w:spacing w:line="360" w:lineRule="auto"/>
        <w:jc w:val="both"/>
        <w:rPr>
          <w:rFonts w:ascii="Bodoni MT" w:hAnsi="Bodoni MT"/>
          <w:sz w:val="24"/>
          <w:szCs w:val="24"/>
        </w:rPr>
      </w:pPr>
      <w:r w:rsidRPr="0060485F">
        <w:rPr>
          <w:rFonts w:ascii="Bodoni MT" w:hAnsi="Bodoni MT"/>
          <w:sz w:val="24"/>
          <w:szCs w:val="24"/>
        </w:rPr>
        <w:t>b) per i crediti gestiti direttamente dall’Amministrazione regionale, i dati sono stati richiesti con la circolare di chiusura 2016, con fissazione del termine ultimo del 18 aprile 2017. Su entrambe le tipologie di crediti si calcola il Fondo Svalutazione Crediti.</w:t>
      </w:r>
    </w:p>
    <w:p w:rsidR="00E150FF" w:rsidRPr="0060485F" w:rsidRDefault="00E150FF" w:rsidP="00E150FF">
      <w:pPr>
        <w:spacing w:line="360" w:lineRule="auto"/>
        <w:jc w:val="both"/>
        <w:rPr>
          <w:rFonts w:ascii="Bodoni MT" w:hAnsi="Bodoni MT"/>
          <w:sz w:val="24"/>
          <w:szCs w:val="24"/>
        </w:rPr>
      </w:pPr>
      <w:r w:rsidRPr="0060485F">
        <w:rPr>
          <w:rFonts w:ascii="Bodoni MT" w:hAnsi="Bodoni MT"/>
          <w:sz w:val="24"/>
          <w:szCs w:val="24"/>
        </w:rPr>
        <w:t xml:space="preserve">Dalla </w:t>
      </w:r>
      <w:r w:rsidRPr="0060485F">
        <w:rPr>
          <w:rFonts w:ascii="Bodoni MT" w:hAnsi="Bodoni MT"/>
          <w:b/>
          <w:sz w:val="24"/>
          <w:szCs w:val="24"/>
        </w:rPr>
        <w:t>Nota Integrativa al Bilancio d’esercizio al 31/12/2016 (Allegato 3 al Rendiconto 2016</w:t>
      </w:r>
      <w:r w:rsidRPr="0060485F">
        <w:rPr>
          <w:rFonts w:ascii="Bodoni MT" w:hAnsi="Bodoni MT"/>
          <w:sz w:val="24"/>
          <w:szCs w:val="24"/>
        </w:rPr>
        <w:t>)</w:t>
      </w:r>
      <w:r w:rsidRPr="0060485F">
        <w:rPr>
          <w:rStyle w:val="Rimandonotaapidipagina"/>
          <w:rFonts w:ascii="Bodoni MT" w:hAnsi="Bodoni MT"/>
          <w:sz w:val="24"/>
          <w:szCs w:val="24"/>
        </w:rPr>
        <w:footnoteReference w:id="154"/>
      </w:r>
      <w:r w:rsidRPr="0060485F">
        <w:rPr>
          <w:rFonts w:ascii="Bodoni MT" w:hAnsi="Bodoni MT"/>
          <w:sz w:val="24"/>
          <w:szCs w:val="24"/>
        </w:rPr>
        <w:t xml:space="preserve"> risulta che tra i </w:t>
      </w:r>
      <w:r w:rsidRPr="0060485F">
        <w:rPr>
          <w:rFonts w:ascii="Bodoni MT" w:hAnsi="Bodoni MT"/>
          <w:b/>
          <w:sz w:val="24"/>
          <w:szCs w:val="24"/>
        </w:rPr>
        <w:t>Crediti immobilizzati</w:t>
      </w:r>
      <w:r w:rsidRPr="0060485F">
        <w:rPr>
          <w:rFonts w:ascii="Bodoni MT" w:hAnsi="Bodoni MT"/>
          <w:sz w:val="24"/>
          <w:szCs w:val="24"/>
        </w:rPr>
        <w:t xml:space="preserve"> sono compresi i crediti non accertati in contabilità finanziaria e i crediti accertati ma non ancora imputati e relativi, principalmente, a finanziamenti erogati a terzi, e crediti per un’anticipazione di cassa concessa a favore dell’ENAS. I </w:t>
      </w:r>
      <w:r w:rsidRPr="0060485F">
        <w:rPr>
          <w:rFonts w:ascii="Bodoni MT" w:hAnsi="Bodoni MT"/>
          <w:b/>
          <w:sz w:val="24"/>
          <w:szCs w:val="24"/>
        </w:rPr>
        <w:t>crediti non accertati</w:t>
      </w:r>
      <w:r w:rsidRPr="0060485F">
        <w:rPr>
          <w:rFonts w:ascii="Bodoni MT" w:hAnsi="Bodoni MT"/>
          <w:sz w:val="24"/>
          <w:szCs w:val="24"/>
        </w:rPr>
        <w:t xml:space="preserve"> sono indicati nell’importo di </w:t>
      </w:r>
      <w:r w:rsidRPr="0060485F">
        <w:rPr>
          <w:rFonts w:ascii="Bodoni MT" w:hAnsi="Bodoni MT"/>
          <w:b/>
          <w:sz w:val="24"/>
          <w:szCs w:val="24"/>
        </w:rPr>
        <w:t>€ 459.263.075</w:t>
      </w:r>
      <w:r w:rsidRPr="0060485F">
        <w:rPr>
          <w:rFonts w:ascii="Bodoni MT" w:hAnsi="Bodoni MT"/>
          <w:sz w:val="24"/>
          <w:szCs w:val="24"/>
        </w:rPr>
        <w:t xml:space="preserve"> e quelli </w:t>
      </w:r>
      <w:r w:rsidRPr="0060485F">
        <w:rPr>
          <w:rFonts w:ascii="Bodoni MT" w:hAnsi="Bodoni MT"/>
          <w:b/>
          <w:sz w:val="24"/>
          <w:szCs w:val="24"/>
        </w:rPr>
        <w:t>accertati e non imputati</w:t>
      </w:r>
      <w:r w:rsidRPr="0060485F">
        <w:rPr>
          <w:rFonts w:ascii="Bodoni MT" w:hAnsi="Bodoni MT"/>
          <w:sz w:val="24"/>
          <w:szCs w:val="24"/>
        </w:rPr>
        <w:t xml:space="preserve"> risultano pari </w:t>
      </w:r>
      <w:r w:rsidRPr="0060485F">
        <w:rPr>
          <w:rFonts w:ascii="Bodoni MT" w:hAnsi="Bodoni MT"/>
          <w:b/>
          <w:sz w:val="24"/>
          <w:szCs w:val="24"/>
        </w:rPr>
        <w:t>a € 8.000.000</w:t>
      </w:r>
      <w:r w:rsidRPr="0060485F">
        <w:rPr>
          <w:rFonts w:ascii="Bodoni MT" w:hAnsi="Bodoni MT"/>
          <w:sz w:val="24"/>
          <w:szCs w:val="24"/>
        </w:rPr>
        <w:t>. Per i crediti non accertati è stato accantonato un Fondo Svalutazione Crediti pari a € 377.823.091.</w:t>
      </w:r>
    </w:p>
    <w:p w:rsidR="00E150FF" w:rsidRDefault="00E150FF" w:rsidP="00E150FF">
      <w:pPr>
        <w:spacing w:line="360" w:lineRule="auto"/>
        <w:jc w:val="both"/>
        <w:rPr>
          <w:rFonts w:ascii="Bodoni MT" w:hAnsi="Bodoni MT"/>
          <w:b/>
          <w:sz w:val="24"/>
          <w:szCs w:val="24"/>
        </w:rPr>
      </w:pPr>
      <w:r w:rsidRPr="0060485F">
        <w:rPr>
          <w:rFonts w:ascii="Bodoni MT" w:hAnsi="Bodoni MT"/>
          <w:b/>
          <w:sz w:val="24"/>
          <w:szCs w:val="24"/>
        </w:rPr>
        <w:t>Nell’attivo circolante,</w:t>
      </w:r>
      <w:r w:rsidRPr="0060485F">
        <w:rPr>
          <w:rFonts w:ascii="Bodoni MT" w:hAnsi="Bodoni MT"/>
          <w:sz w:val="24"/>
          <w:szCs w:val="24"/>
        </w:rPr>
        <w:t xml:space="preserve"> fra i Crediti sono compresi </w:t>
      </w:r>
      <w:r w:rsidRPr="0060485F">
        <w:rPr>
          <w:rFonts w:ascii="Bodoni MT" w:hAnsi="Bodoni MT"/>
          <w:b/>
          <w:sz w:val="24"/>
          <w:szCs w:val="24"/>
        </w:rPr>
        <w:t>Crediti non accertati per € 166.826.905</w:t>
      </w:r>
      <w:r w:rsidRPr="0060485F">
        <w:rPr>
          <w:rFonts w:ascii="Bodoni MT" w:hAnsi="Bodoni MT"/>
          <w:sz w:val="24"/>
          <w:szCs w:val="24"/>
        </w:rPr>
        <w:t xml:space="preserve"> e </w:t>
      </w:r>
      <w:r w:rsidRPr="0060485F">
        <w:rPr>
          <w:rFonts w:ascii="Bodoni MT" w:hAnsi="Bodoni MT"/>
          <w:b/>
          <w:sz w:val="24"/>
          <w:szCs w:val="24"/>
        </w:rPr>
        <w:t>Crediti accertati e non imputati per € 9.294.105.</w:t>
      </w:r>
      <w:r w:rsidRPr="0060485F">
        <w:rPr>
          <w:rFonts w:ascii="Bodoni MT" w:hAnsi="Bodoni MT"/>
          <w:sz w:val="24"/>
          <w:szCs w:val="24"/>
        </w:rPr>
        <w:t xml:space="preserve"> Su tali crediti è stato calcolato un FSV rispettivamente di € 104.977.592 e di € 2.196.488. Nell’attivo circolante sono compresi anche </w:t>
      </w:r>
      <w:r w:rsidR="00767DD5">
        <w:rPr>
          <w:rFonts w:ascii="Bodoni MT" w:hAnsi="Bodoni MT"/>
          <w:b/>
          <w:sz w:val="24"/>
          <w:szCs w:val="24"/>
        </w:rPr>
        <w:t>Crediti inesigibili pari a € </w:t>
      </w:r>
      <w:r w:rsidRPr="0060485F">
        <w:rPr>
          <w:rFonts w:ascii="Bodoni MT" w:hAnsi="Bodoni MT"/>
          <w:b/>
          <w:sz w:val="24"/>
          <w:szCs w:val="24"/>
        </w:rPr>
        <w:t>392.240.</w:t>
      </w:r>
    </w:p>
    <w:p w:rsidR="00920EFB" w:rsidRPr="00920EFB" w:rsidRDefault="00920EFB" w:rsidP="00E150FF">
      <w:pPr>
        <w:spacing w:line="360" w:lineRule="auto"/>
        <w:jc w:val="both"/>
        <w:rPr>
          <w:rFonts w:ascii="Bodoni MT" w:hAnsi="Bodoni MT"/>
          <w:sz w:val="24"/>
          <w:szCs w:val="24"/>
        </w:rPr>
      </w:pPr>
      <w:r w:rsidRPr="00920EFB">
        <w:rPr>
          <w:rFonts w:ascii="Bodoni MT" w:hAnsi="Bodoni MT"/>
          <w:sz w:val="24"/>
          <w:szCs w:val="24"/>
        </w:rPr>
        <w:t xml:space="preserve">Complessivamente, </w:t>
      </w:r>
      <w:r>
        <w:rPr>
          <w:rFonts w:ascii="Bodoni MT" w:hAnsi="Bodoni MT"/>
          <w:sz w:val="24"/>
          <w:szCs w:val="24"/>
        </w:rPr>
        <w:t xml:space="preserve">come meglio precisato dalla RAS in sede di controdeduzioni, </w:t>
      </w:r>
      <w:r>
        <w:rPr>
          <w:rFonts w:ascii="Bodoni MT" w:hAnsi="Bodoni MT"/>
          <w:b/>
          <w:sz w:val="24"/>
          <w:szCs w:val="24"/>
        </w:rPr>
        <w:t xml:space="preserve">i crediti non contabilizzati in contabilità finanziaria </w:t>
      </w:r>
      <w:r>
        <w:rPr>
          <w:rFonts w:ascii="Bodoni MT" w:hAnsi="Bodoni MT"/>
          <w:sz w:val="24"/>
          <w:szCs w:val="24"/>
        </w:rPr>
        <w:t xml:space="preserve">risultano pari a </w:t>
      </w:r>
      <w:r w:rsidRPr="00920EFB">
        <w:rPr>
          <w:rFonts w:ascii="Bodoni MT" w:hAnsi="Bodoni MT"/>
          <w:b/>
          <w:sz w:val="24"/>
          <w:szCs w:val="24"/>
        </w:rPr>
        <w:t>€ 626.089.982,03</w:t>
      </w:r>
      <w:r>
        <w:rPr>
          <w:rFonts w:ascii="Bodoni MT" w:hAnsi="Bodoni MT"/>
          <w:b/>
          <w:sz w:val="24"/>
          <w:szCs w:val="24"/>
        </w:rPr>
        <w:t>.</w:t>
      </w:r>
    </w:p>
    <w:p w:rsidR="00474C78" w:rsidRDefault="00A65EE1" w:rsidP="00920EFB">
      <w:pPr>
        <w:spacing w:line="360" w:lineRule="auto"/>
        <w:jc w:val="both"/>
      </w:pPr>
      <w:r>
        <w:rPr>
          <w:rFonts w:ascii="Bodoni MT" w:hAnsi="Bodoni MT"/>
          <w:sz w:val="24"/>
          <w:szCs w:val="24"/>
        </w:rPr>
        <w:t xml:space="preserve">In sede di controdeduzioni </w:t>
      </w:r>
      <w:r w:rsidR="00920EFB">
        <w:rPr>
          <w:rFonts w:ascii="Bodoni MT" w:hAnsi="Bodoni MT"/>
          <w:sz w:val="24"/>
          <w:szCs w:val="24"/>
        </w:rPr>
        <w:t xml:space="preserve">finali </w:t>
      </w:r>
      <w:r>
        <w:rPr>
          <w:rFonts w:ascii="Bodoni MT" w:hAnsi="Bodoni MT"/>
          <w:sz w:val="24"/>
          <w:szCs w:val="24"/>
        </w:rPr>
        <w:t>la Regione puntualizza che “</w:t>
      </w:r>
      <w:r w:rsidRPr="00A65EE1">
        <w:rPr>
          <w:rFonts w:ascii="Bodoni MT" w:hAnsi="Bodoni MT"/>
          <w:i/>
          <w:sz w:val="24"/>
          <w:szCs w:val="24"/>
        </w:rPr>
        <w:t>nella Nota integrativa al bilancio di esercizio è ulteriormente precisato che: sono stati inoltre presi in considerazione anche i crediti che non sono stati accertati nella contabilità finanziaria (si tratta di crediti sorti anteriormente all’01/01/2015, data di entrata in vigore dei principi dell’armonizzazione contabile). Per tali crediti si è proceduto a una stima sulla base delle banche dati extra-contabili in possesso dell’Amministrazione regionale, per quanto attiene i crediti gestiti direttamente dalla Regione, e sulla base delle rendicontazioni periodiche (ai sensi dell’art. 5 e art. 6 della delibera G.R n. 38/11 del 30/09/2014) presentate dagli Istituti di credito convenzionati, per quanto attiene i fondi di rotazione assimilati gestiti da intermediari finanziari (inclusa la finanziaria regionale SFIRS SPA)</w:t>
      </w:r>
      <w:r>
        <w:rPr>
          <w:rFonts w:ascii="Bodoni MT" w:hAnsi="Bodoni MT"/>
          <w:sz w:val="24"/>
          <w:szCs w:val="24"/>
        </w:rPr>
        <w:t>”.</w:t>
      </w:r>
    </w:p>
    <w:p w:rsidR="00474C78" w:rsidRDefault="00474C78" w:rsidP="00FF2CC0">
      <w:pPr>
        <w:sectPr w:rsidR="00474C78" w:rsidSect="00CD4C84">
          <w:headerReference w:type="default" r:id="rId65"/>
          <w:type w:val="oddPage"/>
          <w:pgSz w:w="11906" w:h="16838"/>
          <w:pgMar w:top="1418" w:right="1134" w:bottom="1134" w:left="851" w:header="709" w:footer="709" w:gutter="0"/>
          <w:cols w:space="708"/>
          <w:docGrid w:linePitch="360"/>
        </w:sectPr>
      </w:pPr>
    </w:p>
    <w:p w:rsidR="00582DE2" w:rsidRDefault="00E0473A" w:rsidP="00582DE2">
      <w:pPr>
        <w:pStyle w:val="Titolo1"/>
      </w:pPr>
      <w:bookmarkStart w:id="267" w:name="_Toc507422665"/>
      <w:r>
        <w:lastRenderedPageBreak/>
        <w:t>IL DEBITO COMMERCIALE</w:t>
      </w:r>
      <w:r w:rsidR="008505F5">
        <w:t xml:space="preserve"> E L’ANTICIPAZIONE DI LIQUIDITA’ PER IL PAGAMENTO DEI DEBITI SCADUTI</w:t>
      </w:r>
      <w:bookmarkEnd w:id="267"/>
    </w:p>
    <w:p w:rsidR="00E150FF" w:rsidRPr="0060485F" w:rsidRDefault="00E150FF" w:rsidP="00E150FF">
      <w:pPr>
        <w:pStyle w:val="CdcTesto"/>
        <w:rPr>
          <w:color w:val="auto"/>
        </w:rPr>
      </w:pPr>
      <w:r w:rsidRPr="0060485F">
        <w:rPr>
          <w:color w:val="auto"/>
        </w:rPr>
        <w:t>Per debito commerciale si intende il debito sorto in relazione ad operazioni di acquisizione di beni e servizi (ad esempio i debiti verso fornitori)</w:t>
      </w:r>
      <w:r w:rsidR="00D53C39" w:rsidRPr="0060485F">
        <w:rPr>
          <w:color w:val="auto"/>
        </w:rPr>
        <w:t xml:space="preserve"> per le quali anche dopo la fase di scadenza dell’obbligo non sono effettuati pagamenti</w:t>
      </w:r>
      <w:r w:rsidRPr="0060485F">
        <w:rPr>
          <w:color w:val="auto"/>
        </w:rPr>
        <w:t>. L'articolo 9, c</w:t>
      </w:r>
      <w:r w:rsidR="00D259F8" w:rsidRPr="0060485F">
        <w:rPr>
          <w:color w:val="auto"/>
        </w:rPr>
        <w:t>omma 4, del DPCM del 22/09/2014</w:t>
      </w:r>
      <w:r w:rsidRPr="0060485F">
        <w:rPr>
          <w:rStyle w:val="Rimandonotaapidipagina"/>
          <w:color w:val="auto"/>
        </w:rPr>
        <w:footnoteReference w:id="155"/>
      </w:r>
      <w:r w:rsidR="00D259F8" w:rsidRPr="0060485F">
        <w:rPr>
          <w:color w:val="auto"/>
        </w:rPr>
        <w:t xml:space="preserve"> </w:t>
      </w:r>
      <w:r w:rsidRPr="0060485F">
        <w:rPr>
          <w:color w:val="auto"/>
        </w:rPr>
        <w:t>richiama la nozione di "transazione commerciale" contenuta nell'articolo 2, comm</w:t>
      </w:r>
      <w:r w:rsidR="00767DD5">
        <w:rPr>
          <w:color w:val="auto"/>
        </w:rPr>
        <w:t>a 1, del decreto legislativo n. </w:t>
      </w:r>
      <w:r w:rsidRPr="0060485F">
        <w:rPr>
          <w:color w:val="auto"/>
        </w:rPr>
        <w:t>231/2002, che si riferisce ai: "contratti, comunque denominati, tra imprese ovvero tra imprese e pubbliche amministrazioni, che comportano, in via esclusiva o prevalente, la consegna di merci o la prestazione di servizi contro il pagamento di un prezzo".</w:t>
      </w:r>
    </w:p>
    <w:p w:rsidR="00D53C39" w:rsidRPr="0060485F" w:rsidRDefault="00D53C39" w:rsidP="00D53C39">
      <w:pPr>
        <w:pStyle w:val="CdcTesto"/>
        <w:rPr>
          <w:color w:val="auto"/>
        </w:rPr>
      </w:pPr>
      <w:r w:rsidRPr="0060485F">
        <w:rPr>
          <w:color w:val="auto"/>
        </w:rPr>
        <w:t>Per porre rimedio alle diffuse situazioni di insolvenza da parte della PA con il D.L. 35/2013, sono state introdotte norme volte a favorire lo smaltimento dei debiti commerciali accumulati dalle Pubbliche Amministrazioni.</w:t>
      </w:r>
    </w:p>
    <w:p w:rsidR="00D53C39" w:rsidRPr="0060485F" w:rsidRDefault="00D53C39" w:rsidP="00D53C39">
      <w:pPr>
        <w:pStyle w:val="CdcTesto"/>
        <w:rPr>
          <w:color w:val="auto"/>
        </w:rPr>
      </w:pPr>
      <w:r w:rsidRPr="0060485F">
        <w:rPr>
          <w:color w:val="auto"/>
        </w:rPr>
        <w:t>L’art. 1 del suddetto D.L. n. 35/2013 ha previsto l’allentamento del patto di stabilità per gli enti locali</w:t>
      </w:r>
      <w:r w:rsidRPr="0060485F">
        <w:rPr>
          <w:strike/>
          <w:color w:val="auto"/>
        </w:rPr>
        <w:t>,</w:t>
      </w:r>
      <w:r w:rsidRPr="0060485F">
        <w:rPr>
          <w:color w:val="auto"/>
        </w:rPr>
        <w:t xml:space="preserve"> </w:t>
      </w:r>
      <w:r w:rsidR="002C0B0B" w:rsidRPr="0060485F">
        <w:rPr>
          <w:color w:val="auto"/>
        </w:rPr>
        <w:t xml:space="preserve">in grado di </w:t>
      </w:r>
      <w:r w:rsidRPr="0060485F">
        <w:rPr>
          <w:color w:val="auto"/>
        </w:rPr>
        <w:t xml:space="preserve">destinare risorse al pagamento dei debiti in conto capitale certi, liquidi ed esigibili o per i quali sia stata emessa fattura o richiesta equivalente di pagamento alla data del 31.12.2012, ovvero di quei debiti fuori bilancio che, alla medesima data, presentavano i requisiti per il riconoscimento di legittimità ai sensi dell’art. 194 TUEL. La norma prevedeva analoga disposizione per Regioni e </w:t>
      </w:r>
      <w:r w:rsidR="00767DD5" w:rsidRPr="0060485F">
        <w:rPr>
          <w:color w:val="auto"/>
        </w:rPr>
        <w:t xml:space="preserve">Province </w:t>
      </w:r>
      <w:r w:rsidRPr="0060485F">
        <w:rPr>
          <w:color w:val="auto"/>
        </w:rPr>
        <w:t>autonome, consentendo a queste ultime di trasferire fondi agli enti locali senza che tali trasferimenti rilevassero ai fini della verifica del patto di stabil</w:t>
      </w:r>
      <w:r w:rsidR="00767DD5">
        <w:rPr>
          <w:color w:val="auto"/>
        </w:rPr>
        <w:t>ità interno delle Regioni (art. </w:t>
      </w:r>
      <w:r w:rsidRPr="0060485F">
        <w:rPr>
          <w:color w:val="auto"/>
        </w:rPr>
        <w:t xml:space="preserve">1, co. 7). I trasferimenti sono destinati “preferibilmente” al pagamento dei debiti in conto capitale </w:t>
      </w:r>
      <w:r w:rsidR="00844304" w:rsidRPr="0060485F">
        <w:rPr>
          <w:color w:val="auto"/>
        </w:rPr>
        <w:t>nei confronti degli enti locali</w:t>
      </w:r>
      <w:r w:rsidR="00844304">
        <w:rPr>
          <w:color w:val="auto"/>
        </w:rPr>
        <w:t>,</w:t>
      </w:r>
      <w:r w:rsidR="00844304" w:rsidRPr="0060485F">
        <w:rPr>
          <w:color w:val="auto"/>
        </w:rPr>
        <w:t xml:space="preserve"> </w:t>
      </w:r>
      <w:r w:rsidRPr="0060485F">
        <w:rPr>
          <w:color w:val="auto"/>
        </w:rPr>
        <w:t>che abbiano le stesse caratteristiche di quelli suscettibili di pagamento da parte degli enti locali ai sensi del co. 1 dello stesso articolo, esclusi i debiti fuori bilancio e degli enti commissariati.</w:t>
      </w:r>
    </w:p>
    <w:p w:rsidR="00D53C39" w:rsidRPr="0060485F" w:rsidRDefault="00D53C39" w:rsidP="00D53C39">
      <w:pPr>
        <w:pStyle w:val="CdcTesto"/>
        <w:rPr>
          <w:color w:val="auto"/>
        </w:rPr>
      </w:pPr>
      <w:r w:rsidRPr="0060485F">
        <w:rPr>
          <w:color w:val="auto"/>
        </w:rPr>
        <w:t xml:space="preserve">Per le amministrazioni che non dispongono di liquidità il D.L. n. 35/2013 </w:t>
      </w:r>
      <w:r w:rsidR="002C0B0B" w:rsidRPr="0060485F">
        <w:rPr>
          <w:color w:val="auto"/>
        </w:rPr>
        <w:t xml:space="preserve">ha </w:t>
      </w:r>
      <w:r w:rsidR="0060485F" w:rsidRPr="0060485F">
        <w:rPr>
          <w:color w:val="auto"/>
        </w:rPr>
        <w:t>istitui</w:t>
      </w:r>
      <w:r w:rsidR="002C0B0B" w:rsidRPr="0060485F">
        <w:rPr>
          <w:color w:val="auto"/>
        </w:rPr>
        <w:t>to</w:t>
      </w:r>
      <w:r w:rsidRPr="0060485F">
        <w:rPr>
          <w:color w:val="auto"/>
        </w:rPr>
        <w:t xml:space="preserve"> un Fondo statale per assicurare la liquidità per pagamenti dei debiti certi, liquidi ed esigibili, distinto in tre Sezioni, tra le quali possono essere effettuate variazioni compensative, dedicate rispettivamente ai debiti certi, liquidi ed esigibili di enti locali, Regioni e Province autonome ed enti del servizio sanitario nazionale.</w:t>
      </w:r>
    </w:p>
    <w:p w:rsidR="00D53C39" w:rsidRPr="0060485F" w:rsidRDefault="00D53C39" w:rsidP="00D53C39">
      <w:pPr>
        <w:pStyle w:val="CdcTesto"/>
        <w:rPr>
          <w:color w:val="auto"/>
        </w:rPr>
      </w:pPr>
      <w:r w:rsidRPr="0060485F">
        <w:rPr>
          <w:color w:val="auto"/>
        </w:rPr>
        <w:lastRenderedPageBreak/>
        <w:t>Gli enti che si avvalgono di questi fondi sono tenuti a destinarli al saldo dei debiti in conto capitale certi liquidi ed esigibili, o per i quali sia stata emessa fattura o richiesta equivalente. Essi restituiscono il debito con un piano di ammortamento di massimo 30 anni.</w:t>
      </w:r>
    </w:p>
    <w:p w:rsidR="002C0B0B" w:rsidRPr="0060485F" w:rsidRDefault="00D53C39" w:rsidP="002C0B0B">
      <w:pPr>
        <w:pStyle w:val="CdcTesto"/>
        <w:rPr>
          <w:color w:val="auto"/>
        </w:rPr>
      </w:pPr>
      <w:r w:rsidRPr="0060485F">
        <w:rPr>
          <w:color w:val="auto"/>
        </w:rPr>
        <w:t xml:space="preserve">Le Regioni e Province autonome possono accedere alla “Sezione per assicurare la liquidità alle Regioni e alle Province autonome per pagamenti dei debiti diversi da quelli finanziari e sanitari” (art. 2, </w:t>
      </w:r>
      <w:r w:rsidR="0060485F" w:rsidRPr="0060485F">
        <w:rPr>
          <w:color w:val="auto"/>
        </w:rPr>
        <w:t>D.L</w:t>
      </w:r>
      <w:r w:rsidRPr="0060485F">
        <w:rPr>
          <w:color w:val="auto"/>
        </w:rPr>
        <w:t>. n. 35/2013) e alla “Sezione per assicurare la liquidità per pagamenti dei debiti degli enti del Servizio Sanitario Nazionale” (art. 3, D.L. n. 35/2013) del fondo del MEF.</w:t>
      </w:r>
    </w:p>
    <w:p w:rsidR="002C0B0B" w:rsidRDefault="002C0B0B" w:rsidP="002C0B0B">
      <w:pPr>
        <w:pStyle w:val="CdcTesto"/>
        <w:rPr>
          <w:color w:val="auto"/>
        </w:rPr>
      </w:pPr>
      <w:r w:rsidRPr="0060485F">
        <w:rPr>
          <w:color w:val="auto"/>
        </w:rPr>
        <w:t xml:space="preserve">La Regione ha usufruito nel 2016 dell’anticipazione di liquidità per il pagamento di debiti certi, liquidi ed esigibili alla data del 31/12/2014. Tale importo, </w:t>
      </w:r>
      <w:r w:rsidR="003B378B">
        <w:rPr>
          <w:color w:val="auto"/>
        </w:rPr>
        <w:t>secondo quanto precisato</w:t>
      </w:r>
      <w:r w:rsidRPr="0060485F">
        <w:rPr>
          <w:color w:val="auto"/>
        </w:rPr>
        <w:t xml:space="preserve"> nella Relazione sulla gestione, è stato utilizzato prevalentemente in favore degli enti locali, per il pagamento dei residui 2014 relativi al Fondo unico di cui all’art. 10 della L.R. 2/2007.</w:t>
      </w:r>
      <w:r w:rsidR="003B378B">
        <w:rPr>
          <w:color w:val="auto"/>
        </w:rPr>
        <w:t xml:space="preserve"> Sul punto si riferisce nel paragrafo della relazione 6.8.2.2.</w:t>
      </w:r>
    </w:p>
    <w:p w:rsidR="00E150FF" w:rsidRPr="0060485F" w:rsidRDefault="002C0B0B" w:rsidP="00E150FF">
      <w:pPr>
        <w:pStyle w:val="CdcTesto"/>
        <w:rPr>
          <w:color w:val="auto"/>
        </w:rPr>
      </w:pPr>
      <w:r w:rsidRPr="0060485F">
        <w:rPr>
          <w:color w:val="auto"/>
        </w:rPr>
        <w:t>La questione del ritardo nei pagamenti è stata affrontata, sotto diverso profilo, da</w:t>
      </w:r>
      <w:r w:rsidR="00E150FF" w:rsidRPr="0060485F">
        <w:rPr>
          <w:color w:val="auto"/>
        </w:rPr>
        <w:t>l D</w:t>
      </w:r>
      <w:r w:rsidR="0060485F">
        <w:rPr>
          <w:color w:val="auto"/>
        </w:rPr>
        <w:t>.</w:t>
      </w:r>
      <w:r w:rsidR="00E150FF" w:rsidRPr="0060485F">
        <w:rPr>
          <w:color w:val="auto"/>
        </w:rPr>
        <w:t>Lgs. 33/2013</w:t>
      </w:r>
      <w:r w:rsidR="003B378B">
        <w:rPr>
          <w:rStyle w:val="Rimandonotaapidipagina"/>
          <w:color w:val="auto"/>
        </w:rPr>
        <w:footnoteReference w:id="156"/>
      </w:r>
      <w:r w:rsidR="00E150FF" w:rsidRPr="0060485F">
        <w:rPr>
          <w:color w:val="auto"/>
        </w:rPr>
        <w:t xml:space="preserve"> </w:t>
      </w:r>
      <w:r w:rsidR="003B378B">
        <w:rPr>
          <w:color w:val="auto"/>
        </w:rPr>
        <w:t xml:space="preserve">(art. 33) </w:t>
      </w:r>
      <w:r w:rsidR="00E150FF" w:rsidRPr="0060485F">
        <w:rPr>
          <w:color w:val="auto"/>
        </w:rPr>
        <w:t xml:space="preserve">e ss.mm., </w:t>
      </w:r>
      <w:r w:rsidRPr="0060485F">
        <w:rPr>
          <w:color w:val="auto"/>
        </w:rPr>
        <w:t>che a</w:t>
      </w:r>
      <w:r w:rsidR="00E150FF" w:rsidRPr="0060485F">
        <w:rPr>
          <w:color w:val="auto"/>
        </w:rPr>
        <w:t xml:space="preserve"> decorrere dal 2015, </w:t>
      </w:r>
      <w:r w:rsidRPr="0060485F">
        <w:rPr>
          <w:color w:val="auto"/>
        </w:rPr>
        <w:t xml:space="preserve">ha obbligato </w:t>
      </w:r>
      <w:r w:rsidR="00E150FF" w:rsidRPr="0060485F">
        <w:rPr>
          <w:color w:val="auto"/>
        </w:rPr>
        <w:t>le Pubbliche Amministrazioni a pubblicare un indicatore dei propri tempi medi di pagamento (con cadenza annuale e trimestrale) relativi agli acquisti di beni, servizi, prestazioni professionali e forniture, nonché l'ammontare complessivo dei debiti in essere e il numero delle imprese creditrici. Gli indicatori sono elaborati e pubblicati, anche attraverso il ricorso a un portale unico, secondo uno schema tipo e modalità definiti con decreto del Presidente del Consiglio dei ministri da adottare sentita la Conferenza unificata.</w:t>
      </w:r>
    </w:p>
    <w:p w:rsidR="00E150FF" w:rsidRPr="0060485F" w:rsidRDefault="00E150FF" w:rsidP="00E150FF">
      <w:pPr>
        <w:pStyle w:val="CdcTesto"/>
        <w:rPr>
          <w:color w:val="auto"/>
        </w:rPr>
      </w:pPr>
      <w:r w:rsidRPr="0060485F">
        <w:rPr>
          <w:color w:val="auto"/>
        </w:rPr>
        <w:t>Sulla base di quanto disposto dall’art.</w:t>
      </w:r>
      <w:r w:rsidR="00D259F8" w:rsidRPr="0060485F">
        <w:rPr>
          <w:color w:val="auto"/>
        </w:rPr>
        <w:t xml:space="preserve"> </w:t>
      </w:r>
      <w:r w:rsidRPr="0060485F">
        <w:rPr>
          <w:color w:val="auto"/>
        </w:rPr>
        <w:t>9 del D.P.C.M. del 22/09/2014, tale indicatore è calcolato come la somma, per ciascuna fattura emessa, dei giorni effettivi intercorrenti tra la data di scadenza della stessa, o di richiesta di pagamento equivalente, e la data di pagamento ai fornitori moltiplicata per l’importo dovuto, rapportata alla somma degli importi pagati nel periodo di riferimento. L’indicatore deve essere calcolato con riferimento all’intero bilancio, alla gestione sanitaria accentrata e alla componente non sanitaria. L’indicatore rappresenta la media ponderata della differenza tra la data di pagamento e la data di scadenza delle fatture, determinata sulla base dei termini previsti dal D</w:t>
      </w:r>
      <w:r w:rsidR="0060485F">
        <w:rPr>
          <w:color w:val="auto"/>
        </w:rPr>
        <w:t>.</w:t>
      </w:r>
      <w:r w:rsidR="0060485F" w:rsidRPr="0060485F">
        <w:rPr>
          <w:color w:val="auto"/>
        </w:rPr>
        <w:t>Lgs</w:t>
      </w:r>
      <w:r w:rsidR="0060485F">
        <w:rPr>
          <w:color w:val="auto"/>
        </w:rPr>
        <w:t>.</w:t>
      </w:r>
      <w:r w:rsidR="0060485F" w:rsidRPr="0060485F">
        <w:rPr>
          <w:color w:val="auto"/>
        </w:rPr>
        <w:t xml:space="preserve"> </w:t>
      </w:r>
      <w:r w:rsidRPr="0060485F">
        <w:rPr>
          <w:color w:val="auto"/>
        </w:rPr>
        <w:t>231/2002.</w:t>
      </w:r>
    </w:p>
    <w:p w:rsidR="00E150FF" w:rsidRPr="0060485F" w:rsidRDefault="00E150FF" w:rsidP="00E150FF">
      <w:pPr>
        <w:pStyle w:val="CdcTesto"/>
        <w:rPr>
          <w:color w:val="auto"/>
        </w:rPr>
      </w:pPr>
      <w:r w:rsidRPr="0060485F">
        <w:rPr>
          <w:color w:val="auto"/>
        </w:rPr>
        <w:lastRenderedPageBreak/>
        <w:t>Inoltre, l’art.</w:t>
      </w:r>
      <w:r w:rsidR="00D259F8" w:rsidRPr="0060485F">
        <w:rPr>
          <w:color w:val="auto"/>
        </w:rPr>
        <w:t xml:space="preserve"> </w:t>
      </w:r>
      <w:r w:rsidRPr="0060485F">
        <w:rPr>
          <w:color w:val="auto"/>
        </w:rPr>
        <w:t xml:space="preserve">41 del D.L. 66/2014 (convertito in L. 89/2014) ha stabilito che al bilancio consuntivo deve essere allegato un prospetto che attesti l’importo dei pagamenti relativi a transazioni commerciali effettuati dopo la scadenza dei termini previsti dal </w:t>
      </w:r>
      <w:r w:rsidRPr="0060485F">
        <w:rPr>
          <w:color w:val="auto"/>
        </w:rPr>
        <w:tab/>
        <w:t>D</w:t>
      </w:r>
      <w:r w:rsidR="00A93328">
        <w:rPr>
          <w:color w:val="auto"/>
        </w:rPr>
        <w:t>.</w:t>
      </w:r>
      <w:r w:rsidR="00A93328" w:rsidRPr="0060485F">
        <w:rPr>
          <w:color w:val="auto"/>
        </w:rPr>
        <w:t>Lgs</w:t>
      </w:r>
      <w:r w:rsidR="00A93328">
        <w:rPr>
          <w:color w:val="auto"/>
        </w:rPr>
        <w:t>.</w:t>
      </w:r>
      <w:r w:rsidRPr="0060485F">
        <w:rPr>
          <w:color w:val="auto"/>
        </w:rPr>
        <w:t xml:space="preserve"> 231/2002</w:t>
      </w:r>
      <w:r w:rsidR="003B378B">
        <w:rPr>
          <w:rStyle w:val="Rimandonotaapidipagina"/>
          <w:color w:val="auto"/>
        </w:rPr>
        <w:footnoteReference w:id="157"/>
      </w:r>
      <w:r w:rsidRPr="0060485F">
        <w:rPr>
          <w:color w:val="auto"/>
        </w:rPr>
        <w:t xml:space="preserve">. </w:t>
      </w:r>
    </w:p>
    <w:p w:rsidR="00E150FF" w:rsidRPr="0060485F" w:rsidRDefault="002C0B0B" w:rsidP="00E150FF">
      <w:pPr>
        <w:pStyle w:val="CdcTesto"/>
        <w:rPr>
          <w:color w:val="auto"/>
        </w:rPr>
      </w:pPr>
      <w:r w:rsidRPr="0060485F">
        <w:rPr>
          <w:color w:val="auto"/>
        </w:rPr>
        <w:t>Tale</w:t>
      </w:r>
      <w:r w:rsidR="00E150FF" w:rsidRPr="0060485F">
        <w:rPr>
          <w:color w:val="auto"/>
        </w:rPr>
        <w:t xml:space="preserve"> prospetto risulta allegato dalla Regione alla Relazione sulla gestione (Allegato 19/15)</w:t>
      </w:r>
      <w:r w:rsidRPr="0060485F">
        <w:rPr>
          <w:color w:val="auto"/>
        </w:rPr>
        <w:t>;</w:t>
      </w:r>
      <w:r w:rsidR="00E150FF" w:rsidRPr="0060485F">
        <w:rPr>
          <w:color w:val="auto"/>
        </w:rPr>
        <w:t xml:space="preserve"> </w:t>
      </w:r>
      <w:r w:rsidRPr="0060485F">
        <w:rPr>
          <w:color w:val="auto"/>
        </w:rPr>
        <w:t xml:space="preserve">da </w:t>
      </w:r>
      <w:r w:rsidR="00E150FF" w:rsidRPr="0060485F">
        <w:rPr>
          <w:color w:val="auto"/>
        </w:rPr>
        <w:t xml:space="preserve">esso si evince che </w:t>
      </w:r>
      <w:r w:rsidR="00E150FF" w:rsidRPr="0060485F">
        <w:rPr>
          <w:b/>
          <w:color w:val="auto"/>
        </w:rPr>
        <w:t xml:space="preserve">l’indicatore annuale di tempestività dei pagamenti per il 2016 è stato pari a -4,73 giorni solari, </w:t>
      </w:r>
      <w:r w:rsidR="00E150FF" w:rsidRPr="0060485F">
        <w:rPr>
          <w:b/>
          <w:i/>
          <w:color w:val="auto"/>
        </w:rPr>
        <w:t>“…migliorativo rispetto al dato già positivo di -2,10 giorni solari del 2015</w:t>
      </w:r>
      <w:r w:rsidR="00E150FF" w:rsidRPr="0060485F">
        <w:rPr>
          <w:i/>
          <w:color w:val="auto"/>
        </w:rPr>
        <w:t>”</w:t>
      </w:r>
      <w:r w:rsidR="00E150FF" w:rsidRPr="0060485F">
        <w:rPr>
          <w:color w:val="auto"/>
        </w:rPr>
        <w:t>. I pagamenti oltre la scadenza sono stati, nel 2016, di €</w:t>
      </w:r>
      <w:r w:rsidR="0060485F">
        <w:rPr>
          <w:color w:val="auto"/>
        </w:rPr>
        <w:t xml:space="preserve"> </w:t>
      </w:r>
      <w:r w:rsidR="00E150FF" w:rsidRPr="0060485F">
        <w:rPr>
          <w:color w:val="auto"/>
        </w:rPr>
        <w:t xml:space="preserve">124.838.567,14, inferiori del 4,78% rispetto al dato 2015 (€ 131.229.290,63). </w:t>
      </w:r>
    </w:p>
    <w:p w:rsidR="00E150FF" w:rsidRPr="0060485F" w:rsidRDefault="00E150FF" w:rsidP="00E150FF">
      <w:pPr>
        <w:pStyle w:val="CdcTesto"/>
        <w:rPr>
          <w:b/>
          <w:color w:val="auto"/>
        </w:rPr>
      </w:pPr>
      <w:r w:rsidRPr="0060485F">
        <w:rPr>
          <w:b/>
          <w:color w:val="auto"/>
        </w:rPr>
        <w:t>L’ammontare dei debiti commerciali aperti a fine esercizio è pari a € 7.920.950,81 e le imprese creditrici sono 154.</w:t>
      </w:r>
    </w:p>
    <w:p w:rsidR="00E150FF" w:rsidRPr="0060485F" w:rsidRDefault="00E150FF" w:rsidP="00E150FF">
      <w:pPr>
        <w:pStyle w:val="CdcTesto"/>
        <w:rPr>
          <w:color w:val="auto"/>
        </w:rPr>
      </w:pPr>
      <w:r w:rsidRPr="0060485F">
        <w:rPr>
          <w:color w:val="auto"/>
        </w:rPr>
        <w:t>Gli effetti positivi, secondo quanto riferito nella Relazione sulla gestione, sono da attribuire agli adeguamenti del sistema informativo contabile, che ha consentito un monitoraggio più efficace, e alle puntuali direttive impartite ai CDR al fine di responsabilizzarli al rispetto dei tempi medi di pagamento.</w:t>
      </w:r>
    </w:p>
    <w:p w:rsidR="00E150FF" w:rsidRPr="0060485F" w:rsidRDefault="00E150FF" w:rsidP="00E150FF">
      <w:pPr>
        <w:pStyle w:val="CdcTesto"/>
        <w:rPr>
          <w:color w:val="auto"/>
        </w:rPr>
      </w:pPr>
      <w:r w:rsidRPr="0060485F">
        <w:rPr>
          <w:color w:val="auto"/>
        </w:rPr>
        <w:t>Si fa rilevare che dal calcolo dei tempi medi di pagamento sono esclusi, per effetto dell’art.</w:t>
      </w:r>
      <w:r w:rsidR="00D408BA">
        <w:rPr>
          <w:color w:val="auto"/>
        </w:rPr>
        <w:t xml:space="preserve"> </w:t>
      </w:r>
      <w:r w:rsidRPr="0060485F">
        <w:rPr>
          <w:color w:val="auto"/>
        </w:rPr>
        <w:t>41, comma 2 del D.L. 66/2014, come modificato dall’art.</w:t>
      </w:r>
      <w:r w:rsidR="0060485F">
        <w:rPr>
          <w:color w:val="auto"/>
        </w:rPr>
        <w:t xml:space="preserve"> 4, comma </w:t>
      </w:r>
      <w:r w:rsidRPr="0060485F">
        <w:rPr>
          <w:color w:val="auto"/>
        </w:rPr>
        <w:t>4 del D.L. 78/2015, i pagamenti effettuati con l’utilizzo delle anticipazioni di liquidità di cui al D.L</w:t>
      </w:r>
      <w:r w:rsidR="00A93328">
        <w:rPr>
          <w:color w:val="auto"/>
        </w:rPr>
        <w:t>.</w:t>
      </w:r>
      <w:r w:rsidRPr="0060485F">
        <w:rPr>
          <w:color w:val="auto"/>
        </w:rPr>
        <w:t xml:space="preserve"> 35/2013.</w:t>
      </w:r>
    </w:p>
    <w:p w:rsidR="00E150FF" w:rsidRPr="0060485F" w:rsidRDefault="00E150FF" w:rsidP="00E150FF">
      <w:pPr>
        <w:pStyle w:val="CdcTesto"/>
        <w:rPr>
          <w:color w:val="auto"/>
        </w:rPr>
      </w:pPr>
      <w:r w:rsidRPr="0060485F">
        <w:rPr>
          <w:color w:val="auto"/>
        </w:rPr>
        <w:t>Nell’attestazione del Presidente e del Responsabile dei Servizi finanziari (Allegato 19/15), si riferisce che l’indicatore trimestrale di tempestività dei pagamenti ha fatto registrare un ulteriore miglioramento nel primo trimestre 2017 (-8,93 giorni) e che l’Amministrazione regionale rinnova l’impegno a proseguire il percorso virtuoso intrapreso.</w:t>
      </w:r>
    </w:p>
    <w:p w:rsidR="00474C78" w:rsidRDefault="00474C78" w:rsidP="00364B2C">
      <w:pPr>
        <w:pStyle w:val="CdcTesto"/>
      </w:pPr>
    </w:p>
    <w:p w:rsidR="00474C78" w:rsidRDefault="00474C78" w:rsidP="00364B2C">
      <w:pPr>
        <w:pStyle w:val="CdcTesto"/>
      </w:pPr>
    </w:p>
    <w:p w:rsidR="00474C78" w:rsidRDefault="00474C78" w:rsidP="00364B2C">
      <w:pPr>
        <w:pStyle w:val="CdcTesto"/>
      </w:pPr>
    </w:p>
    <w:p w:rsidR="00474C78" w:rsidRDefault="00474C78" w:rsidP="00364B2C">
      <w:pPr>
        <w:pStyle w:val="CdcTesto"/>
        <w:sectPr w:rsidR="00474C78" w:rsidSect="00CD4C84">
          <w:headerReference w:type="default" r:id="rId66"/>
          <w:type w:val="oddPage"/>
          <w:pgSz w:w="11906" w:h="16838"/>
          <w:pgMar w:top="1418" w:right="1134" w:bottom="1134" w:left="851" w:header="709" w:footer="709" w:gutter="0"/>
          <w:cols w:space="708"/>
          <w:docGrid w:linePitch="360"/>
        </w:sectPr>
      </w:pPr>
    </w:p>
    <w:p w:rsidR="00582DE2" w:rsidRDefault="00E0473A" w:rsidP="00582DE2">
      <w:pPr>
        <w:pStyle w:val="Titolo1"/>
      </w:pPr>
      <w:bookmarkStart w:id="268" w:name="_Toc507422666"/>
      <w:r>
        <w:lastRenderedPageBreak/>
        <w:t>I DEBITI FUORI BILANCIO</w:t>
      </w:r>
      <w:bookmarkEnd w:id="268"/>
    </w:p>
    <w:p w:rsidR="00FF2CC0" w:rsidRPr="00FF2CC0" w:rsidRDefault="00FC10C8" w:rsidP="008F0C14">
      <w:pPr>
        <w:spacing w:after="120" w:line="360" w:lineRule="auto"/>
        <w:jc w:val="both"/>
        <w:rPr>
          <w:rFonts w:ascii="Bodoni MT" w:hAnsi="Bodoni MT"/>
          <w:sz w:val="24"/>
          <w:szCs w:val="24"/>
        </w:rPr>
      </w:pPr>
      <w:r w:rsidRPr="003B378B">
        <w:rPr>
          <w:rFonts w:ascii="Bodoni MT" w:hAnsi="Bodoni MT"/>
          <w:b/>
          <w:sz w:val="24"/>
          <w:szCs w:val="24"/>
        </w:rPr>
        <w:t>Nel precedente ordinamento contabile regionale non era contemplato l’istituto del debito fuori bilancio</w:t>
      </w:r>
      <w:r w:rsidR="00F5483D" w:rsidRPr="003B378B">
        <w:rPr>
          <w:rFonts w:ascii="Bodoni MT" w:hAnsi="Bodoni MT"/>
          <w:sz w:val="24"/>
          <w:szCs w:val="24"/>
        </w:rPr>
        <w:t>.</w:t>
      </w:r>
      <w:r w:rsidRPr="003B378B">
        <w:rPr>
          <w:rFonts w:ascii="Bodoni MT" w:hAnsi="Bodoni MT"/>
          <w:sz w:val="24"/>
          <w:szCs w:val="24"/>
        </w:rPr>
        <w:t xml:space="preserve"> </w:t>
      </w:r>
      <w:r w:rsidR="00FF2CC0" w:rsidRPr="003B378B">
        <w:rPr>
          <w:rFonts w:ascii="Bodoni MT" w:hAnsi="Bodoni MT"/>
          <w:sz w:val="24"/>
          <w:szCs w:val="24"/>
        </w:rPr>
        <w:t>Il</w:t>
      </w:r>
      <w:r w:rsidR="00FF2CC0" w:rsidRPr="003B378B">
        <w:rPr>
          <w:rFonts w:ascii="Bodoni MT" w:hAnsi="Bodoni MT"/>
          <w:b/>
          <w:sz w:val="24"/>
          <w:szCs w:val="24"/>
        </w:rPr>
        <w:t xml:space="preserve"> D.Lgs. 118/2011 all’art. 73</w:t>
      </w:r>
      <w:r w:rsidR="00FF2CC0" w:rsidRPr="00FF2CC0">
        <w:rPr>
          <w:rFonts w:ascii="Bodoni MT" w:hAnsi="Bodoni MT"/>
          <w:sz w:val="24"/>
          <w:szCs w:val="24"/>
        </w:rPr>
        <w:t xml:space="preserve"> prescrive</w:t>
      </w:r>
      <w:r>
        <w:rPr>
          <w:rFonts w:ascii="Bodoni MT" w:hAnsi="Bodoni MT"/>
          <w:sz w:val="24"/>
          <w:szCs w:val="24"/>
        </w:rPr>
        <w:t>, invece,</w:t>
      </w:r>
      <w:r w:rsidR="00FF2CC0" w:rsidRPr="00FF2CC0">
        <w:rPr>
          <w:rFonts w:ascii="Bodoni MT" w:hAnsi="Bodoni MT"/>
          <w:sz w:val="24"/>
          <w:szCs w:val="24"/>
        </w:rPr>
        <w:t xml:space="preserve"> che debbano essere riconosciuti con legge regionale i debiti fuori bilancio derivanti</w:t>
      </w:r>
      <w:r w:rsidR="008B3C03">
        <w:rPr>
          <w:rFonts w:ascii="Bodoni MT" w:hAnsi="Bodoni MT"/>
          <w:sz w:val="24"/>
          <w:szCs w:val="24"/>
        </w:rPr>
        <w:t xml:space="preserve">: </w:t>
      </w:r>
      <w:r w:rsidR="008B3C03" w:rsidRPr="008B3C03">
        <w:rPr>
          <w:rFonts w:ascii="Bodoni MT" w:hAnsi="Bodoni MT"/>
          <w:b/>
          <w:sz w:val="24"/>
          <w:szCs w:val="24"/>
        </w:rPr>
        <w:t>a)</w:t>
      </w:r>
      <w:r w:rsidR="00FF2CC0" w:rsidRPr="00FF2CC0">
        <w:rPr>
          <w:rFonts w:ascii="Bodoni MT" w:hAnsi="Bodoni MT"/>
          <w:sz w:val="24"/>
          <w:szCs w:val="24"/>
        </w:rPr>
        <w:t xml:space="preserve"> da sentenze esecutive;</w:t>
      </w:r>
      <w:r w:rsidR="008B3C03">
        <w:rPr>
          <w:rFonts w:ascii="Bodoni MT" w:hAnsi="Bodoni MT"/>
          <w:sz w:val="24"/>
          <w:szCs w:val="24"/>
        </w:rPr>
        <w:t xml:space="preserve"> </w:t>
      </w:r>
      <w:r w:rsidR="008B3C03" w:rsidRPr="008B3C03">
        <w:rPr>
          <w:rFonts w:ascii="Bodoni MT" w:hAnsi="Bodoni MT"/>
          <w:b/>
          <w:sz w:val="24"/>
          <w:szCs w:val="24"/>
        </w:rPr>
        <w:t>b)</w:t>
      </w:r>
      <w:r w:rsidR="00FF2CC0" w:rsidRPr="00FF2CC0">
        <w:rPr>
          <w:rFonts w:ascii="Bodoni MT" w:hAnsi="Bodoni MT"/>
          <w:sz w:val="24"/>
          <w:szCs w:val="24"/>
        </w:rPr>
        <w:t xml:space="preserve"> copertura dei disavanzi di enti, società ed organismi controllati o, comunque, dipendenti dalla Regione, purché il disavanzo derivi da fatti di gestione;</w:t>
      </w:r>
      <w:r w:rsidR="008B3C03">
        <w:rPr>
          <w:rFonts w:ascii="Bodoni MT" w:hAnsi="Bodoni MT"/>
          <w:sz w:val="24"/>
          <w:szCs w:val="24"/>
        </w:rPr>
        <w:t xml:space="preserve"> </w:t>
      </w:r>
      <w:r w:rsidR="008B3C03" w:rsidRPr="008B3C03">
        <w:rPr>
          <w:rFonts w:ascii="Bodoni MT" w:hAnsi="Bodoni MT"/>
          <w:b/>
          <w:sz w:val="24"/>
          <w:szCs w:val="24"/>
        </w:rPr>
        <w:t>c)</w:t>
      </w:r>
      <w:r w:rsidR="00E150FF">
        <w:rPr>
          <w:rFonts w:ascii="Bodoni MT" w:hAnsi="Bodoni MT"/>
          <w:sz w:val="24"/>
          <w:szCs w:val="24"/>
        </w:rPr>
        <w:t xml:space="preserve"> </w:t>
      </w:r>
      <w:r w:rsidR="00FF2CC0" w:rsidRPr="00FF2CC0">
        <w:rPr>
          <w:rFonts w:ascii="Bodoni MT" w:hAnsi="Bodoni MT"/>
          <w:sz w:val="24"/>
          <w:szCs w:val="24"/>
        </w:rPr>
        <w:t>ricapitalizzazione, nei limiti e nelle forme previste dal codice civile o da norme speciali, delle società suddette;</w:t>
      </w:r>
      <w:r w:rsidR="008B3C03">
        <w:rPr>
          <w:rFonts w:ascii="Bodoni MT" w:hAnsi="Bodoni MT"/>
          <w:sz w:val="24"/>
          <w:szCs w:val="24"/>
        </w:rPr>
        <w:t xml:space="preserve"> </w:t>
      </w:r>
      <w:r w:rsidR="008B3C03" w:rsidRPr="008B3C03">
        <w:rPr>
          <w:rFonts w:ascii="Bodoni MT" w:hAnsi="Bodoni MT"/>
          <w:b/>
          <w:sz w:val="24"/>
          <w:szCs w:val="24"/>
        </w:rPr>
        <w:t>d)</w:t>
      </w:r>
      <w:r w:rsidR="00FF2CC0" w:rsidRPr="008B3C03">
        <w:rPr>
          <w:rFonts w:ascii="Bodoni MT" w:hAnsi="Bodoni MT"/>
          <w:b/>
          <w:sz w:val="24"/>
          <w:szCs w:val="24"/>
        </w:rPr>
        <w:t xml:space="preserve"> </w:t>
      </w:r>
      <w:r w:rsidR="00FF2CC0" w:rsidRPr="00FF2CC0">
        <w:rPr>
          <w:rFonts w:ascii="Bodoni MT" w:hAnsi="Bodoni MT"/>
          <w:sz w:val="24"/>
          <w:szCs w:val="24"/>
        </w:rPr>
        <w:t>procedure espropriative o di occupazione d'urgenza per opere di pubblica utilità;</w:t>
      </w:r>
      <w:r w:rsidR="008B3C03">
        <w:rPr>
          <w:rFonts w:ascii="Bodoni MT" w:hAnsi="Bodoni MT"/>
          <w:sz w:val="24"/>
          <w:szCs w:val="24"/>
        </w:rPr>
        <w:t xml:space="preserve"> </w:t>
      </w:r>
      <w:r w:rsidR="008B3C03" w:rsidRPr="008B3C03">
        <w:rPr>
          <w:rFonts w:ascii="Bodoni MT" w:hAnsi="Bodoni MT"/>
          <w:b/>
          <w:sz w:val="24"/>
          <w:szCs w:val="24"/>
        </w:rPr>
        <w:t>e)</w:t>
      </w:r>
      <w:r w:rsidR="00FF2CC0" w:rsidRPr="00FF2CC0">
        <w:rPr>
          <w:rFonts w:ascii="Bodoni MT" w:hAnsi="Bodoni MT"/>
          <w:sz w:val="24"/>
          <w:szCs w:val="24"/>
        </w:rPr>
        <w:t xml:space="preserve"> acquisizione di beni e servizi in assenza del preventivo impegno di spesa</w:t>
      </w:r>
      <w:r w:rsidR="00FF2CC0">
        <w:rPr>
          <w:rFonts w:ascii="Bodoni MT" w:hAnsi="Bodoni MT"/>
          <w:sz w:val="24"/>
          <w:szCs w:val="24"/>
        </w:rPr>
        <w:t xml:space="preserve">. </w:t>
      </w:r>
      <w:r w:rsidR="008B3C03">
        <w:rPr>
          <w:rFonts w:ascii="Bodoni MT" w:hAnsi="Bodoni MT"/>
          <w:sz w:val="24"/>
          <w:szCs w:val="24"/>
        </w:rPr>
        <w:t>Previo accordo con i creditori, i</w:t>
      </w:r>
      <w:r w:rsidR="00FF2CC0">
        <w:rPr>
          <w:rFonts w:ascii="Bodoni MT" w:hAnsi="Bodoni MT"/>
          <w:sz w:val="24"/>
          <w:szCs w:val="24"/>
        </w:rPr>
        <w:t xml:space="preserve">l pagamento </w:t>
      </w:r>
      <w:r w:rsidR="00FF2CC0" w:rsidRPr="00FF2CC0">
        <w:rPr>
          <w:rFonts w:ascii="Bodoni MT" w:hAnsi="Bodoni MT"/>
          <w:sz w:val="24"/>
          <w:szCs w:val="24"/>
        </w:rPr>
        <w:t>può essere rateizzato in tre esercizi finanziari compreso quello in corso.</w:t>
      </w:r>
    </w:p>
    <w:p w:rsidR="00FF2CC0" w:rsidRPr="00FF2CC0" w:rsidRDefault="00FF2CC0" w:rsidP="00FF2CC0">
      <w:pPr>
        <w:spacing w:line="360" w:lineRule="auto"/>
        <w:jc w:val="both"/>
        <w:rPr>
          <w:rFonts w:ascii="Bodoni MT" w:hAnsi="Bodoni MT"/>
          <w:sz w:val="24"/>
          <w:szCs w:val="24"/>
        </w:rPr>
      </w:pPr>
      <w:r w:rsidRPr="00FF2CC0">
        <w:rPr>
          <w:rFonts w:ascii="Bodoni MT" w:hAnsi="Bodoni MT"/>
          <w:sz w:val="24"/>
          <w:szCs w:val="24"/>
        </w:rPr>
        <w:t xml:space="preserve">Nel corso del </w:t>
      </w:r>
      <w:r w:rsidRPr="003B378B">
        <w:rPr>
          <w:rFonts w:ascii="Bodoni MT" w:hAnsi="Bodoni MT"/>
          <w:b/>
          <w:sz w:val="24"/>
          <w:szCs w:val="24"/>
        </w:rPr>
        <w:t>2016</w:t>
      </w:r>
      <w:r w:rsidR="00FC10C8">
        <w:rPr>
          <w:rFonts w:ascii="Bodoni MT" w:hAnsi="Bodoni MT"/>
          <w:sz w:val="24"/>
          <w:szCs w:val="24"/>
        </w:rPr>
        <w:t xml:space="preserve"> </w:t>
      </w:r>
      <w:r w:rsidR="008F0C14" w:rsidRPr="003B378B">
        <w:rPr>
          <w:rFonts w:ascii="Bodoni MT" w:hAnsi="Bodoni MT"/>
          <w:b/>
          <w:sz w:val="24"/>
          <w:szCs w:val="24"/>
        </w:rPr>
        <w:t xml:space="preserve">la RAS ha </w:t>
      </w:r>
      <w:r w:rsidRPr="003B378B">
        <w:rPr>
          <w:rFonts w:ascii="Bodoni MT" w:hAnsi="Bodoni MT"/>
          <w:b/>
          <w:sz w:val="24"/>
          <w:szCs w:val="24"/>
        </w:rPr>
        <w:t>riconos</w:t>
      </w:r>
      <w:r w:rsidR="00FC10C8" w:rsidRPr="003B378B">
        <w:rPr>
          <w:rFonts w:ascii="Bodoni MT" w:hAnsi="Bodoni MT"/>
          <w:b/>
          <w:sz w:val="24"/>
          <w:szCs w:val="24"/>
        </w:rPr>
        <w:t>ciuto</w:t>
      </w:r>
      <w:r w:rsidRPr="003B378B">
        <w:rPr>
          <w:rFonts w:ascii="Bodoni MT" w:hAnsi="Bodoni MT"/>
          <w:b/>
          <w:sz w:val="24"/>
          <w:szCs w:val="24"/>
        </w:rPr>
        <w:t xml:space="preserve"> debiti fuori bilancio</w:t>
      </w:r>
      <w:r w:rsidR="006525D1">
        <w:rPr>
          <w:rFonts w:ascii="Bodoni MT" w:hAnsi="Bodoni MT"/>
          <w:sz w:val="24"/>
          <w:szCs w:val="24"/>
        </w:rPr>
        <w:t xml:space="preserve"> derivanti da acquisto di beni e servizi senza il preventivo impegno di spesa</w:t>
      </w:r>
      <w:r w:rsidRPr="00FF2CC0">
        <w:rPr>
          <w:rFonts w:ascii="Bodoni MT" w:hAnsi="Bodoni MT"/>
          <w:sz w:val="24"/>
          <w:szCs w:val="24"/>
        </w:rPr>
        <w:t xml:space="preserve"> per un </w:t>
      </w:r>
      <w:r w:rsidRPr="003B378B">
        <w:rPr>
          <w:rFonts w:ascii="Bodoni MT" w:hAnsi="Bodoni MT"/>
          <w:b/>
          <w:sz w:val="24"/>
          <w:szCs w:val="24"/>
        </w:rPr>
        <w:t>ammontare complessivo di € 14.656.274,06</w:t>
      </w:r>
      <w:r w:rsidR="00FC10C8">
        <w:rPr>
          <w:rFonts w:ascii="Bodoni MT" w:hAnsi="Bodoni MT"/>
          <w:sz w:val="24"/>
          <w:szCs w:val="24"/>
        </w:rPr>
        <w:t xml:space="preserve"> a mezzo della</w:t>
      </w:r>
      <w:r w:rsidR="00FC10C8" w:rsidRPr="00FC10C8">
        <w:rPr>
          <w:rFonts w:ascii="Bodoni MT" w:hAnsi="Bodoni MT"/>
          <w:sz w:val="24"/>
          <w:szCs w:val="24"/>
        </w:rPr>
        <w:t xml:space="preserve"> </w:t>
      </w:r>
      <w:r w:rsidR="00FC10C8" w:rsidRPr="00FF2CC0">
        <w:rPr>
          <w:rFonts w:ascii="Bodoni MT" w:hAnsi="Bodoni MT"/>
          <w:sz w:val="24"/>
          <w:szCs w:val="24"/>
        </w:rPr>
        <w:t>L.R. n.</w:t>
      </w:r>
      <w:r w:rsidR="00D408BA">
        <w:rPr>
          <w:rFonts w:ascii="Bodoni MT" w:hAnsi="Bodoni MT"/>
          <w:sz w:val="24"/>
          <w:szCs w:val="24"/>
        </w:rPr>
        <w:t xml:space="preserve"> </w:t>
      </w:r>
      <w:r w:rsidR="003F2251">
        <w:rPr>
          <w:rFonts w:ascii="Bodoni MT" w:hAnsi="Bodoni MT"/>
          <w:sz w:val="24"/>
          <w:szCs w:val="24"/>
        </w:rPr>
        <w:t>32</w:t>
      </w:r>
      <w:r w:rsidR="00FC10C8">
        <w:rPr>
          <w:rFonts w:ascii="Bodoni MT" w:hAnsi="Bodoni MT"/>
          <w:sz w:val="24"/>
          <w:szCs w:val="24"/>
        </w:rPr>
        <w:t>/</w:t>
      </w:r>
      <w:r w:rsidR="00FC10C8" w:rsidRPr="00FF2CC0">
        <w:rPr>
          <w:rFonts w:ascii="Bodoni MT" w:hAnsi="Bodoni MT"/>
          <w:sz w:val="24"/>
          <w:szCs w:val="24"/>
        </w:rPr>
        <w:t>2016</w:t>
      </w:r>
      <w:r w:rsidR="00FC10C8">
        <w:rPr>
          <w:rFonts w:ascii="Bodoni MT" w:hAnsi="Bodoni MT"/>
          <w:sz w:val="24"/>
          <w:szCs w:val="24"/>
        </w:rPr>
        <w:t>, art. 1 comma 50</w:t>
      </w:r>
      <w:r w:rsidR="006525D1">
        <w:rPr>
          <w:rFonts w:ascii="Bodoni MT" w:hAnsi="Bodoni MT"/>
          <w:sz w:val="24"/>
          <w:szCs w:val="24"/>
        </w:rPr>
        <w:t xml:space="preserve">, </w:t>
      </w:r>
      <w:r w:rsidR="006E3588">
        <w:rPr>
          <w:rFonts w:ascii="Bodoni MT" w:hAnsi="Bodoni MT"/>
          <w:sz w:val="24"/>
          <w:szCs w:val="24"/>
        </w:rPr>
        <w:t>come</w:t>
      </w:r>
      <w:r w:rsidR="006525D1">
        <w:rPr>
          <w:rFonts w:ascii="Bodoni MT" w:hAnsi="Bodoni MT"/>
          <w:sz w:val="24"/>
          <w:szCs w:val="24"/>
        </w:rPr>
        <w:t xml:space="preserve"> vengono</w:t>
      </w:r>
      <w:r w:rsidRPr="00FF2CC0">
        <w:rPr>
          <w:rFonts w:ascii="Bodoni MT" w:hAnsi="Bodoni MT"/>
          <w:sz w:val="24"/>
          <w:szCs w:val="24"/>
        </w:rPr>
        <w:t xml:space="preserve"> specificati nella tabella che segue</w:t>
      </w:r>
      <w:r w:rsidR="00357E83">
        <w:rPr>
          <w:rFonts w:ascii="Bodoni MT" w:hAnsi="Bodoni MT"/>
          <w:sz w:val="24"/>
          <w:szCs w:val="24"/>
        </w:rPr>
        <w:t>.</w:t>
      </w:r>
    </w:p>
    <w:p w:rsidR="00FF2CC0" w:rsidRPr="00FF2CC0" w:rsidRDefault="004A7E6A" w:rsidP="004A7E6A">
      <w:pPr>
        <w:pStyle w:val="Didascalia"/>
        <w:rPr>
          <w:sz w:val="24"/>
          <w:szCs w:val="24"/>
        </w:rPr>
      </w:pPr>
      <w:bookmarkStart w:id="269" w:name="_Toc507422522"/>
      <w:r>
        <w:t xml:space="preserve">Tabella </w:t>
      </w:r>
      <w:r w:rsidR="00B90472">
        <w:fldChar w:fldCharType="begin"/>
      </w:r>
      <w:r w:rsidR="00B90472">
        <w:instrText xml:space="preserve"> SEQ Tabella \* ARABIC </w:instrText>
      </w:r>
      <w:r w:rsidR="00B90472">
        <w:fldChar w:fldCharType="separate"/>
      </w:r>
      <w:r w:rsidR="008616B3">
        <w:rPr>
          <w:noProof/>
        </w:rPr>
        <w:t>54</w:t>
      </w:r>
      <w:r w:rsidR="00B90472">
        <w:rPr>
          <w:noProof/>
        </w:rPr>
        <w:fldChar w:fldCharType="end"/>
      </w:r>
      <w:r w:rsidR="00FF2CC0">
        <w:t xml:space="preserve"> -</w:t>
      </w:r>
      <w:r w:rsidR="00FF2CC0" w:rsidRPr="00FF2CC0">
        <w:rPr>
          <w:sz w:val="24"/>
          <w:szCs w:val="24"/>
        </w:rPr>
        <w:t xml:space="preserve"> Debiti fuori bilancio (L.R. 32/2016)</w:t>
      </w:r>
      <w:bookmarkEnd w:id="269"/>
    </w:p>
    <w:tbl>
      <w:tblPr>
        <w:tblStyle w:val="TableGrid3"/>
        <w:tblW w:w="5000" w:type="pct"/>
        <w:jc w:val="center"/>
        <w:tblInd w:w="0" w:type="dxa"/>
        <w:tblCellMar>
          <w:top w:w="25" w:type="dxa"/>
          <w:left w:w="113" w:type="dxa"/>
          <w:bottom w:w="5" w:type="dxa"/>
          <w:right w:w="104" w:type="dxa"/>
        </w:tblCellMar>
        <w:tblLook w:val="04A0" w:firstRow="1" w:lastRow="0" w:firstColumn="1" w:lastColumn="0" w:noHBand="0" w:noVBand="1"/>
      </w:tblPr>
      <w:tblGrid>
        <w:gridCol w:w="2696"/>
        <w:gridCol w:w="3250"/>
        <w:gridCol w:w="1855"/>
        <w:gridCol w:w="2054"/>
      </w:tblGrid>
      <w:tr w:rsidR="00FF2CC0" w:rsidRPr="00FF2CC0" w:rsidTr="00C2317A">
        <w:trPr>
          <w:trHeight w:val="235"/>
          <w:jc w:val="center"/>
        </w:trPr>
        <w:tc>
          <w:tcPr>
            <w:tcW w:w="1368" w:type="pct"/>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FF2CC0" w:rsidRPr="00FF2CC0" w:rsidRDefault="00FF2CC0" w:rsidP="00FF2CC0">
            <w:pPr>
              <w:jc w:val="center"/>
              <w:rPr>
                <w:rFonts w:ascii="Bodoni MT" w:hAnsi="Bodoni MT"/>
                <w:color w:val="FFFFFF" w:themeColor="background1"/>
                <w:sz w:val="20"/>
                <w:szCs w:val="20"/>
              </w:rPr>
            </w:pPr>
            <w:r w:rsidRPr="00FF2CC0">
              <w:rPr>
                <w:rFonts w:ascii="Bodoni MT" w:hAnsi="Bodoni MT"/>
                <w:color w:val="FFFFFF" w:themeColor="background1"/>
                <w:sz w:val="20"/>
                <w:szCs w:val="20"/>
              </w:rPr>
              <w:t>ASSESSORATO COMPETENTE</w:t>
            </w:r>
          </w:p>
        </w:tc>
        <w:tc>
          <w:tcPr>
            <w:tcW w:w="1649" w:type="pct"/>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FF2CC0" w:rsidRPr="00FF2CC0" w:rsidRDefault="00FF2CC0" w:rsidP="00FF2CC0">
            <w:pPr>
              <w:ind w:left="11"/>
              <w:jc w:val="center"/>
              <w:rPr>
                <w:rFonts w:ascii="Bodoni MT" w:hAnsi="Bodoni MT"/>
                <w:color w:val="FFFFFF" w:themeColor="background1"/>
                <w:sz w:val="20"/>
                <w:szCs w:val="20"/>
              </w:rPr>
            </w:pPr>
            <w:r w:rsidRPr="00FF2CC0">
              <w:rPr>
                <w:rFonts w:ascii="Bodoni MT" w:hAnsi="Bodoni MT"/>
                <w:color w:val="FFFFFF" w:themeColor="background1"/>
                <w:sz w:val="20"/>
                <w:szCs w:val="20"/>
              </w:rPr>
              <w:t>DEBITO FUORI BILANCIO</w:t>
            </w:r>
          </w:p>
        </w:tc>
        <w:tc>
          <w:tcPr>
            <w:tcW w:w="941" w:type="pct"/>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FF2CC0" w:rsidRPr="00FF2CC0" w:rsidRDefault="00FF2CC0" w:rsidP="00FF2CC0">
            <w:pPr>
              <w:ind w:left="19"/>
              <w:jc w:val="center"/>
              <w:rPr>
                <w:rFonts w:ascii="Bodoni MT" w:hAnsi="Bodoni MT"/>
                <w:color w:val="FFFFFF" w:themeColor="background1"/>
                <w:sz w:val="20"/>
                <w:szCs w:val="20"/>
              </w:rPr>
            </w:pPr>
            <w:r w:rsidRPr="00FF2CC0">
              <w:rPr>
                <w:rFonts w:ascii="Bodoni MT" w:hAnsi="Bodoni MT"/>
                <w:color w:val="FFFFFF" w:themeColor="background1"/>
                <w:sz w:val="20"/>
                <w:szCs w:val="20"/>
              </w:rPr>
              <w:t>IMPORTO</w:t>
            </w:r>
          </w:p>
        </w:tc>
        <w:tc>
          <w:tcPr>
            <w:tcW w:w="1042" w:type="pct"/>
            <w:tcBorders>
              <w:top w:val="single" w:sz="2" w:space="0" w:color="000000"/>
              <w:left w:val="single" w:sz="2" w:space="0" w:color="000000"/>
              <w:bottom w:val="single" w:sz="2" w:space="0" w:color="000000"/>
              <w:right w:val="single" w:sz="2" w:space="0" w:color="000000"/>
            </w:tcBorders>
            <w:shd w:val="clear" w:color="auto" w:fill="0F243E" w:themeFill="text2" w:themeFillShade="80"/>
            <w:vAlign w:val="center"/>
          </w:tcPr>
          <w:p w:rsidR="00FF2CC0" w:rsidRPr="00FF2CC0" w:rsidRDefault="00FF2CC0" w:rsidP="00FF2CC0">
            <w:pPr>
              <w:ind w:right="28"/>
              <w:jc w:val="center"/>
              <w:rPr>
                <w:rFonts w:ascii="Bodoni MT" w:hAnsi="Bodoni MT"/>
                <w:color w:val="FFFFFF" w:themeColor="background1"/>
                <w:sz w:val="20"/>
                <w:szCs w:val="20"/>
              </w:rPr>
            </w:pPr>
            <w:r w:rsidRPr="00FF2CC0">
              <w:rPr>
                <w:rFonts w:ascii="Bodoni MT" w:hAnsi="Bodoni MT"/>
                <w:color w:val="FFFFFF" w:themeColor="background1"/>
                <w:sz w:val="20"/>
                <w:szCs w:val="20"/>
              </w:rPr>
              <w:t>ALLEGATI</w:t>
            </w:r>
          </w:p>
        </w:tc>
      </w:tr>
      <w:tr w:rsidR="00FF2CC0" w:rsidRPr="00FF2CC0" w:rsidTr="008F0C14">
        <w:trPr>
          <w:trHeight w:val="242"/>
          <w:jc w:val="center"/>
        </w:trPr>
        <w:tc>
          <w:tcPr>
            <w:tcW w:w="1368" w:type="pct"/>
            <w:vMerge w:val="restar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FF2CC0">
            <w:pPr>
              <w:ind w:right="22"/>
              <w:jc w:val="center"/>
              <w:rPr>
                <w:rFonts w:ascii="Bodoni MT" w:hAnsi="Bodoni MT"/>
                <w:color w:val="FFFFFF" w:themeColor="background1"/>
                <w:sz w:val="20"/>
                <w:szCs w:val="20"/>
              </w:rPr>
            </w:pPr>
            <w:r w:rsidRPr="00FF2CC0">
              <w:rPr>
                <w:rFonts w:ascii="Bodoni MT" w:hAnsi="Bodoni MT"/>
                <w:color w:val="FFFFFF" w:themeColor="background1"/>
                <w:sz w:val="20"/>
                <w:szCs w:val="20"/>
              </w:rPr>
              <w:t>ASS.TO</w:t>
            </w:r>
          </w:p>
          <w:p w:rsidR="00FF2CC0" w:rsidRPr="00FF2CC0" w:rsidRDefault="00FF2CC0" w:rsidP="00FF2CC0">
            <w:pPr>
              <w:ind w:left="2"/>
              <w:jc w:val="center"/>
              <w:rPr>
                <w:rFonts w:ascii="Bodoni MT" w:hAnsi="Bodoni MT"/>
                <w:color w:val="FFFFFF" w:themeColor="background1"/>
                <w:sz w:val="20"/>
                <w:szCs w:val="20"/>
              </w:rPr>
            </w:pPr>
            <w:r w:rsidRPr="00FF2CC0">
              <w:rPr>
                <w:rFonts w:ascii="Bodoni MT" w:hAnsi="Bodoni MT"/>
                <w:color w:val="FFFFFF" w:themeColor="background1"/>
                <w:sz w:val="20"/>
                <w:szCs w:val="20"/>
              </w:rPr>
              <w:t>DELL'INDUSTRIA</w:t>
            </w: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rPr>
                <w:rFonts w:ascii="Bodoni MT" w:hAnsi="Bodoni MT"/>
                <w:color w:val="FFFFFF" w:themeColor="background1"/>
                <w:sz w:val="20"/>
                <w:szCs w:val="20"/>
              </w:rPr>
            </w:pPr>
            <w:r w:rsidRPr="00FF2CC0">
              <w:rPr>
                <w:rFonts w:ascii="Bodoni MT" w:hAnsi="Bodoni MT"/>
                <w:color w:val="FFFFFF" w:themeColor="background1"/>
                <w:sz w:val="20"/>
                <w:szCs w:val="20"/>
              </w:rPr>
              <w:t>Somma dovuta dalla RAS alla SFIRS</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19.342,45</w:t>
            </w:r>
          </w:p>
        </w:tc>
        <w:tc>
          <w:tcPr>
            <w:tcW w:w="1042" w:type="pct"/>
            <w:vMerge w:val="restar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hanging="5"/>
              <w:jc w:val="center"/>
              <w:rPr>
                <w:rFonts w:ascii="Bodoni MT" w:hAnsi="Bodoni MT"/>
                <w:sz w:val="20"/>
                <w:szCs w:val="20"/>
              </w:rPr>
            </w:pPr>
            <w:r w:rsidRPr="00FF2CC0">
              <w:rPr>
                <w:rFonts w:ascii="Bodoni MT" w:hAnsi="Bodoni MT"/>
                <w:sz w:val="20"/>
                <w:szCs w:val="20"/>
              </w:rPr>
              <w:t>Nota prot. n. 5034 del 15/02/2017 e nota n.</w:t>
            </w:r>
            <w:r>
              <w:rPr>
                <w:rFonts w:ascii="Bodoni MT" w:hAnsi="Bodoni MT"/>
                <w:sz w:val="20"/>
                <w:szCs w:val="20"/>
              </w:rPr>
              <w:t> </w:t>
            </w:r>
            <w:r w:rsidRPr="00FF2CC0">
              <w:rPr>
                <w:rFonts w:ascii="Bodoni MT" w:hAnsi="Bodoni MT"/>
                <w:sz w:val="20"/>
                <w:szCs w:val="20"/>
              </w:rPr>
              <w:t>5150 del 15/02/2017</w:t>
            </w:r>
          </w:p>
        </w:tc>
      </w:tr>
      <w:tr w:rsidR="00FF2CC0" w:rsidRPr="00FF2CC0" w:rsidTr="008F0C14">
        <w:trPr>
          <w:trHeight w:val="103"/>
          <w:jc w:val="center"/>
        </w:trPr>
        <w:tc>
          <w:tcPr>
            <w:tcW w:w="1368" w:type="pct"/>
            <w:vMerge/>
            <w:tcBorders>
              <w:top w:val="nil"/>
              <w:left w:val="single" w:sz="2" w:space="0" w:color="000000"/>
              <w:bottom w:val="nil"/>
              <w:right w:val="single" w:sz="2" w:space="0" w:color="000000"/>
            </w:tcBorders>
            <w:shd w:val="clear" w:color="auto" w:fill="95B3D7" w:themeFill="accent1" w:themeFillTint="99"/>
          </w:tcPr>
          <w:p w:rsidR="00FF2CC0" w:rsidRPr="00FF2CC0" w:rsidRDefault="00FF2CC0" w:rsidP="00FF2CC0">
            <w:pPr>
              <w:spacing w:after="160"/>
              <w:rPr>
                <w:rFonts w:ascii="Bodoni MT" w:hAnsi="Bodoni MT"/>
                <w:color w:val="FFFFFF" w:themeColor="background1"/>
                <w:sz w:val="20"/>
                <w:szCs w:val="20"/>
              </w:rPr>
            </w:pP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rPr>
                <w:rFonts w:ascii="Bodoni MT" w:hAnsi="Bodoni MT"/>
                <w:color w:val="FFFFFF" w:themeColor="background1"/>
                <w:sz w:val="20"/>
                <w:szCs w:val="20"/>
              </w:rPr>
            </w:pPr>
            <w:r w:rsidRPr="00FF2CC0">
              <w:rPr>
                <w:rFonts w:ascii="Bodoni MT" w:hAnsi="Bodoni MT"/>
                <w:color w:val="FFFFFF" w:themeColor="background1"/>
                <w:sz w:val="20"/>
                <w:szCs w:val="20"/>
              </w:rPr>
              <w:t>Convenzione Università di Cagliari</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24.400,00</w:t>
            </w:r>
          </w:p>
        </w:tc>
        <w:tc>
          <w:tcPr>
            <w:tcW w:w="1042" w:type="pct"/>
            <w:vMerge/>
            <w:tcBorders>
              <w:top w:val="nil"/>
              <w:left w:val="single" w:sz="2" w:space="0" w:color="000000"/>
              <w:bottom w:val="nil"/>
              <w:right w:val="single" w:sz="2" w:space="0" w:color="000000"/>
            </w:tcBorders>
            <w:vAlign w:val="center"/>
          </w:tcPr>
          <w:p w:rsidR="00FF2CC0" w:rsidRPr="00FF2CC0" w:rsidRDefault="00FF2CC0" w:rsidP="00FF2CC0">
            <w:pPr>
              <w:spacing w:after="160"/>
              <w:jc w:val="center"/>
              <w:rPr>
                <w:rFonts w:ascii="Bodoni MT" w:hAnsi="Bodoni MT"/>
                <w:sz w:val="20"/>
                <w:szCs w:val="20"/>
              </w:rPr>
            </w:pPr>
          </w:p>
        </w:tc>
      </w:tr>
      <w:tr w:rsidR="00FF2CC0" w:rsidRPr="00FF2CC0" w:rsidTr="008F0C14">
        <w:trPr>
          <w:trHeight w:val="304"/>
          <w:jc w:val="center"/>
        </w:trPr>
        <w:tc>
          <w:tcPr>
            <w:tcW w:w="1368" w:type="pct"/>
            <w:vMerge/>
            <w:tcBorders>
              <w:top w:val="nil"/>
              <w:left w:val="single" w:sz="2" w:space="0" w:color="000000"/>
              <w:bottom w:val="nil"/>
              <w:right w:val="single" w:sz="2" w:space="0" w:color="000000"/>
            </w:tcBorders>
            <w:shd w:val="clear" w:color="auto" w:fill="95B3D7" w:themeFill="accent1" w:themeFillTint="99"/>
          </w:tcPr>
          <w:p w:rsidR="00FF2CC0" w:rsidRPr="00FF2CC0" w:rsidRDefault="00FF2CC0" w:rsidP="00FF2CC0">
            <w:pPr>
              <w:spacing w:after="160"/>
              <w:rPr>
                <w:rFonts w:ascii="Bodoni MT" w:hAnsi="Bodoni MT"/>
                <w:color w:val="FFFFFF" w:themeColor="background1"/>
                <w:sz w:val="20"/>
                <w:szCs w:val="20"/>
              </w:rPr>
            </w:pP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rPr>
                <w:rFonts w:ascii="Bodoni MT" w:hAnsi="Bodoni MT"/>
                <w:color w:val="FFFFFF" w:themeColor="background1"/>
                <w:sz w:val="20"/>
                <w:szCs w:val="20"/>
              </w:rPr>
            </w:pPr>
            <w:r w:rsidRPr="00FF2CC0">
              <w:rPr>
                <w:rFonts w:ascii="Bodoni MT" w:hAnsi="Bodoni MT"/>
                <w:color w:val="FFFFFF" w:themeColor="background1"/>
                <w:sz w:val="20"/>
                <w:szCs w:val="20"/>
              </w:rPr>
              <w:t>Costi sostenuti da IGEA Spa per conto della RAS</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9.498.920,00</w:t>
            </w:r>
          </w:p>
        </w:tc>
        <w:tc>
          <w:tcPr>
            <w:tcW w:w="1042" w:type="pct"/>
            <w:vMerge/>
            <w:tcBorders>
              <w:top w:val="nil"/>
              <w:left w:val="single" w:sz="2" w:space="0" w:color="000000"/>
              <w:bottom w:val="nil"/>
              <w:right w:val="single" w:sz="2" w:space="0" w:color="000000"/>
            </w:tcBorders>
            <w:vAlign w:val="center"/>
          </w:tcPr>
          <w:p w:rsidR="00FF2CC0" w:rsidRPr="00FF2CC0" w:rsidRDefault="00FF2CC0" w:rsidP="00FF2CC0">
            <w:pPr>
              <w:spacing w:after="160"/>
              <w:jc w:val="center"/>
              <w:rPr>
                <w:rFonts w:ascii="Bodoni MT" w:hAnsi="Bodoni MT"/>
                <w:sz w:val="20"/>
                <w:szCs w:val="20"/>
              </w:rPr>
            </w:pPr>
          </w:p>
        </w:tc>
      </w:tr>
      <w:tr w:rsidR="00FF2CC0" w:rsidRPr="00FF2CC0" w:rsidTr="008F0C14">
        <w:trPr>
          <w:trHeight w:val="297"/>
          <w:jc w:val="center"/>
        </w:trPr>
        <w:tc>
          <w:tcPr>
            <w:tcW w:w="1368" w:type="pct"/>
            <w:vMerge/>
            <w:tcBorders>
              <w:top w:val="nil"/>
              <w:left w:val="single" w:sz="2" w:space="0" w:color="000000"/>
              <w:bottom w:val="nil"/>
              <w:right w:val="single" w:sz="2" w:space="0" w:color="000000"/>
            </w:tcBorders>
            <w:shd w:val="clear" w:color="auto" w:fill="95B3D7" w:themeFill="accent1" w:themeFillTint="99"/>
          </w:tcPr>
          <w:p w:rsidR="00FF2CC0" w:rsidRPr="00FF2CC0" w:rsidRDefault="00FF2CC0" w:rsidP="00FF2CC0">
            <w:pPr>
              <w:spacing w:after="160"/>
              <w:rPr>
                <w:rFonts w:ascii="Bodoni MT" w:hAnsi="Bodoni MT"/>
                <w:color w:val="FFFFFF" w:themeColor="background1"/>
                <w:sz w:val="20"/>
                <w:szCs w:val="20"/>
              </w:rPr>
            </w:pP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firstLine="5"/>
              <w:rPr>
                <w:rFonts w:ascii="Bodoni MT" w:hAnsi="Bodoni MT"/>
                <w:color w:val="FFFFFF" w:themeColor="background1"/>
                <w:sz w:val="20"/>
                <w:szCs w:val="20"/>
              </w:rPr>
            </w:pPr>
            <w:r w:rsidRPr="00FF2CC0">
              <w:rPr>
                <w:rFonts w:ascii="Bodoni MT" w:hAnsi="Bodoni MT"/>
                <w:color w:val="FFFFFF" w:themeColor="background1"/>
                <w:sz w:val="20"/>
                <w:szCs w:val="20"/>
              </w:rPr>
              <w:t>Fluorite di Silius Spa per incentivo all'esodo dei dipendenti</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226.383,36</w:t>
            </w:r>
          </w:p>
        </w:tc>
        <w:tc>
          <w:tcPr>
            <w:tcW w:w="1042" w:type="pct"/>
            <w:vMerge/>
            <w:tcBorders>
              <w:top w:val="nil"/>
              <w:left w:val="single" w:sz="2" w:space="0" w:color="000000"/>
              <w:bottom w:val="nil"/>
              <w:right w:val="single" w:sz="2" w:space="0" w:color="000000"/>
            </w:tcBorders>
            <w:vAlign w:val="center"/>
          </w:tcPr>
          <w:p w:rsidR="00FF2CC0" w:rsidRPr="00FF2CC0" w:rsidRDefault="00FF2CC0" w:rsidP="00FF2CC0">
            <w:pPr>
              <w:spacing w:after="160"/>
              <w:jc w:val="center"/>
              <w:rPr>
                <w:rFonts w:ascii="Bodoni MT" w:hAnsi="Bodoni MT"/>
                <w:sz w:val="20"/>
                <w:szCs w:val="20"/>
              </w:rPr>
            </w:pPr>
          </w:p>
        </w:tc>
      </w:tr>
      <w:tr w:rsidR="00FF2CC0" w:rsidRPr="00FF2CC0" w:rsidTr="008F0C14">
        <w:trPr>
          <w:trHeight w:val="317"/>
          <w:jc w:val="center"/>
        </w:trPr>
        <w:tc>
          <w:tcPr>
            <w:tcW w:w="1368" w:type="pct"/>
            <w:vMerge/>
            <w:tcBorders>
              <w:top w:val="nil"/>
              <w:left w:val="single" w:sz="2" w:space="0" w:color="000000"/>
              <w:bottom w:val="single" w:sz="2" w:space="0" w:color="000000"/>
              <w:right w:val="single" w:sz="2" w:space="0" w:color="000000"/>
            </w:tcBorders>
            <w:shd w:val="clear" w:color="auto" w:fill="95B3D7" w:themeFill="accent1" w:themeFillTint="99"/>
          </w:tcPr>
          <w:p w:rsidR="00FF2CC0" w:rsidRPr="00FF2CC0" w:rsidRDefault="00FF2CC0" w:rsidP="00FF2CC0">
            <w:pPr>
              <w:spacing w:after="160"/>
              <w:rPr>
                <w:rFonts w:ascii="Bodoni MT" w:hAnsi="Bodoni MT"/>
                <w:color w:val="FFFFFF" w:themeColor="background1"/>
                <w:sz w:val="20"/>
                <w:szCs w:val="20"/>
              </w:rPr>
            </w:pP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17" w:hanging="10"/>
              <w:rPr>
                <w:rFonts w:ascii="Bodoni MT" w:hAnsi="Bodoni MT"/>
                <w:color w:val="FFFFFF" w:themeColor="background1"/>
                <w:sz w:val="20"/>
                <w:szCs w:val="20"/>
              </w:rPr>
            </w:pPr>
            <w:r w:rsidRPr="00FF2CC0">
              <w:rPr>
                <w:rFonts w:ascii="Bodoni MT" w:hAnsi="Bodoni MT"/>
                <w:color w:val="FFFFFF" w:themeColor="background1"/>
                <w:sz w:val="20"/>
                <w:szCs w:val="20"/>
              </w:rPr>
              <w:t>Saldo gestione liquidatoria della Fluorite di Silius Spa</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32"/>
              <w:jc w:val="center"/>
              <w:rPr>
                <w:rFonts w:cstheme="minorHAnsi"/>
                <w:sz w:val="20"/>
                <w:szCs w:val="20"/>
              </w:rPr>
            </w:pPr>
            <w:r w:rsidRPr="00FF2CC0">
              <w:rPr>
                <w:rFonts w:eastAsia="Calibri" w:cstheme="minorHAnsi"/>
                <w:sz w:val="20"/>
                <w:szCs w:val="20"/>
              </w:rPr>
              <w:t>518.405,71</w:t>
            </w:r>
          </w:p>
        </w:tc>
        <w:tc>
          <w:tcPr>
            <w:tcW w:w="1042" w:type="pct"/>
            <w:vMerge/>
            <w:tcBorders>
              <w:top w:val="nil"/>
              <w:left w:val="single" w:sz="2" w:space="0" w:color="000000"/>
              <w:bottom w:val="single" w:sz="2" w:space="0" w:color="000000"/>
              <w:right w:val="single" w:sz="2" w:space="0" w:color="000000"/>
            </w:tcBorders>
            <w:vAlign w:val="center"/>
          </w:tcPr>
          <w:p w:rsidR="00FF2CC0" w:rsidRPr="00FF2CC0" w:rsidRDefault="00FF2CC0" w:rsidP="00FF2CC0">
            <w:pPr>
              <w:spacing w:after="160"/>
              <w:jc w:val="center"/>
              <w:rPr>
                <w:rFonts w:ascii="Bodoni MT" w:hAnsi="Bodoni MT"/>
                <w:sz w:val="20"/>
                <w:szCs w:val="20"/>
              </w:rPr>
            </w:pPr>
          </w:p>
        </w:tc>
      </w:tr>
      <w:tr w:rsidR="00FF2CC0" w:rsidRPr="00FF2CC0" w:rsidTr="008F0C14">
        <w:trPr>
          <w:trHeight w:val="182"/>
          <w:jc w:val="center"/>
        </w:trPr>
        <w:tc>
          <w:tcPr>
            <w:tcW w:w="1368"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tcPr>
          <w:p w:rsidR="00FF2CC0" w:rsidRPr="00FF2CC0" w:rsidRDefault="00FF2CC0" w:rsidP="00FF2CC0">
            <w:pPr>
              <w:jc w:val="center"/>
              <w:rPr>
                <w:rFonts w:ascii="Bodoni MT" w:hAnsi="Bodoni MT"/>
                <w:color w:val="FFFFFF" w:themeColor="background1"/>
                <w:sz w:val="20"/>
                <w:szCs w:val="20"/>
              </w:rPr>
            </w:pPr>
            <w:r w:rsidRPr="00FF2CC0">
              <w:rPr>
                <w:rFonts w:ascii="Bodoni MT" w:hAnsi="Bodoni MT"/>
                <w:color w:val="FFFFFF" w:themeColor="background1"/>
                <w:sz w:val="20"/>
                <w:szCs w:val="20"/>
              </w:rPr>
              <w:t>ASS.TO DEI LAVORI PUBBLICI</w:t>
            </w: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rPr>
                <w:rFonts w:ascii="Bodoni MT" w:hAnsi="Bodoni MT"/>
                <w:color w:val="FFFFFF" w:themeColor="background1"/>
                <w:sz w:val="20"/>
                <w:szCs w:val="20"/>
              </w:rPr>
            </w:pPr>
            <w:r w:rsidRPr="00FF2CC0">
              <w:rPr>
                <w:rFonts w:ascii="Bodoni MT" w:hAnsi="Bodoni MT"/>
                <w:color w:val="FFFFFF" w:themeColor="background1"/>
                <w:sz w:val="20"/>
                <w:szCs w:val="20"/>
              </w:rPr>
              <w:t>Convenzione con la "Sistemi Srl"</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31.822,54</w:t>
            </w:r>
          </w:p>
        </w:tc>
        <w:tc>
          <w:tcPr>
            <w:tcW w:w="1042"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hanging="5"/>
              <w:jc w:val="center"/>
              <w:rPr>
                <w:rFonts w:ascii="Bodoni MT" w:hAnsi="Bodoni MT"/>
                <w:sz w:val="20"/>
                <w:szCs w:val="20"/>
              </w:rPr>
            </w:pPr>
            <w:r w:rsidRPr="00FF2CC0">
              <w:rPr>
                <w:rFonts w:ascii="Bodoni MT" w:hAnsi="Bodoni MT"/>
                <w:sz w:val="20"/>
                <w:szCs w:val="20"/>
              </w:rPr>
              <w:t xml:space="preserve">Nota prot. n. 6845 del </w:t>
            </w:r>
            <w:r w:rsidRPr="00FF2CC0">
              <w:rPr>
                <w:rFonts w:ascii="Bodoni MT" w:eastAsia="Calibri" w:hAnsi="Bodoni MT" w:cs="Calibri"/>
                <w:sz w:val="20"/>
                <w:szCs w:val="20"/>
              </w:rPr>
              <w:t>15/02/2017</w:t>
            </w:r>
          </w:p>
        </w:tc>
      </w:tr>
      <w:tr w:rsidR="00FF2CC0" w:rsidRPr="00FF2CC0" w:rsidTr="008F0C14">
        <w:trPr>
          <w:trHeight w:val="187"/>
          <w:jc w:val="center"/>
        </w:trPr>
        <w:tc>
          <w:tcPr>
            <w:tcW w:w="1368" w:type="pct"/>
            <w:vMerge w:val="restar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FF2CC0">
            <w:pPr>
              <w:ind w:right="8"/>
              <w:jc w:val="center"/>
              <w:rPr>
                <w:rFonts w:ascii="Bodoni MT" w:hAnsi="Bodoni MT"/>
                <w:color w:val="FFFFFF" w:themeColor="background1"/>
                <w:sz w:val="20"/>
                <w:szCs w:val="20"/>
              </w:rPr>
            </w:pPr>
            <w:r w:rsidRPr="00FF2CC0">
              <w:rPr>
                <w:rFonts w:ascii="Bodoni MT" w:hAnsi="Bodoni MT"/>
                <w:color w:val="FFFFFF" w:themeColor="background1"/>
                <w:sz w:val="20"/>
                <w:szCs w:val="20"/>
              </w:rPr>
              <w:t>ASS.TO DEL</w:t>
            </w:r>
          </w:p>
          <w:p w:rsidR="00FF2CC0" w:rsidRPr="00FF2CC0" w:rsidRDefault="00FF2CC0" w:rsidP="00FF2CC0">
            <w:pPr>
              <w:jc w:val="center"/>
              <w:rPr>
                <w:rFonts w:ascii="Bodoni MT" w:hAnsi="Bodoni MT"/>
                <w:color w:val="FFFFFF" w:themeColor="background1"/>
                <w:sz w:val="20"/>
                <w:szCs w:val="20"/>
              </w:rPr>
            </w:pPr>
            <w:r w:rsidRPr="00FF2CC0">
              <w:rPr>
                <w:rFonts w:ascii="Bodoni MT" w:hAnsi="Bodoni MT"/>
                <w:color w:val="FFFFFF" w:themeColor="background1"/>
                <w:sz w:val="20"/>
                <w:szCs w:val="20"/>
              </w:rPr>
              <w:t>TURISMO, ARTIGIANATO E COMMERCIO</w:t>
            </w: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11"/>
              <w:rPr>
                <w:rFonts w:ascii="Bodoni MT" w:hAnsi="Bodoni MT"/>
                <w:color w:val="FFFFFF" w:themeColor="background1"/>
                <w:sz w:val="20"/>
                <w:szCs w:val="20"/>
              </w:rPr>
            </w:pPr>
            <w:r w:rsidRPr="00FF2CC0">
              <w:rPr>
                <w:rFonts w:ascii="Bodoni MT" w:hAnsi="Bodoni MT"/>
                <w:color w:val="FFFFFF" w:themeColor="background1"/>
                <w:sz w:val="20"/>
                <w:szCs w:val="20"/>
              </w:rPr>
              <w:t>Concessione agevolazioni di cui alla</w:t>
            </w:r>
          </w:p>
          <w:p w:rsidR="00FF2CC0" w:rsidRPr="00FF2CC0" w:rsidRDefault="00FF2CC0" w:rsidP="008F0C14">
            <w:pPr>
              <w:ind w:left="16"/>
              <w:rPr>
                <w:rFonts w:ascii="Bodoni MT" w:hAnsi="Bodoni MT"/>
                <w:color w:val="FFFFFF" w:themeColor="background1"/>
                <w:sz w:val="20"/>
                <w:szCs w:val="20"/>
              </w:rPr>
            </w:pPr>
            <w:r w:rsidRPr="00FF2CC0">
              <w:rPr>
                <w:rFonts w:ascii="Bodoni MT" w:hAnsi="Bodoni MT"/>
                <w:color w:val="FFFFFF" w:themeColor="background1"/>
                <w:sz w:val="20"/>
                <w:szCs w:val="20"/>
              </w:rPr>
              <w:t>L.R. 24 gennaio 2002, n.l</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8"/>
              <w:jc w:val="center"/>
              <w:rPr>
                <w:rFonts w:cstheme="minorHAnsi"/>
                <w:sz w:val="20"/>
                <w:szCs w:val="20"/>
              </w:rPr>
            </w:pPr>
            <w:r w:rsidRPr="00FF2CC0">
              <w:rPr>
                <w:rFonts w:eastAsia="Calibri" w:cstheme="minorHAnsi"/>
                <w:sz w:val="20"/>
                <w:szCs w:val="20"/>
              </w:rPr>
              <w:t>777.000,00</w:t>
            </w:r>
          </w:p>
        </w:tc>
        <w:tc>
          <w:tcPr>
            <w:tcW w:w="1042" w:type="pct"/>
            <w:vMerge w:val="restar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jc w:val="center"/>
              <w:rPr>
                <w:rFonts w:ascii="Bodoni MT" w:hAnsi="Bodoni MT"/>
                <w:sz w:val="20"/>
                <w:szCs w:val="20"/>
              </w:rPr>
            </w:pPr>
            <w:r w:rsidRPr="00FF2CC0">
              <w:rPr>
                <w:rFonts w:ascii="Bodoni MT" w:hAnsi="Bodoni MT"/>
                <w:sz w:val="20"/>
                <w:szCs w:val="20"/>
              </w:rPr>
              <w:t xml:space="preserve">Nota prot. n. 1536 del </w:t>
            </w:r>
            <w:r w:rsidRPr="00FF2CC0">
              <w:rPr>
                <w:rFonts w:ascii="Bodoni MT" w:eastAsia="Calibri" w:hAnsi="Bodoni MT" w:cs="Calibri"/>
                <w:sz w:val="20"/>
                <w:szCs w:val="20"/>
              </w:rPr>
              <w:t>17/02/2017</w:t>
            </w:r>
          </w:p>
        </w:tc>
      </w:tr>
      <w:tr w:rsidR="00FF2CC0" w:rsidRPr="00FF2CC0" w:rsidTr="008F0C14">
        <w:trPr>
          <w:trHeight w:val="555"/>
          <w:jc w:val="center"/>
        </w:trPr>
        <w:tc>
          <w:tcPr>
            <w:tcW w:w="1368" w:type="pct"/>
            <w:vMerge/>
            <w:tcBorders>
              <w:top w:val="nil"/>
              <w:left w:val="single" w:sz="2" w:space="0" w:color="000000"/>
              <w:bottom w:val="single" w:sz="2" w:space="0" w:color="000000"/>
              <w:right w:val="single" w:sz="2" w:space="0" w:color="000000"/>
            </w:tcBorders>
            <w:shd w:val="clear" w:color="auto" w:fill="95B3D7" w:themeFill="accent1" w:themeFillTint="99"/>
          </w:tcPr>
          <w:p w:rsidR="00FF2CC0" w:rsidRPr="00FF2CC0" w:rsidRDefault="00FF2CC0" w:rsidP="00FF2CC0">
            <w:pPr>
              <w:spacing w:after="160"/>
              <w:rPr>
                <w:rFonts w:ascii="Bodoni MT" w:hAnsi="Bodoni MT"/>
                <w:color w:val="FFFFFF" w:themeColor="background1"/>
                <w:sz w:val="20"/>
                <w:szCs w:val="20"/>
              </w:rPr>
            </w:pPr>
          </w:p>
        </w:tc>
        <w:tc>
          <w:tcPr>
            <w:tcW w:w="1649" w:type="pct"/>
            <w:tcBorders>
              <w:top w:val="single" w:sz="2" w:space="0" w:color="000000"/>
              <w:left w:val="single" w:sz="2" w:space="0" w:color="000000"/>
              <w:bottom w:val="single" w:sz="2" w:space="0" w:color="000000"/>
              <w:right w:val="single" w:sz="2" w:space="0" w:color="000000"/>
            </w:tcBorders>
            <w:shd w:val="clear" w:color="auto" w:fill="95B3D7" w:themeFill="accent1" w:themeFillTint="99"/>
            <w:vAlign w:val="center"/>
          </w:tcPr>
          <w:p w:rsidR="00FF2CC0" w:rsidRPr="00FF2CC0" w:rsidRDefault="00FF2CC0" w:rsidP="008F0C14">
            <w:pPr>
              <w:ind w:left="7" w:right="5" w:firstLine="5"/>
              <w:rPr>
                <w:rFonts w:ascii="Bodoni MT" w:hAnsi="Bodoni MT"/>
                <w:color w:val="FFFFFF" w:themeColor="background1"/>
                <w:sz w:val="20"/>
                <w:szCs w:val="20"/>
              </w:rPr>
            </w:pPr>
            <w:r w:rsidRPr="00FF2CC0">
              <w:rPr>
                <w:rFonts w:ascii="Bodoni MT" w:hAnsi="Bodoni MT"/>
                <w:color w:val="FFFFFF" w:themeColor="background1"/>
                <w:sz w:val="20"/>
                <w:szCs w:val="20"/>
              </w:rPr>
              <w:t>Convenzioni con le Camere di Commercio, Industria, artigianati e a ricoltura</w:t>
            </w:r>
          </w:p>
        </w:tc>
        <w:tc>
          <w:tcPr>
            <w:tcW w:w="941" w:type="pct"/>
            <w:tcBorders>
              <w:top w:val="single" w:sz="2" w:space="0" w:color="000000"/>
              <w:left w:val="single" w:sz="2" w:space="0" w:color="000000"/>
              <w:bottom w:val="single" w:sz="2" w:space="0" w:color="000000"/>
              <w:right w:val="single" w:sz="2" w:space="0" w:color="000000"/>
            </w:tcBorders>
            <w:vAlign w:val="center"/>
          </w:tcPr>
          <w:p w:rsidR="00FF2CC0" w:rsidRPr="00FF2CC0" w:rsidRDefault="00FF2CC0" w:rsidP="00FF2CC0">
            <w:pPr>
              <w:ind w:right="4"/>
              <w:jc w:val="center"/>
              <w:rPr>
                <w:rFonts w:cstheme="minorHAnsi"/>
                <w:sz w:val="20"/>
                <w:szCs w:val="20"/>
              </w:rPr>
            </w:pPr>
            <w:r w:rsidRPr="00FF2CC0">
              <w:rPr>
                <w:rFonts w:eastAsia="Calibri" w:cstheme="minorHAnsi"/>
                <w:sz w:val="20"/>
                <w:szCs w:val="20"/>
              </w:rPr>
              <w:t>3.560.000,00</w:t>
            </w:r>
          </w:p>
        </w:tc>
        <w:tc>
          <w:tcPr>
            <w:tcW w:w="1042" w:type="pct"/>
            <w:vMerge/>
            <w:tcBorders>
              <w:top w:val="nil"/>
              <w:left w:val="single" w:sz="2" w:space="0" w:color="000000"/>
              <w:bottom w:val="single" w:sz="2" w:space="0" w:color="000000"/>
              <w:right w:val="single" w:sz="2" w:space="0" w:color="000000"/>
            </w:tcBorders>
          </w:tcPr>
          <w:p w:rsidR="00FF2CC0" w:rsidRPr="00FF2CC0" w:rsidRDefault="00FF2CC0" w:rsidP="00FF2CC0">
            <w:pPr>
              <w:spacing w:after="160"/>
              <w:rPr>
                <w:rFonts w:ascii="Bodoni MT" w:hAnsi="Bodoni MT"/>
                <w:sz w:val="20"/>
                <w:szCs w:val="20"/>
              </w:rPr>
            </w:pPr>
          </w:p>
        </w:tc>
      </w:tr>
    </w:tbl>
    <w:p w:rsidR="00FF2CC0" w:rsidRPr="00FF2CC0" w:rsidRDefault="00FF2CC0" w:rsidP="00FF2CC0">
      <w:pPr>
        <w:spacing w:line="360" w:lineRule="auto"/>
        <w:jc w:val="both"/>
        <w:rPr>
          <w:rFonts w:ascii="Bodoni MT" w:hAnsi="Bodoni MT"/>
          <w:sz w:val="18"/>
          <w:szCs w:val="18"/>
        </w:rPr>
      </w:pPr>
      <w:r w:rsidRPr="00FF2CC0">
        <w:rPr>
          <w:rFonts w:ascii="Bodoni MT" w:hAnsi="Bodoni MT"/>
          <w:sz w:val="18"/>
          <w:szCs w:val="18"/>
        </w:rPr>
        <w:t>Fonte: Dati RAS</w:t>
      </w:r>
    </w:p>
    <w:p w:rsidR="00190715" w:rsidRDefault="00357E83" w:rsidP="00844304">
      <w:pPr>
        <w:spacing w:after="120" w:line="360" w:lineRule="auto"/>
        <w:jc w:val="both"/>
        <w:rPr>
          <w:rFonts w:ascii="Bodoni MT" w:hAnsi="Bodoni MT"/>
          <w:sz w:val="24"/>
          <w:szCs w:val="24"/>
        </w:rPr>
      </w:pPr>
      <w:r>
        <w:rPr>
          <w:rFonts w:ascii="Bodoni MT" w:hAnsi="Bodoni MT"/>
          <w:sz w:val="24"/>
          <w:szCs w:val="24"/>
        </w:rPr>
        <w:t xml:space="preserve">In sede istruttoria, però, </w:t>
      </w:r>
      <w:r w:rsidR="00190715">
        <w:rPr>
          <w:rFonts w:ascii="Bodoni MT" w:hAnsi="Bodoni MT"/>
          <w:sz w:val="24"/>
          <w:szCs w:val="24"/>
        </w:rPr>
        <w:t>la Regione</w:t>
      </w:r>
      <w:r w:rsidR="00190715" w:rsidRPr="00FF2CC0">
        <w:rPr>
          <w:rFonts w:ascii="Bodoni MT" w:hAnsi="Bodoni MT"/>
          <w:sz w:val="24"/>
          <w:szCs w:val="24"/>
        </w:rPr>
        <w:t xml:space="preserve"> </w:t>
      </w:r>
      <w:r w:rsidR="00FF2CC0" w:rsidRPr="00FF2CC0">
        <w:rPr>
          <w:rFonts w:ascii="Bodoni MT" w:hAnsi="Bodoni MT"/>
          <w:sz w:val="24"/>
          <w:szCs w:val="24"/>
        </w:rPr>
        <w:t xml:space="preserve">fa riferimento alla possibilità che sussistano ulteriori debiti fuori bilancio </w:t>
      </w:r>
      <w:r>
        <w:rPr>
          <w:rFonts w:ascii="Bodoni MT" w:hAnsi="Bodoni MT"/>
          <w:sz w:val="24"/>
          <w:szCs w:val="24"/>
        </w:rPr>
        <w:t xml:space="preserve">da parte </w:t>
      </w:r>
      <w:r w:rsidR="00FF2CC0" w:rsidRPr="00FF2CC0">
        <w:rPr>
          <w:rFonts w:ascii="Bodoni MT" w:hAnsi="Bodoni MT"/>
          <w:sz w:val="24"/>
          <w:szCs w:val="24"/>
        </w:rPr>
        <w:t>dell’Ass.to Turismo</w:t>
      </w:r>
      <w:r>
        <w:rPr>
          <w:rFonts w:ascii="Bodoni MT" w:hAnsi="Bodoni MT"/>
          <w:sz w:val="24"/>
          <w:szCs w:val="24"/>
        </w:rPr>
        <w:t xml:space="preserve"> (per</w:t>
      </w:r>
      <w:r w:rsidR="00FF2CC0" w:rsidRPr="00FF2CC0">
        <w:rPr>
          <w:rFonts w:ascii="Bodoni MT" w:hAnsi="Bodoni MT"/>
          <w:sz w:val="24"/>
          <w:szCs w:val="24"/>
        </w:rPr>
        <w:t xml:space="preserve"> l’importo complessivo di € 231.010,00)</w:t>
      </w:r>
      <w:r w:rsidR="00190715">
        <w:rPr>
          <w:rFonts w:ascii="Bodoni MT" w:hAnsi="Bodoni MT"/>
          <w:sz w:val="24"/>
          <w:szCs w:val="24"/>
        </w:rPr>
        <w:t>,</w:t>
      </w:r>
      <w:r w:rsidR="00FF2CC0" w:rsidRPr="00FF2CC0">
        <w:rPr>
          <w:rFonts w:ascii="Bodoni MT" w:hAnsi="Bodoni MT"/>
          <w:sz w:val="24"/>
          <w:szCs w:val="24"/>
        </w:rPr>
        <w:t xml:space="preserve"> per i quali </w:t>
      </w:r>
      <w:r w:rsidR="00190715">
        <w:rPr>
          <w:rFonts w:ascii="Bodoni MT" w:hAnsi="Bodoni MT"/>
          <w:sz w:val="24"/>
          <w:szCs w:val="24"/>
        </w:rPr>
        <w:t xml:space="preserve">si avvisa che </w:t>
      </w:r>
      <w:r w:rsidR="00FF2CC0" w:rsidRPr="00FF2CC0">
        <w:rPr>
          <w:rFonts w:ascii="Bodoni MT" w:hAnsi="Bodoni MT"/>
          <w:sz w:val="24"/>
          <w:szCs w:val="24"/>
        </w:rPr>
        <w:t>sarà avviata la procedura di riconoscimento nel 2017.</w:t>
      </w:r>
      <w:r>
        <w:rPr>
          <w:rFonts w:ascii="Bodoni MT" w:hAnsi="Bodoni MT"/>
          <w:sz w:val="24"/>
          <w:szCs w:val="24"/>
        </w:rPr>
        <w:t xml:space="preserve"> </w:t>
      </w:r>
    </w:p>
    <w:p w:rsidR="00285FEE" w:rsidRDefault="00FF3FC4" w:rsidP="00844304">
      <w:pPr>
        <w:pStyle w:val="CdcTesto"/>
      </w:pPr>
      <w:r>
        <w:lastRenderedPageBreak/>
        <w:t>A conferma della provvisorietà del quadro di notizie contenuto nella legge regionale 32/2016, s</w:t>
      </w:r>
      <w:r w:rsidR="00190715">
        <w:t>ono</w:t>
      </w:r>
      <w:r w:rsidR="00357E83">
        <w:t xml:space="preserve"> pervenute</w:t>
      </w:r>
      <w:r>
        <w:t xml:space="preserve"> notizie integrative da parte de</w:t>
      </w:r>
      <w:r w:rsidR="008F0C14">
        <w:t>ll’Assessorato all’industria (</w:t>
      </w:r>
      <w:r>
        <w:t xml:space="preserve">il debito ammonta a </w:t>
      </w:r>
      <w:r w:rsidR="00D408BA">
        <w:t>€ </w:t>
      </w:r>
      <w:r>
        <w:t xml:space="preserve">24.400,00), mentre alcuni Assessorati che avevano già dichiarato per il 2016 di non avere debiti fuori bilancio, hanno rettificato le proprie dichiarazioni (Assessorato al lavoro, Assessorato al turismo, Assessorato all’ambiente). </w:t>
      </w:r>
    </w:p>
    <w:p w:rsidR="00FF2CC0" w:rsidRDefault="00FF3FC4" w:rsidP="00844304">
      <w:pPr>
        <w:pStyle w:val="CdcTesto"/>
        <w:rPr>
          <w:rStyle w:val="CdcTestoCarattere"/>
        </w:rPr>
      </w:pPr>
      <w:r>
        <w:t>La legge regionale 27 luglio 2017 n. 15 (“</w:t>
      </w:r>
      <w:r w:rsidRPr="00FF3FC4">
        <w:rPr>
          <w:i/>
        </w:rPr>
        <w:t>Riconoscimento debiti fuori bilancio ai sensi dell’art. 73 comma 1 lettere a) ed e) del decreto legislativo 23 giu</w:t>
      </w:r>
      <w:r w:rsidR="00972CBA">
        <w:rPr>
          <w:i/>
        </w:rPr>
        <w:t>gno</w:t>
      </w:r>
      <w:r w:rsidRPr="00FF3FC4">
        <w:rPr>
          <w:i/>
        </w:rPr>
        <w:t xml:space="preserve"> 2011 n. 118</w:t>
      </w:r>
      <w:r>
        <w:t>”)</w:t>
      </w:r>
      <w:r w:rsidR="00972CBA">
        <w:t xml:space="preserve"> </w:t>
      </w:r>
      <w:r w:rsidR="00974611">
        <w:t xml:space="preserve">riconosce una cospicua mole di debiti fuori bilancio </w:t>
      </w:r>
      <w:r w:rsidR="00285FEE">
        <w:t>per</w:t>
      </w:r>
      <w:r w:rsidR="00974611">
        <w:t xml:space="preserve"> </w:t>
      </w:r>
      <w:r w:rsidR="00974611" w:rsidRPr="003B378B">
        <w:rPr>
          <w:b/>
        </w:rPr>
        <w:t>il periodo primo semestre 2017 e</w:t>
      </w:r>
      <w:r w:rsidR="008A17EF" w:rsidRPr="003B378B">
        <w:rPr>
          <w:b/>
        </w:rPr>
        <w:t>d</w:t>
      </w:r>
      <w:r w:rsidR="00974611" w:rsidRPr="003B378B">
        <w:rPr>
          <w:b/>
        </w:rPr>
        <w:t xml:space="preserve"> esercizi precedenti</w:t>
      </w:r>
      <w:r w:rsidR="00972CBA" w:rsidRPr="003B378B">
        <w:rPr>
          <w:b/>
        </w:rPr>
        <w:t xml:space="preserve">: </w:t>
      </w:r>
      <w:r w:rsidR="00E16DBF" w:rsidRPr="003B378B">
        <w:rPr>
          <w:b/>
        </w:rPr>
        <w:t>80</w:t>
      </w:r>
      <w:r w:rsidR="00972CBA" w:rsidRPr="003B378B">
        <w:rPr>
          <w:b/>
        </w:rPr>
        <w:t xml:space="preserve"> casi di debiti conseguenti a sentenze esecutive e </w:t>
      </w:r>
      <w:r w:rsidR="00E16DBF" w:rsidRPr="003B378B">
        <w:rPr>
          <w:b/>
        </w:rPr>
        <w:t>101</w:t>
      </w:r>
      <w:r w:rsidR="00972CBA" w:rsidRPr="003B378B">
        <w:rPr>
          <w:b/>
        </w:rPr>
        <w:t xml:space="preserve"> casi per debiti da acquisizione di beni e servizi in assenza di preventivo impegno di spesa</w:t>
      </w:r>
      <w:r w:rsidR="008A17EF">
        <w:t xml:space="preserve">. </w:t>
      </w:r>
      <w:r w:rsidR="00F5483D">
        <w:t xml:space="preserve">Per la necessaria copertura </w:t>
      </w:r>
      <w:r w:rsidR="003F2251">
        <w:t xml:space="preserve">finanziaria </w:t>
      </w:r>
      <w:r w:rsidR="008A17EF">
        <w:t>la citata legge dispone le conseguenti variazioni alle poste</w:t>
      </w:r>
      <w:r w:rsidR="00844304">
        <w:t xml:space="preserve"> del bilancio previsionale 2017/</w:t>
      </w:r>
      <w:r w:rsidR="008A17EF">
        <w:t>201</w:t>
      </w:r>
      <w:r w:rsidR="00190715">
        <w:t>9 a mezzo di allegati</w:t>
      </w:r>
      <w:r w:rsidR="00AA4918">
        <w:t xml:space="preserve"> </w:t>
      </w:r>
      <w:r w:rsidR="00AA4918" w:rsidRPr="003F2251">
        <w:t xml:space="preserve">secondo una tecnica normativa destinata a rendere quanto mai complessa </w:t>
      </w:r>
      <w:r w:rsidR="00F5483D" w:rsidRPr="003F2251">
        <w:t xml:space="preserve">anche nel 2017 </w:t>
      </w:r>
      <w:r w:rsidR="00AA4918" w:rsidRPr="003F2251">
        <w:t>la ricognizione delle disposizioni di bilancio</w:t>
      </w:r>
      <w:r w:rsidR="0006748E" w:rsidRPr="003F2251">
        <w:t xml:space="preserve"> e delle sue diverse variazioni</w:t>
      </w:r>
      <w:r w:rsidR="00AA4918" w:rsidRPr="003F2251">
        <w:t xml:space="preserve"> </w:t>
      </w:r>
      <w:r w:rsidR="009038AA" w:rsidRPr="003F2251">
        <w:t>(</w:t>
      </w:r>
      <w:r w:rsidR="00D408BA">
        <w:t xml:space="preserve">art. </w:t>
      </w:r>
      <w:r w:rsidR="008A17EF" w:rsidRPr="003F2251">
        <w:t>3)</w:t>
      </w:r>
      <w:r w:rsidR="00972CBA" w:rsidRPr="003F2251">
        <w:t>.</w:t>
      </w:r>
      <w:r w:rsidR="008A17EF" w:rsidRPr="003F2251">
        <w:t xml:space="preserve"> </w:t>
      </w:r>
      <w:r w:rsidR="00F5483D" w:rsidRPr="003F2251">
        <w:t>L</w:t>
      </w:r>
      <w:r w:rsidR="00285FEE" w:rsidRPr="003F2251">
        <w:t>a deliberazione n. 33/19</w:t>
      </w:r>
      <w:r w:rsidR="00974611" w:rsidRPr="003F2251">
        <w:t xml:space="preserve"> del 4 luglio 2017</w:t>
      </w:r>
      <w:r w:rsidR="00F5483D" w:rsidRPr="003F2251">
        <w:t>,</w:t>
      </w:r>
      <w:r w:rsidR="00974611" w:rsidRPr="003F2251">
        <w:t xml:space="preserve"> contenente il disegno di legge in esame</w:t>
      </w:r>
      <w:r w:rsidR="00F5483D" w:rsidRPr="003F2251">
        <w:t>, puntualizza</w:t>
      </w:r>
      <w:r w:rsidR="00974611" w:rsidRPr="003F2251">
        <w:t xml:space="preserve"> che ciascuna Direzione generale ha provveduto a dettagliata relazione tecnica per </w:t>
      </w:r>
      <w:r w:rsidR="00974611" w:rsidRPr="003F2251">
        <w:rPr>
          <w:rStyle w:val="CdcTestoCarattere"/>
        </w:rPr>
        <w:t>attestare la sussistenza dei requisiti e le motivazioni della mancata assunzione dell’impegno secondo le ordinarie procedure di spesa</w:t>
      </w:r>
      <w:r w:rsidR="008A17EF" w:rsidRPr="003F2251">
        <w:rPr>
          <w:rStyle w:val="CdcTestoCarattere"/>
        </w:rPr>
        <w:t xml:space="preserve">. </w:t>
      </w:r>
      <w:r w:rsidR="009224C7" w:rsidRPr="003B378B">
        <w:rPr>
          <w:rStyle w:val="CdcTestoCarattere"/>
          <w:b/>
        </w:rPr>
        <w:t>L’onere complessiv</w:t>
      </w:r>
      <w:r w:rsidR="009038AA" w:rsidRPr="003B378B">
        <w:rPr>
          <w:rStyle w:val="CdcTestoCarattere"/>
          <w:b/>
        </w:rPr>
        <w:t xml:space="preserve">o che risulta </w:t>
      </w:r>
      <w:r w:rsidR="007F2C73" w:rsidRPr="003B378B">
        <w:rPr>
          <w:rStyle w:val="CdcTestoCarattere"/>
          <w:b/>
        </w:rPr>
        <w:t xml:space="preserve">dai </w:t>
      </w:r>
      <w:r w:rsidR="009038AA" w:rsidRPr="003B378B">
        <w:rPr>
          <w:rStyle w:val="CdcTestoCarattere"/>
          <w:b/>
        </w:rPr>
        <w:t>nuovi allegati di bilancio</w:t>
      </w:r>
      <w:r w:rsidR="009224C7" w:rsidRPr="003B378B">
        <w:rPr>
          <w:rStyle w:val="CdcTestoCarattere"/>
          <w:b/>
        </w:rPr>
        <w:t xml:space="preserve"> è previsto in </w:t>
      </w:r>
      <w:r w:rsidR="00C2317A" w:rsidRPr="003B378B">
        <w:rPr>
          <w:rStyle w:val="CdcTestoCarattere"/>
          <w:b/>
        </w:rPr>
        <w:t>€</w:t>
      </w:r>
      <w:r w:rsidR="003B378B">
        <w:rPr>
          <w:rStyle w:val="CdcTestoCarattere"/>
          <w:b/>
        </w:rPr>
        <w:t xml:space="preserve"> </w:t>
      </w:r>
      <w:r w:rsidR="00190715" w:rsidRPr="003B378B">
        <w:rPr>
          <w:rStyle w:val="CdcTestoCarattere"/>
          <w:b/>
        </w:rPr>
        <w:t xml:space="preserve">1.716.793,15, di cui </w:t>
      </w:r>
      <w:r w:rsidR="003B378B">
        <w:rPr>
          <w:rStyle w:val="CdcTestoCarattere"/>
          <w:b/>
        </w:rPr>
        <w:t>€ </w:t>
      </w:r>
      <w:r w:rsidR="00190715" w:rsidRPr="003B378B">
        <w:rPr>
          <w:rStyle w:val="CdcTestoCarattere"/>
          <w:b/>
        </w:rPr>
        <w:t>1.212.632,25 prelevati dalla Missione 20</w:t>
      </w:r>
      <w:r w:rsidR="00190715">
        <w:rPr>
          <w:rStyle w:val="CdcTestoCarattere"/>
        </w:rPr>
        <w:t xml:space="preserve"> “Fondi e accantonamenti”, mentre la parte restante si prevede con variazioni compensative all’interno delle diverse Missioni di bilancio.</w:t>
      </w:r>
    </w:p>
    <w:p w:rsidR="008F0C14" w:rsidRDefault="008F0C14" w:rsidP="00974611">
      <w:pPr>
        <w:spacing w:line="360" w:lineRule="auto"/>
        <w:jc w:val="both"/>
        <w:rPr>
          <w:rStyle w:val="CdcTestoCarattere"/>
        </w:rPr>
      </w:pPr>
    </w:p>
    <w:p w:rsidR="008F0C14" w:rsidRDefault="008F0C14" w:rsidP="00974611">
      <w:pPr>
        <w:spacing w:line="360" w:lineRule="auto"/>
        <w:jc w:val="both"/>
        <w:rPr>
          <w:rFonts w:ascii="Bodoni MT" w:hAnsi="Bodoni MT"/>
          <w:sz w:val="24"/>
          <w:szCs w:val="24"/>
        </w:rPr>
      </w:pPr>
    </w:p>
    <w:p w:rsidR="008F0C14" w:rsidRDefault="008F0C14" w:rsidP="00974611">
      <w:pPr>
        <w:spacing w:line="360" w:lineRule="auto"/>
        <w:jc w:val="both"/>
        <w:rPr>
          <w:rFonts w:ascii="Bodoni MT" w:hAnsi="Bodoni MT"/>
          <w:sz w:val="24"/>
          <w:szCs w:val="24"/>
        </w:rPr>
      </w:pPr>
    </w:p>
    <w:p w:rsidR="008F0C14" w:rsidRDefault="008F0C14" w:rsidP="00974611">
      <w:pPr>
        <w:spacing w:line="360" w:lineRule="auto"/>
        <w:jc w:val="both"/>
        <w:rPr>
          <w:rFonts w:ascii="Bodoni MT" w:hAnsi="Bodoni MT"/>
          <w:sz w:val="24"/>
          <w:szCs w:val="24"/>
        </w:rPr>
      </w:pPr>
    </w:p>
    <w:p w:rsidR="008F0C14" w:rsidRDefault="008F0C14" w:rsidP="00974611">
      <w:pPr>
        <w:spacing w:line="360" w:lineRule="auto"/>
        <w:jc w:val="both"/>
        <w:rPr>
          <w:rFonts w:ascii="Bodoni MT" w:hAnsi="Bodoni MT"/>
          <w:sz w:val="24"/>
          <w:szCs w:val="24"/>
        </w:rPr>
      </w:pPr>
    </w:p>
    <w:p w:rsidR="00E12A0A" w:rsidRDefault="00E12A0A" w:rsidP="00974611">
      <w:pPr>
        <w:spacing w:line="360" w:lineRule="auto"/>
        <w:jc w:val="both"/>
        <w:rPr>
          <w:rFonts w:ascii="Bodoni MT" w:hAnsi="Bodoni MT"/>
          <w:sz w:val="24"/>
          <w:szCs w:val="24"/>
        </w:rPr>
        <w:sectPr w:rsidR="00E12A0A" w:rsidSect="00D408BA">
          <w:headerReference w:type="default" r:id="rId67"/>
          <w:type w:val="oddPage"/>
          <w:pgSz w:w="11906" w:h="16838"/>
          <w:pgMar w:top="1418" w:right="1134" w:bottom="1134" w:left="1134" w:header="709" w:footer="709" w:gutter="0"/>
          <w:cols w:space="708"/>
          <w:docGrid w:linePitch="360"/>
        </w:sectPr>
      </w:pPr>
    </w:p>
    <w:p w:rsidR="008F0C14" w:rsidRDefault="00324D94" w:rsidP="0041463A">
      <w:pPr>
        <w:pStyle w:val="Titolo1"/>
      </w:pPr>
      <w:bookmarkStart w:id="270" w:name="_Toc507422667"/>
      <w:r>
        <w:lastRenderedPageBreak/>
        <w:t>LA SPESA PER I TRASFERIMENTI CORRENTI E PER GLI INVESTIMENTI</w:t>
      </w:r>
      <w:bookmarkEnd w:id="270"/>
    </w:p>
    <w:p w:rsidR="00324D94" w:rsidRDefault="006F51D1" w:rsidP="00324D94">
      <w:pPr>
        <w:pStyle w:val="CdcTesto"/>
      </w:pPr>
      <w:r>
        <w:t>Analizzando l</w:t>
      </w:r>
      <w:r w:rsidR="00324D94">
        <w:t xml:space="preserve">e politiche di spesa della Regione </w:t>
      </w:r>
      <w:r>
        <w:t>secondo</w:t>
      </w:r>
      <w:r w:rsidR="00324D94">
        <w:t xml:space="preserve"> la destinazione</w:t>
      </w:r>
      <w:r w:rsidR="007F2C73">
        <w:t>,</w:t>
      </w:r>
      <w:r w:rsidR="00324D94">
        <w:t xml:space="preserve"> </w:t>
      </w:r>
      <w:r>
        <w:t xml:space="preserve">si risale alle </w:t>
      </w:r>
      <w:r w:rsidR="00324D94">
        <w:t xml:space="preserve">scelte distributive </w:t>
      </w:r>
      <w:r>
        <w:t>che presiedono alle autorizzazioni</w:t>
      </w:r>
      <w:r w:rsidR="00324D94">
        <w:t xml:space="preserve"> di bilancio </w:t>
      </w:r>
      <w:r w:rsidR="00156EC8">
        <w:t>conferite</w:t>
      </w:r>
      <w:r w:rsidR="00324D94">
        <w:t xml:space="preserve"> in favore </w:t>
      </w:r>
      <w:r w:rsidR="00156EC8">
        <w:t>delle diverse</w:t>
      </w:r>
      <w:r w:rsidR="00324D94">
        <w:t xml:space="preserve"> categorie di soggetti o e</w:t>
      </w:r>
      <w:r w:rsidR="00156EC8">
        <w:t xml:space="preserve">nti, pubblici o privati, a mezzo </w:t>
      </w:r>
      <w:r w:rsidR="00324D94">
        <w:t>di trasferimenti finanziari.</w:t>
      </w:r>
    </w:p>
    <w:p w:rsidR="00324D94" w:rsidRDefault="00156EC8" w:rsidP="00324D94">
      <w:pPr>
        <w:pStyle w:val="CdcTesto"/>
      </w:pPr>
      <w:r>
        <w:t xml:space="preserve">Ci si vuole riferire alle </w:t>
      </w:r>
      <w:r w:rsidR="00324D94">
        <w:t>risorse trasferite ad altre amministrazioni pubbliche o a privati, in assenza di controprestazione, in alcuni casi in conto esercizio per far fronte, ad esempio, a costi di funzionamento (</w:t>
      </w:r>
      <w:r w:rsidR="00324D94" w:rsidRPr="00324D94">
        <w:rPr>
          <w:b/>
        </w:rPr>
        <w:t>cosiddetti trasferimenti correnti</w:t>
      </w:r>
      <w:r w:rsidR="00324D94">
        <w:t>). In altri casi trattasi di erogazioni destinate a finanziare investimenti di amministrazioni pubbliche o privati (</w:t>
      </w:r>
      <w:r w:rsidR="00324D94" w:rsidRPr="00324D94">
        <w:rPr>
          <w:b/>
        </w:rPr>
        <w:t>contributi agli investimenti</w:t>
      </w:r>
      <w:r w:rsidR="00324D94">
        <w:t>).</w:t>
      </w:r>
    </w:p>
    <w:p w:rsidR="00271E1D" w:rsidRDefault="00271E1D" w:rsidP="00324D94">
      <w:pPr>
        <w:pStyle w:val="CdcTesto"/>
      </w:pPr>
      <w:r>
        <w:t>Si consideri che le voci in argomento costituiscono tradizionalmente il più rilevante volume di spesa del rendiconto regionale.</w:t>
      </w:r>
    </w:p>
    <w:p w:rsidR="00271E1D" w:rsidRDefault="00271E1D" w:rsidP="00324D94">
      <w:pPr>
        <w:pStyle w:val="CdcTesto"/>
      </w:pPr>
      <w:r>
        <w:t>La materia riveste specifica importanza nella impostazione della contabilità economico-patrimoniale (conto economico) nell’ambito della quale i “</w:t>
      </w:r>
      <w:r w:rsidRPr="00D97E02">
        <w:rPr>
          <w:i/>
        </w:rPr>
        <w:t>trasferimenti” pur non configurando costi di produzione, si classificano come componenti negativi di reddito.</w:t>
      </w:r>
      <w:r w:rsidR="00D97E02">
        <w:rPr>
          <w:i/>
        </w:rPr>
        <w:t xml:space="preserve"> </w:t>
      </w:r>
      <w:r w:rsidRPr="00D97E02">
        <w:rPr>
          <w:i/>
        </w:rPr>
        <w:t>Infatti, la tipologia di costo in esame presenta alcune particolarità, in quanto si tratta di erogazioni a terze economie sulle quali ricade la responsabilità della spesa delle risorse trasferite. I destinatari finali delle risorse si individuano negli enti “a valle”</w:t>
      </w:r>
      <w:r w:rsidR="00D91C2F" w:rsidRPr="00D97E02">
        <w:rPr>
          <w:i/>
        </w:rPr>
        <w:t>, i quali sost</w:t>
      </w:r>
      <w:r w:rsidR="006372FA" w:rsidRPr="00D97E02">
        <w:rPr>
          <w:i/>
        </w:rPr>
        <w:t>engono e rilevano la spesa nelle sue specifiche componenti. La loro natura</w:t>
      </w:r>
      <w:r w:rsidR="006944CF" w:rsidRPr="00D97E02">
        <w:rPr>
          <w:i/>
        </w:rPr>
        <w:t xml:space="preserve"> è differente dai costi </w:t>
      </w:r>
      <w:r w:rsidR="00D41DC4" w:rsidRPr="00D97E02">
        <w:rPr>
          <w:i/>
        </w:rPr>
        <w:t xml:space="preserve">della produzione o di funzionamento, quali costi di struttura dell’apparato regionale. Ai fini delle analisi qui esposte, </w:t>
      </w:r>
      <w:r w:rsidR="00D41DC4" w:rsidRPr="006F51D1">
        <w:rPr>
          <w:b/>
          <w:i/>
        </w:rPr>
        <w:t>i dati relativi</w:t>
      </w:r>
      <w:r w:rsidR="00156EC8">
        <w:rPr>
          <w:b/>
          <w:i/>
        </w:rPr>
        <w:t xml:space="preserve"> ai trasferimenti e contributi </w:t>
      </w:r>
      <w:r w:rsidR="00D41DC4" w:rsidRPr="006F51D1">
        <w:rPr>
          <w:b/>
          <w:i/>
        </w:rPr>
        <w:t xml:space="preserve">agli investimenti sono stati estratti da Sap/CO e sono congruenti con i valori contabilizzati in contabilità economico patrimoniale e presenti nel relativo conto economico e nella nota integrativa allegati al bilancio dell’esercizio 2016 </w:t>
      </w:r>
      <w:r w:rsidR="00D41DC4" w:rsidRPr="00D97E02">
        <w:rPr>
          <w:i/>
        </w:rPr>
        <w:t>(i valori sono stati estratti dal modulo di contabilità economico patrimoniale in data 2 agosto 2017 a seguito dell’approvazione da parte della Giunta regionale del Rendiconto 2016 con deliberazione n. 37/20 del 1° agosto 2017), considerando i movimenti di spesa nella fase dell’</w:t>
      </w:r>
      <w:r w:rsidR="006F51D1">
        <w:rPr>
          <w:i/>
        </w:rPr>
        <w:t>impegno</w:t>
      </w:r>
      <w:r w:rsidR="00D97E02" w:rsidRPr="00D97E02">
        <w:rPr>
          <w:i/>
        </w:rPr>
        <w:t>; ciò a far data dal 2016, primo anno di applicazione obbligatoria della contabilità economico patrimoniale</w:t>
      </w:r>
      <w:r w:rsidR="00156EC8">
        <w:t xml:space="preserve">” (Rapporto di gestione 2016 – Ufficio di controllo interno di gestione della RAS). </w:t>
      </w:r>
    </w:p>
    <w:p w:rsidR="00324D94" w:rsidRDefault="00D97E02" w:rsidP="00324D94">
      <w:pPr>
        <w:pStyle w:val="CdcTesto"/>
      </w:pPr>
      <w:r>
        <w:t xml:space="preserve">Nell’esercizio 2016 la Regione ha impegnato complessivamente circa </w:t>
      </w:r>
      <w:r w:rsidRPr="00156EC8">
        <w:rPr>
          <w:b/>
        </w:rPr>
        <w:t>6,238 miliardi di euro per trasferimenti correnti e per contributi agli investimenti</w:t>
      </w:r>
      <w:r>
        <w:t xml:space="preserve">, che rappresentano </w:t>
      </w:r>
      <w:r w:rsidRPr="00F457DF">
        <w:t>l’</w:t>
      </w:r>
      <w:r w:rsidRPr="00156EC8">
        <w:rPr>
          <w:b/>
        </w:rPr>
        <w:t>84%</w:t>
      </w:r>
      <w:r>
        <w:t xml:space="preserve"> circa dei com</w:t>
      </w:r>
      <w:r w:rsidR="007F2C73">
        <w:t>ponenti negativi della gestione</w:t>
      </w:r>
      <w:r>
        <w:t>.</w:t>
      </w:r>
    </w:p>
    <w:p w:rsidR="00D97E02" w:rsidRDefault="00D97E02" w:rsidP="00324D94">
      <w:pPr>
        <w:pStyle w:val="CdcTesto"/>
      </w:pPr>
      <w:r>
        <w:lastRenderedPageBreak/>
        <w:t>Le problematiche in esame sono analiticamente affrontate nel Rapporto di gestione 2016</w:t>
      </w:r>
      <w:r>
        <w:rPr>
          <w:rStyle w:val="Rimandonotaapidipagina"/>
        </w:rPr>
        <w:footnoteReference w:id="158"/>
      </w:r>
      <w:r>
        <w:t>, dal quale si sono tratti i pros</w:t>
      </w:r>
      <w:r w:rsidR="00004A79">
        <w:t>petti riepilogativi che seguono, con la precisazione che alcune discordanze rilevate nella presente sede di verifica (tra i valori della contabilità economico-patrimoniale e quelli della contabilità finanziaria) sono ascrivibili alle diverse modalità di contabilizzazione a sistema SAP delle movimentazioni contabili</w:t>
      </w:r>
      <w:r w:rsidR="00004A79">
        <w:rPr>
          <w:rStyle w:val="Rimandonotaapidipagina"/>
        </w:rPr>
        <w:footnoteReference w:id="159"/>
      </w:r>
      <w:r w:rsidR="00004A79">
        <w:t>.</w:t>
      </w:r>
    </w:p>
    <w:p w:rsidR="00F457DF" w:rsidRPr="004A7E6A" w:rsidRDefault="004A7E6A" w:rsidP="004A7E6A">
      <w:pPr>
        <w:pStyle w:val="Didascalia"/>
        <w:rPr>
          <w:color w:val="auto"/>
        </w:rPr>
      </w:pPr>
      <w:bookmarkStart w:id="271" w:name="_Toc507422523"/>
      <w:r>
        <w:t xml:space="preserve">Tabella </w:t>
      </w:r>
      <w:r w:rsidR="00B90472">
        <w:fldChar w:fldCharType="begin"/>
      </w:r>
      <w:r w:rsidR="00B90472">
        <w:instrText xml:space="preserve"> SEQ Tabella \* ARABIC </w:instrText>
      </w:r>
      <w:r w:rsidR="00B90472">
        <w:fldChar w:fldCharType="separate"/>
      </w:r>
      <w:r w:rsidR="008616B3">
        <w:rPr>
          <w:noProof/>
        </w:rPr>
        <w:t>55</w:t>
      </w:r>
      <w:r w:rsidR="00B90472">
        <w:rPr>
          <w:noProof/>
        </w:rPr>
        <w:fldChar w:fldCharType="end"/>
      </w:r>
      <w:r w:rsidR="00F457DF">
        <w:t xml:space="preserve"> – </w:t>
      </w:r>
      <w:r w:rsidR="00F457DF" w:rsidRPr="004A7E6A">
        <w:rPr>
          <w:rFonts w:eastAsia="Times New Roman" w:cs="Calibri"/>
          <w:color w:val="auto"/>
          <w:lang w:eastAsia="it-IT"/>
        </w:rPr>
        <w:t>Trasferimenti e contributi agli investimenti</w:t>
      </w:r>
      <w:bookmarkEnd w:id="2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39"/>
        <w:gridCol w:w="1942"/>
        <w:gridCol w:w="1097"/>
      </w:tblGrid>
      <w:tr w:rsidR="00F457DF" w:rsidRPr="00F457DF" w:rsidTr="00F457DF">
        <w:trPr>
          <w:trHeight w:val="300"/>
          <w:jc w:val="center"/>
        </w:trPr>
        <w:tc>
          <w:tcPr>
            <w:tcW w:w="3446" w:type="pct"/>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Tipologia di spesa</w:t>
            </w:r>
          </w:p>
        </w:tc>
        <w:tc>
          <w:tcPr>
            <w:tcW w:w="993" w:type="pct"/>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 xml:space="preserve">Valore </w:t>
            </w:r>
          </w:p>
        </w:tc>
        <w:tc>
          <w:tcPr>
            <w:tcW w:w="561" w:type="pct"/>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w:t>
            </w:r>
          </w:p>
        </w:tc>
      </w:tr>
      <w:tr w:rsidR="00F457DF" w:rsidRPr="00F457DF" w:rsidTr="00F457DF">
        <w:trPr>
          <w:trHeight w:val="300"/>
          <w:jc w:val="center"/>
        </w:trPr>
        <w:tc>
          <w:tcPr>
            <w:tcW w:w="3446" w:type="pct"/>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Trasferimenti correnti</w:t>
            </w:r>
          </w:p>
        </w:tc>
        <w:tc>
          <w:tcPr>
            <w:tcW w:w="993"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sz w:val="20"/>
                <w:szCs w:val="20"/>
                <w:lang w:eastAsia="it-IT"/>
              </w:rPr>
            </w:pPr>
            <w:r w:rsidRPr="00F457DF">
              <w:rPr>
                <w:rFonts w:ascii="Bodoni MT" w:eastAsia="Times New Roman" w:hAnsi="Bodoni MT" w:cs="Calibri"/>
                <w:sz w:val="20"/>
                <w:szCs w:val="20"/>
                <w:lang w:eastAsia="it-IT"/>
              </w:rPr>
              <w:t>5.585.444.736</w:t>
            </w:r>
          </w:p>
        </w:tc>
        <w:tc>
          <w:tcPr>
            <w:tcW w:w="561"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89,5%</w:t>
            </w:r>
          </w:p>
        </w:tc>
      </w:tr>
      <w:tr w:rsidR="00F457DF" w:rsidRPr="00F457DF" w:rsidTr="00F457DF">
        <w:trPr>
          <w:trHeight w:val="300"/>
          <w:jc w:val="center"/>
        </w:trPr>
        <w:tc>
          <w:tcPr>
            <w:tcW w:w="3446" w:type="pct"/>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Contributi agli investimenti</w:t>
            </w:r>
          </w:p>
        </w:tc>
        <w:tc>
          <w:tcPr>
            <w:tcW w:w="993"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sz w:val="20"/>
                <w:szCs w:val="20"/>
                <w:lang w:eastAsia="it-IT"/>
              </w:rPr>
            </w:pPr>
            <w:r w:rsidRPr="00F457DF">
              <w:rPr>
                <w:rFonts w:ascii="Bodoni MT" w:eastAsia="Times New Roman" w:hAnsi="Bodoni MT" w:cs="Calibri"/>
                <w:sz w:val="20"/>
                <w:szCs w:val="20"/>
                <w:lang w:eastAsia="it-IT"/>
              </w:rPr>
              <w:t>653.386.455</w:t>
            </w:r>
          </w:p>
        </w:tc>
        <w:tc>
          <w:tcPr>
            <w:tcW w:w="561"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10,5%</w:t>
            </w:r>
          </w:p>
        </w:tc>
      </w:tr>
      <w:tr w:rsidR="00F457DF" w:rsidRPr="00F457DF" w:rsidTr="00F457DF">
        <w:trPr>
          <w:trHeight w:val="300"/>
          <w:jc w:val="center"/>
        </w:trPr>
        <w:tc>
          <w:tcPr>
            <w:tcW w:w="3446" w:type="pct"/>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Totale trasferimenti e contributi agli investimenti</w:t>
            </w:r>
          </w:p>
        </w:tc>
        <w:tc>
          <w:tcPr>
            <w:tcW w:w="993"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b/>
                <w:bCs/>
                <w:color w:val="000000"/>
                <w:sz w:val="20"/>
                <w:szCs w:val="20"/>
                <w:lang w:eastAsia="it-IT"/>
              </w:rPr>
            </w:pPr>
            <w:r w:rsidRPr="00F457DF">
              <w:rPr>
                <w:rFonts w:ascii="Bodoni MT" w:eastAsia="Times New Roman" w:hAnsi="Bodoni MT" w:cs="Calibri"/>
                <w:b/>
                <w:bCs/>
                <w:color w:val="000000"/>
                <w:sz w:val="20"/>
                <w:szCs w:val="20"/>
                <w:lang w:eastAsia="it-IT"/>
              </w:rPr>
              <w:t>6.238.831.191</w:t>
            </w:r>
          </w:p>
        </w:tc>
        <w:tc>
          <w:tcPr>
            <w:tcW w:w="561" w:type="pct"/>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b/>
                <w:bCs/>
                <w:color w:val="000000"/>
                <w:sz w:val="20"/>
                <w:szCs w:val="20"/>
                <w:lang w:eastAsia="it-IT"/>
              </w:rPr>
            </w:pPr>
            <w:r w:rsidRPr="00F457DF">
              <w:rPr>
                <w:rFonts w:ascii="Bodoni MT" w:eastAsia="Times New Roman" w:hAnsi="Bodoni MT" w:cs="Calibri"/>
                <w:b/>
                <w:bCs/>
                <w:color w:val="000000"/>
                <w:sz w:val="20"/>
                <w:szCs w:val="20"/>
                <w:lang w:eastAsia="it-IT"/>
              </w:rPr>
              <w:t>100,0%</w:t>
            </w:r>
          </w:p>
        </w:tc>
      </w:tr>
    </w:tbl>
    <w:p w:rsidR="00D97E02" w:rsidRDefault="00D97E02" w:rsidP="00F457DF">
      <w:pPr>
        <w:pStyle w:val="CdcTesto"/>
        <w:spacing w:before="360"/>
      </w:pPr>
      <w:r>
        <w:t xml:space="preserve">I principali erogatori di risorse risultano l’Assessorato alla sanità (54% circa), l’Assessorato </w:t>
      </w:r>
      <w:r w:rsidR="00DF478D">
        <w:t xml:space="preserve">alla programmazione (12,8%), l’Assessorato agli enti locali (10% circa). </w:t>
      </w:r>
    </w:p>
    <w:p w:rsidR="00DF478D" w:rsidRDefault="00DF478D" w:rsidP="00324D94">
      <w:pPr>
        <w:pStyle w:val="CdcTesto"/>
      </w:pPr>
      <w:r>
        <w:t xml:space="preserve">Risultano basse </w:t>
      </w:r>
      <w:r w:rsidR="007F2C73">
        <w:t xml:space="preserve">le </w:t>
      </w:r>
      <w:r>
        <w:t>percentuali di trasferimenti da parte degli Assessorati all’industria (1,6%), al lavoro (1,6%), ai trasporti (1,3%) e al turismo (0,4%).</w:t>
      </w:r>
    </w:p>
    <w:p w:rsidR="00004A79" w:rsidRDefault="00004A79" w:rsidP="00324D94">
      <w:pPr>
        <w:pStyle w:val="CdcTesto"/>
      </w:pPr>
      <w:r>
        <w:t xml:space="preserve">Le tabelle che seguono consentono interessanti raffronti e valutazioni con riguardo alle richiamate scelte distributive di bilancio. Si consideri, oltre alla quota di spesa in favore della Sanità regionale, le quote, rispettivamente disposte, in conto corrente e per investimenti in </w:t>
      </w:r>
      <w:r w:rsidRPr="002E04DE">
        <w:rPr>
          <w:b/>
        </w:rPr>
        <w:t>favore degli Enti ed Agenzie</w:t>
      </w:r>
      <w:r>
        <w:t xml:space="preserve"> </w:t>
      </w:r>
      <w:r w:rsidRPr="002E04DE">
        <w:rPr>
          <w:b/>
        </w:rPr>
        <w:t>(complessivi 496 milioni di euro circa), in favore di Consorzi di bonifica ed industriali (complessivi 149 milioni di euro circa)</w:t>
      </w:r>
      <w:r>
        <w:t xml:space="preserve">, </w:t>
      </w:r>
      <w:r w:rsidRPr="002E04DE">
        <w:rPr>
          <w:b/>
        </w:rPr>
        <w:t>delle società e imprese controllate e partecipate (complessivi 261 milioni di euro), delle Università (complessivi 91 milioni di euro)</w:t>
      </w:r>
      <w:r>
        <w:t>.</w:t>
      </w:r>
    </w:p>
    <w:p w:rsidR="00DF478D" w:rsidRDefault="00DF478D" w:rsidP="00324D94">
      <w:pPr>
        <w:pStyle w:val="CdcTesto"/>
      </w:pPr>
      <w:r>
        <w:t>Esaminando le categorie di beneficiari emerge il seguente quadro di insieme.</w:t>
      </w:r>
    </w:p>
    <w:p w:rsidR="00F457DF" w:rsidRDefault="004A7E6A" w:rsidP="004A7E6A">
      <w:pPr>
        <w:pStyle w:val="Didascalia"/>
      </w:pPr>
      <w:bookmarkStart w:id="272" w:name="_Toc507422524"/>
      <w:r>
        <w:t xml:space="preserve">Tabella </w:t>
      </w:r>
      <w:r w:rsidR="00B90472">
        <w:fldChar w:fldCharType="begin"/>
      </w:r>
      <w:r w:rsidR="00B90472">
        <w:instrText xml:space="preserve"> SEQ Tabella \* ARABIC </w:instrText>
      </w:r>
      <w:r w:rsidR="00B90472">
        <w:fldChar w:fldCharType="separate"/>
      </w:r>
      <w:r w:rsidR="008616B3">
        <w:rPr>
          <w:noProof/>
        </w:rPr>
        <w:t>56</w:t>
      </w:r>
      <w:r w:rsidR="00B90472">
        <w:rPr>
          <w:noProof/>
        </w:rPr>
        <w:fldChar w:fldCharType="end"/>
      </w:r>
      <w:r w:rsidR="00F457DF">
        <w:t xml:space="preserve"> - </w:t>
      </w:r>
      <w:r w:rsidR="00195726" w:rsidRPr="00195726">
        <w:t>Trasferimenti correnti</w:t>
      </w:r>
      <w:bookmarkEnd w:id="272"/>
      <w:r w:rsidR="00195726" w:rsidRPr="00195726">
        <w:t xml:space="preserve"> </w:t>
      </w:r>
    </w:p>
    <w:tbl>
      <w:tblPr>
        <w:tblW w:w="5000" w:type="pct"/>
        <w:jc w:val="center"/>
        <w:tblCellMar>
          <w:left w:w="70" w:type="dxa"/>
          <w:right w:w="70" w:type="dxa"/>
        </w:tblCellMar>
        <w:tblLook w:val="04A0" w:firstRow="1" w:lastRow="0" w:firstColumn="1" w:lastColumn="0" w:noHBand="0" w:noVBand="1"/>
      </w:tblPr>
      <w:tblGrid>
        <w:gridCol w:w="6229"/>
        <w:gridCol w:w="2196"/>
        <w:gridCol w:w="1353"/>
      </w:tblGrid>
      <w:tr w:rsidR="00F457DF" w:rsidRPr="00F457DF" w:rsidTr="00E244CE">
        <w:trPr>
          <w:trHeight w:val="170"/>
          <w:jc w:val="center"/>
        </w:trPr>
        <w:tc>
          <w:tcPr>
            <w:tcW w:w="3185" w:type="pct"/>
            <w:tcBorders>
              <w:top w:val="single" w:sz="4" w:space="0" w:color="000000"/>
              <w:left w:val="single" w:sz="4" w:space="0" w:color="000000"/>
              <w:bottom w:val="single" w:sz="4" w:space="0" w:color="000000"/>
              <w:right w:val="single" w:sz="4" w:space="0" w:color="000000"/>
            </w:tcBorders>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Trasferimenti correnti</w:t>
            </w:r>
          </w:p>
        </w:tc>
        <w:tc>
          <w:tcPr>
            <w:tcW w:w="1123" w:type="pct"/>
            <w:tcBorders>
              <w:top w:val="single" w:sz="4" w:space="0" w:color="000000"/>
              <w:left w:val="nil"/>
              <w:bottom w:val="nil"/>
              <w:right w:val="single" w:sz="4" w:space="0" w:color="000000"/>
            </w:tcBorders>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 xml:space="preserve">Valore </w:t>
            </w:r>
          </w:p>
        </w:tc>
        <w:tc>
          <w:tcPr>
            <w:tcW w:w="692" w:type="pct"/>
            <w:tcBorders>
              <w:top w:val="single" w:sz="4" w:space="0" w:color="000000"/>
              <w:left w:val="nil"/>
              <w:bottom w:val="single" w:sz="4" w:space="0" w:color="000000"/>
              <w:right w:val="single" w:sz="4" w:space="0" w:color="000000"/>
            </w:tcBorders>
            <w:shd w:val="clear" w:color="auto" w:fill="0F243E" w:themeFill="text2" w:themeFillShade="80"/>
            <w:noWrap/>
            <w:vAlign w:val="center"/>
            <w:hideMark/>
          </w:tcPr>
          <w:p w:rsidR="00F457DF" w:rsidRPr="00F457DF" w:rsidRDefault="00F457DF" w:rsidP="00F457DF">
            <w:pPr>
              <w:spacing w:after="0" w:line="240" w:lineRule="auto"/>
              <w:jc w:val="center"/>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 xml:space="preserve">Aziende Sanitarie e Ospedaliere </w:t>
            </w:r>
          </w:p>
        </w:tc>
        <w:tc>
          <w:tcPr>
            <w:tcW w:w="1123" w:type="pct"/>
            <w:tcBorders>
              <w:top w:val="single" w:sz="4" w:space="0" w:color="auto"/>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2.999.281.213</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53,7%</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 xml:space="preserve">Comuni, Unioni di Comuni e Comunità Montane </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885.567.416</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15,9%</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Enti dell'Amministrazione Centrale</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768.913.327</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13,8%</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Enti, Agenzie e Organismi Regionali</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436.495.053</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7,8%</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 xml:space="preserve">Imprese </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133.473.806</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2,4%</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Altri Enti delle Amministrazioni Locali</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130.306.914</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2,3%</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Province</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99.732.781</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1,8%</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 xml:space="preserve">Altri </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85.652.048</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1,5%</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Università</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44.073.891</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0,8%</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color w:val="FFFFFF" w:themeColor="background1"/>
                <w:sz w:val="20"/>
                <w:szCs w:val="20"/>
                <w:lang w:eastAsia="it-IT"/>
              </w:rPr>
            </w:pPr>
            <w:r w:rsidRPr="00F457DF">
              <w:rPr>
                <w:rFonts w:ascii="Bodoni MT" w:eastAsia="Times New Roman" w:hAnsi="Bodoni MT" w:cs="Calibri"/>
                <w:color w:val="FFFFFF" w:themeColor="background1"/>
                <w:sz w:val="20"/>
                <w:szCs w:val="20"/>
                <w:lang w:eastAsia="it-IT"/>
              </w:rPr>
              <w:t>Famiglie</w:t>
            </w:r>
          </w:p>
        </w:tc>
        <w:tc>
          <w:tcPr>
            <w:tcW w:w="1123" w:type="pct"/>
            <w:tcBorders>
              <w:top w:val="nil"/>
              <w:left w:val="nil"/>
              <w:bottom w:val="single" w:sz="4" w:space="0" w:color="auto"/>
              <w:right w:val="single" w:sz="4" w:space="0" w:color="auto"/>
            </w:tcBorders>
            <w:shd w:val="clear" w:color="auto" w:fill="auto"/>
            <w:noWrap/>
            <w:vAlign w:val="bottom"/>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1.948.287</w:t>
            </w:r>
          </w:p>
        </w:tc>
        <w:tc>
          <w:tcPr>
            <w:tcW w:w="692" w:type="pct"/>
            <w:tcBorders>
              <w:top w:val="nil"/>
              <w:left w:val="nil"/>
              <w:bottom w:val="single" w:sz="4" w:space="0" w:color="auto"/>
              <w:right w:val="single" w:sz="4" w:space="0" w:color="auto"/>
            </w:tcBorders>
            <w:shd w:val="clear" w:color="auto" w:fill="auto"/>
            <w:noWrap/>
            <w:vAlign w:val="center"/>
            <w:hideMark/>
          </w:tcPr>
          <w:p w:rsidR="00F457DF" w:rsidRPr="00F457DF" w:rsidRDefault="00F457DF" w:rsidP="00F457DF">
            <w:pPr>
              <w:spacing w:after="0" w:line="240" w:lineRule="auto"/>
              <w:jc w:val="right"/>
              <w:rPr>
                <w:rFonts w:ascii="Bodoni MT" w:eastAsia="Times New Roman" w:hAnsi="Bodoni MT" w:cs="Calibri"/>
                <w:color w:val="000000"/>
                <w:sz w:val="20"/>
                <w:szCs w:val="20"/>
                <w:lang w:eastAsia="it-IT"/>
              </w:rPr>
            </w:pPr>
            <w:r w:rsidRPr="00F457DF">
              <w:rPr>
                <w:rFonts w:ascii="Bodoni MT" w:eastAsia="Times New Roman" w:hAnsi="Bodoni MT" w:cs="Calibri"/>
                <w:color w:val="000000"/>
                <w:sz w:val="20"/>
                <w:szCs w:val="20"/>
                <w:lang w:eastAsia="it-IT"/>
              </w:rPr>
              <w:t>0,0%</w:t>
            </w:r>
          </w:p>
        </w:tc>
      </w:tr>
      <w:tr w:rsidR="00F457DF" w:rsidRPr="00F457DF" w:rsidTr="00E244CE">
        <w:trPr>
          <w:trHeight w:val="170"/>
          <w:jc w:val="center"/>
        </w:trPr>
        <w:tc>
          <w:tcPr>
            <w:tcW w:w="318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457DF" w:rsidRPr="00F457DF" w:rsidRDefault="00F457DF" w:rsidP="00F457DF">
            <w:pPr>
              <w:spacing w:after="0" w:line="240" w:lineRule="auto"/>
              <w:rPr>
                <w:rFonts w:ascii="Bodoni MT" w:eastAsia="Times New Roman" w:hAnsi="Bodoni MT" w:cs="Calibri"/>
                <w:b/>
                <w:bCs/>
                <w:color w:val="FFFFFF" w:themeColor="background1"/>
                <w:sz w:val="20"/>
                <w:szCs w:val="20"/>
                <w:lang w:eastAsia="it-IT"/>
              </w:rPr>
            </w:pPr>
            <w:r w:rsidRPr="00F457DF">
              <w:rPr>
                <w:rFonts w:ascii="Bodoni MT" w:eastAsia="Times New Roman" w:hAnsi="Bodoni MT" w:cs="Calibri"/>
                <w:b/>
                <w:bCs/>
                <w:color w:val="FFFFFF" w:themeColor="background1"/>
                <w:sz w:val="20"/>
                <w:szCs w:val="20"/>
                <w:lang w:eastAsia="it-IT"/>
              </w:rPr>
              <w:t xml:space="preserve">Totale </w:t>
            </w:r>
          </w:p>
        </w:tc>
        <w:tc>
          <w:tcPr>
            <w:tcW w:w="1123" w:type="pct"/>
            <w:tcBorders>
              <w:top w:val="nil"/>
              <w:left w:val="nil"/>
              <w:bottom w:val="single" w:sz="4" w:space="0" w:color="auto"/>
              <w:right w:val="single" w:sz="4" w:space="0" w:color="auto"/>
            </w:tcBorders>
            <w:shd w:val="clear" w:color="auto" w:fill="FFFFFF" w:themeFill="background1"/>
            <w:noWrap/>
            <w:vAlign w:val="center"/>
            <w:hideMark/>
          </w:tcPr>
          <w:p w:rsidR="00F457DF" w:rsidRPr="00F457DF" w:rsidRDefault="00F457DF" w:rsidP="00F457DF">
            <w:pPr>
              <w:spacing w:after="0" w:line="240" w:lineRule="auto"/>
              <w:jc w:val="right"/>
              <w:rPr>
                <w:rFonts w:ascii="Bodoni MT" w:eastAsia="Times New Roman" w:hAnsi="Bodoni MT" w:cs="Calibri"/>
                <w:b/>
                <w:bCs/>
                <w:color w:val="000000"/>
                <w:sz w:val="20"/>
                <w:szCs w:val="20"/>
                <w:lang w:eastAsia="it-IT"/>
              </w:rPr>
            </w:pPr>
            <w:r w:rsidRPr="00F457DF">
              <w:rPr>
                <w:rFonts w:ascii="Bodoni MT" w:eastAsia="Times New Roman" w:hAnsi="Bodoni MT" w:cs="Calibri"/>
                <w:b/>
                <w:bCs/>
                <w:color w:val="000000"/>
                <w:sz w:val="20"/>
                <w:szCs w:val="20"/>
                <w:lang w:eastAsia="it-IT"/>
              </w:rPr>
              <w:t>5.585.444.736</w:t>
            </w:r>
          </w:p>
        </w:tc>
        <w:tc>
          <w:tcPr>
            <w:tcW w:w="692" w:type="pct"/>
            <w:tcBorders>
              <w:top w:val="nil"/>
              <w:left w:val="nil"/>
              <w:bottom w:val="single" w:sz="4" w:space="0" w:color="auto"/>
              <w:right w:val="single" w:sz="4" w:space="0" w:color="auto"/>
            </w:tcBorders>
            <w:shd w:val="clear" w:color="auto" w:fill="FFFFFF" w:themeFill="background1"/>
            <w:noWrap/>
            <w:vAlign w:val="center"/>
            <w:hideMark/>
          </w:tcPr>
          <w:p w:rsidR="00F457DF" w:rsidRPr="00F457DF" w:rsidRDefault="00F457DF" w:rsidP="00F457DF">
            <w:pPr>
              <w:spacing w:after="0" w:line="240" w:lineRule="auto"/>
              <w:jc w:val="right"/>
              <w:rPr>
                <w:rFonts w:ascii="Bodoni MT" w:eastAsia="Times New Roman" w:hAnsi="Bodoni MT" w:cs="Calibri"/>
                <w:b/>
                <w:bCs/>
                <w:color w:val="000000"/>
                <w:sz w:val="20"/>
                <w:szCs w:val="20"/>
                <w:lang w:eastAsia="it-IT"/>
              </w:rPr>
            </w:pPr>
            <w:r w:rsidRPr="00F457DF">
              <w:rPr>
                <w:rFonts w:ascii="Bodoni MT" w:eastAsia="Times New Roman" w:hAnsi="Bodoni MT" w:cs="Calibri"/>
                <w:b/>
                <w:bCs/>
                <w:color w:val="000000"/>
                <w:sz w:val="20"/>
                <w:szCs w:val="20"/>
                <w:lang w:eastAsia="it-IT"/>
              </w:rPr>
              <w:t>100,0%</w:t>
            </w:r>
          </w:p>
        </w:tc>
      </w:tr>
    </w:tbl>
    <w:p w:rsidR="00F457DF" w:rsidRDefault="00F457DF" w:rsidP="00F457DF">
      <w:pPr>
        <w:pStyle w:val="Didascalia"/>
      </w:pPr>
      <w:bookmarkStart w:id="273" w:name="_Toc507422724"/>
      <w:r>
        <w:lastRenderedPageBreak/>
        <w:t xml:space="preserve">Grafico </w:t>
      </w:r>
      <w:r w:rsidR="00B90472">
        <w:fldChar w:fldCharType="begin"/>
      </w:r>
      <w:r w:rsidR="00B90472">
        <w:instrText xml:space="preserve"> SEQ Grafico \* ARABIC </w:instrText>
      </w:r>
      <w:r w:rsidR="00B90472">
        <w:fldChar w:fldCharType="separate"/>
      </w:r>
      <w:r w:rsidR="008616B3">
        <w:rPr>
          <w:noProof/>
        </w:rPr>
        <w:t>21</w:t>
      </w:r>
      <w:r w:rsidR="00B90472">
        <w:rPr>
          <w:noProof/>
        </w:rPr>
        <w:fldChar w:fldCharType="end"/>
      </w:r>
      <w:r>
        <w:t xml:space="preserve"> </w:t>
      </w:r>
      <w:r w:rsidR="00195726">
        <w:t>- Trasferimenti correnti per categorie di beneficiario € 5.585.444.736</w:t>
      </w:r>
      <w:bookmarkEnd w:id="273"/>
    </w:p>
    <w:p w:rsidR="00F457DF" w:rsidRDefault="00F457DF" w:rsidP="00F457DF">
      <w:r>
        <w:rPr>
          <w:noProof/>
          <w:lang w:eastAsia="it-IT"/>
        </w:rPr>
        <w:drawing>
          <wp:inline distT="0" distB="0" distL="0" distR="0" wp14:anchorId="10F727EA" wp14:editId="21A6B96E">
            <wp:extent cx="6349042" cy="3131389"/>
            <wp:effectExtent l="0" t="0" r="13970" b="12065"/>
            <wp:docPr id="4" name="Grafico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6FECFD-9520-4589-B00D-AE71B59A39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B7C05" w:rsidRDefault="005B7C05" w:rsidP="00FC4A03">
      <w:pPr>
        <w:pStyle w:val="Didascalia"/>
      </w:pPr>
      <w:bookmarkStart w:id="274" w:name="_Toc501616451"/>
    </w:p>
    <w:p w:rsidR="00FC4A03" w:rsidRDefault="00FC4A03" w:rsidP="00FC4A03">
      <w:pPr>
        <w:pStyle w:val="Didascalia"/>
        <w:rPr>
          <w:rFonts w:eastAsia="Times New Roman" w:cs="Calibri"/>
          <w:color w:val="auto"/>
          <w:lang w:eastAsia="it-IT"/>
        </w:rPr>
      </w:pPr>
      <w:bookmarkStart w:id="275" w:name="_Toc507422525"/>
      <w:r>
        <w:t xml:space="preserve">Tabella </w:t>
      </w:r>
      <w:r w:rsidR="00B90472">
        <w:fldChar w:fldCharType="begin"/>
      </w:r>
      <w:r w:rsidR="00B90472">
        <w:instrText xml:space="preserve"> SEQ Tabella \* ARABIC </w:instrText>
      </w:r>
      <w:r w:rsidR="00B90472">
        <w:fldChar w:fldCharType="separate"/>
      </w:r>
      <w:r w:rsidR="008616B3">
        <w:rPr>
          <w:noProof/>
        </w:rPr>
        <w:t>57</w:t>
      </w:r>
      <w:r w:rsidR="00B90472">
        <w:rPr>
          <w:noProof/>
        </w:rPr>
        <w:fldChar w:fldCharType="end"/>
      </w:r>
      <w:r>
        <w:t xml:space="preserve"> – </w:t>
      </w:r>
      <w:r w:rsidRPr="00F457DF">
        <w:rPr>
          <w:rFonts w:eastAsia="Times New Roman" w:cs="Calibri"/>
          <w:color w:val="auto"/>
          <w:lang w:eastAsia="it-IT"/>
        </w:rPr>
        <w:t xml:space="preserve">Trasferimenti correnti </w:t>
      </w:r>
      <w:r w:rsidR="00833822">
        <w:rPr>
          <w:rFonts w:eastAsia="Times New Roman" w:cs="Calibri"/>
          <w:color w:val="auto"/>
          <w:lang w:eastAsia="it-IT"/>
        </w:rPr>
        <w:t xml:space="preserve">e per investimenti </w:t>
      </w:r>
      <w:r w:rsidRPr="00F457DF">
        <w:rPr>
          <w:rFonts w:eastAsia="Times New Roman" w:cs="Calibri"/>
          <w:color w:val="auto"/>
          <w:lang w:eastAsia="it-IT"/>
        </w:rPr>
        <w:t>a Comuni, Unioni di Comuni e Comunità Montane</w:t>
      </w:r>
      <w:bookmarkEnd w:id="274"/>
      <w:bookmarkEnd w:id="275"/>
    </w:p>
    <w:tbl>
      <w:tblPr>
        <w:tblW w:w="9620" w:type="dxa"/>
        <w:jc w:val="center"/>
        <w:tblCellMar>
          <w:left w:w="70" w:type="dxa"/>
          <w:right w:w="70" w:type="dxa"/>
        </w:tblCellMar>
        <w:tblLook w:val="04A0" w:firstRow="1" w:lastRow="0" w:firstColumn="1" w:lastColumn="0" w:noHBand="0" w:noVBand="1"/>
      </w:tblPr>
      <w:tblGrid>
        <w:gridCol w:w="5480"/>
        <w:gridCol w:w="1180"/>
        <w:gridCol w:w="820"/>
        <w:gridCol w:w="1180"/>
        <w:gridCol w:w="960"/>
      </w:tblGrid>
      <w:tr w:rsidR="005B7C05" w:rsidRPr="005B7C05" w:rsidTr="005B7C05">
        <w:trPr>
          <w:trHeight w:val="300"/>
          <w:jc w:val="center"/>
        </w:trPr>
        <w:tc>
          <w:tcPr>
            <w:tcW w:w="5480" w:type="dxa"/>
            <w:tcBorders>
              <w:top w:val="single" w:sz="4" w:space="0" w:color="000000"/>
              <w:left w:val="single" w:sz="4" w:space="0" w:color="000000"/>
              <w:bottom w:val="nil"/>
              <w:right w:val="nil"/>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Trasferimenti a Comuni, Unioni di Comuni e Comunità Montane</w:t>
            </w:r>
          </w:p>
        </w:tc>
        <w:tc>
          <w:tcPr>
            <w:tcW w:w="118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Correnti</w:t>
            </w:r>
          </w:p>
        </w:tc>
        <w:tc>
          <w:tcPr>
            <w:tcW w:w="820" w:type="dxa"/>
            <w:tcBorders>
              <w:top w:val="single" w:sz="4" w:space="0" w:color="000000"/>
              <w:left w:val="nil"/>
              <w:bottom w:val="nil"/>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Arial" w:eastAsia="Times New Roman" w:hAnsi="Arial" w:cs="Arial"/>
                <w:b/>
                <w:bCs/>
                <w:color w:val="FFFFFF" w:themeColor="background1"/>
                <w:sz w:val="20"/>
                <w:szCs w:val="20"/>
                <w:lang w:eastAsia="it-IT"/>
              </w:rPr>
            </w:pPr>
            <w:r w:rsidRPr="005B7C05">
              <w:rPr>
                <w:rFonts w:ascii="Arial" w:eastAsia="Times New Roman" w:hAnsi="Arial" w:cs="Arial"/>
                <w:b/>
                <w:bCs/>
                <w:color w:val="FFFFFF" w:themeColor="background1"/>
                <w:sz w:val="20"/>
                <w:szCs w:val="20"/>
                <w:lang w:eastAsia="it-IT"/>
              </w:rPr>
              <w:t>%</w:t>
            </w:r>
          </w:p>
        </w:tc>
        <w:tc>
          <w:tcPr>
            <w:tcW w:w="1180" w:type="dxa"/>
            <w:tcBorders>
              <w:top w:val="single" w:sz="4" w:space="0" w:color="000000"/>
              <w:left w:val="nil"/>
              <w:bottom w:val="nil"/>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Investimenti</w:t>
            </w:r>
          </w:p>
        </w:tc>
        <w:tc>
          <w:tcPr>
            <w:tcW w:w="960" w:type="dxa"/>
            <w:tcBorders>
              <w:top w:val="single" w:sz="4" w:space="0" w:color="000000"/>
              <w:left w:val="nil"/>
              <w:bottom w:val="nil"/>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Arial" w:eastAsia="Times New Roman" w:hAnsi="Arial" w:cs="Arial"/>
                <w:b/>
                <w:bCs/>
                <w:color w:val="FFFFFF" w:themeColor="background1"/>
                <w:sz w:val="20"/>
                <w:szCs w:val="20"/>
                <w:lang w:eastAsia="it-IT"/>
              </w:rPr>
            </w:pPr>
            <w:r w:rsidRPr="005B7C05">
              <w:rPr>
                <w:rFonts w:ascii="Arial" w:eastAsia="Times New Roman" w:hAnsi="Arial" w:cs="Arial"/>
                <w:b/>
                <w:bCs/>
                <w:color w:val="FFFFFF" w:themeColor="background1"/>
                <w:sz w:val="20"/>
                <w:szCs w:val="20"/>
                <w:lang w:eastAsia="it-IT"/>
              </w:rPr>
              <w:t>%</w:t>
            </w:r>
          </w:p>
        </w:tc>
      </w:tr>
      <w:tr w:rsidR="005B7C05" w:rsidRPr="005B7C05" w:rsidTr="005B7C05">
        <w:trPr>
          <w:trHeight w:val="300"/>
          <w:jc w:val="center"/>
        </w:trPr>
        <w:tc>
          <w:tcPr>
            <w:tcW w:w="548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20"/>
                <w:szCs w:val="20"/>
                <w:lang w:eastAsia="it-IT"/>
              </w:rPr>
            </w:pPr>
            <w:r w:rsidRPr="005B7C05">
              <w:rPr>
                <w:rFonts w:ascii="Bodoni MT" w:eastAsia="Times New Roman" w:hAnsi="Bodoni MT" w:cs="Calibri"/>
                <w:color w:val="FFFFFF" w:themeColor="background1"/>
                <w:sz w:val="20"/>
                <w:szCs w:val="20"/>
                <w:lang w:eastAsia="it-IT"/>
              </w:rPr>
              <w:t>Totale Trasferimenti correnti a Comuni</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856.873.271</w:t>
            </w:r>
          </w:p>
        </w:tc>
        <w:tc>
          <w:tcPr>
            <w:tcW w:w="82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96,76%</w:t>
            </w:r>
          </w:p>
        </w:tc>
        <w:tc>
          <w:tcPr>
            <w:tcW w:w="118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132.801.536</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99,68%</w:t>
            </w: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20"/>
                <w:szCs w:val="20"/>
                <w:lang w:eastAsia="it-IT"/>
              </w:rPr>
            </w:pPr>
            <w:r w:rsidRPr="005B7C05">
              <w:rPr>
                <w:rFonts w:ascii="Bodoni MT" w:eastAsia="Times New Roman" w:hAnsi="Bodoni MT" w:cs="Calibri"/>
                <w:color w:val="FFFFFF" w:themeColor="background1"/>
                <w:sz w:val="20"/>
                <w:szCs w:val="20"/>
                <w:lang w:eastAsia="it-IT"/>
              </w:rPr>
              <w:t>Totale Trasferimenti correnti a Unioni di Comuni</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24.152.962</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2,73%</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308.456</w:t>
            </w: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0,23%</w:t>
            </w: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20"/>
                <w:szCs w:val="20"/>
                <w:lang w:eastAsia="it-IT"/>
              </w:rPr>
            </w:pPr>
            <w:r w:rsidRPr="005B7C05">
              <w:rPr>
                <w:rFonts w:ascii="Bodoni MT" w:eastAsia="Times New Roman" w:hAnsi="Bodoni MT" w:cs="Calibri"/>
                <w:color w:val="FFFFFF" w:themeColor="background1"/>
                <w:sz w:val="20"/>
                <w:szCs w:val="20"/>
                <w:lang w:eastAsia="it-IT"/>
              </w:rPr>
              <w:t>Totale Trasferimenti correnti a Comunità Montane</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4.541.183</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0,51%</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120.000</w:t>
            </w: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0,09%</w:t>
            </w: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Totale</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885.567.416</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100,00%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133.229.992</w:t>
            </w: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100,00%</w:t>
            </w:r>
          </w:p>
        </w:tc>
      </w:tr>
    </w:tbl>
    <w:p w:rsidR="00FC4A03" w:rsidRDefault="00FC4A03" w:rsidP="00FC4A03">
      <w:pPr>
        <w:pStyle w:val="Didascalia"/>
        <w:rPr>
          <w:rFonts w:eastAsia="Times New Roman" w:cs="Calibri"/>
          <w:color w:val="auto"/>
          <w:lang w:eastAsia="it-IT"/>
        </w:rPr>
      </w:pPr>
      <w:bookmarkStart w:id="276" w:name="_Toc501616452"/>
      <w:bookmarkStart w:id="277" w:name="_Toc507422526"/>
      <w:r>
        <w:t xml:space="preserve">Tabella </w:t>
      </w:r>
      <w:r w:rsidR="00B90472">
        <w:fldChar w:fldCharType="begin"/>
      </w:r>
      <w:r w:rsidR="00B90472">
        <w:instrText xml:space="preserve"> SEQ Tabella \* ARABIC </w:instrText>
      </w:r>
      <w:r w:rsidR="00B90472">
        <w:fldChar w:fldCharType="separate"/>
      </w:r>
      <w:r w:rsidR="008616B3">
        <w:rPr>
          <w:noProof/>
        </w:rPr>
        <w:t>58</w:t>
      </w:r>
      <w:r w:rsidR="00B90472">
        <w:rPr>
          <w:noProof/>
        </w:rPr>
        <w:fldChar w:fldCharType="end"/>
      </w:r>
      <w:r>
        <w:t xml:space="preserve"> – </w:t>
      </w:r>
      <w:r w:rsidRPr="00F457DF">
        <w:rPr>
          <w:rFonts w:eastAsia="Times New Roman" w:cs="Calibri"/>
          <w:color w:val="auto"/>
          <w:lang w:eastAsia="it-IT"/>
        </w:rPr>
        <w:t xml:space="preserve">Trasferimenti correnti </w:t>
      </w:r>
      <w:r w:rsidR="00833822">
        <w:rPr>
          <w:rFonts w:eastAsia="Times New Roman" w:cs="Calibri"/>
          <w:color w:val="auto"/>
          <w:lang w:eastAsia="it-IT"/>
        </w:rPr>
        <w:t xml:space="preserve">e per investimenti </w:t>
      </w:r>
      <w:r w:rsidRPr="00F457DF">
        <w:rPr>
          <w:rFonts w:eastAsia="Times New Roman" w:cs="Calibri"/>
          <w:color w:val="auto"/>
          <w:lang w:eastAsia="it-IT"/>
        </w:rPr>
        <w:t>alle Università</w:t>
      </w:r>
      <w:bookmarkEnd w:id="276"/>
      <w:bookmarkEnd w:id="277"/>
    </w:p>
    <w:tbl>
      <w:tblPr>
        <w:tblW w:w="9620" w:type="dxa"/>
        <w:jc w:val="center"/>
        <w:tblCellMar>
          <w:left w:w="70" w:type="dxa"/>
          <w:right w:w="70" w:type="dxa"/>
        </w:tblCellMar>
        <w:tblLook w:val="04A0" w:firstRow="1" w:lastRow="0" w:firstColumn="1" w:lastColumn="0" w:noHBand="0" w:noVBand="1"/>
      </w:tblPr>
      <w:tblGrid>
        <w:gridCol w:w="5480"/>
        <w:gridCol w:w="1180"/>
        <w:gridCol w:w="820"/>
        <w:gridCol w:w="1180"/>
        <w:gridCol w:w="960"/>
      </w:tblGrid>
      <w:tr w:rsidR="005B7C05" w:rsidRPr="005B7C05" w:rsidTr="005B7C05">
        <w:trPr>
          <w:trHeight w:val="300"/>
          <w:jc w:val="center"/>
        </w:trPr>
        <w:tc>
          <w:tcPr>
            <w:tcW w:w="5480" w:type="dxa"/>
            <w:tcBorders>
              <w:top w:val="single" w:sz="4" w:space="0" w:color="000000"/>
              <w:left w:val="single" w:sz="4" w:space="0" w:color="000000"/>
              <w:bottom w:val="nil"/>
              <w:right w:val="nil"/>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Trasferimenti alle Università</w:t>
            </w:r>
          </w:p>
        </w:tc>
        <w:tc>
          <w:tcPr>
            <w:tcW w:w="118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Correnti</w:t>
            </w:r>
          </w:p>
        </w:tc>
        <w:tc>
          <w:tcPr>
            <w:tcW w:w="820" w:type="dxa"/>
            <w:tcBorders>
              <w:top w:val="single" w:sz="4" w:space="0" w:color="000000"/>
              <w:left w:val="nil"/>
              <w:bottom w:val="single" w:sz="4" w:space="0" w:color="000000"/>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w:t>
            </w:r>
          </w:p>
        </w:tc>
        <w:tc>
          <w:tcPr>
            <w:tcW w:w="1180" w:type="dxa"/>
            <w:tcBorders>
              <w:top w:val="single" w:sz="4" w:space="0" w:color="000000"/>
              <w:left w:val="nil"/>
              <w:bottom w:val="nil"/>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Investimenti</w:t>
            </w:r>
          </w:p>
        </w:tc>
        <w:tc>
          <w:tcPr>
            <w:tcW w:w="960" w:type="dxa"/>
            <w:tcBorders>
              <w:top w:val="single" w:sz="4" w:space="0" w:color="000000"/>
              <w:left w:val="nil"/>
              <w:bottom w:val="nil"/>
              <w:right w:val="single" w:sz="4" w:space="0" w:color="000000"/>
            </w:tcBorders>
            <w:shd w:val="clear" w:color="auto" w:fill="0F243E" w:themeFill="text2" w:themeFillShade="80"/>
            <w:noWrap/>
            <w:vAlign w:val="center"/>
            <w:hideMark/>
          </w:tcPr>
          <w:p w:rsidR="005B7C05" w:rsidRPr="005B7C05" w:rsidRDefault="005B7C05" w:rsidP="005B7C05">
            <w:pPr>
              <w:spacing w:after="0" w:line="240" w:lineRule="auto"/>
              <w:jc w:val="center"/>
              <w:rPr>
                <w:rFonts w:ascii="Arial" w:eastAsia="Times New Roman" w:hAnsi="Arial" w:cs="Arial"/>
                <w:b/>
                <w:bCs/>
                <w:color w:val="FFFFFF" w:themeColor="background1"/>
                <w:sz w:val="20"/>
                <w:szCs w:val="20"/>
                <w:lang w:eastAsia="it-IT"/>
              </w:rPr>
            </w:pPr>
            <w:r w:rsidRPr="005B7C05">
              <w:rPr>
                <w:rFonts w:ascii="Arial" w:eastAsia="Times New Roman" w:hAnsi="Arial" w:cs="Arial"/>
                <w:b/>
                <w:bCs/>
                <w:color w:val="FFFFFF" w:themeColor="background1"/>
                <w:sz w:val="20"/>
                <w:szCs w:val="20"/>
                <w:lang w:eastAsia="it-IT"/>
              </w:rPr>
              <w:t>%</w:t>
            </w:r>
          </w:p>
        </w:tc>
      </w:tr>
      <w:tr w:rsidR="005B7C05" w:rsidRPr="005B7C05" w:rsidTr="005B7C05">
        <w:trPr>
          <w:trHeight w:val="300"/>
          <w:jc w:val="center"/>
        </w:trPr>
        <w:tc>
          <w:tcPr>
            <w:tcW w:w="548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UNIVERSITA' DEGLI STUDI DI CAGLIARI</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27.173.026</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61,7%</w:t>
            </w:r>
          </w:p>
        </w:tc>
        <w:tc>
          <w:tcPr>
            <w:tcW w:w="118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19.173.100</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40,28%</w:t>
            </w: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UNIV. DEGLI STUDI SASSARI</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16.696.783</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37,9%</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28.428.143</w:t>
            </w: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r w:rsidRPr="005B7C05">
              <w:rPr>
                <w:rFonts w:eastAsia="Times New Roman" w:cstheme="minorHAnsi"/>
                <w:color w:val="000000"/>
                <w:sz w:val="18"/>
                <w:szCs w:val="18"/>
                <w:lang w:eastAsia="it-IT"/>
              </w:rPr>
              <w:t>59,72%</w:t>
            </w: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Università Arti Applicate di Vienna</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82.083</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0,2%</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UNIV. DEGLI STUDI DI MILANO-BICOCCA</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70.000</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0,2%</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DIPART.DI ARCHITETTURA E DESIGN</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19.500</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DIPARTIM. DI SCIENZE CHIMICHE E</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17.500</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UNISS - DA SPAVE</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12.000</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color w:val="FFFFFF" w:themeColor="background1"/>
                <w:sz w:val="16"/>
                <w:szCs w:val="16"/>
                <w:lang w:eastAsia="it-IT"/>
              </w:rPr>
            </w:pPr>
            <w:r w:rsidRPr="005B7C05">
              <w:rPr>
                <w:rFonts w:ascii="Bodoni MT" w:eastAsia="Times New Roman" w:hAnsi="Bodoni MT" w:cs="Calibri"/>
                <w:color w:val="FFFFFF" w:themeColor="background1"/>
                <w:sz w:val="16"/>
                <w:szCs w:val="16"/>
                <w:lang w:eastAsia="it-IT"/>
              </w:rPr>
              <w:t>DIPARTIM. DI SCIENZE UMANISTICHE</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3.000</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sz w:val="18"/>
                <w:szCs w:val="18"/>
                <w:lang w:eastAsia="it-IT"/>
              </w:rPr>
            </w:pPr>
            <w:r w:rsidRPr="005B7C05">
              <w:rPr>
                <w:rFonts w:eastAsia="Times New Roman" w:cstheme="minorHAnsi"/>
                <w:sz w:val="18"/>
                <w:szCs w:val="18"/>
                <w:lang w:eastAsia="it-IT"/>
              </w:rPr>
              <w:t>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color w:val="000000"/>
                <w:sz w:val="18"/>
                <w:szCs w:val="18"/>
                <w:lang w:eastAsia="it-IT"/>
              </w:rPr>
            </w:pPr>
          </w:p>
        </w:tc>
      </w:tr>
      <w:tr w:rsidR="005B7C05" w:rsidRPr="005B7C05" w:rsidTr="005B7C05">
        <w:trPr>
          <w:trHeight w:val="300"/>
          <w:jc w:val="center"/>
        </w:trPr>
        <w:tc>
          <w:tcPr>
            <w:tcW w:w="5480" w:type="dxa"/>
            <w:tcBorders>
              <w:top w:val="nil"/>
              <w:left w:val="single" w:sz="4" w:space="0" w:color="000000"/>
              <w:bottom w:val="single" w:sz="4" w:space="0" w:color="auto"/>
              <w:right w:val="single" w:sz="4" w:space="0" w:color="000000"/>
            </w:tcBorders>
            <w:shd w:val="clear" w:color="auto" w:fill="95B3D7" w:themeFill="accent1" w:themeFillTint="99"/>
            <w:noWrap/>
            <w:vAlign w:val="center"/>
            <w:hideMark/>
          </w:tcPr>
          <w:p w:rsidR="005B7C05" w:rsidRPr="005B7C05" w:rsidRDefault="005B7C05" w:rsidP="005B7C05">
            <w:pPr>
              <w:spacing w:after="0" w:line="240" w:lineRule="auto"/>
              <w:rPr>
                <w:rFonts w:ascii="Bodoni MT" w:eastAsia="Times New Roman" w:hAnsi="Bodoni MT" w:cs="Calibri"/>
                <w:b/>
                <w:bCs/>
                <w:color w:val="FFFFFF" w:themeColor="background1"/>
                <w:sz w:val="20"/>
                <w:szCs w:val="20"/>
                <w:lang w:eastAsia="it-IT"/>
              </w:rPr>
            </w:pPr>
            <w:r w:rsidRPr="005B7C05">
              <w:rPr>
                <w:rFonts w:ascii="Bodoni MT" w:eastAsia="Times New Roman" w:hAnsi="Bodoni MT" w:cs="Calibri"/>
                <w:b/>
                <w:bCs/>
                <w:color w:val="FFFFFF" w:themeColor="background1"/>
                <w:sz w:val="20"/>
                <w:szCs w:val="20"/>
                <w:lang w:eastAsia="it-IT"/>
              </w:rPr>
              <w:t xml:space="preserve">Totale </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sz w:val="18"/>
                <w:szCs w:val="18"/>
                <w:lang w:eastAsia="it-IT"/>
              </w:rPr>
            </w:pPr>
            <w:r w:rsidRPr="005B7C05">
              <w:rPr>
                <w:rFonts w:eastAsia="Times New Roman" w:cstheme="minorHAnsi"/>
                <w:b/>
                <w:bCs/>
                <w:sz w:val="18"/>
                <w:szCs w:val="18"/>
                <w:lang w:eastAsia="it-IT"/>
              </w:rPr>
              <w:t>44.073.891</w:t>
            </w:r>
          </w:p>
        </w:tc>
        <w:tc>
          <w:tcPr>
            <w:tcW w:w="82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sz w:val="18"/>
                <w:szCs w:val="18"/>
                <w:lang w:eastAsia="it-IT"/>
              </w:rPr>
            </w:pPr>
            <w:r w:rsidRPr="005B7C05">
              <w:rPr>
                <w:rFonts w:eastAsia="Times New Roman" w:cstheme="minorHAnsi"/>
                <w:b/>
                <w:bCs/>
                <w:sz w:val="18"/>
                <w:szCs w:val="18"/>
                <w:lang w:eastAsia="it-IT"/>
              </w:rPr>
              <w:t>100,0%</w:t>
            </w:r>
          </w:p>
        </w:tc>
        <w:tc>
          <w:tcPr>
            <w:tcW w:w="118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47.601.243</w:t>
            </w:r>
          </w:p>
        </w:tc>
        <w:tc>
          <w:tcPr>
            <w:tcW w:w="960" w:type="dxa"/>
            <w:tcBorders>
              <w:top w:val="nil"/>
              <w:left w:val="nil"/>
              <w:bottom w:val="single" w:sz="4" w:space="0" w:color="auto"/>
              <w:right w:val="single" w:sz="4" w:space="0" w:color="auto"/>
            </w:tcBorders>
            <w:shd w:val="clear" w:color="auto" w:fill="F2F2F2" w:themeFill="background1" w:themeFillShade="F2"/>
            <w:noWrap/>
            <w:vAlign w:val="center"/>
            <w:hideMark/>
          </w:tcPr>
          <w:p w:rsidR="005B7C05" w:rsidRPr="005B7C05" w:rsidRDefault="005B7C05" w:rsidP="005B7C05">
            <w:pPr>
              <w:spacing w:after="0" w:line="240" w:lineRule="auto"/>
              <w:jc w:val="right"/>
              <w:rPr>
                <w:rFonts w:eastAsia="Times New Roman" w:cstheme="minorHAnsi"/>
                <w:b/>
                <w:bCs/>
                <w:color w:val="000000"/>
                <w:sz w:val="18"/>
                <w:szCs w:val="18"/>
                <w:lang w:eastAsia="it-IT"/>
              </w:rPr>
            </w:pPr>
            <w:r w:rsidRPr="005B7C05">
              <w:rPr>
                <w:rFonts w:eastAsia="Times New Roman" w:cstheme="minorHAnsi"/>
                <w:b/>
                <w:bCs/>
                <w:color w:val="000000"/>
                <w:sz w:val="18"/>
                <w:szCs w:val="18"/>
                <w:lang w:eastAsia="it-IT"/>
              </w:rPr>
              <w:t>100,00%</w:t>
            </w:r>
          </w:p>
        </w:tc>
      </w:tr>
    </w:tbl>
    <w:p w:rsidR="00FC4A03" w:rsidRDefault="00FC4A03" w:rsidP="00FC4A03">
      <w:pPr>
        <w:pStyle w:val="Didascalia"/>
      </w:pPr>
      <w:bookmarkStart w:id="278" w:name="_Toc501616453"/>
    </w:p>
    <w:p w:rsidR="00130B51" w:rsidRDefault="00130B51" w:rsidP="00FC4A03">
      <w:pPr>
        <w:pStyle w:val="Didascalia"/>
      </w:pPr>
      <w:r>
        <w:br w:type="page"/>
      </w:r>
    </w:p>
    <w:p w:rsidR="00FC4A03" w:rsidRDefault="00FC4A03" w:rsidP="00FC4A03">
      <w:pPr>
        <w:pStyle w:val="Didascalia"/>
      </w:pPr>
      <w:bookmarkStart w:id="279" w:name="_Toc507422527"/>
      <w:r>
        <w:lastRenderedPageBreak/>
        <w:t xml:space="preserve">Tabella </w:t>
      </w:r>
      <w:r w:rsidR="00B90472">
        <w:fldChar w:fldCharType="begin"/>
      </w:r>
      <w:r w:rsidR="00B90472">
        <w:instrText xml:space="preserve"> SEQ Tabella \* ARABIC </w:instrText>
      </w:r>
      <w:r w:rsidR="00B90472">
        <w:fldChar w:fldCharType="separate"/>
      </w:r>
      <w:r w:rsidR="008616B3">
        <w:rPr>
          <w:noProof/>
        </w:rPr>
        <w:t>59</w:t>
      </w:r>
      <w:r w:rsidR="00B90472">
        <w:rPr>
          <w:noProof/>
        </w:rPr>
        <w:fldChar w:fldCharType="end"/>
      </w:r>
      <w:r>
        <w:t xml:space="preserve"> - Trasfe</w:t>
      </w:r>
      <w:r w:rsidRPr="00B15247">
        <w:t xml:space="preserve">rimenti correnti </w:t>
      </w:r>
      <w:r w:rsidR="00A06261" w:rsidRPr="00B15247">
        <w:t>e Contributi agli Investimenti</w:t>
      </w:r>
      <w:r w:rsidR="00590955">
        <w:rPr>
          <w:vertAlign w:val="superscript"/>
        </w:rPr>
        <w:t>*</w:t>
      </w:r>
      <w:r w:rsidR="00A06261" w:rsidRPr="00B15247">
        <w:t xml:space="preserve"> </w:t>
      </w:r>
      <w:r w:rsidR="00A06261">
        <w:t xml:space="preserve">- </w:t>
      </w:r>
      <w:r w:rsidRPr="00B15247">
        <w:t>Enti e Agenzie Regionali</w:t>
      </w:r>
      <w:bookmarkEnd w:id="279"/>
      <w:r w:rsidRPr="00B15247">
        <w:t xml:space="preserve"> </w:t>
      </w:r>
      <w:bookmarkEnd w:id="278"/>
    </w:p>
    <w:tbl>
      <w:tblPr>
        <w:tblW w:w="5077" w:type="pct"/>
        <w:jc w:val="center"/>
        <w:tblCellMar>
          <w:left w:w="70" w:type="dxa"/>
          <w:right w:w="70" w:type="dxa"/>
        </w:tblCellMar>
        <w:tblLook w:val="04A0" w:firstRow="1" w:lastRow="0" w:firstColumn="1" w:lastColumn="0" w:noHBand="0" w:noVBand="1"/>
      </w:tblPr>
      <w:tblGrid>
        <w:gridCol w:w="6105"/>
        <w:gridCol w:w="1152"/>
        <w:gridCol w:w="681"/>
        <w:gridCol w:w="1070"/>
        <w:gridCol w:w="921"/>
      </w:tblGrid>
      <w:tr w:rsidR="00FC4A03" w:rsidRPr="005E7139" w:rsidTr="00D408BA">
        <w:trPr>
          <w:trHeight w:val="855"/>
          <w:jc w:val="center"/>
        </w:trPr>
        <w:tc>
          <w:tcPr>
            <w:tcW w:w="3073"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Descrizione Beneficiario</w:t>
            </w:r>
          </w:p>
        </w:tc>
        <w:tc>
          <w:tcPr>
            <w:tcW w:w="580"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FC4A03" w:rsidRPr="005E7139" w:rsidRDefault="007F2C73" w:rsidP="00FC4A03">
            <w:pPr>
              <w:spacing w:after="0" w:line="240" w:lineRule="auto"/>
              <w:jc w:val="center"/>
              <w:rPr>
                <w:rFonts w:ascii="Bodoni MT" w:eastAsia="Times New Roman" w:hAnsi="Bodoni MT" w:cs="Calibri"/>
                <w:b/>
                <w:bCs/>
                <w:color w:val="FFFFFF" w:themeColor="background1"/>
                <w:sz w:val="18"/>
                <w:szCs w:val="18"/>
                <w:lang w:eastAsia="it-IT"/>
              </w:rPr>
            </w:pPr>
            <w:r>
              <w:rPr>
                <w:rFonts w:ascii="Bodoni MT" w:eastAsia="Times New Roman" w:hAnsi="Bodoni MT" w:cs="Calibri"/>
                <w:b/>
                <w:bCs/>
                <w:color w:val="FFFFFF" w:themeColor="background1"/>
                <w:sz w:val="18"/>
                <w:szCs w:val="18"/>
                <w:lang w:eastAsia="it-IT"/>
              </w:rPr>
              <w:t>Trasferimenti</w:t>
            </w:r>
            <w:r w:rsidR="00FC4A03" w:rsidRPr="005E7139">
              <w:rPr>
                <w:rFonts w:ascii="Bodoni MT" w:eastAsia="Times New Roman" w:hAnsi="Bodoni MT" w:cs="Calibri"/>
                <w:b/>
                <w:bCs/>
                <w:color w:val="FFFFFF" w:themeColor="background1"/>
                <w:sz w:val="18"/>
                <w:szCs w:val="18"/>
                <w:lang w:eastAsia="it-IT"/>
              </w:rPr>
              <w:t xml:space="preserve"> corrent</w:t>
            </w:r>
            <w:r>
              <w:rPr>
                <w:rFonts w:ascii="Bodoni MT" w:eastAsia="Times New Roman" w:hAnsi="Bodoni MT" w:cs="Calibri"/>
                <w:b/>
                <w:bCs/>
                <w:color w:val="FFFFFF" w:themeColor="background1"/>
                <w:sz w:val="18"/>
                <w:szCs w:val="18"/>
                <w:lang w:eastAsia="it-IT"/>
              </w:rPr>
              <w:t>i</w:t>
            </w:r>
          </w:p>
        </w:tc>
        <w:tc>
          <w:tcPr>
            <w:tcW w:w="343"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w:t>
            </w:r>
          </w:p>
        </w:tc>
        <w:tc>
          <w:tcPr>
            <w:tcW w:w="539"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Contributi agli Investimenti</w:t>
            </w:r>
          </w:p>
        </w:tc>
        <w:tc>
          <w:tcPr>
            <w:tcW w:w="464"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w:t>
            </w:r>
          </w:p>
        </w:tc>
      </w:tr>
      <w:tr w:rsidR="00FC4A03" w:rsidRPr="005E7139" w:rsidTr="00D408BA">
        <w:trPr>
          <w:trHeight w:val="149"/>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ARGEA SARDEGNA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35.393.670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8,5%</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2.404.469</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2,92%</w:t>
            </w:r>
          </w:p>
        </w:tc>
      </w:tr>
      <w:tr w:rsidR="00FC4A03" w:rsidRPr="005E7139" w:rsidTr="00D408BA">
        <w:trPr>
          <w:trHeight w:val="167"/>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AGRIS REGIONE AUTONOMA DELLA SARDEGNA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1.563.243</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0,4%</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150.000</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0,18%</w:t>
            </w:r>
          </w:p>
        </w:tc>
      </w:tr>
      <w:tr w:rsidR="00FC4A03" w:rsidRPr="005E7139" w:rsidTr="00D408BA">
        <w:trPr>
          <w:trHeight w:val="213"/>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LAORE SARDEGNA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34.996.500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8,5%</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17.399.277</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21,15%</w:t>
            </w:r>
          </w:p>
        </w:tc>
      </w:tr>
      <w:tr w:rsidR="00FC4A03" w:rsidRPr="005E7139" w:rsidTr="00D408BA">
        <w:trPr>
          <w:trHeight w:val="181"/>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ALTRI TRASFERIMENTI</w:t>
            </w:r>
            <w:r w:rsidR="00A4421B">
              <w:rPr>
                <w:rFonts w:ascii="Bodoni MT" w:eastAsia="Times New Roman" w:hAnsi="Bodoni MT" w:cs="Calibri"/>
                <w:color w:val="FFFFFF" w:themeColor="background1"/>
                <w:sz w:val="18"/>
                <w:szCs w:val="18"/>
                <w:lang w:eastAsia="it-IT"/>
              </w:rPr>
              <w:t xml:space="preserve"> (Settore agricolo)</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150.000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227"/>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FoReSTAS - AG.</w:t>
            </w:r>
            <w:r w:rsidR="00844304">
              <w:rPr>
                <w:rFonts w:ascii="Bodoni MT" w:eastAsia="Times New Roman" w:hAnsi="Bodoni MT" w:cs="Calibri"/>
                <w:color w:val="FFFFFF" w:themeColor="background1"/>
                <w:sz w:val="18"/>
                <w:szCs w:val="18"/>
                <w:lang w:eastAsia="it-IT"/>
              </w:rPr>
              <w:t xml:space="preserve"> </w:t>
            </w:r>
            <w:r w:rsidRPr="005E7139">
              <w:rPr>
                <w:rFonts w:ascii="Bodoni MT" w:eastAsia="Times New Roman" w:hAnsi="Bodoni MT" w:cs="Calibri"/>
                <w:color w:val="FFFFFF" w:themeColor="background1"/>
                <w:sz w:val="18"/>
                <w:szCs w:val="18"/>
                <w:lang w:eastAsia="it-IT"/>
              </w:rPr>
              <w:t xml:space="preserve">FORESTALE REG.LE </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134.695.000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32,5%</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 xml:space="preserve">ASPAL - AGENZIA SARDA </w:t>
            </w:r>
            <w:r w:rsidR="00A4421B" w:rsidRPr="005E7139">
              <w:rPr>
                <w:rFonts w:ascii="Bodoni MT" w:eastAsia="Times New Roman" w:hAnsi="Bodoni MT" w:cs="Calibri"/>
                <w:color w:val="FFFFFF" w:themeColor="background1"/>
                <w:sz w:val="18"/>
                <w:szCs w:val="18"/>
                <w:lang w:eastAsia="it-IT"/>
              </w:rPr>
              <w:t>PER LE</w:t>
            </w:r>
            <w:r w:rsidR="00A4421B">
              <w:rPr>
                <w:rFonts w:ascii="Bodoni MT" w:eastAsia="Times New Roman" w:hAnsi="Bodoni MT" w:cs="Calibri"/>
                <w:color w:val="FFFFFF" w:themeColor="background1"/>
                <w:sz w:val="18"/>
                <w:szCs w:val="18"/>
                <w:lang w:eastAsia="it-IT"/>
              </w:rPr>
              <w:t xml:space="preserve"> POLITICHE ATTIVE DEL LAVORO</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35.832.837</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8,7%</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330.000</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0,40%</w:t>
            </w:r>
          </w:p>
        </w:tc>
      </w:tr>
      <w:tr w:rsidR="00FC4A03" w:rsidRPr="005E7139" w:rsidTr="00D408BA">
        <w:trPr>
          <w:trHeight w:val="237"/>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ABBANOA SPA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601.602</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0,73%</w:t>
            </w:r>
          </w:p>
        </w:tc>
      </w:tr>
      <w:tr w:rsidR="00FC4A03" w:rsidRPr="005E7139" w:rsidTr="00D408BA">
        <w:trPr>
          <w:trHeight w:val="114"/>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AGRIS</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27.890.984</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6,7%</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267"/>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ENTE FORESTE DELLA SARDEGNA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26.000.000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6,3%</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4.989.275</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6,06%</w:t>
            </w:r>
          </w:p>
        </w:tc>
      </w:tr>
      <w:tr w:rsidR="00FC4A03" w:rsidRPr="005E7139" w:rsidTr="00D408BA">
        <w:trPr>
          <w:trHeight w:val="143"/>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ENTE REGIONALE PER IL DIRITTO ALLOS</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38.208.722</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9,2%</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7.141.581</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8,68%</w:t>
            </w:r>
          </w:p>
        </w:tc>
      </w:tr>
      <w:tr w:rsidR="00FC4A03" w:rsidRPr="005E7139" w:rsidTr="00D408BA">
        <w:trPr>
          <w:trHeight w:val="161"/>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ENTE ACQUE DELLA SARDEGNA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24.886.667</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8.500.000</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10,33%</w:t>
            </w:r>
          </w:p>
        </w:tc>
      </w:tr>
      <w:tr w:rsidR="00FC4A03" w:rsidRPr="005E7139" w:rsidTr="00D408BA">
        <w:trPr>
          <w:trHeight w:val="141"/>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SARDEGNA RICERCHE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24.883.725</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34.993.187</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42,53%</w:t>
            </w:r>
          </w:p>
        </w:tc>
      </w:tr>
      <w:tr w:rsidR="00FC4A03" w:rsidRPr="005E7139" w:rsidTr="00D408BA">
        <w:trPr>
          <w:trHeight w:val="117"/>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ARPAS AGENZIA REGIONALE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16.314.823</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3,9%</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105"/>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FONDAZIONE SARDEGNA FILM</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221.224</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0,27%</w:t>
            </w:r>
          </w:p>
        </w:tc>
      </w:tr>
      <w:tr w:rsidR="00FC4A03" w:rsidRPr="005E7139" w:rsidTr="00D408BA">
        <w:trPr>
          <w:trHeight w:val="165"/>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BIC SARDEGNA S.P.A. IN LIQUIDAZIONE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3.672.166</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0,9%</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A4421B" w:rsidP="00FC4A03">
            <w:pPr>
              <w:spacing w:after="0" w:line="240" w:lineRule="auto"/>
              <w:rPr>
                <w:rFonts w:ascii="Bodoni MT" w:eastAsia="Times New Roman" w:hAnsi="Bodoni MT" w:cs="Calibri"/>
                <w:color w:val="FFFFFF" w:themeColor="background1"/>
                <w:sz w:val="18"/>
                <w:szCs w:val="18"/>
                <w:lang w:eastAsia="it-IT"/>
              </w:rPr>
            </w:pPr>
            <w:r>
              <w:rPr>
                <w:rFonts w:ascii="Bodoni MT" w:eastAsia="Times New Roman" w:hAnsi="Bodoni MT" w:cs="Calibri"/>
                <w:color w:val="FFFFFF" w:themeColor="background1"/>
                <w:sz w:val="18"/>
                <w:szCs w:val="18"/>
                <w:lang w:eastAsia="it-IT"/>
              </w:rPr>
              <w:t>ALTRI TRASFERIMENTI</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3.400.000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0,8%</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ISRE ISTITUTO SUPERIORE REGIONALE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2.850.000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0,7%</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CRS4 S.R.L.</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2.500.000</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0,6%</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AGENZIA CONSERVATORIA DELLE COSTE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643.384</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0,2%</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141.975</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0,17%</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ERARIO STATO RITENUTE IRPEF -</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113.333</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0,00%</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A.R.E.A. AZIENDA REGIONALE</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5.300.067</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6,44%</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CONSORZIO DI BONIFICA DELLA NURRA</w:t>
            </w:r>
          </w:p>
        </w:tc>
        <w:tc>
          <w:tcPr>
            <w:tcW w:w="5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w:t>
            </w:r>
          </w:p>
        </w:tc>
        <w:tc>
          <w:tcPr>
            <w:tcW w:w="343"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0,0%</w:t>
            </w:r>
          </w:p>
        </w:tc>
        <w:tc>
          <w:tcPr>
            <w:tcW w:w="539"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100.000</w:t>
            </w:r>
          </w:p>
        </w:tc>
        <w:tc>
          <w:tcPr>
            <w:tcW w:w="464"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0,12%</w:t>
            </w:r>
          </w:p>
        </w:tc>
      </w:tr>
      <w:tr w:rsidR="00FC4A03" w:rsidRPr="005E7139" w:rsidTr="00D408BA">
        <w:trPr>
          <w:trHeight w:val="300"/>
          <w:jc w:val="center"/>
        </w:trPr>
        <w:tc>
          <w:tcPr>
            <w:tcW w:w="307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TOTALE</w:t>
            </w:r>
          </w:p>
        </w:tc>
        <w:tc>
          <w:tcPr>
            <w:tcW w:w="580" w:type="pct"/>
            <w:tcBorders>
              <w:top w:val="nil"/>
              <w:left w:val="nil"/>
              <w:bottom w:val="single" w:sz="4" w:space="0" w:color="auto"/>
              <w:right w:val="single" w:sz="4" w:space="0" w:color="auto"/>
            </w:tcBorders>
            <w:shd w:val="clear" w:color="auto" w:fill="FFFFFF" w:themeFill="background1"/>
            <w:noWrap/>
            <w:vAlign w:val="center"/>
            <w:hideMark/>
          </w:tcPr>
          <w:p w:rsidR="00FC4A03" w:rsidRPr="005E7139" w:rsidRDefault="00FC4A03" w:rsidP="00991FFC">
            <w:pPr>
              <w:spacing w:after="0" w:line="240" w:lineRule="auto"/>
              <w:jc w:val="right"/>
              <w:rPr>
                <w:rFonts w:eastAsia="Times New Roman" w:cstheme="minorHAnsi"/>
                <w:b/>
                <w:bCs/>
                <w:sz w:val="18"/>
                <w:szCs w:val="18"/>
                <w:lang w:eastAsia="it-IT"/>
              </w:rPr>
            </w:pPr>
            <w:r w:rsidRPr="005E7139">
              <w:rPr>
                <w:rFonts w:eastAsia="Times New Roman" w:cstheme="minorHAnsi"/>
                <w:b/>
                <w:bCs/>
                <w:sz w:val="18"/>
                <w:szCs w:val="18"/>
                <w:lang w:eastAsia="it-IT"/>
              </w:rPr>
              <w:t>413.995.053</w:t>
            </w:r>
          </w:p>
        </w:tc>
        <w:tc>
          <w:tcPr>
            <w:tcW w:w="343" w:type="pct"/>
            <w:tcBorders>
              <w:top w:val="nil"/>
              <w:left w:val="nil"/>
              <w:bottom w:val="single" w:sz="4" w:space="0" w:color="auto"/>
              <w:right w:val="single" w:sz="4" w:space="0" w:color="auto"/>
            </w:tcBorders>
            <w:shd w:val="clear" w:color="auto" w:fill="FFFFFF" w:themeFill="background1"/>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100,0%</w:t>
            </w:r>
          </w:p>
        </w:tc>
        <w:tc>
          <w:tcPr>
            <w:tcW w:w="539" w:type="pct"/>
            <w:tcBorders>
              <w:top w:val="nil"/>
              <w:left w:val="nil"/>
              <w:bottom w:val="single" w:sz="4" w:space="0" w:color="auto"/>
              <w:right w:val="single" w:sz="4" w:space="0" w:color="auto"/>
            </w:tcBorders>
            <w:shd w:val="clear" w:color="auto" w:fill="FFFFFF" w:themeFill="background1"/>
            <w:noWrap/>
            <w:vAlign w:val="center"/>
            <w:hideMark/>
          </w:tcPr>
          <w:p w:rsidR="00FC4A03" w:rsidRPr="005E7139" w:rsidRDefault="00FC4A03" w:rsidP="00991FFC">
            <w:pPr>
              <w:spacing w:after="0" w:line="240" w:lineRule="auto"/>
              <w:jc w:val="right"/>
              <w:rPr>
                <w:rFonts w:eastAsia="Times New Roman" w:cstheme="minorHAnsi"/>
                <w:b/>
                <w:bCs/>
                <w:color w:val="000000"/>
                <w:sz w:val="18"/>
                <w:szCs w:val="18"/>
                <w:lang w:eastAsia="it-IT"/>
              </w:rPr>
            </w:pPr>
            <w:r w:rsidRPr="005E7139">
              <w:rPr>
                <w:rFonts w:eastAsia="Times New Roman" w:cstheme="minorHAnsi"/>
                <w:b/>
                <w:bCs/>
                <w:color w:val="000000"/>
                <w:sz w:val="18"/>
                <w:szCs w:val="18"/>
                <w:lang w:eastAsia="it-IT"/>
              </w:rPr>
              <w:t>82.272.656</w:t>
            </w:r>
          </w:p>
        </w:tc>
        <w:tc>
          <w:tcPr>
            <w:tcW w:w="464" w:type="pct"/>
            <w:tcBorders>
              <w:top w:val="nil"/>
              <w:left w:val="nil"/>
              <w:bottom w:val="single" w:sz="4" w:space="0" w:color="auto"/>
              <w:right w:val="single" w:sz="4" w:space="0" w:color="auto"/>
            </w:tcBorders>
            <w:shd w:val="clear" w:color="auto" w:fill="FFFFFF" w:themeFill="background1"/>
            <w:noWrap/>
            <w:vAlign w:val="center"/>
            <w:hideMark/>
          </w:tcPr>
          <w:p w:rsidR="00FC4A03" w:rsidRPr="005E7139" w:rsidRDefault="00FC4A03" w:rsidP="00991FFC">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100,00%</w:t>
            </w:r>
          </w:p>
        </w:tc>
      </w:tr>
    </w:tbl>
    <w:p w:rsidR="00590955" w:rsidRPr="00590955" w:rsidRDefault="00590955" w:rsidP="00590955">
      <w:pPr>
        <w:pStyle w:val="Didascalia"/>
        <w:spacing w:before="0" w:after="0"/>
        <w:jc w:val="both"/>
        <w:rPr>
          <w:b w:val="0"/>
          <w:sz w:val="18"/>
          <w:szCs w:val="18"/>
        </w:rPr>
      </w:pPr>
      <w:bookmarkStart w:id="280" w:name="_Toc501616454"/>
      <w:r w:rsidRPr="00590955">
        <w:rPr>
          <w:b w:val="0"/>
          <w:sz w:val="18"/>
          <w:szCs w:val="18"/>
        </w:rPr>
        <w:t>*Con riguardo alla categoria “Altri trasferimenti” sono stati assunti chiarimenti per effetto di errore tecnico di imputazione dati a sistema da parte degli Uffici regionali (nota 30.01.2018 dell’Assessorato alla programmazione)</w:t>
      </w:r>
    </w:p>
    <w:p w:rsidR="00FC4A03" w:rsidRDefault="00FC4A03" w:rsidP="00FC4A03">
      <w:pPr>
        <w:pStyle w:val="Didascalia"/>
      </w:pPr>
      <w:bookmarkStart w:id="281" w:name="_Toc507422528"/>
      <w:r>
        <w:t xml:space="preserve">Tabella </w:t>
      </w:r>
      <w:r w:rsidR="00B90472">
        <w:fldChar w:fldCharType="begin"/>
      </w:r>
      <w:r w:rsidR="00B90472">
        <w:instrText xml:space="preserve"> SEQ Tabella \* ARABIC </w:instrText>
      </w:r>
      <w:r w:rsidR="00B90472">
        <w:fldChar w:fldCharType="separate"/>
      </w:r>
      <w:r w:rsidR="008616B3">
        <w:rPr>
          <w:noProof/>
        </w:rPr>
        <w:t>60</w:t>
      </w:r>
      <w:r w:rsidR="00B90472">
        <w:rPr>
          <w:noProof/>
        </w:rPr>
        <w:fldChar w:fldCharType="end"/>
      </w:r>
      <w:r>
        <w:t xml:space="preserve"> - </w:t>
      </w:r>
      <w:r w:rsidRPr="00173835">
        <w:t>Trasferimenti correnti a Imprese controllate, partecipate e altre</w:t>
      </w:r>
      <w:bookmarkEnd w:id="280"/>
      <w:bookmarkEnd w:id="281"/>
    </w:p>
    <w:tbl>
      <w:tblPr>
        <w:tblW w:w="5000" w:type="pct"/>
        <w:jc w:val="center"/>
        <w:tblCellMar>
          <w:left w:w="70" w:type="dxa"/>
          <w:right w:w="70" w:type="dxa"/>
        </w:tblCellMar>
        <w:tblLook w:val="04A0" w:firstRow="1" w:lastRow="0" w:firstColumn="1" w:lastColumn="0" w:noHBand="0" w:noVBand="1"/>
      </w:tblPr>
      <w:tblGrid>
        <w:gridCol w:w="7027"/>
        <w:gridCol w:w="1525"/>
        <w:gridCol w:w="1226"/>
      </w:tblGrid>
      <w:tr w:rsidR="00FC4A03" w:rsidRPr="005E7139" w:rsidTr="00FC4A03">
        <w:trPr>
          <w:trHeight w:val="300"/>
          <w:jc w:val="center"/>
        </w:trPr>
        <w:tc>
          <w:tcPr>
            <w:tcW w:w="3593" w:type="pct"/>
            <w:tcBorders>
              <w:top w:val="single" w:sz="4" w:space="0" w:color="auto"/>
              <w:left w:val="single" w:sz="4" w:space="0" w:color="auto"/>
              <w:bottom w:val="single" w:sz="4" w:space="0" w:color="000000"/>
              <w:right w:val="single" w:sz="4" w:space="0" w:color="000000"/>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Descrizione Beneficiario</w:t>
            </w:r>
          </w:p>
        </w:tc>
        <w:tc>
          <w:tcPr>
            <w:tcW w:w="780" w:type="pct"/>
            <w:tcBorders>
              <w:top w:val="single" w:sz="4" w:space="0" w:color="auto"/>
              <w:left w:val="nil"/>
              <w:bottom w:val="single" w:sz="4" w:space="0" w:color="000000"/>
              <w:right w:val="single" w:sz="4" w:space="0" w:color="000000"/>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Valore</w:t>
            </w:r>
          </w:p>
        </w:tc>
        <w:tc>
          <w:tcPr>
            <w:tcW w:w="627" w:type="pct"/>
            <w:tcBorders>
              <w:top w:val="single" w:sz="4" w:space="0" w:color="auto"/>
              <w:left w:val="nil"/>
              <w:bottom w:val="single" w:sz="4" w:space="0" w:color="000000"/>
              <w:right w:val="single" w:sz="4" w:space="0" w:color="auto"/>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CARBOSULCIS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28.924.000</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55,1%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S.F.I.R.S.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6.900.000</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13,1%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IGEA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6.172.405</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11,8%</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FLUORITE DI SILIUS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5.527.457</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10,5%</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CONSORZIO ZIR DI TEMPIO PAUSANIA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2.247.773</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4,3%</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CONSORZIO ZIR DI SINISCOLA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2.136.078</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4,1%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ARST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447.538</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0,9%</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ABBANOA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64.984</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0,1%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SA.R.IND. SRL IN LIQUIDAZIONE</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60.000</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0,1%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NURAGICA TOUR SRL IN LIQUIDAZIONE</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2.402</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0,0%</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000000"/>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Totale Trasferimenti correnti a imprese controllate</w:t>
            </w:r>
          </w:p>
        </w:tc>
        <w:tc>
          <w:tcPr>
            <w:tcW w:w="780" w:type="pct"/>
            <w:tcBorders>
              <w:top w:val="nil"/>
              <w:left w:val="nil"/>
              <w:bottom w:val="single" w:sz="4" w:space="0" w:color="auto"/>
              <w:right w:val="single" w:sz="4" w:space="0" w:color="000000"/>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sz w:val="18"/>
                <w:szCs w:val="18"/>
                <w:lang w:eastAsia="it-IT"/>
              </w:rPr>
            </w:pPr>
            <w:r w:rsidRPr="005E7139">
              <w:rPr>
                <w:rFonts w:eastAsia="Times New Roman" w:cstheme="minorHAnsi"/>
                <w:b/>
                <w:bCs/>
                <w:sz w:val="18"/>
                <w:szCs w:val="18"/>
                <w:lang w:eastAsia="it-IT"/>
              </w:rPr>
              <w:t>52.482.638</w:t>
            </w:r>
          </w:p>
        </w:tc>
        <w:tc>
          <w:tcPr>
            <w:tcW w:w="627" w:type="pct"/>
            <w:tcBorders>
              <w:top w:val="nil"/>
              <w:left w:val="nil"/>
              <w:bottom w:val="single" w:sz="4" w:space="0" w:color="000000"/>
              <w:right w:val="single" w:sz="4" w:space="0" w:color="auto"/>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sz w:val="18"/>
                <w:szCs w:val="18"/>
                <w:lang w:eastAsia="it-IT"/>
              </w:rPr>
            </w:pPr>
            <w:r w:rsidRPr="005E7139">
              <w:rPr>
                <w:rFonts w:eastAsia="Times New Roman" w:cstheme="minorHAnsi"/>
                <w:b/>
                <w:bCs/>
                <w:sz w:val="18"/>
                <w:szCs w:val="18"/>
                <w:lang w:eastAsia="it-IT"/>
              </w:rPr>
              <w:t>100,0%</w:t>
            </w:r>
          </w:p>
        </w:tc>
      </w:tr>
      <w:tr w:rsidR="00FC4A03" w:rsidRPr="005E7139" w:rsidTr="00FC4A03">
        <w:trPr>
          <w:trHeight w:val="300"/>
          <w:jc w:val="center"/>
        </w:trPr>
        <w:tc>
          <w:tcPr>
            <w:tcW w:w="3593" w:type="pct"/>
            <w:tcBorders>
              <w:top w:val="single" w:sz="4" w:space="0" w:color="auto"/>
              <w:left w:val="single" w:sz="4" w:space="0" w:color="auto"/>
              <w:bottom w:val="single" w:sz="4" w:space="0" w:color="000000"/>
              <w:right w:val="single" w:sz="4" w:space="0" w:color="000000"/>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Descrizione Beneficiario</w:t>
            </w:r>
          </w:p>
        </w:tc>
        <w:tc>
          <w:tcPr>
            <w:tcW w:w="780" w:type="pct"/>
            <w:tcBorders>
              <w:top w:val="single" w:sz="4" w:space="0" w:color="auto"/>
              <w:left w:val="nil"/>
              <w:bottom w:val="single" w:sz="4" w:space="0" w:color="000000"/>
              <w:right w:val="single" w:sz="4" w:space="0" w:color="000000"/>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Valore</w:t>
            </w:r>
          </w:p>
        </w:tc>
        <w:tc>
          <w:tcPr>
            <w:tcW w:w="627" w:type="pct"/>
            <w:tcBorders>
              <w:top w:val="single" w:sz="4" w:space="0" w:color="auto"/>
              <w:left w:val="nil"/>
              <w:bottom w:val="single" w:sz="4" w:space="0" w:color="000000"/>
              <w:right w:val="single" w:sz="4" w:space="0" w:color="auto"/>
            </w:tcBorders>
            <w:shd w:val="clear" w:color="auto" w:fill="0F243E" w:themeFill="text2" w:themeFillShade="80"/>
            <w:noWrap/>
            <w:vAlign w:val="center"/>
            <w:hideMark/>
          </w:tcPr>
          <w:p w:rsidR="00FC4A03" w:rsidRPr="005E7139" w:rsidRDefault="00FC4A03" w:rsidP="00FC4A03">
            <w:pPr>
              <w:spacing w:after="0" w:line="240" w:lineRule="auto"/>
              <w:jc w:val="center"/>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ASPAL - AGENZIA SARDA PER LE</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1.528.000</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91,4%</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IGLESIAS SERVIZI S.R.L.</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141.816</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8,5%</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color w:val="FFFFFF" w:themeColor="background1"/>
                <w:sz w:val="18"/>
                <w:szCs w:val="18"/>
                <w:lang w:eastAsia="it-IT"/>
              </w:rPr>
            </w:pPr>
            <w:r w:rsidRPr="005E7139">
              <w:rPr>
                <w:rFonts w:ascii="Bodoni MT" w:eastAsia="Times New Roman" w:hAnsi="Bodoni MT" w:cs="Calibri"/>
                <w:color w:val="FFFFFF" w:themeColor="background1"/>
                <w:sz w:val="18"/>
                <w:szCs w:val="18"/>
                <w:lang w:eastAsia="it-IT"/>
              </w:rPr>
              <w:t>ALGHERO IN HOUSE SRL</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color w:val="000000"/>
                <w:sz w:val="18"/>
                <w:szCs w:val="18"/>
                <w:lang w:eastAsia="it-IT"/>
              </w:rPr>
            </w:pPr>
            <w:r w:rsidRPr="005E7139">
              <w:rPr>
                <w:rFonts w:eastAsia="Times New Roman" w:cstheme="minorHAnsi"/>
                <w:color w:val="000000"/>
                <w:sz w:val="18"/>
                <w:szCs w:val="18"/>
                <w:lang w:eastAsia="it-IT"/>
              </w:rPr>
              <w:t>1.158</w:t>
            </w:r>
          </w:p>
        </w:tc>
        <w:tc>
          <w:tcPr>
            <w:tcW w:w="627" w:type="pct"/>
            <w:tcBorders>
              <w:top w:val="nil"/>
              <w:left w:val="nil"/>
              <w:bottom w:val="single" w:sz="4" w:space="0" w:color="000000"/>
              <w:right w:val="single" w:sz="4" w:space="0" w:color="auto"/>
            </w:tcBorders>
            <w:shd w:val="clear" w:color="auto" w:fill="auto"/>
            <w:noWrap/>
            <w:vAlign w:val="center"/>
            <w:hideMark/>
          </w:tcPr>
          <w:p w:rsidR="00FC4A03" w:rsidRPr="005E7139" w:rsidRDefault="00FC4A03" w:rsidP="00FC4A03">
            <w:pPr>
              <w:spacing w:after="0" w:line="240" w:lineRule="auto"/>
              <w:jc w:val="right"/>
              <w:rPr>
                <w:rFonts w:eastAsia="Times New Roman" w:cstheme="minorHAnsi"/>
                <w:sz w:val="18"/>
                <w:szCs w:val="18"/>
                <w:lang w:eastAsia="it-IT"/>
              </w:rPr>
            </w:pPr>
            <w:r w:rsidRPr="005E7139">
              <w:rPr>
                <w:rFonts w:eastAsia="Times New Roman" w:cstheme="minorHAnsi"/>
                <w:sz w:val="18"/>
                <w:szCs w:val="18"/>
                <w:lang w:eastAsia="it-IT"/>
              </w:rPr>
              <w:t>0,1%</w:t>
            </w:r>
          </w:p>
        </w:tc>
      </w:tr>
      <w:tr w:rsidR="00FC4A03" w:rsidRPr="005E7139" w:rsidTr="00FC4A03">
        <w:trPr>
          <w:trHeight w:val="300"/>
          <w:jc w:val="center"/>
        </w:trPr>
        <w:tc>
          <w:tcPr>
            <w:tcW w:w="3593" w:type="pct"/>
            <w:tcBorders>
              <w:top w:val="nil"/>
              <w:left w:val="single" w:sz="4" w:space="0" w:color="auto"/>
              <w:bottom w:val="single" w:sz="4" w:space="0" w:color="auto"/>
              <w:right w:val="single" w:sz="4" w:space="0" w:color="000000"/>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Totale Trasferimenti correnti a altre imprese partecipate</w:t>
            </w:r>
          </w:p>
        </w:tc>
        <w:tc>
          <w:tcPr>
            <w:tcW w:w="780" w:type="pct"/>
            <w:tcBorders>
              <w:top w:val="nil"/>
              <w:left w:val="nil"/>
              <w:bottom w:val="single" w:sz="4" w:space="0" w:color="auto"/>
              <w:right w:val="single" w:sz="4" w:space="0" w:color="000000"/>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sz w:val="18"/>
                <w:szCs w:val="18"/>
                <w:lang w:eastAsia="it-IT"/>
              </w:rPr>
            </w:pPr>
            <w:r w:rsidRPr="005E7139">
              <w:rPr>
                <w:rFonts w:eastAsia="Times New Roman" w:cstheme="minorHAnsi"/>
                <w:b/>
                <w:bCs/>
                <w:sz w:val="18"/>
                <w:szCs w:val="18"/>
                <w:lang w:eastAsia="it-IT"/>
              </w:rPr>
              <w:t>1.670.975</w:t>
            </w:r>
          </w:p>
        </w:tc>
        <w:tc>
          <w:tcPr>
            <w:tcW w:w="627" w:type="pct"/>
            <w:tcBorders>
              <w:top w:val="nil"/>
              <w:left w:val="nil"/>
              <w:bottom w:val="single" w:sz="4" w:space="0" w:color="000000"/>
              <w:right w:val="single" w:sz="4" w:space="0" w:color="auto"/>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sz w:val="18"/>
                <w:szCs w:val="18"/>
                <w:lang w:eastAsia="it-IT"/>
              </w:rPr>
            </w:pPr>
            <w:r w:rsidRPr="005E7139">
              <w:rPr>
                <w:rFonts w:eastAsia="Times New Roman" w:cstheme="minorHAnsi"/>
                <w:b/>
                <w:bCs/>
                <w:sz w:val="18"/>
                <w:szCs w:val="18"/>
                <w:lang w:eastAsia="it-IT"/>
              </w:rPr>
              <w:t>100,0%</w:t>
            </w:r>
          </w:p>
        </w:tc>
      </w:tr>
      <w:tr w:rsidR="00FC4A03" w:rsidRPr="005E7139" w:rsidTr="00FC4A03">
        <w:trPr>
          <w:trHeight w:val="300"/>
          <w:jc w:val="center"/>
        </w:trPr>
        <w:tc>
          <w:tcPr>
            <w:tcW w:w="3593"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5E7139" w:rsidRDefault="00FC4A03" w:rsidP="00FC4A03">
            <w:pPr>
              <w:spacing w:after="0" w:line="240" w:lineRule="auto"/>
              <w:rPr>
                <w:rFonts w:ascii="Bodoni MT" w:eastAsia="Times New Roman" w:hAnsi="Bodoni MT" w:cs="Calibri"/>
                <w:b/>
                <w:bCs/>
                <w:color w:val="FFFFFF" w:themeColor="background1"/>
                <w:sz w:val="18"/>
                <w:szCs w:val="18"/>
                <w:lang w:eastAsia="it-IT"/>
              </w:rPr>
            </w:pPr>
            <w:r w:rsidRPr="005E7139">
              <w:rPr>
                <w:rFonts w:ascii="Bodoni MT" w:eastAsia="Times New Roman" w:hAnsi="Bodoni MT" w:cs="Calibri"/>
                <w:b/>
                <w:bCs/>
                <w:color w:val="FFFFFF" w:themeColor="background1"/>
                <w:sz w:val="18"/>
                <w:szCs w:val="18"/>
                <w:lang w:eastAsia="it-IT"/>
              </w:rPr>
              <w:t>Totale Trasferimenti correnti a altre Imprese</w:t>
            </w:r>
          </w:p>
        </w:tc>
        <w:tc>
          <w:tcPr>
            <w:tcW w:w="780"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color w:val="000000"/>
                <w:sz w:val="18"/>
                <w:szCs w:val="18"/>
                <w:lang w:eastAsia="it-IT"/>
              </w:rPr>
            </w:pPr>
            <w:r w:rsidRPr="005E7139">
              <w:rPr>
                <w:rFonts w:eastAsia="Times New Roman" w:cstheme="minorHAnsi"/>
                <w:b/>
                <w:bCs/>
                <w:color w:val="000000"/>
                <w:sz w:val="18"/>
                <w:szCs w:val="18"/>
                <w:lang w:eastAsia="it-IT"/>
              </w:rPr>
              <w:t>79.320.194</w:t>
            </w:r>
          </w:p>
        </w:tc>
        <w:tc>
          <w:tcPr>
            <w:tcW w:w="627"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FC4A03" w:rsidRPr="005E7139" w:rsidRDefault="00FC4A03" w:rsidP="00FC4A03">
            <w:pPr>
              <w:spacing w:after="0" w:line="240" w:lineRule="auto"/>
              <w:jc w:val="right"/>
              <w:rPr>
                <w:rFonts w:eastAsia="Times New Roman" w:cstheme="minorHAnsi"/>
                <w:b/>
                <w:bCs/>
                <w:color w:val="000000"/>
                <w:sz w:val="18"/>
                <w:szCs w:val="18"/>
                <w:lang w:eastAsia="it-IT"/>
              </w:rPr>
            </w:pPr>
            <w:r w:rsidRPr="005E7139">
              <w:rPr>
                <w:rFonts w:eastAsia="Times New Roman" w:cstheme="minorHAnsi"/>
                <w:b/>
                <w:bCs/>
                <w:color w:val="000000"/>
                <w:sz w:val="18"/>
                <w:szCs w:val="18"/>
                <w:lang w:eastAsia="it-IT"/>
              </w:rPr>
              <w:t>100,00%</w:t>
            </w:r>
          </w:p>
        </w:tc>
      </w:tr>
    </w:tbl>
    <w:p w:rsidR="00130B51" w:rsidRDefault="00130B51" w:rsidP="00FC4A03">
      <w:pPr>
        <w:pStyle w:val="Didascalia"/>
      </w:pPr>
      <w:bookmarkStart w:id="282" w:name="_Toc501616455"/>
      <w:r>
        <w:lastRenderedPageBreak/>
        <w:br w:type="page"/>
      </w:r>
    </w:p>
    <w:p w:rsidR="00FC4A03" w:rsidRDefault="00FC4A03" w:rsidP="00FC4A03">
      <w:pPr>
        <w:pStyle w:val="Didascalia"/>
      </w:pPr>
      <w:bookmarkStart w:id="283" w:name="_Toc507422529"/>
      <w:r>
        <w:lastRenderedPageBreak/>
        <w:t xml:space="preserve">Tabella </w:t>
      </w:r>
      <w:r w:rsidR="00B90472">
        <w:fldChar w:fldCharType="begin"/>
      </w:r>
      <w:r w:rsidR="00B90472">
        <w:instrText xml:space="preserve"> SEQ Tabella \* ARABIC </w:instrText>
      </w:r>
      <w:r w:rsidR="00B90472">
        <w:fldChar w:fldCharType="separate"/>
      </w:r>
      <w:r w:rsidR="008616B3">
        <w:rPr>
          <w:noProof/>
        </w:rPr>
        <w:t>61</w:t>
      </w:r>
      <w:r w:rsidR="00B90472">
        <w:rPr>
          <w:noProof/>
        </w:rPr>
        <w:fldChar w:fldCharType="end"/>
      </w:r>
      <w:r>
        <w:t xml:space="preserve"> – </w:t>
      </w:r>
      <w:r w:rsidRPr="00195726">
        <w:t>Contributi agli investimenti a Imprese controllate, partecipate e altre</w:t>
      </w:r>
      <w:bookmarkEnd w:id="282"/>
      <w:bookmarkEnd w:id="283"/>
    </w:p>
    <w:tbl>
      <w:tblPr>
        <w:tblW w:w="5000" w:type="pct"/>
        <w:jc w:val="center"/>
        <w:tblCellMar>
          <w:left w:w="70" w:type="dxa"/>
          <w:right w:w="70" w:type="dxa"/>
        </w:tblCellMar>
        <w:tblLook w:val="04A0" w:firstRow="1" w:lastRow="0" w:firstColumn="1" w:lastColumn="0" w:noHBand="0" w:noVBand="1"/>
      </w:tblPr>
      <w:tblGrid>
        <w:gridCol w:w="7027"/>
        <w:gridCol w:w="1525"/>
        <w:gridCol w:w="1226"/>
      </w:tblGrid>
      <w:tr w:rsidR="00FC4A03" w:rsidRPr="00195726" w:rsidTr="00FC4A03">
        <w:trPr>
          <w:trHeight w:val="227"/>
          <w:jc w:val="center"/>
        </w:trPr>
        <w:tc>
          <w:tcPr>
            <w:tcW w:w="3593" w:type="pct"/>
            <w:tcBorders>
              <w:top w:val="single" w:sz="4" w:space="0" w:color="000000"/>
              <w:left w:val="single" w:sz="4" w:space="0" w:color="000000"/>
              <w:bottom w:val="single" w:sz="4" w:space="0" w:color="000000"/>
              <w:right w:val="single" w:sz="4" w:space="0" w:color="000000"/>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Descrizione beneficiario</w:t>
            </w:r>
          </w:p>
        </w:tc>
        <w:tc>
          <w:tcPr>
            <w:tcW w:w="78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Valore</w:t>
            </w:r>
          </w:p>
        </w:tc>
        <w:tc>
          <w:tcPr>
            <w:tcW w:w="627"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S.F.I.R.S. SPA</w:t>
            </w:r>
          </w:p>
        </w:tc>
        <w:tc>
          <w:tcPr>
            <w:tcW w:w="780" w:type="pct"/>
            <w:tcBorders>
              <w:top w:val="nil"/>
              <w:left w:val="nil"/>
              <w:bottom w:val="nil"/>
              <w:right w:val="single" w:sz="4" w:space="0" w:color="000000"/>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14.704.750</w:t>
            </w:r>
          </w:p>
        </w:tc>
        <w:tc>
          <w:tcPr>
            <w:tcW w:w="627" w:type="pct"/>
            <w:tcBorders>
              <w:top w:val="nil"/>
              <w:left w:val="nil"/>
              <w:bottom w:val="single" w:sz="4" w:space="0" w:color="000000"/>
              <w:right w:val="single" w:sz="4" w:space="0" w:color="000000"/>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68,5%</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ARST S.P.A.</w:t>
            </w:r>
          </w:p>
        </w:tc>
        <w:tc>
          <w:tcPr>
            <w:tcW w:w="780" w:type="pct"/>
            <w:tcBorders>
              <w:top w:val="single" w:sz="4" w:space="0" w:color="000000"/>
              <w:left w:val="nil"/>
              <w:bottom w:val="nil"/>
              <w:right w:val="single" w:sz="4" w:space="0" w:color="000000"/>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6.034.437</w:t>
            </w:r>
          </w:p>
        </w:tc>
        <w:tc>
          <w:tcPr>
            <w:tcW w:w="627" w:type="pct"/>
            <w:tcBorders>
              <w:top w:val="nil"/>
              <w:left w:val="nil"/>
              <w:bottom w:val="single" w:sz="4" w:space="0" w:color="000000"/>
              <w:right w:val="single" w:sz="4" w:space="0" w:color="000000"/>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28,1%</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IGEA S.P.A.</w:t>
            </w:r>
          </w:p>
        </w:tc>
        <w:tc>
          <w:tcPr>
            <w:tcW w:w="780" w:type="pct"/>
            <w:tcBorders>
              <w:top w:val="single" w:sz="4" w:space="0" w:color="auto"/>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736.850</w:t>
            </w:r>
          </w:p>
        </w:tc>
        <w:tc>
          <w:tcPr>
            <w:tcW w:w="627" w:type="pct"/>
            <w:tcBorders>
              <w:top w:val="nil"/>
              <w:left w:val="nil"/>
              <w:bottom w:val="single" w:sz="4" w:space="0" w:color="000000"/>
              <w:right w:val="single" w:sz="4" w:space="0" w:color="000000"/>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3,4%</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Totale Contributi agli investimenti a Imprese Controllate</w:t>
            </w:r>
          </w:p>
        </w:tc>
        <w:tc>
          <w:tcPr>
            <w:tcW w:w="780" w:type="pct"/>
            <w:tcBorders>
              <w:top w:val="nil"/>
              <w:left w:val="nil"/>
              <w:bottom w:val="single" w:sz="4" w:space="0" w:color="auto"/>
              <w:right w:val="single" w:sz="4" w:space="0" w:color="auto"/>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21.476.037</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100,0%</w:t>
            </w:r>
          </w:p>
        </w:tc>
      </w:tr>
      <w:tr w:rsidR="00FC4A03" w:rsidRPr="00195726" w:rsidTr="00FC4A03">
        <w:trPr>
          <w:trHeight w:val="227"/>
          <w:jc w:val="center"/>
        </w:trPr>
        <w:tc>
          <w:tcPr>
            <w:tcW w:w="3593" w:type="pct"/>
            <w:tcBorders>
              <w:top w:val="single" w:sz="4" w:space="0" w:color="000000"/>
              <w:left w:val="single" w:sz="4" w:space="0" w:color="000000"/>
              <w:bottom w:val="single" w:sz="4" w:space="0" w:color="000000"/>
              <w:right w:val="single" w:sz="4" w:space="0" w:color="000000"/>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Descrizione beneficiario</w:t>
            </w:r>
          </w:p>
        </w:tc>
        <w:tc>
          <w:tcPr>
            <w:tcW w:w="78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Valore</w:t>
            </w:r>
          </w:p>
        </w:tc>
        <w:tc>
          <w:tcPr>
            <w:tcW w:w="627"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95726"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IGEA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16.482.170</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47,3%</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ARST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9.675.000</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27,8%</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val="en-US" w:eastAsia="it-IT"/>
              </w:rPr>
            </w:pPr>
            <w:r w:rsidRPr="00195726">
              <w:rPr>
                <w:rFonts w:ascii="Bodoni MT" w:eastAsia="Times New Roman" w:hAnsi="Bodoni MT" w:cs="Calibri"/>
                <w:color w:val="FFFFFF" w:themeColor="background1"/>
                <w:sz w:val="20"/>
                <w:szCs w:val="20"/>
                <w:lang w:val="en-US" w:eastAsia="it-IT"/>
              </w:rPr>
              <w:t>ARST GESTIONE FDS S.R.L.</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3.643.188</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10,5%</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SOTACARBO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2.993.000</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8,6%</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SO.G.AER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975.000</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2,8%</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CTM S.P.A.</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880.369</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2,5%</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SARDEGNA.IT S.R.L.</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sz w:val="20"/>
                <w:szCs w:val="20"/>
                <w:lang w:eastAsia="it-IT"/>
              </w:rPr>
            </w:pPr>
            <w:r w:rsidRPr="00195726">
              <w:rPr>
                <w:rFonts w:ascii="Bodoni MT" w:eastAsia="Times New Roman" w:hAnsi="Bodoni MT" w:cs="Calibri"/>
                <w:sz w:val="20"/>
                <w:szCs w:val="20"/>
                <w:lang w:eastAsia="it-IT"/>
              </w:rPr>
              <w:t>185.806</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0,5%</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color w:val="FFFFFF" w:themeColor="background1"/>
                <w:sz w:val="20"/>
                <w:szCs w:val="20"/>
                <w:lang w:eastAsia="it-IT"/>
              </w:rPr>
            </w:pPr>
            <w:r w:rsidRPr="00195726">
              <w:rPr>
                <w:rFonts w:ascii="Bodoni MT" w:eastAsia="Times New Roman" w:hAnsi="Bodoni MT" w:cs="Calibri"/>
                <w:color w:val="FFFFFF" w:themeColor="background1"/>
                <w:sz w:val="20"/>
                <w:szCs w:val="20"/>
                <w:lang w:eastAsia="it-IT"/>
              </w:rPr>
              <w:t>IRAP ATIPICI</w:t>
            </w:r>
          </w:p>
        </w:tc>
        <w:tc>
          <w:tcPr>
            <w:tcW w:w="780"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479</w:t>
            </w:r>
          </w:p>
        </w:tc>
        <w:tc>
          <w:tcPr>
            <w:tcW w:w="627" w:type="pct"/>
            <w:tcBorders>
              <w:top w:val="nil"/>
              <w:left w:val="nil"/>
              <w:bottom w:val="single" w:sz="4" w:space="0" w:color="auto"/>
              <w:right w:val="single" w:sz="4" w:space="0" w:color="auto"/>
            </w:tcBorders>
            <w:shd w:val="clear" w:color="auto" w:fill="auto"/>
            <w:noWrap/>
            <w:vAlign w:val="center"/>
            <w:hideMark/>
          </w:tcPr>
          <w:p w:rsidR="00FC4A03" w:rsidRPr="00195726" w:rsidRDefault="00FC4A03" w:rsidP="00FC4A03">
            <w:pPr>
              <w:spacing w:after="0" w:line="240" w:lineRule="auto"/>
              <w:jc w:val="right"/>
              <w:rPr>
                <w:rFonts w:ascii="Bodoni MT" w:eastAsia="Times New Roman" w:hAnsi="Bodoni MT" w:cs="Calibri"/>
                <w:color w:val="000000"/>
                <w:sz w:val="20"/>
                <w:szCs w:val="20"/>
                <w:lang w:eastAsia="it-IT"/>
              </w:rPr>
            </w:pPr>
            <w:r w:rsidRPr="00195726">
              <w:rPr>
                <w:rFonts w:ascii="Bodoni MT" w:eastAsia="Times New Roman" w:hAnsi="Bodoni MT" w:cs="Calibri"/>
                <w:color w:val="000000"/>
                <w:sz w:val="20"/>
                <w:szCs w:val="20"/>
                <w:lang w:eastAsia="it-IT"/>
              </w:rPr>
              <w:t>0,0%</w:t>
            </w:r>
          </w:p>
        </w:tc>
      </w:tr>
      <w:tr w:rsidR="00FC4A03" w:rsidRPr="00195726" w:rsidTr="00FC4A03">
        <w:trPr>
          <w:trHeight w:val="227"/>
          <w:jc w:val="center"/>
        </w:trPr>
        <w:tc>
          <w:tcPr>
            <w:tcW w:w="3593"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Totale Contributi agli investimenti a Imprese Partecipate</w:t>
            </w:r>
          </w:p>
        </w:tc>
        <w:tc>
          <w:tcPr>
            <w:tcW w:w="780" w:type="pct"/>
            <w:tcBorders>
              <w:top w:val="nil"/>
              <w:left w:val="nil"/>
              <w:bottom w:val="single" w:sz="4" w:space="0" w:color="auto"/>
              <w:right w:val="single" w:sz="4" w:space="0" w:color="auto"/>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34.835.012</w:t>
            </w:r>
          </w:p>
        </w:tc>
        <w:tc>
          <w:tcPr>
            <w:tcW w:w="627" w:type="pct"/>
            <w:tcBorders>
              <w:top w:val="nil"/>
              <w:left w:val="nil"/>
              <w:bottom w:val="single" w:sz="4" w:space="0" w:color="auto"/>
              <w:right w:val="single" w:sz="4" w:space="0" w:color="auto"/>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100,0%</w:t>
            </w:r>
          </w:p>
        </w:tc>
      </w:tr>
      <w:tr w:rsidR="00FC4A03" w:rsidRPr="00195726" w:rsidTr="00FC4A03">
        <w:trPr>
          <w:trHeight w:val="227"/>
          <w:jc w:val="center"/>
        </w:trPr>
        <w:tc>
          <w:tcPr>
            <w:tcW w:w="3593"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95726"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195726">
              <w:rPr>
                <w:rFonts w:ascii="Bodoni MT" w:eastAsia="Times New Roman" w:hAnsi="Bodoni MT" w:cs="Calibri"/>
                <w:b/>
                <w:bCs/>
                <w:color w:val="FFFFFF" w:themeColor="background1"/>
                <w:sz w:val="20"/>
                <w:szCs w:val="20"/>
                <w:lang w:eastAsia="it-IT"/>
              </w:rPr>
              <w:t>Totale Contributi agli Investimenti a Altre Imprese</w:t>
            </w:r>
          </w:p>
        </w:tc>
        <w:tc>
          <w:tcPr>
            <w:tcW w:w="780"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71.840.326</w:t>
            </w:r>
          </w:p>
        </w:tc>
        <w:tc>
          <w:tcPr>
            <w:tcW w:w="627"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FC4A03" w:rsidRPr="00195726" w:rsidRDefault="00FC4A03" w:rsidP="00FC4A03">
            <w:pPr>
              <w:spacing w:after="0" w:line="240" w:lineRule="auto"/>
              <w:jc w:val="right"/>
              <w:rPr>
                <w:rFonts w:ascii="Bodoni MT" w:eastAsia="Times New Roman" w:hAnsi="Bodoni MT" w:cs="Calibri"/>
                <w:b/>
                <w:bCs/>
                <w:color w:val="000000"/>
                <w:sz w:val="20"/>
                <w:szCs w:val="20"/>
                <w:lang w:eastAsia="it-IT"/>
              </w:rPr>
            </w:pPr>
            <w:r w:rsidRPr="00195726">
              <w:rPr>
                <w:rFonts w:ascii="Bodoni MT" w:eastAsia="Times New Roman" w:hAnsi="Bodoni MT" w:cs="Calibri"/>
                <w:b/>
                <w:bCs/>
                <w:color w:val="000000"/>
                <w:sz w:val="20"/>
                <w:szCs w:val="20"/>
                <w:lang w:eastAsia="it-IT"/>
              </w:rPr>
              <w:t>100,00%</w:t>
            </w:r>
          </w:p>
        </w:tc>
      </w:tr>
    </w:tbl>
    <w:p w:rsidR="00FC4A03" w:rsidRDefault="00FC4A03" w:rsidP="00FC4A03">
      <w:pPr>
        <w:pStyle w:val="Didascalia"/>
      </w:pPr>
      <w:bookmarkStart w:id="284" w:name="_Toc501616456"/>
      <w:bookmarkStart w:id="285" w:name="_Toc507422530"/>
      <w:r>
        <w:t xml:space="preserve">Tabella </w:t>
      </w:r>
      <w:r w:rsidR="00B90472">
        <w:fldChar w:fldCharType="begin"/>
      </w:r>
      <w:r w:rsidR="00B90472">
        <w:instrText xml:space="preserve"> SEQ Tabella \* ARABIC </w:instrText>
      </w:r>
      <w:r w:rsidR="00B90472">
        <w:fldChar w:fldCharType="separate"/>
      </w:r>
      <w:r w:rsidR="008616B3">
        <w:rPr>
          <w:noProof/>
        </w:rPr>
        <w:t>62</w:t>
      </w:r>
      <w:r w:rsidR="00B90472">
        <w:rPr>
          <w:noProof/>
        </w:rPr>
        <w:fldChar w:fldCharType="end"/>
      </w:r>
      <w:r>
        <w:t xml:space="preserve"> – </w:t>
      </w:r>
      <w:r w:rsidRPr="00B15247">
        <w:t>Totale Trasferimenti correnti a Consorzi di enti locali e altri</w:t>
      </w:r>
      <w:bookmarkEnd w:id="284"/>
      <w:bookmarkEnd w:id="285"/>
    </w:p>
    <w:tbl>
      <w:tblPr>
        <w:tblW w:w="5000" w:type="pct"/>
        <w:jc w:val="center"/>
        <w:tblCellMar>
          <w:left w:w="70" w:type="dxa"/>
          <w:right w:w="70" w:type="dxa"/>
        </w:tblCellMar>
        <w:tblLook w:val="04A0" w:firstRow="1" w:lastRow="0" w:firstColumn="1" w:lastColumn="0" w:noHBand="0" w:noVBand="1"/>
      </w:tblPr>
      <w:tblGrid>
        <w:gridCol w:w="6840"/>
        <w:gridCol w:w="2081"/>
        <w:gridCol w:w="857"/>
      </w:tblGrid>
      <w:tr w:rsidR="00FC4A03" w:rsidRPr="00B15247" w:rsidTr="00FC4A03">
        <w:trPr>
          <w:trHeight w:val="227"/>
          <w:jc w:val="center"/>
        </w:trPr>
        <w:tc>
          <w:tcPr>
            <w:tcW w:w="3498" w:type="pct"/>
            <w:tcBorders>
              <w:top w:val="single" w:sz="4" w:space="0" w:color="auto"/>
              <w:left w:val="single" w:sz="4" w:space="0" w:color="auto"/>
              <w:bottom w:val="single" w:sz="4" w:space="0" w:color="000000"/>
              <w:right w:val="single" w:sz="4" w:space="0" w:color="000000"/>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color w:val="FFFFFF" w:themeColor="background1"/>
                <w:sz w:val="20"/>
                <w:szCs w:val="20"/>
                <w:lang w:eastAsia="it-IT"/>
              </w:rPr>
            </w:pPr>
            <w:r w:rsidRPr="00173835">
              <w:rPr>
                <w:rFonts w:ascii="Bodoni MT" w:eastAsia="Times New Roman" w:hAnsi="Bodoni MT" w:cs="Calibri"/>
                <w:b/>
                <w:color w:val="FFFFFF" w:themeColor="background1"/>
                <w:sz w:val="20"/>
                <w:szCs w:val="20"/>
                <w:lang w:eastAsia="it-IT"/>
              </w:rPr>
              <w:t>Descrizione Beneficiario</w:t>
            </w:r>
          </w:p>
        </w:tc>
        <w:tc>
          <w:tcPr>
            <w:tcW w:w="1064" w:type="pct"/>
            <w:tcBorders>
              <w:top w:val="single" w:sz="4" w:space="0" w:color="auto"/>
              <w:left w:val="nil"/>
              <w:bottom w:val="single" w:sz="4" w:space="0" w:color="000000"/>
              <w:right w:val="single" w:sz="4" w:space="0" w:color="000000"/>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color w:val="FFFFFF" w:themeColor="background1"/>
                <w:sz w:val="20"/>
                <w:szCs w:val="20"/>
                <w:lang w:eastAsia="it-IT"/>
              </w:rPr>
            </w:pPr>
            <w:r w:rsidRPr="00173835">
              <w:rPr>
                <w:rFonts w:ascii="Bodoni MT" w:eastAsia="Times New Roman" w:hAnsi="Bodoni MT" w:cs="Calibri"/>
                <w:b/>
                <w:color w:val="FFFFFF" w:themeColor="background1"/>
                <w:sz w:val="20"/>
                <w:szCs w:val="20"/>
                <w:lang w:eastAsia="it-IT"/>
              </w:rPr>
              <w:t>Valore</w:t>
            </w:r>
          </w:p>
        </w:tc>
        <w:tc>
          <w:tcPr>
            <w:tcW w:w="438" w:type="pct"/>
            <w:tcBorders>
              <w:top w:val="single" w:sz="4" w:space="0" w:color="auto"/>
              <w:left w:val="nil"/>
              <w:bottom w:val="single" w:sz="4" w:space="0" w:color="000000"/>
              <w:right w:val="single" w:sz="4" w:space="0" w:color="auto"/>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color w:val="FFFFFF" w:themeColor="background1"/>
                <w:sz w:val="20"/>
                <w:szCs w:val="20"/>
                <w:lang w:eastAsia="it-IT"/>
              </w:rPr>
            </w:pPr>
            <w:r w:rsidRPr="00173835">
              <w:rPr>
                <w:rFonts w:ascii="Bodoni MT" w:eastAsia="Times New Roman" w:hAnsi="Bodoni MT" w:cs="Calibri"/>
                <w:b/>
                <w:color w:val="FFFFFF" w:themeColor="background1"/>
                <w:sz w:val="20"/>
                <w:szCs w:val="20"/>
                <w:lang w:eastAsia="it-IT"/>
              </w:rPr>
              <w:t>%</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PER LA PROMOZIONE DEGLI</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2.935.855</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30,0%</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CACIP CONSORZIO INDUSTRIALE PROV.</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2.300.000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23,5%</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PER LA ZONA</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900.000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9,2%</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SEBASTIANO SATTA</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851.209</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8,7%</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SA CORONA ARRUBIA</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825.215</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8,4%</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 IND.PROV. MEDIO CAMPIDANO</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800.000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8,2%</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AUSI PER LA PROMOZIONE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400.000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4,1%</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INDUSTR. PROVINCIALE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360.017</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3,7%</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 BASSO</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255.981</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2,6%</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CIPNES CONSORZIO INDUSTRIALE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99.040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1,0%</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COMUNI DUE GIARE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25.000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0,3%</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SI SERVIZI S.R.L.</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15.124</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0,2%</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INDUSTRIALE PROV.LE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7.132</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0,1%</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D'OGLIASTRA</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5.700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0,1%</w:t>
            </w:r>
          </w:p>
        </w:tc>
      </w:tr>
      <w:tr w:rsidR="00FC4A03" w:rsidRPr="00B15247" w:rsidTr="00FC4A03">
        <w:trPr>
          <w:trHeight w:val="227"/>
          <w:jc w:val="center"/>
        </w:trPr>
        <w:tc>
          <w:tcPr>
            <w:tcW w:w="3498" w:type="pct"/>
            <w:tcBorders>
              <w:top w:val="nil"/>
              <w:left w:val="single" w:sz="4" w:space="0" w:color="auto"/>
              <w:bottom w:val="single" w:sz="4" w:space="0" w:color="auto"/>
              <w:right w:val="single" w:sz="4" w:space="0" w:color="000000"/>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B15247">
              <w:rPr>
                <w:rFonts w:ascii="Bodoni MT" w:eastAsia="Times New Roman" w:hAnsi="Bodoni MT" w:cs="Calibri"/>
                <w:b/>
                <w:bCs/>
                <w:color w:val="FFFFFF" w:themeColor="background1"/>
                <w:sz w:val="20"/>
                <w:szCs w:val="20"/>
                <w:lang w:eastAsia="it-IT"/>
              </w:rPr>
              <w:t>Totale Trasferimenti correnti a Consorzi di enti locali</w:t>
            </w:r>
          </w:p>
        </w:tc>
        <w:tc>
          <w:tcPr>
            <w:tcW w:w="1064" w:type="pct"/>
            <w:tcBorders>
              <w:top w:val="nil"/>
              <w:left w:val="nil"/>
              <w:bottom w:val="single" w:sz="4" w:space="0" w:color="auto"/>
              <w:right w:val="single" w:sz="4" w:space="0" w:color="auto"/>
            </w:tcBorders>
            <w:shd w:val="clear" w:color="auto" w:fill="FFFFFF" w:themeFill="background1"/>
            <w:noWrap/>
            <w:vAlign w:val="center"/>
            <w:hideMark/>
          </w:tcPr>
          <w:p w:rsidR="00FC4A03" w:rsidRPr="00E10BC3" w:rsidRDefault="00FC4A03" w:rsidP="00FC4A03">
            <w:pPr>
              <w:spacing w:after="0" w:line="240" w:lineRule="auto"/>
              <w:jc w:val="right"/>
              <w:rPr>
                <w:rFonts w:eastAsia="Times New Roman" w:cstheme="minorHAnsi"/>
                <w:b/>
                <w:bCs/>
                <w:sz w:val="20"/>
                <w:szCs w:val="20"/>
                <w:lang w:eastAsia="it-IT"/>
              </w:rPr>
            </w:pPr>
            <w:r w:rsidRPr="00E10BC3">
              <w:rPr>
                <w:rFonts w:eastAsia="Times New Roman" w:cstheme="minorHAnsi"/>
                <w:b/>
                <w:bCs/>
                <w:sz w:val="20"/>
                <w:szCs w:val="20"/>
                <w:lang w:eastAsia="it-IT"/>
              </w:rPr>
              <w:t>9.780.274</w:t>
            </w:r>
          </w:p>
        </w:tc>
        <w:tc>
          <w:tcPr>
            <w:tcW w:w="438" w:type="pct"/>
            <w:tcBorders>
              <w:top w:val="nil"/>
              <w:left w:val="nil"/>
              <w:bottom w:val="single" w:sz="4" w:space="0" w:color="auto"/>
              <w:right w:val="single" w:sz="4" w:space="0" w:color="auto"/>
            </w:tcBorders>
            <w:shd w:val="clear" w:color="auto" w:fill="FFFFFF" w:themeFill="background1"/>
            <w:noWrap/>
            <w:vAlign w:val="center"/>
            <w:hideMark/>
          </w:tcPr>
          <w:p w:rsidR="00FC4A03" w:rsidRPr="00E10BC3" w:rsidRDefault="00FC4A03" w:rsidP="00FC4A03">
            <w:pPr>
              <w:spacing w:after="0" w:line="240" w:lineRule="auto"/>
              <w:jc w:val="right"/>
              <w:rPr>
                <w:rFonts w:eastAsia="Times New Roman" w:cstheme="minorHAnsi"/>
                <w:b/>
                <w:bCs/>
                <w:color w:val="000000"/>
                <w:sz w:val="20"/>
                <w:szCs w:val="20"/>
                <w:lang w:eastAsia="it-IT"/>
              </w:rPr>
            </w:pPr>
            <w:r w:rsidRPr="00E10BC3">
              <w:rPr>
                <w:rFonts w:eastAsia="Times New Roman" w:cstheme="minorHAnsi"/>
                <w:b/>
                <w:bCs/>
                <w:color w:val="000000"/>
                <w:sz w:val="20"/>
                <w:szCs w:val="20"/>
                <w:lang w:eastAsia="it-IT"/>
              </w:rPr>
              <w:t>100,0%</w:t>
            </w:r>
          </w:p>
        </w:tc>
      </w:tr>
      <w:tr w:rsidR="00FC4A03" w:rsidRPr="00B15247" w:rsidTr="00FC4A03">
        <w:trPr>
          <w:trHeight w:val="227"/>
          <w:jc w:val="center"/>
        </w:trPr>
        <w:tc>
          <w:tcPr>
            <w:tcW w:w="3498"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FC4A03" w:rsidRPr="00B15247"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B15247">
              <w:rPr>
                <w:rFonts w:ascii="Bodoni MT" w:eastAsia="Times New Roman" w:hAnsi="Bodoni MT" w:cs="Calibri"/>
                <w:b/>
                <w:bCs/>
                <w:color w:val="FFFFFF" w:themeColor="background1"/>
                <w:sz w:val="20"/>
                <w:szCs w:val="20"/>
                <w:lang w:eastAsia="it-IT"/>
              </w:rPr>
              <w:t>Descrizione Beneficiario</w:t>
            </w:r>
          </w:p>
        </w:tc>
        <w:tc>
          <w:tcPr>
            <w:tcW w:w="1064"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B15247"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B15247">
              <w:rPr>
                <w:rFonts w:ascii="Bodoni MT" w:eastAsia="Times New Roman" w:hAnsi="Bodoni MT" w:cs="Calibri"/>
                <w:b/>
                <w:bCs/>
                <w:color w:val="FFFFFF" w:themeColor="background1"/>
                <w:sz w:val="20"/>
                <w:szCs w:val="20"/>
                <w:lang w:eastAsia="it-IT"/>
              </w:rPr>
              <w:t>Valore</w:t>
            </w:r>
          </w:p>
        </w:tc>
        <w:tc>
          <w:tcPr>
            <w:tcW w:w="43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B15247"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B15247">
              <w:rPr>
                <w:rFonts w:ascii="Bodoni MT" w:eastAsia="Times New Roman" w:hAnsi="Bodoni MT" w:cs="Calibri"/>
                <w:b/>
                <w:bCs/>
                <w:color w:val="FFFFFF" w:themeColor="background1"/>
                <w:sz w:val="20"/>
                <w:szCs w:val="20"/>
                <w:lang w:eastAsia="it-IT"/>
              </w:rPr>
              <w:t>%</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IST.ZOOPROFILATTICO SPERIMENTALE</w:t>
            </w:r>
          </w:p>
        </w:tc>
        <w:tc>
          <w:tcPr>
            <w:tcW w:w="1064"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sz w:val="20"/>
                <w:szCs w:val="20"/>
                <w:lang w:eastAsia="it-IT"/>
              </w:rPr>
            </w:pPr>
            <w:r w:rsidRPr="00E10BC3">
              <w:rPr>
                <w:rFonts w:eastAsia="Times New Roman" w:cstheme="minorHAnsi"/>
                <w:sz w:val="20"/>
                <w:szCs w:val="20"/>
                <w:lang w:eastAsia="it-IT"/>
              </w:rPr>
              <w:t>28.666.020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45,0%</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9.998.904</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15,7%</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DELLA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9.392.754</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14,7%</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DELLA NURRA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2.974.519</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4,7%</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DELLA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2.881.026</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4,5%</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 NORD</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2.738.822</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4,3%</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DELLA GALLURA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2.279.553</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3,6%</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 BASSO</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1.809.307</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2,8%</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DEL CIXERRI</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1.189.493</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1,9%</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CONSORZIO DI BONIFICA D'OGLIASTRA</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1.158.475</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1,8%</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CONSIGLIO DELLE AUTONOMIE LOCALI</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250.000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0,4%</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FC4A03" w:rsidRPr="00B15247" w:rsidRDefault="00FC4A03" w:rsidP="00FC4A03">
            <w:pPr>
              <w:spacing w:after="0" w:line="240" w:lineRule="auto"/>
              <w:rPr>
                <w:rFonts w:ascii="Bodoni MT" w:eastAsia="Times New Roman" w:hAnsi="Bodoni MT" w:cs="Calibri"/>
                <w:color w:val="FFFFFF" w:themeColor="background1"/>
                <w:sz w:val="20"/>
                <w:szCs w:val="20"/>
                <w:lang w:eastAsia="it-IT"/>
              </w:rPr>
            </w:pPr>
            <w:r w:rsidRPr="00B15247">
              <w:rPr>
                <w:rFonts w:ascii="Bodoni MT" w:eastAsia="Times New Roman" w:hAnsi="Bodoni MT" w:cs="Calibri"/>
                <w:color w:val="FFFFFF" w:themeColor="background1"/>
                <w:sz w:val="20"/>
                <w:szCs w:val="20"/>
                <w:lang w:eastAsia="it-IT"/>
              </w:rPr>
              <w:t>ALTRI</w:t>
            </w:r>
          </w:p>
        </w:tc>
        <w:tc>
          <w:tcPr>
            <w:tcW w:w="1064" w:type="pct"/>
            <w:tcBorders>
              <w:top w:val="nil"/>
              <w:left w:val="nil"/>
              <w:bottom w:val="single" w:sz="4" w:space="0" w:color="auto"/>
              <w:right w:val="single" w:sz="4" w:space="0" w:color="auto"/>
            </w:tcBorders>
            <w:shd w:val="clear" w:color="auto" w:fill="auto"/>
            <w:noWrap/>
            <w:vAlign w:val="bottom"/>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357.100</w:t>
            </w:r>
          </w:p>
        </w:tc>
        <w:tc>
          <w:tcPr>
            <w:tcW w:w="43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right"/>
              <w:rPr>
                <w:rFonts w:eastAsia="Times New Roman" w:cstheme="minorHAnsi"/>
                <w:color w:val="000000"/>
                <w:sz w:val="20"/>
                <w:szCs w:val="20"/>
                <w:lang w:eastAsia="it-IT"/>
              </w:rPr>
            </w:pPr>
            <w:r w:rsidRPr="00E10BC3">
              <w:rPr>
                <w:rFonts w:eastAsia="Times New Roman" w:cstheme="minorHAnsi"/>
                <w:color w:val="000000"/>
                <w:sz w:val="20"/>
                <w:szCs w:val="20"/>
                <w:lang w:eastAsia="it-IT"/>
              </w:rPr>
              <w:t>0,6%</w:t>
            </w:r>
          </w:p>
        </w:tc>
      </w:tr>
      <w:tr w:rsidR="00FC4A03" w:rsidRPr="00E10BC3" w:rsidTr="00FC4A03">
        <w:trPr>
          <w:trHeight w:val="227"/>
          <w:jc w:val="center"/>
        </w:trPr>
        <w:tc>
          <w:tcPr>
            <w:tcW w:w="349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B15247"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B15247">
              <w:rPr>
                <w:rFonts w:ascii="Bodoni MT" w:eastAsia="Times New Roman" w:hAnsi="Bodoni MT" w:cs="Calibri"/>
                <w:b/>
                <w:bCs/>
                <w:color w:val="FFFFFF" w:themeColor="background1"/>
                <w:sz w:val="20"/>
                <w:szCs w:val="20"/>
                <w:lang w:eastAsia="it-IT"/>
              </w:rPr>
              <w:t>Totale</w:t>
            </w:r>
          </w:p>
        </w:tc>
        <w:tc>
          <w:tcPr>
            <w:tcW w:w="1064" w:type="pct"/>
            <w:tcBorders>
              <w:top w:val="nil"/>
              <w:left w:val="nil"/>
              <w:bottom w:val="single" w:sz="4" w:space="0" w:color="auto"/>
              <w:right w:val="single" w:sz="4" w:space="0" w:color="auto"/>
            </w:tcBorders>
            <w:shd w:val="clear" w:color="auto" w:fill="FFFFFF" w:themeFill="background1"/>
            <w:noWrap/>
            <w:vAlign w:val="bottom"/>
            <w:hideMark/>
          </w:tcPr>
          <w:p w:rsidR="00FC4A03" w:rsidRPr="00E10BC3" w:rsidRDefault="00FC4A03" w:rsidP="00FC4A03">
            <w:pPr>
              <w:spacing w:after="0" w:line="240" w:lineRule="auto"/>
              <w:jc w:val="right"/>
              <w:rPr>
                <w:rFonts w:eastAsia="Times New Roman" w:cstheme="minorHAnsi"/>
                <w:b/>
                <w:bCs/>
                <w:color w:val="000000"/>
                <w:sz w:val="20"/>
                <w:szCs w:val="20"/>
                <w:lang w:eastAsia="it-IT"/>
              </w:rPr>
            </w:pPr>
            <w:r w:rsidRPr="00E10BC3">
              <w:rPr>
                <w:rFonts w:eastAsia="Times New Roman" w:cstheme="minorHAnsi"/>
                <w:b/>
                <w:bCs/>
                <w:color w:val="000000"/>
                <w:sz w:val="20"/>
                <w:szCs w:val="20"/>
                <w:lang w:eastAsia="it-IT"/>
              </w:rPr>
              <w:t>63.695.974</w:t>
            </w:r>
          </w:p>
        </w:tc>
        <w:tc>
          <w:tcPr>
            <w:tcW w:w="438" w:type="pct"/>
            <w:tcBorders>
              <w:top w:val="nil"/>
              <w:left w:val="nil"/>
              <w:bottom w:val="single" w:sz="4" w:space="0" w:color="auto"/>
              <w:right w:val="single" w:sz="4" w:space="0" w:color="auto"/>
            </w:tcBorders>
            <w:shd w:val="clear" w:color="auto" w:fill="FFFFFF" w:themeFill="background1"/>
            <w:noWrap/>
            <w:vAlign w:val="center"/>
            <w:hideMark/>
          </w:tcPr>
          <w:p w:rsidR="00FC4A03" w:rsidRPr="00E10BC3" w:rsidRDefault="00FC4A03" w:rsidP="00FC4A03">
            <w:pPr>
              <w:spacing w:after="0" w:line="240" w:lineRule="auto"/>
              <w:jc w:val="right"/>
              <w:rPr>
                <w:rFonts w:eastAsia="Times New Roman" w:cstheme="minorHAnsi"/>
                <w:b/>
                <w:bCs/>
                <w:color w:val="000000"/>
                <w:sz w:val="20"/>
                <w:szCs w:val="20"/>
                <w:lang w:eastAsia="it-IT"/>
              </w:rPr>
            </w:pPr>
            <w:r w:rsidRPr="00E10BC3">
              <w:rPr>
                <w:rFonts w:eastAsia="Times New Roman" w:cstheme="minorHAnsi"/>
                <w:b/>
                <w:bCs/>
                <w:color w:val="000000"/>
                <w:sz w:val="20"/>
                <w:szCs w:val="20"/>
                <w:lang w:eastAsia="it-IT"/>
              </w:rPr>
              <w:t>100,0%</w:t>
            </w:r>
          </w:p>
        </w:tc>
      </w:tr>
    </w:tbl>
    <w:p w:rsidR="00FC4A03" w:rsidRDefault="00FC4A03" w:rsidP="00FC4A03">
      <w:pPr>
        <w:pStyle w:val="Didascalia"/>
      </w:pPr>
      <w:r>
        <w:br w:type="page"/>
      </w:r>
    </w:p>
    <w:p w:rsidR="00FC4A03" w:rsidRDefault="00FC4A03" w:rsidP="00FC4A03">
      <w:pPr>
        <w:pStyle w:val="Didascalia"/>
      </w:pPr>
      <w:bookmarkStart w:id="286" w:name="_Toc501616457"/>
      <w:bookmarkStart w:id="287" w:name="_Toc507422531"/>
      <w:r>
        <w:lastRenderedPageBreak/>
        <w:t xml:space="preserve">Tabella </w:t>
      </w:r>
      <w:r w:rsidR="00B90472">
        <w:fldChar w:fldCharType="begin"/>
      </w:r>
      <w:r w:rsidR="00B90472">
        <w:instrText xml:space="preserve"> SEQ Tabella \* ARABIC </w:instrText>
      </w:r>
      <w:r w:rsidR="00B90472">
        <w:fldChar w:fldCharType="separate"/>
      </w:r>
      <w:r w:rsidR="008616B3">
        <w:rPr>
          <w:noProof/>
        </w:rPr>
        <w:t>63</w:t>
      </w:r>
      <w:r w:rsidR="00B90472">
        <w:rPr>
          <w:noProof/>
        </w:rPr>
        <w:fldChar w:fldCharType="end"/>
      </w:r>
      <w:r>
        <w:t xml:space="preserve"> - </w:t>
      </w:r>
      <w:r w:rsidRPr="00173835">
        <w:t>Totale Contributi agli Investimenti a Consorzi di enti locali e altri</w:t>
      </w:r>
      <w:bookmarkEnd w:id="286"/>
      <w:bookmarkEnd w:id="287"/>
    </w:p>
    <w:tbl>
      <w:tblPr>
        <w:tblW w:w="5000" w:type="pct"/>
        <w:jc w:val="center"/>
        <w:tblCellMar>
          <w:left w:w="70" w:type="dxa"/>
          <w:right w:w="70" w:type="dxa"/>
        </w:tblCellMar>
        <w:tblLook w:val="04A0" w:firstRow="1" w:lastRow="0" w:firstColumn="1" w:lastColumn="0" w:noHBand="0" w:noVBand="1"/>
      </w:tblPr>
      <w:tblGrid>
        <w:gridCol w:w="6797"/>
        <w:gridCol w:w="2128"/>
        <w:gridCol w:w="853"/>
      </w:tblGrid>
      <w:tr w:rsidR="00FC4A03" w:rsidRPr="00173835" w:rsidTr="00FC4A03">
        <w:trPr>
          <w:trHeight w:val="300"/>
          <w:jc w:val="center"/>
        </w:trPr>
        <w:tc>
          <w:tcPr>
            <w:tcW w:w="3476" w:type="pct"/>
            <w:tcBorders>
              <w:top w:val="single" w:sz="4" w:space="0" w:color="000000"/>
              <w:left w:val="single" w:sz="4" w:space="0" w:color="auto"/>
              <w:bottom w:val="single" w:sz="4" w:space="0" w:color="000000"/>
              <w:right w:val="single" w:sz="4" w:space="0" w:color="000000"/>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Descrizione beneficiario</w:t>
            </w:r>
          </w:p>
        </w:tc>
        <w:tc>
          <w:tcPr>
            <w:tcW w:w="108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Valore</w:t>
            </w:r>
          </w:p>
        </w:tc>
        <w:tc>
          <w:tcPr>
            <w:tcW w:w="436"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PER LA ZONA</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14.995.000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32,3%</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ENTE DI GOVERNO DELL'AMBITO</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14.145.000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30,5%</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CACIP CONSORZIO INDUSTRIALE PROV.</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4.611.272</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9,9%</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CIPNES CONSORZIO INDUSTRIALE</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2.430.000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5,2%</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ASI CHILIVANI - OZIERI</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2.022.481</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4,4%</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ABBANOA SPA</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1.390.074</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3,0%</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INDUSTR. PROVINCIALE</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1.256.500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2,7%</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IND. PROV.LE DI SASSARI</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1.010.625</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2,2%</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INDUSTRIALE PROV.LE</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900.000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1,9%</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ZIR DI PREDDA NIEDDA</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720.000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1,6%</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DI BONIFICA</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550.000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1,2%</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 IND.PROV. MEDIO CAMPIDANO</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540.625</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1,2%</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ZIR DI PRATOSARDO</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528.000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1,1%</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Z.I.R. DI IGLESIAS</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505.300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1,1%</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INDUSTRIALE PROVINCIALE</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310.002</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0,7%</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INDUSTRIALE PROV.LE</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290.000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0,6%</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ZIR DI SINISCOLA</w:t>
            </w:r>
          </w:p>
        </w:tc>
        <w:tc>
          <w:tcPr>
            <w:tcW w:w="1088"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sz w:val="20"/>
                <w:szCs w:val="20"/>
                <w:lang w:eastAsia="it-IT"/>
              </w:rPr>
            </w:pPr>
            <w:r w:rsidRPr="00E10BC3">
              <w:rPr>
                <w:rFonts w:eastAsia="Times New Roman" w:cstheme="minorHAnsi"/>
                <w:sz w:val="20"/>
                <w:szCs w:val="20"/>
                <w:lang w:eastAsia="it-IT"/>
              </w:rPr>
              <w:t>153.000</w:t>
            </w:r>
          </w:p>
        </w:tc>
        <w:tc>
          <w:tcPr>
            <w:tcW w:w="436" w:type="pct"/>
            <w:tcBorders>
              <w:top w:val="nil"/>
              <w:left w:val="nil"/>
              <w:bottom w:val="single" w:sz="4" w:space="0" w:color="auto"/>
              <w:right w:val="single" w:sz="4" w:space="0" w:color="auto"/>
            </w:tcBorders>
            <w:shd w:val="clear" w:color="auto" w:fill="auto"/>
            <w:noWrap/>
            <w:vAlign w:val="center"/>
            <w:hideMark/>
          </w:tcPr>
          <w:p w:rsidR="00FC4A03" w:rsidRPr="00E10BC3" w:rsidRDefault="00FC4A03" w:rsidP="00FC4A03">
            <w:pPr>
              <w:spacing w:after="0" w:line="240" w:lineRule="auto"/>
              <w:jc w:val="center"/>
              <w:rPr>
                <w:rFonts w:eastAsia="Times New Roman" w:cstheme="minorHAnsi"/>
                <w:color w:val="000000"/>
                <w:sz w:val="20"/>
                <w:szCs w:val="20"/>
                <w:lang w:eastAsia="it-IT"/>
              </w:rPr>
            </w:pPr>
            <w:r w:rsidRPr="00E10BC3">
              <w:rPr>
                <w:rFonts w:eastAsia="Times New Roman" w:cstheme="minorHAnsi"/>
                <w:color w:val="000000"/>
                <w:sz w:val="20"/>
                <w:szCs w:val="20"/>
                <w:lang w:eastAsia="it-IT"/>
              </w:rPr>
              <w:t>0,3%</w:t>
            </w:r>
          </w:p>
        </w:tc>
      </w:tr>
      <w:tr w:rsidR="00FC4A03" w:rsidRPr="00173835" w:rsidTr="00FC4A03">
        <w:trPr>
          <w:trHeight w:val="300"/>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Totale Contributi agli investimenti a Consorzi di Enti Locali</w:t>
            </w:r>
          </w:p>
        </w:tc>
        <w:tc>
          <w:tcPr>
            <w:tcW w:w="1088" w:type="pct"/>
            <w:tcBorders>
              <w:top w:val="nil"/>
              <w:left w:val="nil"/>
              <w:bottom w:val="single" w:sz="4" w:space="0" w:color="auto"/>
              <w:right w:val="single" w:sz="4" w:space="0" w:color="auto"/>
            </w:tcBorders>
            <w:shd w:val="clear" w:color="auto" w:fill="FFFFFF" w:themeFill="background1"/>
            <w:noWrap/>
            <w:vAlign w:val="center"/>
            <w:hideMark/>
          </w:tcPr>
          <w:p w:rsidR="00FC4A03" w:rsidRPr="00E10BC3" w:rsidRDefault="00FC4A03" w:rsidP="00FC4A03">
            <w:pPr>
              <w:spacing w:after="0" w:line="240" w:lineRule="auto"/>
              <w:jc w:val="center"/>
              <w:rPr>
                <w:rFonts w:eastAsia="Times New Roman" w:cstheme="minorHAnsi"/>
                <w:b/>
                <w:bCs/>
                <w:color w:val="000000"/>
                <w:sz w:val="20"/>
                <w:szCs w:val="20"/>
                <w:lang w:eastAsia="it-IT"/>
              </w:rPr>
            </w:pPr>
            <w:r w:rsidRPr="00E10BC3">
              <w:rPr>
                <w:rFonts w:eastAsia="Times New Roman" w:cstheme="minorHAnsi"/>
                <w:b/>
                <w:bCs/>
                <w:color w:val="000000"/>
                <w:sz w:val="20"/>
                <w:szCs w:val="20"/>
                <w:lang w:eastAsia="it-IT"/>
              </w:rPr>
              <w:t>46.357.879</w:t>
            </w:r>
          </w:p>
        </w:tc>
        <w:tc>
          <w:tcPr>
            <w:tcW w:w="436" w:type="pct"/>
            <w:tcBorders>
              <w:top w:val="nil"/>
              <w:left w:val="nil"/>
              <w:bottom w:val="single" w:sz="4" w:space="0" w:color="auto"/>
              <w:right w:val="single" w:sz="4" w:space="0" w:color="auto"/>
            </w:tcBorders>
            <w:shd w:val="clear" w:color="auto" w:fill="FFFFFF" w:themeFill="background1"/>
            <w:noWrap/>
            <w:vAlign w:val="center"/>
            <w:hideMark/>
          </w:tcPr>
          <w:p w:rsidR="00FC4A03" w:rsidRPr="00E10BC3" w:rsidRDefault="00FC4A03" w:rsidP="00FC4A03">
            <w:pPr>
              <w:spacing w:after="0" w:line="240" w:lineRule="auto"/>
              <w:jc w:val="center"/>
              <w:rPr>
                <w:rFonts w:eastAsia="Times New Roman" w:cstheme="minorHAnsi"/>
                <w:b/>
                <w:bCs/>
                <w:color w:val="000000"/>
                <w:sz w:val="20"/>
                <w:szCs w:val="20"/>
                <w:lang w:eastAsia="it-IT"/>
              </w:rPr>
            </w:pPr>
            <w:r w:rsidRPr="00E10BC3">
              <w:rPr>
                <w:rFonts w:eastAsia="Times New Roman" w:cstheme="minorHAnsi"/>
                <w:b/>
                <w:bCs/>
                <w:color w:val="000000"/>
                <w:sz w:val="20"/>
                <w:szCs w:val="20"/>
                <w:lang w:eastAsia="it-IT"/>
              </w:rPr>
              <w:t>100,0%</w:t>
            </w:r>
          </w:p>
        </w:tc>
      </w:tr>
      <w:tr w:rsidR="00FC4A03" w:rsidRPr="00173835" w:rsidTr="00FC4A03">
        <w:trPr>
          <w:trHeight w:val="300"/>
          <w:jc w:val="center"/>
        </w:trPr>
        <w:tc>
          <w:tcPr>
            <w:tcW w:w="3476" w:type="pct"/>
            <w:tcBorders>
              <w:top w:val="single" w:sz="4" w:space="0" w:color="000000"/>
              <w:left w:val="single" w:sz="4" w:space="0" w:color="auto"/>
              <w:bottom w:val="single" w:sz="4" w:space="0" w:color="000000"/>
              <w:right w:val="single" w:sz="4" w:space="0" w:color="000000"/>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Descrizione beneficiario</w:t>
            </w:r>
          </w:p>
        </w:tc>
        <w:tc>
          <w:tcPr>
            <w:tcW w:w="108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Valore</w:t>
            </w:r>
          </w:p>
        </w:tc>
        <w:tc>
          <w:tcPr>
            <w:tcW w:w="436"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FC4A03" w:rsidRPr="00173835" w:rsidRDefault="00FC4A03" w:rsidP="00FC4A03">
            <w:pPr>
              <w:spacing w:after="0" w:line="240" w:lineRule="auto"/>
              <w:jc w:val="center"/>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GEST. COMMISS. STRAORD.REGOLAZ.</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27.070.000</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91,0%</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ENTE DI GOVERNO DELL'AMBITO</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1.000.000</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3,4%</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DI BONIFICA DEL NORD</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781.263</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2,6%</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CACIP CONSORZIO INDUSTRIALE PROV.</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456.670</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1,5%</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CONSORZIO DI BONIFICA DELLA</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364.500</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1,2%</w:t>
            </w:r>
          </w:p>
        </w:tc>
      </w:tr>
      <w:tr w:rsidR="00FC4A03" w:rsidRPr="00173835" w:rsidTr="00FC4A03">
        <w:trPr>
          <w:trHeight w:val="315"/>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CASSA DEPOSITI E PRESTITI S.P.A.</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42.396</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0,1%</w:t>
            </w:r>
          </w:p>
        </w:tc>
      </w:tr>
      <w:tr w:rsidR="00FC4A03" w:rsidRPr="00173835" w:rsidTr="00FC4A03">
        <w:trPr>
          <w:trHeight w:val="315"/>
          <w:jc w:val="center"/>
        </w:trPr>
        <w:tc>
          <w:tcPr>
            <w:tcW w:w="3476" w:type="pct"/>
            <w:tcBorders>
              <w:top w:val="nil"/>
              <w:left w:val="single" w:sz="4" w:space="0" w:color="auto"/>
              <w:bottom w:val="single" w:sz="4" w:space="0" w:color="000000"/>
              <w:right w:val="single" w:sz="4" w:space="0" w:color="000000"/>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color w:val="FFFFFF" w:themeColor="background1"/>
                <w:sz w:val="16"/>
                <w:szCs w:val="16"/>
                <w:lang w:eastAsia="it-IT"/>
              </w:rPr>
            </w:pPr>
            <w:r w:rsidRPr="00173835">
              <w:rPr>
                <w:rFonts w:ascii="Bodoni MT" w:eastAsia="Times New Roman" w:hAnsi="Bodoni MT" w:cs="Calibri"/>
                <w:color w:val="FFFFFF" w:themeColor="background1"/>
                <w:sz w:val="16"/>
                <w:szCs w:val="16"/>
                <w:lang w:eastAsia="it-IT"/>
              </w:rPr>
              <w:t>MINISTERO DELLA GIUSTIZA - UFF.INT.</w:t>
            </w:r>
          </w:p>
        </w:tc>
        <w:tc>
          <w:tcPr>
            <w:tcW w:w="1088" w:type="pct"/>
            <w:tcBorders>
              <w:top w:val="nil"/>
              <w:left w:val="nil"/>
              <w:bottom w:val="single" w:sz="4" w:space="0" w:color="000000"/>
              <w:right w:val="single" w:sz="4" w:space="0" w:color="000000"/>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sz w:val="20"/>
                <w:szCs w:val="20"/>
                <w:lang w:eastAsia="it-IT"/>
              </w:rPr>
            </w:pPr>
            <w:r w:rsidRPr="00173835">
              <w:rPr>
                <w:rFonts w:ascii="Bodoni MT" w:eastAsia="Times New Roman" w:hAnsi="Bodoni MT" w:cs="Calibri"/>
                <w:sz w:val="20"/>
                <w:szCs w:val="20"/>
                <w:lang w:eastAsia="it-IT"/>
              </w:rPr>
              <w:t>26.640</w:t>
            </w:r>
          </w:p>
        </w:tc>
        <w:tc>
          <w:tcPr>
            <w:tcW w:w="436" w:type="pct"/>
            <w:tcBorders>
              <w:top w:val="nil"/>
              <w:left w:val="nil"/>
              <w:bottom w:val="single" w:sz="4" w:space="0" w:color="000000"/>
              <w:right w:val="single" w:sz="4" w:space="0" w:color="auto"/>
            </w:tcBorders>
            <w:shd w:val="clear" w:color="auto" w:fill="auto"/>
            <w:noWrap/>
            <w:vAlign w:val="center"/>
            <w:hideMark/>
          </w:tcPr>
          <w:p w:rsidR="00FC4A03" w:rsidRPr="00173835" w:rsidRDefault="00FC4A03" w:rsidP="00FC4A03">
            <w:pPr>
              <w:spacing w:after="0" w:line="240" w:lineRule="auto"/>
              <w:jc w:val="center"/>
              <w:rPr>
                <w:rFonts w:ascii="Bodoni MT" w:eastAsia="Times New Roman" w:hAnsi="Bodoni MT" w:cs="Calibri"/>
                <w:color w:val="000000"/>
                <w:sz w:val="20"/>
                <w:szCs w:val="20"/>
                <w:lang w:eastAsia="it-IT"/>
              </w:rPr>
            </w:pPr>
            <w:r w:rsidRPr="00173835">
              <w:rPr>
                <w:rFonts w:ascii="Bodoni MT" w:eastAsia="Times New Roman" w:hAnsi="Bodoni MT" w:cs="Calibri"/>
                <w:color w:val="000000"/>
                <w:sz w:val="20"/>
                <w:szCs w:val="20"/>
                <w:lang w:eastAsia="it-IT"/>
              </w:rPr>
              <w:t>0,1%</w:t>
            </w:r>
          </w:p>
        </w:tc>
      </w:tr>
      <w:tr w:rsidR="00FC4A03" w:rsidRPr="00173835" w:rsidTr="00FC4A03">
        <w:trPr>
          <w:trHeight w:val="300"/>
          <w:jc w:val="center"/>
        </w:trPr>
        <w:tc>
          <w:tcPr>
            <w:tcW w:w="347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FC4A03" w:rsidRPr="00173835" w:rsidRDefault="00FC4A03" w:rsidP="00FC4A03">
            <w:pPr>
              <w:spacing w:after="0" w:line="240" w:lineRule="auto"/>
              <w:rPr>
                <w:rFonts w:ascii="Bodoni MT" w:eastAsia="Times New Roman" w:hAnsi="Bodoni MT" w:cs="Calibri"/>
                <w:b/>
                <w:bCs/>
                <w:color w:val="FFFFFF" w:themeColor="background1"/>
                <w:sz w:val="20"/>
                <w:szCs w:val="20"/>
                <w:lang w:eastAsia="it-IT"/>
              </w:rPr>
            </w:pPr>
            <w:r w:rsidRPr="00173835">
              <w:rPr>
                <w:rFonts w:ascii="Bodoni MT" w:eastAsia="Times New Roman" w:hAnsi="Bodoni MT" w:cs="Calibri"/>
                <w:b/>
                <w:bCs/>
                <w:color w:val="FFFFFF" w:themeColor="background1"/>
                <w:sz w:val="20"/>
                <w:szCs w:val="20"/>
                <w:lang w:eastAsia="it-IT"/>
              </w:rPr>
              <w:t>Totale Contributi Investimenti a Altre Amministrazioni Locali</w:t>
            </w:r>
          </w:p>
        </w:tc>
        <w:tc>
          <w:tcPr>
            <w:tcW w:w="1088" w:type="pct"/>
            <w:tcBorders>
              <w:top w:val="nil"/>
              <w:left w:val="nil"/>
              <w:bottom w:val="single" w:sz="4" w:space="0" w:color="auto"/>
              <w:right w:val="single" w:sz="4" w:space="0" w:color="auto"/>
            </w:tcBorders>
            <w:shd w:val="clear" w:color="auto" w:fill="FFFFFF" w:themeFill="background1"/>
            <w:noWrap/>
            <w:vAlign w:val="center"/>
            <w:hideMark/>
          </w:tcPr>
          <w:p w:rsidR="00FC4A03" w:rsidRPr="00173835" w:rsidRDefault="00FC4A03" w:rsidP="00FC4A03">
            <w:pPr>
              <w:spacing w:after="0" w:line="240" w:lineRule="auto"/>
              <w:jc w:val="center"/>
              <w:rPr>
                <w:rFonts w:ascii="Bodoni MT" w:eastAsia="Times New Roman" w:hAnsi="Bodoni MT" w:cs="Calibri"/>
                <w:b/>
                <w:bCs/>
                <w:color w:val="000000"/>
                <w:sz w:val="20"/>
                <w:szCs w:val="20"/>
                <w:lang w:eastAsia="it-IT"/>
              </w:rPr>
            </w:pPr>
            <w:r w:rsidRPr="00173835">
              <w:rPr>
                <w:rFonts w:ascii="Bodoni MT" w:eastAsia="Times New Roman" w:hAnsi="Bodoni MT" w:cs="Calibri"/>
                <w:b/>
                <w:bCs/>
                <w:color w:val="000000"/>
                <w:sz w:val="20"/>
                <w:szCs w:val="20"/>
                <w:lang w:eastAsia="it-IT"/>
              </w:rPr>
              <w:t>29.741.469</w:t>
            </w:r>
          </w:p>
        </w:tc>
        <w:tc>
          <w:tcPr>
            <w:tcW w:w="436" w:type="pct"/>
            <w:tcBorders>
              <w:top w:val="nil"/>
              <w:left w:val="nil"/>
              <w:bottom w:val="single" w:sz="4" w:space="0" w:color="auto"/>
              <w:right w:val="single" w:sz="4" w:space="0" w:color="auto"/>
            </w:tcBorders>
            <w:shd w:val="clear" w:color="auto" w:fill="FFFFFF" w:themeFill="background1"/>
            <w:noWrap/>
            <w:vAlign w:val="center"/>
            <w:hideMark/>
          </w:tcPr>
          <w:p w:rsidR="00FC4A03" w:rsidRPr="00173835" w:rsidRDefault="00FC4A03" w:rsidP="00FC4A03">
            <w:pPr>
              <w:spacing w:after="0" w:line="240" w:lineRule="auto"/>
              <w:jc w:val="center"/>
              <w:rPr>
                <w:rFonts w:ascii="Bodoni MT" w:eastAsia="Times New Roman" w:hAnsi="Bodoni MT" w:cs="Calibri"/>
                <w:b/>
                <w:bCs/>
                <w:color w:val="000000"/>
                <w:sz w:val="20"/>
                <w:szCs w:val="20"/>
                <w:lang w:eastAsia="it-IT"/>
              </w:rPr>
            </w:pPr>
            <w:r w:rsidRPr="00173835">
              <w:rPr>
                <w:rFonts w:ascii="Bodoni MT" w:eastAsia="Times New Roman" w:hAnsi="Bodoni MT" w:cs="Calibri"/>
                <w:b/>
                <w:bCs/>
                <w:color w:val="000000"/>
                <w:sz w:val="20"/>
                <w:szCs w:val="20"/>
                <w:lang w:eastAsia="it-IT"/>
              </w:rPr>
              <w:t>100,0%</w:t>
            </w:r>
          </w:p>
        </w:tc>
      </w:tr>
    </w:tbl>
    <w:p w:rsidR="00FC4A03" w:rsidRDefault="00FC4A03" w:rsidP="00FC4A03"/>
    <w:p w:rsidR="003655D8" w:rsidRPr="00FC4A03" w:rsidRDefault="003655D8" w:rsidP="00FC4A03"/>
    <w:p w:rsidR="00E10BC3" w:rsidRDefault="00E10BC3" w:rsidP="00173835">
      <w:pPr>
        <w:sectPr w:rsidR="00E10BC3" w:rsidSect="00D408BA">
          <w:headerReference w:type="default" r:id="rId69"/>
          <w:type w:val="oddPage"/>
          <w:pgSz w:w="11906" w:h="16838"/>
          <w:pgMar w:top="1418" w:right="1134" w:bottom="1134" w:left="1134" w:header="709" w:footer="709" w:gutter="0"/>
          <w:cols w:space="708"/>
          <w:docGrid w:linePitch="360"/>
        </w:sectPr>
      </w:pPr>
    </w:p>
    <w:p w:rsidR="00DF478D" w:rsidRDefault="00DF478D" w:rsidP="00DF478D">
      <w:pPr>
        <w:pStyle w:val="Titolo1"/>
      </w:pPr>
      <w:bookmarkStart w:id="288" w:name="_Toc507422668"/>
      <w:r>
        <w:lastRenderedPageBreak/>
        <w:t>I TRASFERIMENTI ALLE PROVINCE NEL NUOVO ASSETTO NORMATIVO</w:t>
      </w:r>
      <w:bookmarkEnd w:id="288"/>
    </w:p>
    <w:p w:rsidR="00DF478D" w:rsidRDefault="005A13A3" w:rsidP="00DF478D">
      <w:pPr>
        <w:pStyle w:val="CdcTesto"/>
      </w:pPr>
      <w:r>
        <w:t>Le</w:t>
      </w:r>
      <w:r w:rsidR="00DF478D">
        <w:t xml:space="preserve"> complesse vicende normativo-istituzionali</w:t>
      </w:r>
      <w:r w:rsidR="00DF478D">
        <w:rPr>
          <w:rStyle w:val="Rimandonotaapidipagina"/>
        </w:rPr>
        <w:footnoteReference w:id="160"/>
      </w:r>
      <w:r w:rsidR="00DF478D">
        <w:t xml:space="preserve"> che hanno interes</w:t>
      </w:r>
      <w:r>
        <w:t>sato le Province della Sardegna sono state</w:t>
      </w:r>
      <w:r w:rsidR="00DF478D">
        <w:t xml:space="preserve"> tali da determinare significativi profili di incertezza finanziaria ed organizzativa nell’ambito delle rispettive s</w:t>
      </w:r>
      <w:r>
        <w:t>trutture gestionali, soprattutto in dipendenza della drastica riduzione di risorse ai rispettivi bilanci.</w:t>
      </w:r>
    </w:p>
    <w:p w:rsidR="00FE171A" w:rsidRDefault="00FE171A" w:rsidP="00DF478D">
      <w:pPr>
        <w:pStyle w:val="CdcTesto"/>
      </w:pPr>
      <w:r>
        <w:t xml:space="preserve">In attuazione della normativa regionale di </w:t>
      </w:r>
      <w:r w:rsidRPr="00B4757A">
        <w:rPr>
          <w:b/>
        </w:rPr>
        <w:t>“riordino del sistema delle autonomie locali della Sardegna” (L.R. 4 febbraio 2016 n. 2)</w:t>
      </w:r>
      <w:r>
        <w:t xml:space="preserve"> le deliberazioni</w:t>
      </w:r>
      <w:r>
        <w:rPr>
          <w:rStyle w:val="Rimandonotaapidipagina"/>
        </w:rPr>
        <w:footnoteReference w:id="161"/>
      </w:r>
      <w:r>
        <w:t xml:space="preserve"> da parte della Giunta </w:t>
      </w:r>
      <w:r w:rsidR="00B4757A">
        <w:t xml:space="preserve">regionale </w:t>
      </w:r>
      <w:r>
        <w:t xml:space="preserve">hanno approvato lo schema di assetto delle nuove province (Città metropolitana di Cagliari, </w:t>
      </w:r>
      <w:r w:rsidR="00B4757A">
        <w:t xml:space="preserve">Province di </w:t>
      </w:r>
      <w:r>
        <w:t xml:space="preserve">Sassari, </w:t>
      </w:r>
      <w:r w:rsidR="00B4757A">
        <w:t xml:space="preserve">di </w:t>
      </w:r>
      <w:r>
        <w:t xml:space="preserve">Nuoro, </w:t>
      </w:r>
      <w:r w:rsidR="00B4757A">
        <w:t>di Oristano e d</w:t>
      </w:r>
      <w:r>
        <w:t>el sud Sardegna), inizialmente nominandone gli Amminis</w:t>
      </w:r>
      <w:r w:rsidR="008E1171">
        <w:t>tratori straordinari fino al 31</w:t>
      </w:r>
      <w:r w:rsidR="00991FFC">
        <w:t xml:space="preserve"> </w:t>
      </w:r>
      <w:r>
        <w:t>dicembre 2017</w:t>
      </w:r>
      <w:r w:rsidR="00B4757A">
        <w:t>, e</w:t>
      </w:r>
      <w:r>
        <w:t xml:space="preserve"> hanno disposto </w:t>
      </w:r>
      <w:r w:rsidRPr="00971A9C">
        <w:rPr>
          <w:i/>
        </w:rPr>
        <w:t xml:space="preserve">l’estensione delle funzioni </w:t>
      </w:r>
      <w:r w:rsidR="00971A9C">
        <w:rPr>
          <w:i/>
        </w:rPr>
        <w:t>dei nuovi Amministratori alle province soppresse (</w:t>
      </w:r>
      <w:r w:rsidR="001E52A8">
        <w:rPr>
          <w:i/>
        </w:rPr>
        <w:t>Olbia-Tempio, Ogliastra, Carbonia-</w:t>
      </w:r>
      <w:r w:rsidR="00971A9C" w:rsidRPr="00971A9C">
        <w:rPr>
          <w:i/>
        </w:rPr>
        <w:t>Iglesias e Medio Campidano) al fine di facilitare il passaggio d</w:t>
      </w:r>
      <w:r w:rsidR="00B4757A">
        <w:rPr>
          <w:i/>
        </w:rPr>
        <w:t>allo schema territoriale vi</w:t>
      </w:r>
      <w:r w:rsidR="00971A9C" w:rsidRPr="00971A9C">
        <w:rPr>
          <w:i/>
        </w:rPr>
        <w:t>gente a quello previsto dalla legge regionale</w:t>
      </w:r>
      <w:r w:rsidR="00971A9C">
        <w:t>.</w:t>
      </w:r>
    </w:p>
    <w:p w:rsidR="00971A9C" w:rsidRDefault="00971A9C" w:rsidP="00DF478D">
      <w:pPr>
        <w:pStyle w:val="CdcTesto"/>
      </w:pPr>
      <w:r>
        <w:t>Va ricordato che oltre alla istituzione della nuova circoscrizione territoriale della Provincia del Sud Sardegna (che corrisponde a quella della Provincia di Cagliari co</w:t>
      </w:r>
      <w:r w:rsidR="00B4757A">
        <w:t>n esclusione d</w:t>
      </w:r>
      <w:r w:rsidR="00A06261">
        <w:t>e</w:t>
      </w:r>
      <w:r w:rsidR="00B4757A">
        <w:t>i Comuni appartenen</w:t>
      </w:r>
      <w:r>
        <w:t>ti alla città metropolitana di Cagliari), la riforma in esame ha istituito la città metropolitana di Cagliari di cui fa parte l’elenco di comuni richiamato nell’art. 17, comma 2 citata L.R. 2/2016.</w:t>
      </w:r>
      <w:r w:rsidR="00B4757A">
        <w:t xml:space="preserve"> </w:t>
      </w:r>
      <w:r>
        <w:t>A quest’ultima sono attribuite, tra le altre, le funzioni della Provincia di Cagliari per il proprio territorio e il sindaco del Comune di Cagliari assume le funzioni di sindaco metropolitano.</w:t>
      </w:r>
    </w:p>
    <w:p w:rsidR="00971A9C" w:rsidRDefault="00971A9C" w:rsidP="00DF478D">
      <w:pPr>
        <w:pStyle w:val="CdcTesto"/>
      </w:pPr>
      <w:r>
        <w:t>Tali disposizioni hanno richiesto un complesso processo di transizione, dovendosi dar corso al riordino nella tito</w:t>
      </w:r>
      <w:r w:rsidR="004D5B6D">
        <w:t>lari</w:t>
      </w:r>
      <w:r>
        <w:t xml:space="preserve">tà delle </w:t>
      </w:r>
      <w:r w:rsidR="00B4757A">
        <w:t xml:space="preserve">diverse </w:t>
      </w:r>
      <w:r w:rsidR="004D5B6D">
        <w:t xml:space="preserve">funzioni e </w:t>
      </w:r>
      <w:r w:rsidR="00B4757A">
        <w:t>al</w:t>
      </w:r>
      <w:r w:rsidR="004D5B6D">
        <w:t xml:space="preserve"> conseguente passaggio/liquidazione in tutti i rapporti attivi e passivi in essere</w:t>
      </w:r>
      <w:r w:rsidR="00B4757A">
        <w:t>, previe tutte le necessarie attività ricognitive</w:t>
      </w:r>
      <w:r w:rsidR="004D5B6D">
        <w:t xml:space="preserve"> (quali consistenza beni mobili ed immobili, rendiconti sulle gestioni finanziarie e situazioni di bilancio aggiornate, elenchi procedimenti in corso, elenchi dotazioni di personale, società in house o pa</w:t>
      </w:r>
      <w:r w:rsidR="00E244CE">
        <w:t>rtecipazioni a vario titolo ecc.</w:t>
      </w:r>
      <w:r w:rsidR="004D5B6D">
        <w:t>).</w:t>
      </w:r>
    </w:p>
    <w:p w:rsidR="004D5B6D" w:rsidRDefault="004D5B6D" w:rsidP="00DF478D">
      <w:pPr>
        <w:pStyle w:val="CdcTesto"/>
      </w:pPr>
      <w:r>
        <w:lastRenderedPageBreak/>
        <w:t>A tal fine sono stati diramati</w:t>
      </w:r>
      <w:r w:rsidR="006F51D1">
        <w:t xml:space="preserve"> appositi</w:t>
      </w:r>
      <w:r>
        <w:t xml:space="preserve"> indirizzi assessoriali</w:t>
      </w:r>
      <w:r>
        <w:rPr>
          <w:rStyle w:val="Rimandonotaapidipagina"/>
        </w:rPr>
        <w:footnoteReference w:id="162"/>
      </w:r>
      <w:r w:rsidR="000C27DF">
        <w:t xml:space="preserve"> e s</w:t>
      </w:r>
      <w:r>
        <w:t>ono state siglate intese ai diversi livelli istituzionali ed organizzativi</w:t>
      </w:r>
      <w:r>
        <w:rPr>
          <w:rStyle w:val="Rimandonotaapidipagina"/>
        </w:rPr>
        <w:footnoteReference w:id="163"/>
      </w:r>
      <w:r w:rsidR="001E52A8">
        <w:t>.</w:t>
      </w:r>
    </w:p>
    <w:p w:rsidR="001E52A8" w:rsidRPr="006F51D1" w:rsidRDefault="001E52A8" w:rsidP="006F51D1">
      <w:pPr>
        <w:pStyle w:val="CdcTesto"/>
      </w:pPr>
      <w:r w:rsidRPr="006F51D1">
        <w:t>Risultano chiuse le gestioni stralcio delle cosiddette province incluse relativ</w:t>
      </w:r>
      <w:r w:rsidR="00A06261">
        <w:t>e a Olbia-Tempio (conclusa il 3</w:t>
      </w:r>
      <w:r w:rsidRPr="006F51D1">
        <w:t xml:space="preserve"> giugno 2016), a Carbonia-Iglesias, al Medio Campidano e Ogliastra (tutte chiuse entro il 31 dicembre 2016).</w:t>
      </w:r>
    </w:p>
    <w:p w:rsidR="001E52A8" w:rsidRPr="006F51D1" w:rsidRDefault="001E52A8" w:rsidP="006F51D1">
      <w:pPr>
        <w:pStyle w:val="CdcTesto"/>
      </w:pPr>
      <w:r w:rsidRPr="006F51D1">
        <w:t>Gli amministratori straordinari restano in carica fino all’insediamento dei Presidenti delle Province di Sassari, Oristano, Nuoro e Sud Sardegna, i quali ultimi saranno eletti con elezioni di secondo grado. In sede di prima applicazione è stato stabilito che le elezioni dei Presidenti delle Province e dei Consigli provinciali sarebbero state indette dal Presidente della Regione</w:t>
      </w:r>
      <w:r w:rsidRPr="00A06261">
        <w:rPr>
          <w:rStyle w:val="Rimandonotaapidipagina"/>
        </w:rPr>
        <w:footnoteReference w:id="164"/>
      </w:r>
      <w:r w:rsidRPr="006F51D1">
        <w:t xml:space="preserve"> contestualmente alle elezioni comunali nel 2017. Successivamente è stato deliberato</w:t>
      </w:r>
      <w:r w:rsidRPr="00A06261">
        <w:rPr>
          <w:rStyle w:val="Rimandonotaapidipagina"/>
        </w:rPr>
        <w:footnoteReference w:id="165"/>
      </w:r>
      <w:r w:rsidRPr="00A06261">
        <w:rPr>
          <w:vertAlign w:val="superscript"/>
        </w:rPr>
        <w:t xml:space="preserve"> </w:t>
      </w:r>
      <w:r w:rsidRPr="006F51D1">
        <w:t>che le predette elezioni si svolgeranno entro novanta giorni decorrenti dalla scadenza degli Amministratori straordinari.</w:t>
      </w:r>
    </w:p>
    <w:p w:rsidR="001E52A8" w:rsidRDefault="001E52A8" w:rsidP="00DF478D">
      <w:pPr>
        <w:pStyle w:val="CdcTesto"/>
      </w:pPr>
      <w:r>
        <w:t>Il D.P.R. 20 luglio 2017 n. 140 ha definitivamente disposto in ordine al processo di riforma in esame, accogliendo l’individuazione delle circoscrizioni territoriali</w:t>
      </w:r>
      <w:r w:rsidR="00A93328">
        <w:t xml:space="preserve"> così come delineate dalla L.R. </w:t>
      </w:r>
      <w:r>
        <w:t>2/2016.</w:t>
      </w:r>
    </w:p>
    <w:p w:rsidR="00C009EA" w:rsidRPr="00CC7DE8" w:rsidRDefault="001E52A8" w:rsidP="00C009EA">
      <w:pPr>
        <w:pStyle w:val="CdcTesto"/>
        <w:rPr>
          <w:i/>
        </w:rPr>
      </w:pPr>
      <w:r>
        <w:t xml:space="preserve">In ultimo l’Assessorato agli enti locali illustra che </w:t>
      </w:r>
      <w:r w:rsidR="00C009EA">
        <w:t>“</w:t>
      </w:r>
      <w:r w:rsidR="00CC7DE8" w:rsidRPr="00CC7DE8">
        <w:rPr>
          <w:i/>
        </w:rPr>
        <w:t xml:space="preserve">per </w:t>
      </w:r>
      <w:r w:rsidR="00C009EA" w:rsidRPr="00CC7DE8">
        <w:rPr>
          <w:i/>
        </w:rPr>
        <w:t>quanto riguarda il personale coinvolto nel processo di riordino, si fa presente che notevole è stata l’interlocuzione attivata con le organizzazioni sind</w:t>
      </w:r>
      <w:r w:rsidR="00A06261">
        <w:rPr>
          <w:i/>
        </w:rPr>
        <w:t>acali, con gli enti e con l’ANCI</w:t>
      </w:r>
      <w:r w:rsidR="00C009EA" w:rsidRPr="00CC7DE8">
        <w:rPr>
          <w:i/>
        </w:rPr>
        <w:t xml:space="preserve"> Sardegna, con i quali sono stati approvati importanti protocolli di intesa in data 24 novembre 2014, 30 marzo 2016, 27 giugno 2016, e 8 settembre 2016 al fine di salvaguardare i livelli occupazionali, garantire la continuità del lavoro e la posizione giuridica ed economica del personale interessato alla riforma.</w:t>
      </w:r>
    </w:p>
    <w:p w:rsidR="00C009EA" w:rsidRPr="00CC7DE8" w:rsidRDefault="00C009EA" w:rsidP="00C009EA">
      <w:pPr>
        <w:pStyle w:val="CdcTesto"/>
        <w:rPr>
          <w:i/>
        </w:rPr>
      </w:pPr>
      <w:r w:rsidRPr="00CC7DE8">
        <w:rPr>
          <w:i/>
        </w:rPr>
        <w:t>Relativamente al Titolo VI della medesima legge regionale, si osserva che l’esito del referendum popolare del 4 dicembre 2016, che non ha approvato la modifica della Costituzione che prevedeva tra l’altro l’abolizione delle province, si è riverberato anche nel processo di riforma avviato con la legge regionale n.</w:t>
      </w:r>
      <w:r w:rsidR="0058214E">
        <w:rPr>
          <w:i/>
        </w:rPr>
        <w:t xml:space="preserve"> </w:t>
      </w:r>
      <w:r w:rsidRPr="00CC7DE8">
        <w:rPr>
          <w:i/>
        </w:rPr>
        <w:t>2 del 2016 per cui, allo stato, le disposizioni contenute nel predetto Titolo VI, fatta eccezione per la funzione turismo, non sono state ancora implementate.</w:t>
      </w:r>
    </w:p>
    <w:p w:rsidR="00C009EA" w:rsidRPr="0009271B" w:rsidRDefault="00C009EA" w:rsidP="00C009EA">
      <w:pPr>
        <w:pStyle w:val="CdcTesto"/>
      </w:pPr>
      <w:r w:rsidRPr="00CC7DE8">
        <w:rPr>
          <w:i/>
        </w:rPr>
        <w:t xml:space="preserve">Sul piano finanziario si ritiene utile allegare le seguenti tabelle che descrivono i trasferimenti effettuati dalla Regione in favore delle province e della città metropolitana di Cagliari, negli anni </w:t>
      </w:r>
      <w:r w:rsidRPr="00CC7DE8">
        <w:rPr>
          <w:i/>
        </w:rPr>
        <w:lastRenderedPageBreak/>
        <w:t>2016 e 2017, ai sensi dell’art.</w:t>
      </w:r>
      <w:r w:rsidR="00F00825">
        <w:rPr>
          <w:i/>
        </w:rPr>
        <w:t xml:space="preserve"> </w:t>
      </w:r>
      <w:r w:rsidRPr="00CC7DE8">
        <w:rPr>
          <w:i/>
        </w:rPr>
        <w:t>10 della legge regionale n.</w:t>
      </w:r>
      <w:r w:rsidR="00F00825">
        <w:rPr>
          <w:i/>
        </w:rPr>
        <w:t xml:space="preserve"> </w:t>
      </w:r>
      <w:r w:rsidRPr="00CC7DE8">
        <w:rPr>
          <w:i/>
        </w:rPr>
        <w:t>2 del 2007 e per effetto di altre disposizioni di legge ivi indicate</w:t>
      </w:r>
      <w:r w:rsidR="00CC7DE8">
        <w:rPr>
          <w:i/>
        </w:rPr>
        <w:t>”</w:t>
      </w:r>
      <w:r w:rsidRPr="0009271B">
        <w:t>.</w:t>
      </w:r>
    </w:p>
    <w:p w:rsidR="00590955" w:rsidRDefault="00CC7DE8" w:rsidP="00DF478D">
      <w:pPr>
        <w:pStyle w:val="CdcTesto"/>
      </w:pPr>
      <w:r>
        <w:t>Dalle tabelle seguenti si evince che nella fase di transitorietà la ripartizione dei finanziamenti per l’anno 2016 è stata fatta destinando alle province anche</w:t>
      </w:r>
      <w:r w:rsidR="00590955">
        <w:t xml:space="preserve"> le quote degli enti conglobati. Dal competente Assessorato agli enti locali è stato precisato che i trasferimenti di cui alle seguenti tabelle sono stati erogati esclusivamente dal medesimo Assessorato. Infatti</w:t>
      </w:r>
      <w:r w:rsidR="0051474F">
        <w:t xml:space="preserve"> dal Rapporto di gestione/2016 s</w:t>
      </w:r>
      <w:r w:rsidR="00590955">
        <w:t>i ricava che i trasferimenti in favore delle Province per il 2106 ammontano a complessivi 119,541 milioni di euro circa (in conto corrente e per investimenti).</w:t>
      </w:r>
    </w:p>
    <w:p w:rsidR="00CC7DE8" w:rsidRDefault="004A7E6A" w:rsidP="004A7E6A">
      <w:pPr>
        <w:pStyle w:val="Didascalia"/>
        <w:rPr>
          <w:rFonts w:ascii="Times New Roman" w:eastAsia="Times New Roman" w:hAnsi="Times New Roman"/>
        </w:rPr>
      </w:pPr>
      <w:bookmarkStart w:id="289" w:name="_Toc507422532"/>
      <w:r>
        <w:t xml:space="preserve">Tabella </w:t>
      </w:r>
      <w:r w:rsidR="00B90472">
        <w:fldChar w:fldCharType="begin"/>
      </w:r>
      <w:r w:rsidR="00B90472">
        <w:instrText xml:space="preserve"> SEQ Tabella \* ARABIC </w:instrText>
      </w:r>
      <w:r w:rsidR="00B90472">
        <w:fldChar w:fldCharType="separate"/>
      </w:r>
      <w:r w:rsidR="008616B3">
        <w:rPr>
          <w:noProof/>
        </w:rPr>
        <w:t>64</w:t>
      </w:r>
      <w:r w:rsidR="00B90472">
        <w:rPr>
          <w:noProof/>
        </w:rPr>
        <w:fldChar w:fldCharType="end"/>
      </w:r>
      <w:r>
        <w:t xml:space="preserve"> -</w:t>
      </w:r>
      <w:r w:rsidR="00CC7DE8">
        <w:t xml:space="preserve"> Totale trasferimenti Enti di Area Vasta anno 2016</w:t>
      </w:r>
      <w:bookmarkEnd w:id="289"/>
    </w:p>
    <w:tbl>
      <w:tblPr>
        <w:tblW w:w="10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80"/>
        <w:gridCol w:w="1960"/>
        <w:gridCol w:w="1740"/>
        <w:gridCol w:w="1840"/>
        <w:gridCol w:w="2080"/>
        <w:gridCol w:w="1600"/>
      </w:tblGrid>
      <w:tr w:rsidR="00CC7DE8" w:rsidRPr="00CC7DE8" w:rsidTr="00130B51">
        <w:trPr>
          <w:trHeight w:val="1054"/>
          <w:jc w:val="center"/>
        </w:trPr>
        <w:tc>
          <w:tcPr>
            <w:tcW w:w="128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sz w:val="20"/>
                <w:szCs w:val="20"/>
              </w:rPr>
              <w:t>Enti</w:t>
            </w:r>
          </w:p>
        </w:tc>
        <w:tc>
          <w:tcPr>
            <w:tcW w:w="196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sz w:val="20"/>
                <w:szCs w:val="20"/>
              </w:rPr>
              <w:t>Ex Provincia</w:t>
            </w:r>
          </w:p>
        </w:tc>
        <w:tc>
          <w:tcPr>
            <w:tcW w:w="174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Fondo unico alle</w:t>
            </w:r>
          </w:p>
          <w:p w:rsidR="00CC7DE8" w:rsidRPr="00CC7DE8" w:rsidRDefault="00CC7DE8" w:rsidP="00CC7DE8">
            <w:pPr>
              <w:spacing w:after="0" w:line="240" w:lineRule="auto"/>
              <w:jc w:val="center"/>
              <w:rPr>
                <w:rFonts w:ascii="Bodoni MT" w:hAnsi="Bodoni MT"/>
                <w:b/>
                <w:w w:val="98"/>
                <w:sz w:val="20"/>
                <w:szCs w:val="20"/>
              </w:rPr>
            </w:pPr>
            <w:r w:rsidRPr="00CC7DE8">
              <w:rPr>
                <w:rFonts w:ascii="Bodoni MT" w:hAnsi="Bodoni MT"/>
                <w:b/>
                <w:w w:val="98"/>
                <w:sz w:val="20"/>
                <w:szCs w:val="20"/>
              </w:rPr>
              <w:t>province - art. 8,</w:t>
            </w:r>
          </w:p>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sz w:val="20"/>
                <w:szCs w:val="20"/>
              </w:rPr>
              <w:t>comma 1, l.r. 13</w:t>
            </w:r>
          </w:p>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w w:val="99"/>
                <w:sz w:val="20"/>
                <w:szCs w:val="20"/>
              </w:rPr>
              <w:t>aprile 2016 n. 5</w:t>
            </w:r>
          </w:p>
        </w:tc>
        <w:tc>
          <w:tcPr>
            <w:tcW w:w="184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Contributo alle</w:t>
            </w:r>
          </w:p>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Province - art. 8,</w:t>
            </w:r>
          </w:p>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comma 2, l.r. 11</w:t>
            </w:r>
          </w:p>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aprile 2016 n. 5 -</w:t>
            </w:r>
          </w:p>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w w:val="99"/>
                <w:sz w:val="20"/>
                <w:szCs w:val="20"/>
              </w:rPr>
              <w:t>partecipate</w:t>
            </w:r>
          </w:p>
        </w:tc>
        <w:tc>
          <w:tcPr>
            <w:tcW w:w="208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Contributo alle</w:t>
            </w:r>
          </w:p>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Province di Nuoro e</w:t>
            </w:r>
            <w:r>
              <w:rPr>
                <w:rFonts w:ascii="Bodoni MT" w:hAnsi="Bodoni MT"/>
                <w:b/>
                <w:sz w:val="20"/>
                <w:szCs w:val="20"/>
              </w:rPr>
              <w:t xml:space="preserve"> </w:t>
            </w:r>
            <w:r w:rsidRPr="00CC7DE8">
              <w:rPr>
                <w:rFonts w:ascii="Bodoni MT" w:hAnsi="Bodoni MT"/>
                <w:b/>
                <w:w w:val="99"/>
                <w:sz w:val="20"/>
                <w:szCs w:val="20"/>
              </w:rPr>
              <w:t>Oristano per</w:t>
            </w:r>
            <w:r>
              <w:rPr>
                <w:rFonts w:ascii="Bodoni MT" w:hAnsi="Bodoni MT"/>
                <w:b/>
                <w:w w:val="99"/>
                <w:sz w:val="20"/>
                <w:szCs w:val="20"/>
              </w:rPr>
              <w:t xml:space="preserve"> </w:t>
            </w:r>
            <w:r w:rsidRPr="00CC7DE8">
              <w:rPr>
                <w:rFonts w:ascii="Bodoni MT" w:hAnsi="Bodoni MT"/>
                <w:b/>
                <w:sz w:val="20"/>
                <w:szCs w:val="20"/>
              </w:rPr>
              <w:t>garantire gli</w:t>
            </w:r>
          </w:p>
          <w:p w:rsidR="00CC7DE8" w:rsidRPr="00CC7DE8" w:rsidRDefault="00CC7DE8" w:rsidP="00CC7DE8">
            <w:pPr>
              <w:spacing w:after="0" w:line="240" w:lineRule="auto"/>
              <w:jc w:val="center"/>
              <w:rPr>
                <w:rFonts w:ascii="Bodoni MT" w:hAnsi="Bodoni MT"/>
                <w:b/>
                <w:w w:val="99"/>
                <w:sz w:val="20"/>
                <w:szCs w:val="20"/>
              </w:rPr>
            </w:pPr>
            <w:r w:rsidRPr="00CC7DE8">
              <w:rPr>
                <w:rFonts w:ascii="Bodoni MT" w:hAnsi="Bodoni MT"/>
                <w:b/>
                <w:w w:val="99"/>
                <w:sz w:val="20"/>
                <w:szCs w:val="20"/>
              </w:rPr>
              <w:t>equilibri di bilancio -</w:t>
            </w:r>
          </w:p>
          <w:p w:rsidR="00CC7DE8" w:rsidRPr="00CC7DE8" w:rsidRDefault="00CC7DE8" w:rsidP="00CC7DE8">
            <w:pPr>
              <w:spacing w:after="0" w:line="240" w:lineRule="auto"/>
              <w:jc w:val="center"/>
              <w:rPr>
                <w:rFonts w:ascii="Bodoni MT" w:hAnsi="Bodoni MT"/>
                <w:b/>
                <w:w w:val="99"/>
                <w:sz w:val="20"/>
                <w:szCs w:val="20"/>
              </w:rPr>
            </w:pPr>
            <w:r w:rsidRPr="00CC7DE8">
              <w:rPr>
                <w:rFonts w:ascii="Bodoni MT" w:hAnsi="Bodoni MT"/>
                <w:b/>
                <w:w w:val="99"/>
                <w:sz w:val="20"/>
                <w:szCs w:val="20"/>
              </w:rPr>
              <w:t>dicembre 2016, n. 32,</w:t>
            </w:r>
          </w:p>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w w:val="99"/>
                <w:sz w:val="20"/>
                <w:szCs w:val="20"/>
              </w:rPr>
              <w:t>art. 1, comma 21 –</w:t>
            </w:r>
          </w:p>
        </w:tc>
        <w:tc>
          <w:tcPr>
            <w:tcW w:w="1600" w:type="dxa"/>
            <w:tcBorders>
              <w:bottom w:val="single" w:sz="4" w:space="0" w:color="auto"/>
            </w:tcBorders>
            <w:shd w:val="clear" w:color="auto" w:fill="0F243E" w:themeFill="text2" w:themeFillShade="80"/>
            <w:vAlign w:val="center"/>
          </w:tcPr>
          <w:p w:rsidR="00CC7DE8" w:rsidRPr="00CC7DE8" w:rsidRDefault="00CC7DE8" w:rsidP="00CC7DE8">
            <w:pPr>
              <w:spacing w:after="0" w:line="240" w:lineRule="auto"/>
              <w:jc w:val="center"/>
              <w:rPr>
                <w:rFonts w:ascii="Bodoni MT" w:hAnsi="Bodoni MT"/>
                <w:b/>
                <w:sz w:val="20"/>
                <w:szCs w:val="20"/>
              </w:rPr>
            </w:pPr>
            <w:r w:rsidRPr="00CC7DE8">
              <w:rPr>
                <w:rFonts w:ascii="Bodoni MT" w:hAnsi="Bodoni MT"/>
                <w:b/>
                <w:sz w:val="20"/>
                <w:szCs w:val="20"/>
              </w:rPr>
              <w:t>Totale</w:t>
            </w:r>
          </w:p>
          <w:p w:rsidR="00CC7DE8" w:rsidRPr="00CC7DE8" w:rsidRDefault="00CC7DE8" w:rsidP="00CC7DE8">
            <w:pPr>
              <w:spacing w:after="0" w:line="240" w:lineRule="auto"/>
              <w:jc w:val="center"/>
              <w:rPr>
                <w:rFonts w:ascii="Bodoni MT" w:hAnsi="Bodoni MT"/>
                <w:b/>
                <w:w w:val="98"/>
                <w:sz w:val="20"/>
                <w:szCs w:val="20"/>
              </w:rPr>
            </w:pPr>
            <w:r w:rsidRPr="00CC7DE8">
              <w:rPr>
                <w:rFonts w:ascii="Bodoni MT" w:hAnsi="Bodoni MT"/>
                <w:b/>
                <w:w w:val="98"/>
                <w:sz w:val="20"/>
                <w:szCs w:val="20"/>
              </w:rPr>
              <w:t>complessivo</w:t>
            </w:r>
          </w:p>
          <w:p w:rsidR="00CC7DE8" w:rsidRPr="00CC7DE8" w:rsidRDefault="00CC7DE8" w:rsidP="00CC7DE8">
            <w:pPr>
              <w:spacing w:after="0" w:line="240" w:lineRule="auto"/>
              <w:jc w:val="center"/>
              <w:rPr>
                <w:rFonts w:ascii="Bodoni MT" w:hAnsi="Bodoni MT"/>
                <w:b/>
                <w:w w:val="99"/>
                <w:sz w:val="20"/>
                <w:szCs w:val="20"/>
              </w:rPr>
            </w:pPr>
            <w:r w:rsidRPr="00CC7DE8">
              <w:rPr>
                <w:rFonts w:ascii="Bodoni MT" w:hAnsi="Bodoni MT"/>
                <w:b/>
                <w:w w:val="99"/>
                <w:sz w:val="20"/>
                <w:szCs w:val="20"/>
              </w:rPr>
              <w:t>assegnato alle</w:t>
            </w:r>
          </w:p>
          <w:p w:rsidR="00CC7DE8" w:rsidRPr="00CC7DE8" w:rsidRDefault="00CC7DE8" w:rsidP="00CC7DE8">
            <w:pPr>
              <w:spacing w:after="0" w:line="240" w:lineRule="auto"/>
              <w:jc w:val="center"/>
              <w:rPr>
                <w:rFonts w:ascii="Bodoni MT" w:eastAsia="Times New Roman" w:hAnsi="Bodoni MT"/>
                <w:sz w:val="20"/>
                <w:szCs w:val="20"/>
              </w:rPr>
            </w:pPr>
            <w:r w:rsidRPr="00CC7DE8">
              <w:rPr>
                <w:rFonts w:ascii="Bodoni MT" w:hAnsi="Bodoni MT"/>
                <w:b/>
                <w:w w:val="99"/>
                <w:sz w:val="20"/>
                <w:szCs w:val="20"/>
              </w:rPr>
              <w:t>Province</w:t>
            </w:r>
          </w:p>
        </w:tc>
      </w:tr>
      <w:tr w:rsidR="00CC7DE8" w:rsidRPr="00CC7DE8" w:rsidTr="00130B51">
        <w:trPr>
          <w:trHeight w:val="421"/>
          <w:jc w:val="center"/>
        </w:trPr>
        <w:tc>
          <w:tcPr>
            <w:tcW w:w="1280" w:type="dxa"/>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CAGLIARI</w:t>
            </w:r>
          </w:p>
        </w:tc>
        <w:tc>
          <w:tcPr>
            <w:tcW w:w="1960" w:type="dxa"/>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CAGLIARI</w:t>
            </w:r>
          </w:p>
        </w:tc>
        <w:tc>
          <w:tcPr>
            <w:tcW w:w="1740" w:type="dxa"/>
            <w:shd w:val="clear" w:color="auto" w:fill="auto"/>
            <w:vAlign w:val="center"/>
          </w:tcPr>
          <w:p w:rsidR="00CC7DE8" w:rsidRPr="00CC7DE8" w:rsidRDefault="00CC7DE8" w:rsidP="00CC7DE8">
            <w:pPr>
              <w:spacing w:after="0" w:line="240" w:lineRule="auto"/>
              <w:jc w:val="center"/>
              <w:rPr>
                <w:rFonts w:cstheme="minorHAnsi"/>
                <w:sz w:val="20"/>
                <w:szCs w:val="20"/>
              </w:rPr>
            </w:pPr>
            <w:r w:rsidRPr="00CC7DE8">
              <w:rPr>
                <w:rFonts w:cstheme="minorHAnsi"/>
                <w:sz w:val="20"/>
                <w:szCs w:val="20"/>
              </w:rPr>
              <w:t>12.889.594,26</w:t>
            </w:r>
          </w:p>
        </w:tc>
        <w:tc>
          <w:tcPr>
            <w:tcW w:w="1840" w:type="dxa"/>
            <w:shd w:val="clear" w:color="auto" w:fill="auto"/>
            <w:vAlign w:val="center"/>
          </w:tcPr>
          <w:p w:rsidR="00CC7DE8" w:rsidRPr="00CC7DE8" w:rsidRDefault="00CC7DE8" w:rsidP="00CC7DE8">
            <w:pPr>
              <w:spacing w:after="0" w:line="240" w:lineRule="auto"/>
              <w:jc w:val="center"/>
              <w:rPr>
                <w:rFonts w:cstheme="minorHAnsi"/>
                <w:w w:val="99"/>
                <w:sz w:val="20"/>
                <w:szCs w:val="20"/>
              </w:rPr>
            </w:pPr>
            <w:r w:rsidRPr="00CC7DE8">
              <w:rPr>
                <w:rFonts w:cstheme="minorHAnsi"/>
                <w:w w:val="99"/>
                <w:sz w:val="20"/>
                <w:szCs w:val="20"/>
              </w:rPr>
              <w:t>410.501,24</w:t>
            </w:r>
          </w:p>
        </w:tc>
        <w:tc>
          <w:tcPr>
            <w:tcW w:w="2080" w:type="dxa"/>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p>
        </w:tc>
        <w:tc>
          <w:tcPr>
            <w:tcW w:w="1600" w:type="dxa"/>
            <w:shd w:val="clear" w:color="auto" w:fill="auto"/>
            <w:vAlign w:val="center"/>
          </w:tcPr>
          <w:p w:rsidR="00CC7DE8" w:rsidRPr="00CC7DE8" w:rsidRDefault="00CC7DE8" w:rsidP="00CC7DE8">
            <w:pPr>
              <w:spacing w:after="0" w:line="240" w:lineRule="auto"/>
              <w:jc w:val="center"/>
              <w:rPr>
                <w:rFonts w:cstheme="minorHAnsi"/>
                <w:sz w:val="20"/>
                <w:szCs w:val="20"/>
              </w:rPr>
            </w:pPr>
            <w:r w:rsidRPr="00CC7DE8">
              <w:rPr>
                <w:rFonts w:cstheme="minorHAnsi"/>
                <w:sz w:val="20"/>
                <w:szCs w:val="20"/>
              </w:rPr>
              <w:t>13.300.095,50</w:t>
            </w:r>
          </w:p>
        </w:tc>
      </w:tr>
      <w:tr w:rsidR="00CC7DE8" w:rsidRPr="00CC7DE8" w:rsidTr="00130B51">
        <w:trPr>
          <w:trHeight w:val="570"/>
          <w:jc w:val="center"/>
        </w:trPr>
        <w:tc>
          <w:tcPr>
            <w:tcW w:w="1280" w:type="dxa"/>
            <w:vMerge w:val="restart"/>
            <w:tcBorders>
              <w:bottom w:val="single" w:sz="4" w:space="0" w:color="auto"/>
            </w:tcBorders>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SUD</w:t>
            </w:r>
          </w:p>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SARDEGNA</w:t>
            </w:r>
          </w:p>
        </w:tc>
        <w:tc>
          <w:tcPr>
            <w:tcW w:w="1960" w:type="dxa"/>
            <w:tcBorders>
              <w:bottom w:val="single" w:sz="4" w:space="0" w:color="auto"/>
            </w:tcBorders>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CARBONIA - IGLESIAS</w:t>
            </w:r>
          </w:p>
        </w:tc>
        <w:tc>
          <w:tcPr>
            <w:tcW w:w="174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cstheme="minorHAnsi"/>
                <w:w w:val="98"/>
                <w:sz w:val="20"/>
                <w:szCs w:val="20"/>
              </w:rPr>
            </w:pPr>
            <w:r w:rsidRPr="00CC7DE8">
              <w:rPr>
                <w:rFonts w:cstheme="minorHAnsi"/>
                <w:w w:val="98"/>
                <w:sz w:val="20"/>
                <w:szCs w:val="20"/>
              </w:rPr>
              <w:t>4.691.082,12</w:t>
            </w:r>
          </w:p>
        </w:tc>
        <w:tc>
          <w:tcPr>
            <w:tcW w:w="184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cstheme="minorHAnsi"/>
                <w:w w:val="99"/>
                <w:sz w:val="20"/>
                <w:szCs w:val="20"/>
              </w:rPr>
            </w:pPr>
            <w:r w:rsidRPr="00CC7DE8">
              <w:rPr>
                <w:rFonts w:cstheme="minorHAnsi"/>
                <w:w w:val="99"/>
                <w:sz w:val="20"/>
                <w:szCs w:val="20"/>
              </w:rPr>
              <w:t>159.329,53</w:t>
            </w:r>
          </w:p>
        </w:tc>
        <w:tc>
          <w:tcPr>
            <w:tcW w:w="208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p>
        </w:tc>
        <w:tc>
          <w:tcPr>
            <w:tcW w:w="1600" w:type="dxa"/>
            <w:vMerge w:val="restart"/>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r w:rsidRPr="00CC7DE8">
              <w:rPr>
                <w:rFonts w:cstheme="minorHAnsi"/>
                <w:w w:val="98"/>
                <w:sz w:val="20"/>
                <w:szCs w:val="20"/>
              </w:rPr>
              <w:t>9.425.672,87</w:t>
            </w:r>
          </w:p>
        </w:tc>
      </w:tr>
      <w:tr w:rsidR="00CC7DE8" w:rsidRPr="00CC7DE8" w:rsidTr="00130B51">
        <w:trPr>
          <w:trHeight w:val="524"/>
          <w:jc w:val="center"/>
        </w:trPr>
        <w:tc>
          <w:tcPr>
            <w:tcW w:w="1280" w:type="dxa"/>
            <w:vMerge/>
            <w:tcBorders>
              <w:bottom w:val="single" w:sz="4" w:space="0" w:color="auto"/>
            </w:tcBorders>
            <w:shd w:val="clear" w:color="auto" w:fill="95B3D7" w:themeFill="accent1" w:themeFillTint="99"/>
            <w:vAlign w:val="bottom"/>
          </w:tcPr>
          <w:p w:rsidR="00CC7DE8" w:rsidRPr="00CC7DE8" w:rsidRDefault="00CC7DE8" w:rsidP="00CC7DE8">
            <w:pPr>
              <w:spacing w:after="0" w:line="240" w:lineRule="auto"/>
              <w:rPr>
                <w:rFonts w:ascii="Bodoni MT" w:eastAsia="Times New Roman" w:hAnsi="Bodoni MT"/>
                <w:b/>
                <w:color w:val="FFFFFF" w:themeColor="background1"/>
                <w:sz w:val="20"/>
                <w:szCs w:val="20"/>
              </w:rPr>
            </w:pPr>
          </w:p>
        </w:tc>
        <w:tc>
          <w:tcPr>
            <w:tcW w:w="1960" w:type="dxa"/>
            <w:tcBorders>
              <w:bottom w:val="single" w:sz="4" w:space="0" w:color="auto"/>
            </w:tcBorders>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MEDIO CAMPIDANO</w:t>
            </w:r>
          </w:p>
        </w:tc>
        <w:tc>
          <w:tcPr>
            <w:tcW w:w="174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cstheme="minorHAnsi"/>
                <w:w w:val="98"/>
                <w:sz w:val="20"/>
                <w:szCs w:val="20"/>
              </w:rPr>
            </w:pPr>
            <w:r w:rsidRPr="00CC7DE8">
              <w:rPr>
                <w:rFonts w:cstheme="minorHAnsi"/>
                <w:w w:val="98"/>
                <w:sz w:val="20"/>
                <w:szCs w:val="20"/>
              </w:rPr>
              <w:t>4.575.261,21</w:t>
            </w:r>
          </w:p>
        </w:tc>
        <w:tc>
          <w:tcPr>
            <w:tcW w:w="184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p>
        </w:tc>
        <w:tc>
          <w:tcPr>
            <w:tcW w:w="2080" w:type="dxa"/>
            <w:tcBorders>
              <w:bottom w:val="single" w:sz="4" w:space="0" w:color="auto"/>
            </w:tcBorders>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p>
        </w:tc>
        <w:tc>
          <w:tcPr>
            <w:tcW w:w="1600" w:type="dxa"/>
            <w:vMerge/>
            <w:tcBorders>
              <w:bottom w:val="single" w:sz="4" w:space="0" w:color="auto"/>
            </w:tcBorders>
            <w:shd w:val="clear" w:color="auto" w:fill="auto"/>
            <w:vAlign w:val="center"/>
          </w:tcPr>
          <w:p w:rsidR="00CC7DE8" w:rsidRPr="00CC7DE8" w:rsidRDefault="00CC7DE8" w:rsidP="00CC7DE8">
            <w:pPr>
              <w:spacing w:after="0" w:line="240" w:lineRule="auto"/>
              <w:jc w:val="center"/>
              <w:rPr>
                <w:rFonts w:eastAsia="Times New Roman" w:cstheme="minorHAnsi"/>
                <w:sz w:val="20"/>
                <w:szCs w:val="20"/>
              </w:rPr>
            </w:pPr>
          </w:p>
        </w:tc>
      </w:tr>
      <w:tr w:rsidR="00A06261" w:rsidRPr="00CC7DE8" w:rsidTr="00130B51">
        <w:trPr>
          <w:trHeight w:val="445"/>
          <w:jc w:val="center"/>
        </w:trPr>
        <w:tc>
          <w:tcPr>
            <w:tcW w:w="1280" w:type="dxa"/>
            <w:vMerge w:val="restart"/>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NUORO</w:t>
            </w:r>
          </w:p>
        </w:tc>
        <w:tc>
          <w:tcPr>
            <w:tcW w:w="1960" w:type="dxa"/>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NUORO</w:t>
            </w:r>
          </w:p>
        </w:tc>
        <w:tc>
          <w:tcPr>
            <w:tcW w:w="174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w w:val="98"/>
                <w:sz w:val="20"/>
                <w:szCs w:val="20"/>
              </w:rPr>
              <w:t>9.451.828,57</w:t>
            </w:r>
          </w:p>
        </w:tc>
        <w:tc>
          <w:tcPr>
            <w:tcW w:w="184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w w:val="99"/>
                <w:sz w:val="20"/>
                <w:szCs w:val="20"/>
              </w:rPr>
              <w:t>295.059,71</w:t>
            </w:r>
          </w:p>
        </w:tc>
        <w:tc>
          <w:tcPr>
            <w:tcW w:w="208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w w:val="98"/>
                <w:sz w:val="20"/>
                <w:szCs w:val="20"/>
              </w:rPr>
              <w:t>2.100.000</w:t>
            </w:r>
          </w:p>
        </w:tc>
        <w:tc>
          <w:tcPr>
            <w:tcW w:w="160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sz w:val="20"/>
                <w:szCs w:val="20"/>
              </w:rPr>
              <w:t>11.846.888,28</w:t>
            </w:r>
          </w:p>
        </w:tc>
      </w:tr>
      <w:tr w:rsidR="00A06261" w:rsidRPr="00CC7DE8" w:rsidTr="00130B51">
        <w:trPr>
          <w:trHeight w:val="524"/>
          <w:jc w:val="center"/>
        </w:trPr>
        <w:tc>
          <w:tcPr>
            <w:tcW w:w="1280" w:type="dxa"/>
            <w:vMerge/>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eastAsia="Times New Roman" w:hAnsi="Bodoni MT"/>
                <w:b/>
                <w:color w:val="FFFFFF" w:themeColor="background1"/>
                <w:sz w:val="20"/>
                <w:szCs w:val="20"/>
              </w:rPr>
            </w:pPr>
          </w:p>
        </w:tc>
        <w:tc>
          <w:tcPr>
            <w:tcW w:w="1960" w:type="dxa"/>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OGLIASTRA</w:t>
            </w:r>
          </w:p>
        </w:tc>
        <w:tc>
          <w:tcPr>
            <w:tcW w:w="174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184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208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160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r>
      <w:tr w:rsidR="00A06261" w:rsidRPr="00CC7DE8" w:rsidTr="00130B51">
        <w:trPr>
          <w:trHeight w:val="443"/>
          <w:jc w:val="center"/>
        </w:trPr>
        <w:tc>
          <w:tcPr>
            <w:tcW w:w="1280" w:type="dxa"/>
            <w:vMerge w:val="restart"/>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SASSARI</w:t>
            </w:r>
          </w:p>
        </w:tc>
        <w:tc>
          <w:tcPr>
            <w:tcW w:w="1960" w:type="dxa"/>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SASSARI</w:t>
            </w:r>
          </w:p>
        </w:tc>
        <w:tc>
          <w:tcPr>
            <w:tcW w:w="174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sz w:val="20"/>
                <w:szCs w:val="20"/>
              </w:rPr>
              <w:t>13.957.764,37</w:t>
            </w:r>
          </w:p>
        </w:tc>
        <w:tc>
          <w:tcPr>
            <w:tcW w:w="184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w w:val="99"/>
                <w:sz w:val="20"/>
                <w:szCs w:val="20"/>
              </w:rPr>
              <w:t>456.238,04</w:t>
            </w:r>
          </w:p>
        </w:tc>
        <w:tc>
          <w:tcPr>
            <w:tcW w:w="208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1600" w:type="dxa"/>
            <w:vMerge w:val="restart"/>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r w:rsidRPr="00CC7DE8">
              <w:rPr>
                <w:rFonts w:cstheme="minorHAnsi"/>
                <w:sz w:val="20"/>
                <w:szCs w:val="20"/>
              </w:rPr>
              <w:t>14.414.002,41</w:t>
            </w:r>
          </w:p>
        </w:tc>
      </w:tr>
      <w:tr w:rsidR="00A06261" w:rsidRPr="00CC7DE8" w:rsidTr="00130B51">
        <w:trPr>
          <w:trHeight w:val="524"/>
          <w:jc w:val="center"/>
        </w:trPr>
        <w:tc>
          <w:tcPr>
            <w:tcW w:w="1280" w:type="dxa"/>
            <w:vMerge/>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eastAsia="Times New Roman" w:hAnsi="Bodoni MT"/>
                <w:b/>
                <w:color w:val="FFFFFF" w:themeColor="background1"/>
                <w:sz w:val="20"/>
                <w:szCs w:val="20"/>
              </w:rPr>
            </w:pPr>
          </w:p>
        </w:tc>
        <w:tc>
          <w:tcPr>
            <w:tcW w:w="1960" w:type="dxa"/>
            <w:tcBorders>
              <w:bottom w:val="single" w:sz="4" w:space="0" w:color="auto"/>
            </w:tcBorders>
            <w:shd w:val="clear" w:color="auto" w:fill="95B3D7" w:themeFill="accent1" w:themeFillTint="99"/>
            <w:vAlign w:val="center"/>
          </w:tcPr>
          <w:p w:rsidR="00A06261" w:rsidRPr="00CC7DE8" w:rsidRDefault="00A06261"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OLBIA TEMPIO</w:t>
            </w:r>
          </w:p>
        </w:tc>
        <w:tc>
          <w:tcPr>
            <w:tcW w:w="174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184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208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c>
          <w:tcPr>
            <w:tcW w:w="1600" w:type="dxa"/>
            <w:vMerge/>
            <w:tcBorders>
              <w:bottom w:val="single" w:sz="4" w:space="0" w:color="auto"/>
            </w:tcBorders>
            <w:shd w:val="clear" w:color="auto" w:fill="auto"/>
            <w:vAlign w:val="center"/>
          </w:tcPr>
          <w:p w:rsidR="00A06261" w:rsidRPr="00CC7DE8" w:rsidRDefault="00A06261" w:rsidP="00CC7DE8">
            <w:pPr>
              <w:spacing w:after="0" w:line="240" w:lineRule="auto"/>
              <w:jc w:val="center"/>
              <w:rPr>
                <w:rFonts w:eastAsia="Times New Roman" w:cstheme="minorHAnsi"/>
                <w:sz w:val="20"/>
                <w:szCs w:val="20"/>
              </w:rPr>
            </w:pPr>
          </w:p>
        </w:tc>
      </w:tr>
      <w:tr w:rsidR="00CC7DE8" w:rsidRPr="00CC7DE8" w:rsidTr="00130B51">
        <w:trPr>
          <w:trHeight w:val="360"/>
          <w:jc w:val="center"/>
        </w:trPr>
        <w:tc>
          <w:tcPr>
            <w:tcW w:w="1280" w:type="dxa"/>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ORISTANO</w:t>
            </w:r>
          </w:p>
        </w:tc>
        <w:tc>
          <w:tcPr>
            <w:tcW w:w="1960" w:type="dxa"/>
            <w:shd w:val="clear" w:color="auto" w:fill="95B3D7" w:themeFill="accent1" w:themeFillTint="99"/>
            <w:vAlign w:val="center"/>
          </w:tcPr>
          <w:p w:rsidR="00CC7DE8" w:rsidRPr="00CC7DE8" w:rsidRDefault="00CC7DE8" w:rsidP="00CC7DE8">
            <w:pPr>
              <w:spacing w:after="0" w:line="240" w:lineRule="auto"/>
              <w:jc w:val="center"/>
              <w:rPr>
                <w:rFonts w:ascii="Bodoni MT" w:hAnsi="Bodoni MT"/>
                <w:b/>
                <w:color w:val="FFFFFF" w:themeColor="background1"/>
                <w:sz w:val="20"/>
                <w:szCs w:val="20"/>
              </w:rPr>
            </w:pPr>
            <w:r w:rsidRPr="00CC7DE8">
              <w:rPr>
                <w:rFonts w:ascii="Bodoni MT" w:hAnsi="Bodoni MT"/>
                <w:b/>
                <w:color w:val="FFFFFF" w:themeColor="background1"/>
                <w:sz w:val="20"/>
                <w:szCs w:val="20"/>
              </w:rPr>
              <w:t>ORISTANO</w:t>
            </w:r>
          </w:p>
        </w:tc>
        <w:tc>
          <w:tcPr>
            <w:tcW w:w="1740" w:type="dxa"/>
            <w:shd w:val="clear" w:color="auto" w:fill="auto"/>
            <w:vAlign w:val="center"/>
          </w:tcPr>
          <w:p w:rsidR="00CC7DE8" w:rsidRPr="00CC7DE8" w:rsidRDefault="00CC7DE8" w:rsidP="00CC7DE8">
            <w:pPr>
              <w:spacing w:after="0" w:line="240" w:lineRule="auto"/>
              <w:jc w:val="center"/>
              <w:rPr>
                <w:rFonts w:cstheme="minorHAnsi"/>
                <w:w w:val="98"/>
                <w:sz w:val="20"/>
                <w:szCs w:val="20"/>
              </w:rPr>
            </w:pPr>
            <w:r w:rsidRPr="00CC7DE8">
              <w:rPr>
                <w:rFonts w:cstheme="minorHAnsi"/>
                <w:w w:val="98"/>
                <w:sz w:val="20"/>
                <w:szCs w:val="20"/>
              </w:rPr>
              <w:t>5.609.469,47</w:t>
            </w:r>
          </w:p>
        </w:tc>
        <w:tc>
          <w:tcPr>
            <w:tcW w:w="1840" w:type="dxa"/>
            <w:shd w:val="clear" w:color="auto" w:fill="auto"/>
            <w:vAlign w:val="center"/>
          </w:tcPr>
          <w:p w:rsidR="00CC7DE8" w:rsidRPr="00CC7DE8" w:rsidRDefault="00CC7DE8" w:rsidP="00CC7DE8">
            <w:pPr>
              <w:spacing w:after="0" w:line="240" w:lineRule="auto"/>
              <w:jc w:val="center"/>
              <w:rPr>
                <w:rFonts w:cstheme="minorHAnsi"/>
                <w:w w:val="99"/>
                <w:sz w:val="20"/>
                <w:szCs w:val="20"/>
              </w:rPr>
            </w:pPr>
            <w:r w:rsidRPr="00CC7DE8">
              <w:rPr>
                <w:rFonts w:cstheme="minorHAnsi"/>
                <w:w w:val="99"/>
                <w:sz w:val="20"/>
                <w:szCs w:val="20"/>
              </w:rPr>
              <w:t>178.871,48</w:t>
            </w:r>
          </w:p>
        </w:tc>
        <w:tc>
          <w:tcPr>
            <w:tcW w:w="2080" w:type="dxa"/>
            <w:shd w:val="clear" w:color="auto" w:fill="auto"/>
            <w:vAlign w:val="center"/>
          </w:tcPr>
          <w:p w:rsidR="00CC7DE8" w:rsidRPr="00CC7DE8" w:rsidRDefault="00CC7DE8" w:rsidP="00CC7DE8">
            <w:pPr>
              <w:spacing w:after="0" w:line="240" w:lineRule="auto"/>
              <w:jc w:val="center"/>
              <w:rPr>
                <w:rFonts w:cstheme="minorHAnsi"/>
                <w:w w:val="99"/>
                <w:sz w:val="20"/>
                <w:szCs w:val="20"/>
              </w:rPr>
            </w:pPr>
            <w:r w:rsidRPr="00CC7DE8">
              <w:rPr>
                <w:rFonts w:cstheme="minorHAnsi"/>
                <w:w w:val="99"/>
                <w:sz w:val="20"/>
                <w:szCs w:val="20"/>
              </w:rPr>
              <w:t>230.000,00</w:t>
            </w:r>
          </w:p>
        </w:tc>
        <w:tc>
          <w:tcPr>
            <w:tcW w:w="1600" w:type="dxa"/>
            <w:shd w:val="clear" w:color="auto" w:fill="auto"/>
            <w:vAlign w:val="center"/>
          </w:tcPr>
          <w:p w:rsidR="00CC7DE8" w:rsidRPr="00CC7DE8" w:rsidRDefault="00CC7DE8" w:rsidP="00CC7DE8">
            <w:pPr>
              <w:spacing w:after="0" w:line="240" w:lineRule="auto"/>
              <w:jc w:val="center"/>
              <w:rPr>
                <w:rFonts w:cstheme="minorHAnsi"/>
                <w:w w:val="98"/>
                <w:sz w:val="20"/>
                <w:szCs w:val="20"/>
              </w:rPr>
            </w:pPr>
            <w:r w:rsidRPr="00CC7DE8">
              <w:rPr>
                <w:rFonts w:cstheme="minorHAnsi"/>
                <w:w w:val="98"/>
                <w:sz w:val="20"/>
                <w:szCs w:val="20"/>
              </w:rPr>
              <w:t>6.018.340,95</w:t>
            </w:r>
          </w:p>
        </w:tc>
      </w:tr>
      <w:tr w:rsidR="00137A3F" w:rsidRPr="00CC7DE8" w:rsidTr="00130B51">
        <w:trPr>
          <w:trHeight w:val="318"/>
          <w:jc w:val="center"/>
        </w:trPr>
        <w:tc>
          <w:tcPr>
            <w:tcW w:w="3240" w:type="dxa"/>
            <w:gridSpan w:val="2"/>
            <w:shd w:val="clear" w:color="auto" w:fill="95B3D7" w:themeFill="accent1" w:themeFillTint="99"/>
            <w:vAlign w:val="center"/>
          </w:tcPr>
          <w:p w:rsidR="00137A3F" w:rsidRPr="00CC7DE8" w:rsidRDefault="00137A3F" w:rsidP="00CC7DE8">
            <w:pPr>
              <w:spacing w:after="0" w:line="240" w:lineRule="auto"/>
              <w:jc w:val="center"/>
              <w:rPr>
                <w:rFonts w:ascii="Bodoni MT" w:eastAsia="Times New Roman" w:hAnsi="Bodoni MT"/>
                <w:b/>
                <w:color w:val="FFFFFF" w:themeColor="background1"/>
                <w:sz w:val="20"/>
                <w:szCs w:val="20"/>
              </w:rPr>
            </w:pPr>
            <w:r w:rsidRPr="00CC7DE8">
              <w:rPr>
                <w:rFonts w:ascii="Bodoni MT" w:hAnsi="Bodoni MT"/>
                <w:b/>
                <w:color w:val="FFFFFF" w:themeColor="background1"/>
                <w:sz w:val="20"/>
                <w:szCs w:val="20"/>
              </w:rPr>
              <w:t>TOTALI</w:t>
            </w:r>
          </w:p>
        </w:tc>
        <w:tc>
          <w:tcPr>
            <w:tcW w:w="1740" w:type="dxa"/>
            <w:shd w:val="clear" w:color="auto" w:fill="auto"/>
            <w:vAlign w:val="center"/>
          </w:tcPr>
          <w:p w:rsidR="00137A3F" w:rsidRPr="00CC7DE8" w:rsidRDefault="00137A3F" w:rsidP="00CC7DE8">
            <w:pPr>
              <w:spacing w:after="0" w:line="240" w:lineRule="auto"/>
              <w:jc w:val="center"/>
              <w:rPr>
                <w:rFonts w:cstheme="minorHAnsi"/>
                <w:b/>
                <w:sz w:val="20"/>
                <w:szCs w:val="20"/>
              </w:rPr>
            </w:pPr>
            <w:r w:rsidRPr="00CC7DE8">
              <w:rPr>
                <w:rFonts w:cstheme="minorHAnsi"/>
                <w:b/>
                <w:sz w:val="20"/>
                <w:szCs w:val="20"/>
              </w:rPr>
              <w:t>51.175.000,01</w:t>
            </w:r>
          </w:p>
        </w:tc>
        <w:tc>
          <w:tcPr>
            <w:tcW w:w="1840" w:type="dxa"/>
            <w:shd w:val="clear" w:color="auto" w:fill="auto"/>
            <w:vAlign w:val="center"/>
          </w:tcPr>
          <w:p w:rsidR="00137A3F" w:rsidRPr="00CC7DE8" w:rsidRDefault="00137A3F" w:rsidP="00CC7DE8">
            <w:pPr>
              <w:spacing w:after="0" w:line="240" w:lineRule="auto"/>
              <w:jc w:val="center"/>
              <w:rPr>
                <w:rFonts w:cstheme="minorHAnsi"/>
                <w:b/>
                <w:w w:val="99"/>
                <w:sz w:val="20"/>
                <w:szCs w:val="20"/>
              </w:rPr>
            </w:pPr>
            <w:r w:rsidRPr="00CC7DE8">
              <w:rPr>
                <w:rFonts w:cstheme="minorHAnsi"/>
                <w:b/>
                <w:w w:val="99"/>
                <w:sz w:val="20"/>
                <w:szCs w:val="20"/>
              </w:rPr>
              <w:t>1.500.000,00</w:t>
            </w:r>
          </w:p>
        </w:tc>
        <w:tc>
          <w:tcPr>
            <w:tcW w:w="2080" w:type="dxa"/>
            <w:shd w:val="clear" w:color="auto" w:fill="auto"/>
            <w:vAlign w:val="center"/>
          </w:tcPr>
          <w:p w:rsidR="00137A3F" w:rsidRPr="00CC7DE8" w:rsidRDefault="00137A3F" w:rsidP="00CC7DE8">
            <w:pPr>
              <w:spacing w:after="0" w:line="240" w:lineRule="auto"/>
              <w:jc w:val="center"/>
              <w:rPr>
                <w:rFonts w:cstheme="minorHAnsi"/>
                <w:b/>
                <w:w w:val="99"/>
                <w:sz w:val="20"/>
                <w:szCs w:val="20"/>
              </w:rPr>
            </w:pPr>
            <w:r w:rsidRPr="00CC7DE8">
              <w:rPr>
                <w:rFonts w:cstheme="minorHAnsi"/>
                <w:b/>
                <w:w w:val="99"/>
                <w:sz w:val="20"/>
                <w:szCs w:val="20"/>
              </w:rPr>
              <w:t>2.330.000,00</w:t>
            </w:r>
          </w:p>
        </w:tc>
        <w:tc>
          <w:tcPr>
            <w:tcW w:w="1600" w:type="dxa"/>
            <w:shd w:val="clear" w:color="auto" w:fill="auto"/>
            <w:vAlign w:val="center"/>
          </w:tcPr>
          <w:p w:rsidR="00137A3F" w:rsidRPr="00CC7DE8" w:rsidRDefault="00137A3F" w:rsidP="00CC7DE8">
            <w:pPr>
              <w:spacing w:after="0" w:line="240" w:lineRule="auto"/>
              <w:jc w:val="center"/>
              <w:rPr>
                <w:rFonts w:cstheme="minorHAnsi"/>
                <w:b/>
                <w:sz w:val="20"/>
                <w:szCs w:val="20"/>
              </w:rPr>
            </w:pPr>
            <w:r w:rsidRPr="00CC7DE8">
              <w:rPr>
                <w:rFonts w:cstheme="minorHAnsi"/>
                <w:b/>
                <w:sz w:val="20"/>
                <w:szCs w:val="20"/>
              </w:rPr>
              <w:t>55.005.000,01</w:t>
            </w:r>
          </w:p>
        </w:tc>
      </w:tr>
      <w:tr w:rsidR="00937989" w:rsidRPr="00CC7DE8" w:rsidTr="00130B51">
        <w:trPr>
          <w:trHeight w:val="318"/>
          <w:jc w:val="center"/>
        </w:trPr>
        <w:tc>
          <w:tcPr>
            <w:tcW w:w="10500" w:type="dxa"/>
            <w:gridSpan w:val="6"/>
            <w:shd w:val="clear" w:color="auto" w:fill="FFFFFF" w:themeFill="background1"/>
            <w:vAlign w:val="center"/>
          </w:tcPr>
          <w:p w:rsidR="00937989" w:rsidRPr="008D7FAB" w:rsidRDefault="00937989" w:rsidP="00937989">
            <w:pPr>
              <w:spacing w:after="0" w:line="240" w:lineRule="auto"/>
              <w:jc w:val="both"/>
              <w:rPr>
                <w:rFonts w:ascii="Bodoni MT" w:eastAsia="Arial" w:hAnsi="Bodoni MT"/>
                <w:sz w:val="18"/>
                <w:szCs w:val="18"/>
              </w:rPr>
            </w:pPr>
            <w:r w:rsidRPr="008D7FAB">
              <w:rPr>
                <w:rFonts w:ascii="Bodoni MT" w:eastAsia="Arial" w:hAnsi="Bodoni MT"/>
                <w:b/>
                <w:sz w:val="18"/>
                <w:szCs w:val="18"/>
              </w:rPr>
              <w:t>L.R. n. 5/2016, art. 8, c. 1</w:t>
            </w:r>
            <w:r w:rsidRPr="008D7FAB">
              <w:rPr>
                <w:rFonts w:ascii="Bodoni MT" w:hAnsi="Bodoni MT"/>
                <w:b/>
                <w:sz w:val="18"/>
                <w:szCs w:val="18"/>
              </w:rPr>
              <w:t>.</w:t>
            </w:r>
            <w:r w:rsidRPr="008D7FAB">
              <w:rPr>
                <w:rFonts w:ascii="Bodoni MT" w:eastAsia="Arial" w:hAnsi="Bodoni MT"/>
                <w:b/>
                <w:sz w:val="18"/>
                <w:szCs w:val="18"/>
              </w:rPr>
              <w:t xml:space="preserve"> </w:t>
            </w:r>
            <w:r w:rsidRPr="008D7FAB">
              <w:rPr>
                <w:rFonts w:ascii="Bodoni MT" w:eastAsia="Arial" w:hAnsi="Bodoni MT"/>
                <w:sz w:val="18"/>
                <w:szCs w:val="18"/>
              </w:rPr>
              <w:t>Il fondo di cui all'articolo 10 della legge regionale n. 2 del 2007, e successive modifiche e integrazioni, è determinato</w:t>
            </w:r>
            <w:r w:rsidRPr="008D7FAB">
              <w:rPr>
                <w:rFonts w:ascii="Bodoni MT" w:eastAsia="Arial" w:hAnsi="Bodoni MT"/>
                <w:b/>
                <w:sz w:val="18"/>
                <w:szCs w:val="18"/>
              </w:rPr>
              <w:t xml:space="preserve"> </w:t>
            </w:r>
            <w:r w:rsidRPr="008D7FAB">
              <w:rPr>
                <w:rFonts w:ascii="Bodoni MT" w:eastAsia="Arial" w:hAnsi="Bodoni MT"/>
                <w:sz w:val="18"/>
                <w:szCs w:val="18"/>
              </w:rPr>
              <w:t>per l'anno 2016 in euro 551.471.000 di cui: euro 484.705.120 a favore dei comuni; euro 65.665.880 a favore degli enti individuati dall'articolo 16 della legge regionale 4 febbraio 2016, n. 2 (Riordino del sistema delle autonomie locali della Sardegna); euro 500.000 a favore dell'Amministrazione provinciale di Nuoro per il funzionamento del museo MAN ed euro 600.000 per gli studi di compatibilità idraulica, geologica e geotecnica di cui alla legge regionale 15 dicembre 2014, n. 33 (Norma di semplificazione amministrativa in materia di difesa del suolo)</w:t>
            </w:r>
            <w:r w:rsidR="00A06261">
              <w:rPr>
                <w:rFonts w:ascii="Bodoni MT" w:eastAsia="Arial" w:hAnsi="Bodoni MT"/>
                <w:sz w:val="18"/>
                <w:szCs w:val="18"/>
              </w:rPr>
              <w:t>.</w:t>
            </w:r>
          </w:p>
          <w:p w:rsidR="00937989" w:rsidRPr="008D7FAB" w:rsidRDefault="00937989" w:rsidP="00937989">
            <w:pPr>
              <w:spacing w:after="0" w:line="240" w:lineRule="auto"/>
              <w:jc w:val="both"/>
              <w:rPr>
                <w:rFonts w:ascii="Bodoni MT" w:eastAsia="Arial" w:hAnsi="Bodoni MT"/>
                <w:sz w:val="18"/>
                <w:szCs w:val="18"/>
              </w:rPr>
            </w:pPr>
            <w:r w:rsidRPr="008D7FAB">
              <w:rPr>
                <w:rFonts w:ascii="Bodoni MT" w:eastAsia="Arial" w:hAnsi="Bodoni MT"/>
                <w:b/>
                <w:sz w:val="18"/>
                <w:szCs w:val="18"/>
              </w:rPr>
              <w:t>L.R. n. 5/2016, art. 8, c. 2</w:t>
            </w:r>
            <w:r w:rsidRPr="008D7FAB">
              <w:rPr>
                <w:rFonts w:ascii="Bodoni MT" w:eastAsia="Arial" w:hAnsi="Bodoni MT"/>
                <w:sz w:val="18"/>
                <w:szCs w:val="18"/>
              </w:rPr>
              <w:t>. A favore delle province è autorizzato, nell'anno 2016, l'ulteriore contributo di euro 1.500.000 destinato alla copertura</w:t>
            </w:r>
            <w:r w:rsidRPr="008D7FAB">
              <w:rPr>
                <w:rFonts w:ascii="Bodoni MT" w:eastAsia="Arial" w:hAnsi="Bodoni MT"/>
                <w:b/>
                <w:sz w:val="18"/>
                <w:szCs w:val="18"/>
              </w:rPr>
              <w:t xml:space="preserve"> </w:t>
            </w:r>
            <w:r w:rsidRPr="008D7FAB">
              <w:rPr>
                <w:rFonts w:ascii="Bodoni MT" w:eastAsia="Arial" w:hAnsi="Bodoni MT"/>
                <w:sz w:val="18"/>
                <w:szCs w:val="18"/>
              </w:rPr>
              <w:t>degli oneri dei servizi svolti dalle società in house e dalle partecipate delle province. La Giunta regionale, su proposta dell'Assessore regionale competente per materia, stabilisce i relativi criteri e le modalità di riparto</w:t>
            </w:r>
            <w:r w:rsidR="00A06261">
              <w:rPr>
                <w:rFonts w:ascii="Bodoni MT" w:eastAsia="Arial" w:hAnsi="Bodoni MT"/>
                <w:sz w:val="18"/>
                <w:szCs w:val="18"/>
              </w:rPr>
              <w:t>.</w:t>
            </w:r>
          </w:p>
          <w:p w:rsidR="00937989" w:rsidRPr="008D7FAB" w:rsidRDefault="00937989" w:rsidP="00937989">
            <w:pPr>
              <w:spacing w:after="0" w:line="240" w:lineRule="auto"/>
              <w:jc w:val="both"/>
              <w:rPr>
                <w:rFonts w:ascii="Bodoni MT" w:eastAsia="Arial" w:hAnsi="Bodoni MT"/>
                <w:sz w:val="18"/>
                <w:szCs w:val="18"/>
              </w:rPr>
            </w:pPr>
            <w:r w:rsidRPr="008D7FAB">
              <w:rPr>
                <w:rFonts w:ascii="Bodoni MT" w:eastAsia="Arial" w:hAnsi="Bodoni MT"/>
                <w:b/>
                <w:sz w:val="18"/>
                <w:szCs w:val="18"/>
              </w:rPr>
              <w:t xml:space="preserve">L.R. n. 32/2016, art. 1, c. 21. </w:t>
            </w:r>
            <w:r w:rsidRPr="008D7FAB">
              <w:rPr>
                <w:rFonts w:ascii="Bodoni MT" w:eastAsia="Arial" w:hAnsi="Bodoni MT"/>
                <w:sz w:val="18"/>
                <w:szCs w:val="18"/>
              </w:rPr>
              <w:t>Al fine di garantire gli equilibri di bilancio e per assicurare l'esercizio delle funzioni fondamentali, è autorizzata, per</w:t>
            </w:r>
            <w:r w:rsidRPr="008D7FAB">
              <w:rPr>
                <w:rFonts w:ascii="Bodoni MT" w:eastAsia="Arial" w:hAnsi="Bodoni MT"/>
                <w:b/>
                <w:sz w:val="18"/>
                <w:szCs w:val="18"/>
              </w:rPr>
              <w:t xml:space="preserve"> </w:t>
            </w:r>
            <w:r w:rsidRPr="008D7FAB">
              <w:rPr>
                <w:rFonts w:ascii="Bodoni MT" w:eastAsia="Arial" w:hAnsi="Bodoni MT"/>
                <w:sz w:val="18"/>
                <w:szCs w:val="18"/>
              </w:rPr>
              <w:t>l'anno 2016:</w:t>
            </w:r>
          </w:p>
          <w:p w:rsidR="00937989" w:rsidRPr="008D7FAB" w:rsidRDefault="00937989" w:rsidP="00937989">
            <w:pPr>
              <w:spacing w:after="0" w:line="240" w:lineRule="auto"/>
              <w:jc w:val="both"/>
              <w:rPr>
                <w:rFonts w:ascii="Bodoni MT" w:eastAsia="Arial" w:hAnsi="Bodoni MT"/>
                <w:sz w:val="18"/>
                <w:szCs w:val="18"/>
              </w:rPr>
            </w:pPr>
            <w:r w:rsidRPr="008D7FAB">
              <w:rPr>
                <w:rFonts w:ascii="Bodoni MT" w:eastAsia="Arial" w:hAnsi="Bodoni MT"/>
                <w:sz w:val="18"/>
                <w:szCs w:val="18"/>
              </w:rPr>
              <w:t>a) la spesa di euro 2.100.000 a favore della Provincia di Nuoro (missione 18 - programma 01 - capitolo SC01.1059), di cui euro 168.000 per il funzionamento del Consorzio per la pubblica lettura "Sebastiano Satta" di Nuoro;</w:t>
            </w:r>
          </w:p>
          <w:p w:rsidR="00937989" w:rsidRPr="001E794C" w:rsidRDefault="00937989" w:rsidP="00937989">
            <w:pPr>
              <w:spacing w:after="0" w:line="240" w:lineRule="auto"/>
              <w:rPr>
                <w:rFonts w:ascii="Bodoni MT" w:hAnsi="Bodoni MT" w:cstheme="minorHAnsi"/>
                <w:b/>
                <w:sz w:val="20"/>
                <w:szCs w:val="20"/>
              </w:rPr>
            </w:pPr>
            <w:r w:rsidRPr="001E794C">
              <w:rPr>
                <w:rFonts w:ascii="Bodoni MT" w:eastAsia="Arial" w:hAnsi="Bodoni MT"/>
                <w:sz w:val="18"/>
                <w:szCs w:val="18"/>
              </w:rPr>
              <w:t>b) la spesa di euro 230.000 a favore della Provincia di Oristano (missione 18 - programma 01 - titolo 1 - capitolo SC01.1059).</w:t>
            </w:r>
          </w:p>
        </w:tc>
      </w:tr>
    </w:tbl>
    <w:p w:rsidR="00CC7DE8" w:rsidRDefault="00CC7DE8" w:rsidP="00137A3F">
      <w:pPr>
        <w:pStyle w:val="CdcTesto"/>
        <w:spacing w:after="0" w:line="240" w:lineRule="auto"/>
        <w:jc w:val="left"/>
        <w:rPr>
          <w:rFonts w:eastAsia="Arial"/>
          <w:sz w:val="18"/>
          <w:szCs w:val="18"/>
        </w:rPr>
      </w:pPr>
    </w:p>
    <w:p w:rsidR="001E794C" w:rsidRDefault="001E794C" w:rsidP="00137A3F">
      <w:pPr>
        <w:pStyle w:val="Didascalia"/>
        <w:keepNext/>
      </w:pPr>
      <w:r>
        <w:br w:type="page"/>
      </w:r>
    </w:p>
    <w:p w:rsidR="00137A3F" w:rsidRDefault="004A7E6A" w:rsidP="004A7E6A">
      <w:pPr>
        <w:pStyle w:val="Didascalia"/>
      </w:pPr>
      <w:bookmarkStart w:id="290" w:name="_Toc507422533"/>
      <w:r>
        <w:lastRenderedPageBreak/>
        <w:t xml:space="preserve">Tabella </w:t>
      </w:r>
      <w:r w:rsidR="00B90472">
        <w:fldChar w:fldCharType="begin"/>
      </w:r>
      <w:r w:rsidR="00B90472">
        <w:instrText xml:space="preserve"> SEQ Tabella \* ARABIC </w:instrText>
      </w:r>
      <w:r w:rsidR="00B90472">
        <w:fldChar w:fldCharType="separate"/>
      </w:r>
      <w:r w:rsidR="008616B3">
        <w:rPr>
          <w:noProof/>
        </w:rPr>
        <w:t>65</w:t>
      </w:r>
      <w:r w:rsidR="00B90472">
        <w:rPr>
          <w:noProof/>
        </w:rPr>
        <w:fldChar w:fldCharType="end"/>
      </w:r>
      <w:r w:rsidR="001E794C">
        <w:t xml:space="preserve"> </w:t>
      </w:r>
      <w:r>
        <w:t>-</w:t>
      </w:r>
      <w:r w:rsidR="001E794C">
        <w:t xml:space="preserve"> Totale trasferimenti Enti di Area Vasta anno 2017</w:t>
      </w:r>
      <w:bookmarkEnd w:id="2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37"/>
        <w:gridCol w:w="1812"/>
        <w:gridCol w:w="1677"/>
        <w:gridCol w:w="1812"/>
        <w:gridCol w:w="1910"/>
      </w:tblGrid>
      <w:tr w:rsidR="00937989" w:rsidRPr="00937989" w:rsidTr="00130B51">
        <w:trPr>
          <w:trHeight w:val="269"/>
          <w:jc w:val="center"/>
        </w:trPr>
        <w:tc>
          <w:tcPr>
            <w:tcW w:w="1263" w:type="pct"/>
            <w:shd w:val="clear" w:color="auto" w:fill="0F243E" w:themeFill="text2" w:themeFillShade="80"/>
            <w:vAlign w:val="center"/>
          </w:tcPr>
          <w:p w:rsidR="00937989" w:rsidRPr="00937989" w:rsidRDefault="00937989" w:rsidP="00937989">
            <w:pPr>
              <w:spacing w:after="0" w:line="240" w:lineRule="auto"/>
              <w:jc w:val="center"/>
              <w:rPr>
                <w:rFonts w:ascii="Bodoni MT" w:eastAsia="Calibri" w:hAnsi="Bodoni MT" w:cs="Arial"/>
                <w:b/>
                <w:sz w:val="20"/>
                <w:szCs w:val="20"/>
                <w:lang w:eastAsia="it-IT"/>
              </w:rPr>
            </w:pPr>
            <w:r w:rsidRPr="00937989">
              <w:rPr>
                <w:rFonts w:ascii="Bodoni MT" w:eastAsia="Calibri" w:hAnsi="Bodoni MT" w:cs="Arial"/>
                <w:b/>
                <w:sz w:val="20"/>
                <w:szCs w:val="20"/>
                <w:lang w:eastAsia="it-IT"/>
              </w:rPr>
              <w:t>Città Metropolitana/Provincia</w:t>
            </w:r>
          </w:p>
        </w:tc>
        <w:tc>
          <w:tcPr>
            <w:tcW w:w="939" w:type="pct"/>
            <w:shd w:val="clear" w:color="auto" w:fill="0F243E" w:themeFill="text2" w:themeFillShade="80"/>
            <w:vAlign w:val="center"/>
          </w:tcPr>
          <w:p w:rsidR="00937989" w:rsidRPr="00937989" w:rsidRDefault="00937989" w:rsidP="00937989">
            <w:pPr>
              <w:spacing w:after="0" w:line="240" w:lineRule="auto"/>
              <w:jc w:val="center"/>
              <w:rPr>
                <w:rFonts w:ascii="Bodoni MT" w:eastAsia="Calibri" w:hAnsi="Bodoni MT" w:cs="Arial"/>
                <w:b/>
                <w:w w:val="99"/>
                <w:sz w:val="20"/>
                <w:szCs w:val="20"/>
                <w:lang w:eastAsia="it-IT"/>
              </w:rPr>
            </w:pPr>
            <w:r w:rsidRPr="00937989">
              <w:rPr>
                <w:rFonts w:ascii="Bodoni MT" w:eastAsia="Calibri" w:hAnsi="Bodoni MT" w:cs="Arial"/>
                <w:b/>
                <w:w w:val="99"/>
                <w:sz w:val="20"/>
                <w:szCs w:val="20"/>
                <w:lang w:eastAsia="it-IT"/>
              </w:rPr>
              <w:t>Fondo unico 2017 L.R. n. 5/2017, art. 2, c. 6</w:t>
            </w:r>
          </w:p>
        </w:tc>
        <w:tc>
          <w:tcPr>
            <w:tcW w:w="869" w:type="pct"/>
            <w:shd w:val="clear" w:color="auto" w:fill="0F243E" w:themeFill="text2" w:themeFillShade="80"/>
            <w:vAlign w:val="center"/>
          </w:tcPr>
          <w:p w:rsidR="00937989" w:rsidRDefault="00937989" w:rsidP="00937989">
            <w:pPr>
              <w:spacing w:after="0" w:line="240" w:lineRule="auto"/>
              <w:jc w:val="center"/>
              <w:rPr>
                <w:rFonts w:ascii="Bodoni MT" w:eastAsia="Calibri" w:hAnsi="Bodoni MT" w:cs="Arial"/>
                <w:b/>
                <w:sz w:val="20"/>
                <w:szCs w:val="20"/>
                <w:lang w:val="en-US" w:eastAsia="it-IT"/>
              </w:rPr>
            </w:pPr>
            <w:r w:rsidRPr="00937989">
              <w:rPr>
                <w:rFonts w:ascii="Bodoni MT" w:eastAsia="Calibri" w:hAnsi="Bodoni MT" w:cs="Arial"/>
                <w:b/>
                <w:sz w:val="20"/>
                <w:szCs w:val="20"/>
                <w:lang w:val="en-US" w:eastAsia="it-IT"/>
              </w:rPr>
              <w:t xml:space="preserve">L.R. n. 32/2016, </w:t>
            </w:r>
          </w:p>
          <w:p w:rsidR="00937989" w:rsidRDefault="00937989" w:rsidP="00937989">
            <w:pPr>
              <w:spacing w:after="0" w:line="240" w:lineRule="auto"/>
              <w:jc w:val="center"/>
              <w:rPr>
                <w:rFonts w:ascii="Bodoni MT" w:eastAsia="Calibri" w:hAnsi="Bodoni MT" w:cs="Arial"/>
                <w:b/>
                <w:sz w:val="20"/>
                <w:szCs w:val="20"/>
                <w:lang w:val="en-US" w:eastAsia="it-IT"/>
              </w:rPr>
            </w:pPr>
            <w:r w:rsidRPr="00937989">
              <w:rPr>
                <w:rFonts w:ascii="Bodoni MT" w:eastAsia="Calibri" w:hAnsi="Bodoni MT" w:cs="Arial"/>
                <w:b/>
                <w:sz w:val="20"/>
                <w:szCs w:val="20"/>
                <w:lang w:val="en-US" w:eastAsia="it-IT"/>
              </w:rPr>
              <w:t xml:space="preserve">art. 1, c. 3 e L.R. n. 5/2017, art. </w:t>
            </w:r>
            <w:r>
              <w:rPr>
                <w:rFonts w:ascii="Bodoni MT" w:eastAsia="Calibri" w:hAnsi="Bodoni MT" w:cs="Arial"/>
                <w:b/>
                <w:sz w:val="20"/>
                <w:szCs w:val="20"/>
                <w:lang w:val="en-US" w:eastAsia="it-IT"/>
              </w:rPr>
              <w:t xml:space="preserve">2. </w:t>
            </w:r>
          </w:p>
          <w:p w:rsidR="00937989" w:rsidRPr="00937989" w:rsidRDefault="00937989" w:rsidP="00937989">
            <w:pPr>
              <w:spacing w:after="0" w:line="240" w:lineRule="auto"/>
              <w:jc w:val="center"/>
              <w:rPr>
                <w:rFonts w:ascii="Bodoni MT" w:eastAsia="Calibri" w:hAnsi="Bodoni MT" w:cs="Arial"/>
                <w:b/>
                <w:sz w:val="20"/>
                <w:szCs w:val="20"/>
                <w:lang w:val="en-US" w:eastAsia="it-IT"/>
              </w:rPr>
            </w:pPr>
            <w:r>
              <w:rPr>
                <w:rFonts w:ascii="Bodoni MT" w:eastAsia="Calibri" w:hAnsi="Bodoni MT" w:cs="Arial"/>
                <w:b/>
                <w:sz w:val="20"/>
                <w:szCs w:val="20"/>
                <w:lang w:val="en-US" w:eastAsia="it-IT"/>
              </w:rPr>
              <w:t>Cc. 6 e 7</w:t>
            </w:r>
          </w:p>
        </w:tc>
        <w:tc>
          <w:tcPr>
            <w:tcW w:w="939" w:type="pct"/>
            <w:shd w:val="clear" w:color="auto" w:fill="0F243E" w:themeFill="text2" w:themeFillShade="80"/>
            <w:vAlign w:val="center"/>
          </w:tcPr>
          <w:p w:rsidR="00937989" w:rsidRPr="00937989" w:rsidRDefault="00937989" w:rsidP="00937989">
            <w:pPr>
              <w:spacing w:after="0" w:line="240" w:lineRule="auto"/>
              <w:jc w:val="center"/>
              <w:rPr>
                <w:rFonts w:ascii="Bodoni MT" w:eastAsia="Calibri" w:hAnsi="Bodoni MT" w:cs="Arial"/>
                <w:b/>
                <w:w w:val="99"/>
                <w:sz w:val="20"/>
                <w:szCs w:val="20"/>
                <w:lang w:eastAsia="it-IT"/>
              </w:rPr>
            </w:pPr>
            <w:r w:rsidRPr="00937989">
              <w:rPr>
                <w:rFonts w:ascii="Bodoni MT" w:eastAsia="Calibri" w:hAnsi="Bodoni MT" w:cs="Arial"/>
                <w:b/>
                <w:w w:val="99"/>
                <w:sz w:val="20"/>
                <w:szCs w:val="20"/>
                <w:lang w:eastAsia="it-IT"/>
              </w:rPr>
              <w:t xml:space="preserve">L.R. 3 agosto 2017 n. </w:t>
            </w:r>
            <w:r>
              <w:rPr>
                <w:rFonts w:ascii="Bodoni MT" w:eastAsia="Calibri" w:hAnsi="Bodoni MT" w:cs="Arial"/>
                <w:b/>
                <w:w w:val="99"/>
                <w:sz w:val="20"/>
                <w:szCs w:val="20"/>
                <w:lang w:eastAsia="it-IT"/>
              </w:rPr>
              <w:t>18, art. 1, c. 14 – Salvaguardia equilibri di bilancio</w:t>
            </w:r>
          </w:p>
        </w:tc>
        <w:tc>
          <w:tcPr>
            <w:tcW w:w="990" w:type="pct"/>
            <w:shd w:val="clear" w:color="auto" w:fill="0F243E" w:themeFill="text2" w:themeFillShade="80"/>
            <w:vAlign w:val="center"/>
          </w:tcPr>
          <w:p w:rsidR="00937989" w:rsidRPr="00937989" w:rsidRDefault="00937989" w:rsidP="00937989">
            <w:pPr>
              <w:spacing w:after="0" w:line="240" w:lineRule="auto"/>
              <w:jc w:val="center"/>
              <w:rPr>
                <w:rFonts w:ascii="Bodoni MT" w:eastAsia="Calibri" w:hAnsi="Bodoni MT" w:cs="Arial"/>
                <w:b/>
                <w:sz w:val="20"/>
                <w:szCs w:val="20"/>
                <w:lang w:eastAsia="it-IT"/>
              </w:rPr>
            </w:pPr>
            <w:r>
              <w:rPr>
                <w:rFonts w:ascii="Bodoni MT" w:eastAsia="Calibri" w:hAnsi="Bodoni MT" w:cs="Arial"/>
                <w:b/>
                <w:sz w:val="20"/>
                <w:szCs w:val="20"/>
                <w:lang w:eastAsia="it-IT"/>
              </w:rPr>
              <w:t>Totale</w:t>
            </w:r>
          </w:p>
        </w:tc>
      </w:tr>
      <w:tr w:rsidR="00137A3F" w:rsidRPr="00137A3F" w:rsidTr="00130B51">
        <w:trPr>
          <w:trHeight w:val="269"/>
          <w:jc w:val="center"/>
        </w:trPr>
        <w:tc>
          <w:tcPr>
            <w:tcW w:w="1263" w:type="pct"/>
            <w:shd w:val="clear" w:color="auto" w:fill="95B3D7" w:themeFill="accent1" w:themeFillTint="99"/>
            <w:vAlign w:val="bottom"/>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CITTA' METROPOLITANA</w:t>
            </w:r>
          </w:p>
        </w:tc>
        <w:tc>
          <w:tcPr>
            <w:tcW w:w="939" w:type="pct"/>
            <w:shd w:val="clear" w:color="auto" w:fill="auto"/>
            <w:vAlign w:val="bottom"/>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12.742.538,75</w:t>
            </w:r>
          </w:p>
        </w:tc>
        <w:tc>
          <w:tcPr>
            <w:tcW w:w="869" w:type="pct"/>
            <w:shd w:val="clear" w:color="auto" w:fill="auto"/>
            <w:vAlign w:val="center"/>
          </w:tcPr>
          <w:p w:rsidR="00137A3F" w:rsidRPr="00137A3F" w:rsidRDefault="00137A3F" w:rsidP="00137A3F">
            <w:pPr>
              <w:spacing w:after="0" w:line="240" w:lineRule="auto"/>
              <w:jc w:val="center"/>
              <w:rPr>
                <w:rFonts w:ascii="Calibri" w:eastAsia="Calibri" w:hAnsi="Calibri" w:cs="Arial"/>
                <w:sz w:val="20"/>
                <w:szCs w:val="20"/>
                <w:lang w:eastAsia="it-IT"/>
              </w:rPr>
            </w:pPr>
            <w:r w:rsidRPr="00137A3F">
              <w:rPr>
                <w:rFonts w:ascii="Calibri" w:eastAsia="Calibri" w:hAnsi="Calibri" w:cs="Arial"/>
                <w:sz w:val="20"/>
                <w:szCs w:val="20"/>
                <w:lang w:eastAsia="it-IT"/>
              </w:rPr>
              <w:t>1.500.000,00</w:t>
            </w:r>
          </w:p>
        </w:tc>
        <w:tc>
          <w:tcPr>
            <w:tcW w:w="939" w:type="pct"/>
            <w:shd w:val="clear" w:color="auto" w:fill="auto"/>
            <w:vAlign w:val="bottom"/>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944.783,22</w:t>
            </w:r>
          </w:p>
        </w:tc>
        <w:tc>
          <w:tcPr>
            <w:tcW w:w="990" w:type="pct"/>
            <w:shd w:val="clear" w:color="auto" w:fill="auto"/>
            <w:vAlign w:val="bottom"/>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15.187.321,97</w:t>
            </w:r>
          </w:p>
        </w:tc>
      </w:tr>
      <w:tr w:rsidR="00137A3F" w:rsidRPr="00137A3F" w:rsidTr="00130B51">
        <w:trPr>
          <w:trHeight w:val="339"/>
          <w:jc w:val="center"/>
        </w:trPr>
        <w:tc>
          <w:tcPr>
            <w:tcW w:w="1263" w:type="pct"/>
            <w:shd w:val="clear" w:color="auto" w:fill="95B3D7" w:themeFill="accent1" w:themeFillTint="99"/>
            <w:vAlign w:val="center"/>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SUD SARDEGNA</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11.262.041,87</w:t>
            </w:r>
          </w:p>
        </w:tc>
        <w:tc>
          <w:tcPr>
            <w:tcW w:w="869" w:type="pct"/>
            <w:shd w:val="clear" w:color="auto" w:fill="auto"/>
            <w:vAlign w:val="center"/>
          </w:tcPr>
          <w:p w:rsidR="00137A3F" w:rsidRPr="00137A3F" w:rsidRDefault="00137A3F" w:rsidP="00137A3F">
            <w:pPr>
              <w:spacing w:after="0" w:line="240" w:lineRule="auto"/>
              <w:jc w:val="center"/>
              <w:rPr>
                <w:rFonts w:ascii="Times New Roman" w:eastAsia="Times New Roman" w:hAnsi="Times New Roman" w:cs="Arial"/>
                <w:sz w:val="20"/>
                <w:szCs w:val="20"/>
                <w:lang w:eastAsia="it-IT"/>
              </w:rPr>
            </w:pP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838.400,28</w:t>
            </w:r>
          </w:p>
        </w:tc>
        <w:tc>
          <w:tcPr>
            <w:tcW w:w="990"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12.100.442,15</w:t>
            </w:r>
          </w:p>
        </w:tc>
      </w:tr>
      <w:tr w:rsidR="00137A3F" w:rsidRPr="00137A3F" w:rsidTr="00130B51">
        <w:trPr>
          <w:trHeight w:val="287"/>
          <w:jc w:val="center"/>
        </w:trPr>
        <w:tc>
          <w:tcPr>
            <w:tcW w:w="1263" w:type="pct"/>
            <w:shd w:val="clear" w:color="auto" w:fill="95B3D7" w:themeFill="accent1" w:themeFillTint="99"/>
            <w:vAlign w:val="center"/>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ORISTANO</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7.502.457,56</w:t>
            </w:r>
          </w:p>
        </w:tc>
        <w:tc>
          <w:tcPr>
            <w:tcW w:w="869" w:type="pct"/>
            <w:shd w:val="clear" w:color="auto" w:fill="auto"/>
            <w:vAlign w:val="center"/>
          </w:tcPr>
          <w:p w:rsidR="00137A3F" w:rsidRPr="00137A3F" w:rsidRDefault="00137A3F" w:rsidP="00137A3F">
            <w:pPr>
              <w:spacing w:after="0" w:line="240" w:lineRule="auto"/>
              <w:jc w:val="center"/>
              <w:rPr>
                <w:rFonts w:ascii="Times New Roman" w:eastAsia="Times New Roman" w:hAnsi="Times New Roman" w:cs="Arial"/>
                <w:sz w:val="20"/>
                <w:szCs w:val="20"/>
                <w:lang w:eastAsia="it-IT"/>
              </w:rPr>
            </w:pP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552.693,78</w:t>
            </w:r>
          </w:p>
        </w:tc>
        <w:tc>
          <w:tcPr>
            <w:tcW w:w="990"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8.055.151,34</w:t>
            </w:r>
          </w:p>
        </w:tc>
      </w:tr>
      <w:tr w:rsidR="00137A3F" w:rsidRPr="00137A3F" w:rsidTr="00130B51">
        <w:trPr>
          <w:trHeight w:val="277"/>
          <w:jc w:val="center"/>
        </w:trPr>
        <w:tc>
          <w:tcPr>
            <w:tcW w:w="1263" w:type="pct"/>
            <w:shd w:val="clear" w:color="auto" w:fill="95B3D7" w:themeFill="accent1" w:themeFillTint="99"/>
            <w:vAlign w:val="center"/>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NUORO</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8.936.722,59</w:t>
            </w:r>
          </w:p>
        </w:tc>
        <w:tc>
          <w:tcPr>
            <w:tcW w:w="869" w:type="pct"/>
            <w:shd w:val="clear" w:color="auto" w:fill="auto"/>
            <w:vAlign w:val="center"/>
          </w:tcPr>
          <w:p w:rsidR="00137A3F" w:rsidRPr="00137A3F" w:rsidRDefault="00137A3F" w:rsidP="00137A3F">
            <w:pPr>
              <w:spacing w:after="0" w:line="240" w:lineRule="auto"/>
              <w:jc w:val="center"/>
              <w:rPr>
                <w:rFonts w:ascii="Calibri" w:eastAsia="Calibri" w:hAnsi="Calibri" w:cs="Arial"/>
                <w:sz w:val="20"/>
                <w:szCs w:val="20"/>
                <w:lang w:eastAsia="it-IT"/>
              </w:rPr>
            </w:pPr>
            <w:r w:rsidRPr="00137A3F">
              <w:rPr>
                <w:rFonts w:ascii="Calibri" w:eastAsia="Calibri" w:hAnsi="Calibri" w:cs="Arial"/>
                <w:sz w:val="20"/>
                <w:szCs w:val="20"/>
                <w:lang w:eastAsia="it-IT"/>
              </w:rPr>
              <w:t>1.000.000,00</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628.422,10</w:t>
            </w:r>
          </w:p>
        </w:tc>
        <w:tc>
          <w:tcPr>
            <w:tcW w:w="990"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10.565.144,69</w:t>
            </w:r>
          </w:p>
        </w:tc>
      </w:tr>
      <w:tr w:rsidR="00137A3F" w:rsidRPr="00137A3F" w:rsidTr="00130B51">
        <w:trPr>
          <w:trHeight w:val="267"/>
          <w:jc w:val="center"/>
        </w:trPr>
        <w:tc>
          <w:tcPr>
            <w:tcW w:w="1263" w:type="pct"/>
            <w:shd w:val="clear" w:color="auto" w:fill="95B3D7" w:themeFill="accent1" w:themeFillTint="99"/>
            <w:vAlign w:val="center"/>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SASSARI</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13.731.239,23</w:t>
            </w:r>
          </w:p>
        </w:tc>
        <w:tc>
          <w:tcPr>
            <w:tcW w:w="869" w:type="pct"/>
            <w:shd w:val="clear" w:color="auto" w:fill="auto"/>
            <w:vAlign w:val="center"/>
          </w:tcPr>
          <w:p w:rsidR="00137A3F" w:rsidRPr="00137A3F" w:rsidRDefault="00137A3F" w:rsidP="00137A3F">
            <w:pPr>
              <w:spacing w:after="0" w:line="240" w:lineRule="auto"/>
              <w:jc w:val="center"/>
              <w:rPr>
                <w:rFonts w:ascii="Calibri" w:eastAsia="Calibri" w:hAnsi="Calibri" w:cs="Arial"/>
                <w:sz w:val="20"/>
                <w:szCs w:val="20"/>
                <w:lang w:eastAsia="it-IT"/>
              </w:rPr>
            </w:pP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w w:val="99"/>
                <w:sz w:val="20"/>
                <w:szCs w:val="20"/>
                <w:lang w:eastAsia="it-IT"/>
              </w:rPr>
            </w:pPr>
            <w:r w:rsidRPr="00137A3F">
              <w:rPr>
                <w:rFonts w:ascii="Calibri" w:eastAsia="Calibri" w:hAnsi="Calibri" w:cs="Arial"/>
                <w:w w:val="99"/>
                <w:sz w:val="20"/>
                <w:szCs w:val="20"/>
                <w:lang w:eastAsia="it-IT"/>
              </w:rPr>
              <w:t>1.035.700,62</w:t>
            </w:r>
          </w:p>
        </w:tc>
        <w:tc>
          <w:tcPr>
            <w:tcW w:w="990"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14.766.939,85</w:t>
            </w:r>
          </w:p>
        </w:tc>
      </w:tr>
      <w:tr w:rsidR="00137A3F" w:rsidRPr="00137A3F" w:rsidTr="00130B51">
        <w:trPr>
          <w:trHeight w:val="413"/>
          <w:jc w:val="center"/>
        </w:trPr>
        <w:tc>
          <w:tcPr>
            <w:tcW w:w="1263" w:type="pct"/>
            <w:shd w:val="clear" w:color="auto" w:fill="95B3D7" w:themeFill="accent1" w:themeFillTint="99"/>
            <w:vAlign w:val="center"/>
          </w:tcPr>
          <w:p w:rsidR="00137A3F" w:rsidRPr="00937989" w:rsidRDefault="00137A3F" w:rsidP="00137A3F">
            <w:pPr>
              <w:spacing w:after="0" w:line="240" w:lineRule="auto"/>
              <w:rPr>
                <w:rFonts w:ascii="Bodoni MT" w:eastAsia="Calibri" w:hAnsi="Bodoni MT" w:cs="Arial"/>
                <w:b/>
                <w:color w:val="FFFFFF" w:themeColor="background1"/>
                <w:sz w:val="20"/>
                <w:szCs w:val="20"/>
                <w:lang w:eastAsia="it-IT"/>
              </w:rPr>
            </w:pPr>
            <w:r w:rsidRPr="00937989">
              <w:rPr>
                <w:rFonts w:ascii="Bodoni MT" w:eastAsia="Calibri" w:hAnsi="Bodoni MT" w:cs="Arial"/>
                <w:b/>
                <w:color w:val="FFFFFF" w:themeColor="background1"/>
                <w:sz w:val="20"/>
                <w:szCs w:val="20"/>
                <w:lang w:eastAsia="it-IT"/>
              </w:rPr>
              <w:t>TOTALI</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b/>
                <w:w w:val="99"/>
                <w:sz w:val="20"/>
                <w:szCs w:val="20"/>
                <w:lang w:eastAsia="it-IT"/>
              </w:rPr>
            </w:pPr>
            <w:r w:rsidRPr="00137A3F">
              <w:rPr>
                <w:rFonts w:ascii="Calibri" w:eastAsia="Calibri" w:hAnsi="Calibri" w:cs="Arial"/>
                <w:b/>
                <w:w w:val="99"/>
                <w:sz w:val="20"/>
                <w:szCs w:val="20"/>
                <w:lang w:eastAsia="it-IT"/>
              </w:rPr>
              <w:t>54.175.000,00</w:t>
            </w:r>
          </w:p>
        </w:tc>
        <w:tc>
          <w:tcPr>
            <w:tcW w:w="869"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2.500.000,00</w:t>
            </w:r>
          </w:p>
        </w:tc>
        <w:tc>
          <w:tcPr>
            <w:tcW w:w="939"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4.000.000,00</w:t>
            </w:r>
          </w:p>
        </w:tc>
        <w:tc>
          <w:tcPr>
            <w:tcW w:w="990" w:type="pct"/>
            <w:shd w:val="clear" w:color="auto" w:fill="auto"/>
            <w:vAlign w:val="center"/>
          </w:tcPr>
          <w:p w:rsidR="00137A3F" w:rsidRPr="00137A3F" w:rsidRDefault="00137A3F" w:rsidP="00137A3F">
            <w:pPr>
              <w:spacing w:after="0" w:line="240" w:lineRule="auto"/>
              <w:jc w:val="center"/>
              <w:rPr>
                <w:rFonts w:ascii="Calibri" w:eastAsia="Calibri" w:hAnsi="Calibri" w:cs="Arial"/>
                <w:b/>
                <w:sz w:val="20"/>
                <w:szCs w:val="20"/>
                <w:lang w:eastAsia="it-IT"/>
              </w:rPr>
            </w:pPr>
            <w:r w:rsidRPr="00137A3F">
              <w:rPr>
                <w:rFonts w:ascii="Calibri" w:eastAsia="Calibri" w:hAnsi="Calibri" w:cs="Arial"/>
                <w:b/>
                <w:sz w:val="20"/>
                <w:szCs w:val="20"/>
                <w:lang w:eastAsia="it-IT"/>
              </w:rPr>
              <w:t>60.675.000,00</w:t>
            </w:r>
          </w:p>
        </w:tc>
      </w:tr>
      <w:tr w:rsidR="00937989" w:rsidRPr="00937989" w:rsidTr="00130B51">
        <w:trPr>
          <w:trHeight w:val="413"/>
          <w:jc w:val="center"/>
        </w:trPr>
        <w:tc>
          <w:tcPr>
            <w:tcW w:w="5000" w:type="pct"/>
            <w:gridSpan w:val="5"/>
            <w:shd w:val="clear" w:color="auto" w:fill="FFFFFF" w:themeFill="background1"/>
            <w:vAlign w:val="center"/>
          </w:tcPr>
          <w:p w:rsidR="00937989" w:rsidRPr="00937989" w:rsidRDefault="00937989" w:rsidP="00937989">
            <w:pPr>
              <w:spacing w:after="0" w:line="240" w:lineRule="auto"/>
              <w:jc w:val="both"/>
              <w:rPr>
                <w:rFonts w:ascii="Bodoni MT" w:eastAsia="Calibri" w:hAnsi="Bodoni MT" w:cs="Arial"/>
                <w:sz w:val="18"/>
                <w:szCs w:val="18"/>
                <w:lang w:eastAsia="it-IT"/>
              </w:rPr>
            </w:pPr>
            <w:r w:rsidRPr="00937989">
              <w:rPr>
                <w:rFonts w:ascii="Bodoni MT" w:eastAsia="Calibri" w:hAnsi="Bodoni MT" w:cs="Arial"/>
                <w:b/>
                <w:sz w:val="18"/>
                <w:szCs w:val="18"/>
                <w:lang w:eastAsia="it-IT"/>
              </w:rPr>
              <w:t>L.R. n.</w:t>
            </w:r>
            <w:r>
              <w:rPr>
                <w:rFonts w:ascii="Bodoni MT" w:eastAsia="Calibri" w:hAnsi="Bodoni MT" w:cs="Arial"/>
                <w:b/>
                <w:sz w:val="18"/>
                <w:szCs w:val="18"/>
                <w:lang w:eastAsia="it-IT"/>
              </w:rPr>
              <w:t xml:space="preserve"> </w:t>
            </w:r>
            <w:r w:rsidRPr="00937989">
              <w:rPr>
                <w:rFonts w:ascii="Bodoni MT" w:eastAsia="Calibri" w:hAnsi="Bodoni MT" w:cs="Arial"/>
                <w:b/>
                <w:sz w:val="18"/>
                <w:szCs w:val="18"/>
                <w:lang w:eastAsia="it-IT"/>
              </w:rPr>
              <w:t xml:space="preserve">5/2017, art. 2, c. 6. </w:t>
            </w:r>
            <w:r w:rsidRPr="00937989">
              <w:rPr>
                <w:rFonts w:ascii="Bodoni MT" w:eastAsia="Calibri" w:hAnsi="Bodoni MT" w:cs="Arial"/>
                <w:sz w:val="18"/>
                <w:szCs w:val="18"/>
                <w:lang w:eastAsia="it-IT"/>
              </w:rPr>
              <w:t>Il fondo di cui all'articolo 10 della legge regionale n. 2 del 2007, e successive modifiche ed integrazioni, è determinato per</w:t>
            </w:r>
            <w:r w:rsidRPr="00937989">
              <w:rPr>
                <w:rFonts w:ascii="Bodoni MT" w:eastAsia="Calibri" w:hAnsi="Bodoni MT" w:cs="Arial"/>
                <w:b/>
                <w:sz w:val="18"/>
                <w:szCs w:val="18"/>
                <w:lang w:eastAsia="it-IT"/>
              </w:rPr>
              <w:t xml:space="preserve"> </w:t>
            </w:r>
            <w:r w:rsidRPr="00937989">
              <w:rPr>
                <w:rFonts w:ascii="Bodoni MT" w:eastAsia="Calibri" w:hAnsi="Bodoni MT" w:cs="Arial"/>
                <w:sz w:val="18"/>
                <w:szCs w:val="18"/>
                <w:lang w:eastAsia="it-IT"/>
              </w:rPr>
              <w:t>l'anno 2017 in euro 552.971.000 di cui: euro 484.705.120 a favore dei comuni, euro 65.565.880 a favore degli enti individuati dall'articolo 16 della legge regionale 4 febbraio 2016, n. 2 (Riordino del sistema delle autonomie locali della Sardegna), euro 600.000 a favore dell'Amministrazione provinciale di Nuoro per il funzionamento del museo MAN, euro 600.000 per gli studi di compatibilità idraulica, geologica e geotecnica di cui alla legge regionale 15 dicembre 2014, n. 33 (Norma di semplificazione amministrativa in materia di difesa del suolo), ed euro 1.500.000 a favore della Città metropolitana di Cagliari per le finalità di cui all'articolo 1, comma 23, della legge regionale 5 dicembre 2016, n. 32 (Variazioni del bilancio per l'esercizio finanziario 2016 e del bilancio pluriennale 2016-2018 ..). La somma di euro 65.565.880 in favore degli enti di cui all'art. 16 della L.R. n.2/2016 è stata ripartita con delibera della G.R. n. 33/27 del 4.07.2017, previo parere positivo in sede di Conferenza Regione-enti locali.</w:t>
            </w:r>
          </w:p>
          <w:p w:rsidR="00937989" w:rsidRPr="00937989" w:rsidRDefault="00937989" w:rsidP="00937989">
            <w:pPr>
              <w:spacing w:after="0" w:line="240" w:lineRule="auto"/>
              <w:jc w:val="both"/>
              <w:rPr>
                <w:rFonts w:ascii="Bodoni MT" w:eastAsia="Calibri" w:hAnsi="Bodoni MT" w:cs="Arial"/>
                <w:sz w:val="18"/>
                <w:szCs w:val="18"/>
                <w:lang w:eastAsia="it-IT"/>
              </w:rPr>
            </w:pPr>
            <w:r w:rsidRPr="00937989">
              <w:rPr>
                <w:rFonts w:ascii="Bodoni MT" w:eastAsia="Calibri" w:hAnsi="Bodoni MT" w:cs="Arial"/>
                <w:b/>
                <w:sz w:val="18"/>
                <w:szCs w:val="18"/>
                <w:lang w:eastAsia="it-IT"/>
              </w:rPr>
              <w:t>L.R. n.</w:t>
            </w:r>
            <w:r>
              <w:rPr>
                <w:rFonts w:ascii="Bodoni MT" w:eastAsia="Calibri" w:hAnsi="Bodoni MT" w:cs="Arial"/>
                <w:b/>
                <w:sz w:val="18"/>
                <w:szCs w:val="18"/>
                <w:lang w:eastAsia="it-IT"/>
              </w:rPr>
              <w:t xml:space="preserve"> </w:t>
            </w:r>
            <w:r w:rsidRPr="00937989">
              <w:rPr>
                <w:rFonts w:ascii="Bodoni MT" w:eastAsia="Calibri" w:hAnsi="Bodoni MT" w:cs="Arial"/>
                <w:b/>
                <w:sz w:val="18"/>
                <w:szCs w:val="18"/>
                <w:lang w:eastAsia="it-IT"/>
              </w:rPr>
              <w:t>32/2016, art.</w:t>
            </w:r>
            <w:r>
              <w:rPr>
                <w:rFonts w:ascii="Bodoni MT" w:eastAsia="Calibri" w:hAnsi="Bodoni MT" w:cs="Arial"/>
                <w:b/>
                <w:sz w:val="18"/>
                <w:szCs w:val="18"/>
                <w:lang w:eastAsia="it-IT"/>
              </w:rPr>
              <w:t xml:space="preserve"> </w:t>
            </w:r>
            <w:r w:rsidRPr="00937989">
              <w:rPr>
                <w:rFonts w:ascii="Bodoni MT" w:eastAsia="Calibri" w:hAnsi="Bodoni MT" w:cs="Arial"/>
                <w:b/>
                <w:sz w:val="18"/>
                <w:szCs w:val="18"/>
                <w:lang w:eastAsia="it-IT"/>
              </w:rPr>
              <w:t xml:space="preserve">1, c. 23. </w:t>
            </w:r>
            <w:r w:rsidRPr="00937989">
              <w:rPr>
                <w:rFonts w:ascii="Bodoni MT" w:eastAsia="Calibri" w:hAnsi="Bodoni MT" w:cs="Arial"/>
                <w:sz w:val="18"/>
                <w:szCs w:val="18"/>
                <w:lang w:eastAsia="it-IT"/>
              </w:rPr>
              <w:t>È autorizzata, a favore della Città metropolitana di Cagliari, la spesa di euro 1.500.000 per l'anno 2017, euro 1.000.000 per</w:t>
            </w:r>
            <w:r w:rsidRPr="00937989">
              <w:rPr>
                <w:rFonts w:ascii="Bodoni MT" w:eastAsia="Calibri" w:hAnsi="Bodoni MT" w:cs="Arial"/>
                <w:b/>
                <w:sz w:val="18"/>
                <w:szCs w:val="18"/>
                <w:lang w:eastAsia="it-IT"/>
              </w:rPr>
              <w:t xml:space="preserve"> </w:t>
            </w:r>
            <w:r w:rsidRPr="00937989">
              <w:rPr>
                <w:rFonts w:ascii="Bodoni MT" w:eastAsia="Calibri" w:hAnsi="Bodoni MT" w:cs="Arial"/>
                <w:sz w:val="18"/>
                <w:szCs w:val="18"/>
                <w:lang w:eastAsia="it-IT"/>
              </w:rPr>
              <w:t>l'anno 2018 ed euro 500.000 per l'anno 2019, al fine di incentivare l'acquisizione a tempo indeterminato o a tempo determinato, con le modalità previste dall'articolo 36, comma 2 del decreto legislativo 30 marzo 2001, n. 165 (Norme generali sull'ordinamento del lavoro alle dipendenze delle amministrazioni pubbliche), di personale dotato di idonea esperienza necessario a garantire la continuità delle funzioni e dei servizi trasferiti dalla Provincia di Cagliari, ai sensi della legge regionale 4 febbraio 2016, n. 2 (Riordino del sistema delle autonomie locali della Sardegna), attraverso concorsi pubblici per titoli ed esami che prevedano la valorizzazione delle competenze ed esperienze maturate presso le amministrazioni provinciali.</w:t>
            </w:r>
          </w:p>
          <w:p w:rsidR="00937989" w:rsidRPr="00937989" w:rsidRDefault="00937989" w:rsidP="00937989">
            <w:pPr>
              <w:spacing w:after="0" w:line="240" w:lineRule="auto"/>
              <w:jc w:val="both"/>
              <w:rPr>
                <w:rFonts w:ascii="Bodoni MT" w:eastAsia="Calibri" w:hAnsi="Bodoni MT" w:cs="Arial"/>
                <w:sz w:val="18"/>
                <w:szCs w:val="18"/>
                <w:lang w:eastAsia="it-IT"/>
              </w:rPr>
            </w:pPr>
            <w:r w:rsidRPr="00937989">
              <w:rPr>
                <w:rFonts w:ascii="Bodoni MT" w:eastAsia="Calibri" w:hAnsi="Bodoni MT" w:cs="Arial"/>
                <w:b/>
                <w:sz w:val="18"/>
                <w:szCs w:val="18"/>
                <w:lang w:eastAsia="it-IT"/>
              </w:rPr>
              <w:t>L.R. n.</w:t>
            </w:r>
            <w:r>
              <w:rPr>
                <w:rFonts w:ascii="Bodoni MT" w:eastAsia="Calibri" w:hAnsi="Bodoni MT" w:cs="Arial"/>
                <w:b/>
                <w:sz w:val="18"/>
                <w:szCs w:val="18"/>
                <w:lang w:eastAsia="it-IT"/>
              </w:rPr>
              <w:t xml:space="preserve"> 5</w:t>
            </w:r>
            <w:r w:rsidRPr="00937989">
              <w:rPr>
                <w:rFonts w:ascii="Bodoni MT" w:eastAsia="Calibri" w:hAnsi="Bodoni MT" w:cs="Arial"/>
                <w:b/>
                <w:sz w:val="18"/>
                <w:szCs w:val="18"/>
                <w:lang w:eastAsia="it-IT"/>
              </w:rPr>
              <w:t>/2017, art. 2, c. 7</w:t>
            </w:r>
            <w:r w:rsidRPr="00937989">
              <w:rPr>
                <w:rFonts w:ascii="Bodoni MT" w:eastAsia="Calibri" w:hAnsi="Bodoni MT" w:cs="Arial"/>
                <w:sz w:val="18"/>
                <w:szCs w:val="18"/>
                <w:lang w:eastAsia="it-IT"/>
              </w:rPr>
              <w:t>. Al fine di assicurare la salvaguardia degli equilibri di bilancio della Provincia di Nuoro, è autorizzata, per l'anno 2017, la</w:t>
            </w:r>
            <w:r w:rsidRPr="00937989">
              <w:rPr>
                <w:rFonts w:ascii="Bodoni MT" w:eastAsia="Calibri" w:hAnsi="Bodoni MT" w:cs="Arial"/>
                <w:b/>
                <w:sz w:val="18"/>
                <w:szCs w:val="18"/>
                <w:lang w:eastAsia="it-IT"/>
              </w:rPr>
              <w:t xml:space="preserve"> </w:t>
            </w:r>
            <w:r w:rsidRPr="00937989">
              <w:rPr>
                <w:rFonts w:ascii="Bodoni MT" w:eastAsia="Calibri" w:hAnsi="Bodoni MT" w:cs="Arial"/>
                <w:sz w:val="18"/>
                <w:szCs w:val="18"/>
                <w:lang w:eastAsia="it-IT"/>
              </w:rPr>
              <w:t>spesa di euro 1.000.000 (missione 18 - programma 01 - titolo 1 - capitolo SC01.1059).</w:t>
            </w:r>
          </w:p>
          <w:p w:rsidR="00937989" w:rsidRPr="00937989" w:rsidRDefault="00937989" w:rsidP="00937989">
            <w:pPr>
              <w:spacing w:after="0" w:line="240" w:lineRule="auto"/>
              <w:jc w:val="both"/>
              <w:rPr>
                <w:rFonts w:ascii="Calibri" w:eastAsia="Calibri" w:hAnsi="Calibri" w:cs="Arial"/>
                <w:b/>
                <w:sz w:val="20"/>
                <w:szCs w:val="20"/>
                <w:lang w:eastAsia="it-IT"/>
              </w:rPr>
            </w:pPr>
            <w:r w:rsidRPr="00937989">
              <w:rPr>
                <w:rFonts w:ascii="Bodoni MT" w:eastAsia="Calibri" w:hAnsi="Bodoni MT" w:cs="Arial"/>
                <w:b/>
                <w:sz w:val="18"/>
                <w:szCs w:val="18"/>
                <w:lang w:eastAsia="it-IT"/>
              </w:rPr>
              <w:t xml:space="preserve">L.R. n. 18/2017, art. 1, c. 14. </w:t>
            </w:r>
            <w:r w:rsidRPr="00937989">
              <w:rPr>
                <w:rFonts w:ascii="Bodoni MT" w:eastAsia="Calibri" w:hAnsi="Bodoni MT" w:cs="Arial"/>
                <w:sz w:val="18"/>
                <w:szCs w:val="18"/>
                <w:lang w:eastAsia="it-IT"/>
              </w:rPr>
              <w:t>Al fine di assicurare la salvaguardia degli equilibri di bilancio delle province e della città metropolitana di Cagliari, è</w:t>
            </w:r>
            <w:r w:rsidRPr="00937989">
              <w:rPr>
                <w:rFonts w:ascii="Bodoni MT" w:eastAsia="Calibri" w:hAnsi="Bodoni MT" w:cs="Arial"/>
                <w:b/>
                <w:sz w:val="18"/>
                <w:szCs w:val="18"/>
                <w:lang w:eastAsia="it-IT"/>
              </w:rPr>
              <w:t xml:space="preserve"> </w:t>
            </w:r>
            <w:r w:rsidRPr="00937989">
              <w:rPr>
                <w:rFonts w:ascii="Bodoni MT" w:eastAsia="Calibri" w:hAnsi="Bodoni MT" w:cs="Arial"/>
                <w:sz w:val="18"/>
                <w:szCs w:val="18"/>
                <w:lang w:eastAsia="it-IT"/>
              </w:rPr>
              <w:t>autorizzata, per l'anno 2017, a favore delle medesime, l'ulteriore spesa di euro 4.000.000. Gli enti utilizzano le somme spettanti, prioritariamente, per contribuire all'alimentazione del Fondo risorse decentrate del personale dipendente qualora esistano evidenti squilibri derivanti dalle modifiche circoscrizionali che hanno determinato la nuova configurazione territoriale. Il criterio di riparto proposto è quello del Fondo Unico (40% parti uguali-60% popolazione).</w:t>
            </w:r>
          </w:p>
        </w:tc>
      </w:tr>
    </w:tbl>
    <w:p w:rsidR="00E12A0A" w:rsidRDefault="00E12A0A" w:rsidP="00137A3F">
      <w:pPr>
        <w:pStyle w:val="CdcTesto"/>
        <w:jc w:val="center"/>
        <w:sectPr w:rsidR="00E12A0A" w:rsidSect="00CD34A0">
          <w:headerReference w:type="default" r:id="rId70"/>
          <w:footerReference w:type="default" r:id="rId71"/>
          <w:type w:val="oddPage"/>
          <w:pgSz w:w="11906" w:h="16838"/>
          <w:pgMar w:top="1417" w:right="1134" w:bottom="1134" w:left="1134" w:header="708" w:footer="708" w:gutter="0"/>
          <w:cols w:space="708"/>
          <w:docGrid w:linePitch="360"/>
        </w:sectPr>
      </w:pPr>
    </w:p>
    <w:p w:rsidR="008F0C14" w:rsidRDefault="00DD2F56" w:rsidP="00DD2F56">
      <w:pPr>
        <w:pStyle w:val="Titolo1"/>
      </w:pPr>
      <w:bookmarkStart w:id="291" w:name="_Toc507422669"/>
      <w:r>
        <w:lastRenderedPageBreak/>
        <w:t>LA SPESA PER IL PERSONALE</w:t>
      </w:r>
      <w:r w:rsidR="002F16DC">
        <w:t>, PER IL LAVORO FLESSIBILE E PER GLI INCARICHI DI CONSULENZA E STUDIO</w:t>
      </w:r>
      <w:r w:rsidR="002F16DC">
        <w:rPr>
          <w:rStyle w:val="Rimandonotaapidipagina"/>
        </w:rPr>
        <w:footnoteReference w:id="166"/>
      </w:r>
      <w:bookmarkEnd w:id="291"/>
    </w:p>
    <w:p w:rsidR="00190715" w:rsidRDefault="002F16DC" w:rsidP="00991FFC">
      <w:pPr>
        <w:pStyle w:val="CdcTesto"/>
      </w:pPr>
      <w:r>
        <w:t>Nel 2016 la spesa per il personale am</w:t>
      </w:r>
      <w:r w:rsidR="006E7785">
        <w:t>m</w:t>
      </w:r>
      <w:r>
        <w:t>onta compless</w:t>
      </w:r>
      <w:r w:rsidR="00587DC8">
        <w:t xml:space="preserve">ivamente a 265.935.253,83 euro </w:t>
      </w:r>
      <w:r w:rsidR="006E7785">
        <w:t>(MISSIONE 01 – Ser</w:t>
      </w:r>
      <w:r w:rsidR="00587DC8">
        <w:t>vizi istituzionali e generali).</w:t>
      </w:r>
    </w:p>
    <w:p w:rsidR="006E7785" w:rsidRDefault="006E7785" w:rsidP="00991FFC">
      <w:pPr>
        <w:pStyle w:val="CdcTesto"/>
      </w:pPr>
      <w:r>
        <w:t xml:space="preserve">La spesa per il personale è stata rappresentata a rendiconto secondo la disaggregazione per missioni e </w:t>
      </w:r>
      <w:r w:rsidR="00587DC8">
        <w:t xml:space="preserve">programmi </w:t>
      </w:r>
      <w:r w:rsidR="009E121D">
        <w:t xml:space="preserve">prescritta dall’art. 14 comma 3 del D.Lgs. 118/2011 </w:t>
      </w:r>
      <w:r w:rsidR="00AD4585">
        <w:t>(v. alleg</w:t>
      </w:r>
      <w:r w:rsidR="002253C5">
        <w:t>a</w:t>
      </w:r>
      <w:r w:rsidR="00AD4585">
        <w:t>to 19.8).</w:t>
      </w:r>
    </w:p>
    <w:p w:rsidR="002253C5" w:rsidRDefault="002253C5" w:rsidP="00991FFC">
      <w:pPr>
        <w:pStyle w:val="CdcTesto"/>
      </w:pPr>
      <w:r w:rsidRPr="00587DC8">
        <w:rPr>
          <w:b/>
        </w:rPr>
        <w:t>La dotazione organica nel 2016</w:t>
      </w:r>
      <w:r>
        <w:t xml:space="preserve"> è esposta nei seguenti prospetti</w:t>
      </w:r>
      <w:r>
        <w:rPr>
          <w:rStyle w:val="Rimandonotaapidipagina"/>
        </w:rPr>
        <w:footnoteReference w:id="167"/>
      </w:r>
      <w:r w:rsidR="00587DC8">
        <w:t>,</w:t>
      </w:r>
      <w:r w:rsidR="00B52FDA">
        <w:t xml:space="preserve"> </w:t>
      </w:r>
      <w:r w:rsidR="000C27DF" w:rsidRPr="006462C2">
        <w:t>dalla quale emerge</w:t>
      </w:r>
      <w:r w:rsidR="000C27DF">
        <w:t xml:space="preserve"> </w:t>
      </w:r>
      <w:r w:rsidR="00B52FDA">
        <w:t xml:space="preserve">anche il tasso di </w:t>
      </w:r>
      <w:r w:rsidR="003F08EF">
        <w:t xml:space="preserve">scopertura </w:t>
      </w:r>
      <w:r w:rsidR="00B52FDA">
        <w:t>(al 30 settembre 2016).</w:t>
      </w:r>
    </w:p>
    <w:p w:rsidR="002F45C0" w:rsidRDefault="004A7E6A" w:rsidP="004A7E6A">
      <w:pPr>
        <w:pStyle w:val="Didascalia"/>
        <w:rPr>
          <w:sz w:val="24"/>
          <w:szCs w:val="24"/>
        </w:rPr>
      </w:pPr>
      <w:bookmarkStart w:id="292" w:name="_Toc507422534"/>
      <w:r>
        <w:t xml:space="preserve">Tabella </w:t>
      </w:r>
      <w:r w:rsidR="00B90472">
        <w:fldChar w:fldCharType="begin"/>
      </w:r>
      <w:r w:rsidR="00B90472">
        <w:instrText xml:space="preserve"> SEQ Tabella \* ARABIC </w:instrText>
      </w:r>
      <w:r w:rsidR="00B90472">
        <w:fldChar w:fldCharType="separate"/>
      </w:r>
      <w:r w:rsidR="008616B3">
        <w:rPr>
          <w:noProof/>
        </w:rPr>
        <w:t>66</w:t>
      </w:r>
      <w:r w:rsidR="00B90472">
        <w:rPr>
          <w:noProof/>
        </w:rPr>
        <w:fldChar w:fldCharType="end"/>
      </w:r>
      <w:r>
        <w:t xml:space="preserve"> -</w:t>
      </w:r>
      <w:r w:rsidR="002F45C0">
        <w:t xml:space="preserve"> Sintesi dell’organico regionale al 30.09.2016</w:t>
      </w:r>
      <w:r w:rsidR="003F08EF">
        <w:t xml:space="preserve"> (personale non dirigente)</w:t>
      </w:r>
      <w:bookmarkEnd w:id="292"/>
    </w:p>
    <w:tbl>
      <w:tblPr>
        <w:tblStyle w:val="Grigliatabella"/>
        <w:tblW w:w="0" w:type="auto"/>
        <w:tblLook w:val="04A0" w:firstRow="1" w:lastRow="0" w:firstColumn="1" w:lastColumn="0" w:noHBand="0" w:noVBand="1"/>
      </w:tblPr>
      <w:tblGrid>
        <w:gridCol w:w="2466"/>
        <w:gridCol w:w="2461"/>
        <w:gridCol w:w="2465"/>
        <w:gridCol w:w="2462"/>
      </w:tblGrid>
      <w:tr w:rsidR="002F45C0" w:rsidRPr="002F45C0" w:rsidTr="002F45C0">
        <w:tc>
          <w:tcPr>
            <w:tcW w:w="2477" w:type="dxa"/>
            <w:shd w:val="clear" w:color="auto" w:fill="0F243E" w:themeFill="text2" w:themeFillShade="80"/>
            <w:vAlign w:val="center"/>
          </w:tcPr>
          <w:p w:rsidR="002F45C0" w:rsidRPr="002F45C0" w:rsidRDefault="002F45C0" w:rsidP="002F45C0">
            <w:pPr>
              <w:jc w:val="center"/>
              <w:rPr>
                <w:rFonts w:ascii="Bodoni MT" w:hAnsi="Bodoni MT"/>
                <w:sz w:val="20"/>
                <w:szCs w:val="20"/>
              </w:rPr>
            </w:pPr>
            <w:r>
              <w:rPr>
                <w:rFonts w:ascii="Bodoni MT" w:hAnsi="Bodoni MT"/>
                <w:sz w:val="20"/>
                <w:szCs w:val="20"/>
              </w:rPr>
              <w:t>Personale amministrativo</w:t>
            </w:r>
          </w:p>
        </w:tc>
        <w:tc>
          <w:tcPr>
            <w:tcW w:w="2478" w:type="dxa"/>
            <w:shd w:val="clear" w:color="auto" w:fill="0F243E" w:themeFill="text2" w:themeFillShade="80"/>
            <w:vAlign w:val="center"/>
          </w:tcPr>
          <w:p w:rsidR="002F45C0" w:rsidRPr="002F45C0" w:rsidRDefault="002F45C0" w:rsidP="002F45C0">
            <w:pPr>
              <w:jc w:val="center"/>
              <w:rPr>
                <w:rFonts w:ascii="Bodoni MT" w:hAnsi="Bodoni MT"/>
                <w:sz w:val="20"/>
                <w:szCs w:val="20"/>
              </w:rPr>
            </w:pPr>
            <w:r>
              <w:rPr>
                <w:rFonts w:ascii="Bodoni MT" w:hAnsi="Bodoni MT"/>
                <w:sz w:val="20"/>
                <w:szCs w:val="20"/>
              </w:rPr>
              <w:t>Dotazione organica</w:t>
            </w:r>
          </w:p>
        </w:tc>
        <w:tc>
          <w:tcPr>
            <w:tcW w:w="2478" w:type="dxa"/>
            <w:shd w:val="clear" w:color="auto" w:fill="0F243E" w:themeFill="text2" w:themeFillShade="80"/>
            <w:vAlign w:val="center"/>
          </w:tcPr>
          <w:p w:rsidR="002F45C0" w:rsidRPr="002F45C0" w:rsidRDefault="002F45C0" w:rsidP="002F45C0">
            <w:pPr>
              <w:jc w:val="center"/>
              <w:rPr>
                <w:rFonts w:ascii="Bodoni MT" w:hAnsi="Bodoni MT"/>
                <w:sz w:val="20"/>
                <w:szCs w:val="20"/>
              </w:rPr>
            </w:pPr>
            <w:r>
              <w:rPr>
                <w:rFonts w:ascii="Bodoni MT" w:hAnsi="Bodoni MT"/>
                <w:sz w:val="20"/>
                <w:szCs w:val="20"/>
              </w:rPr>
              <w:t>Personale a tempo indeterminato</w:t>
            </w:r>
          </w:p>
        </w:tc>
        <w:tc>
          <w:tcPr>
            <w:tcW w:w="2478" w:type="dxa"/>
            <w:shd w:val="clear" w:color="auto" w:fill="0F243E" w:themeFill="text2" w:themeFillShade="80"/>
            <w:vAlign w:val="center"/>
          </w:tcPr>
          <w:p w:rsidR="002F45C0" w:rsidRPr="002F45C0" w:rsidRDefault="002F45C0" w:rsidP="002F45C0">
            <w:pPr>
              <w:jc w:val="center"/>
              <w:rPr>
                <w:rFonts w:ascii="Bodoni MT" w:hAnsi="Bodoni MT"/>
                <w:sz w:val="20"/>
                <w:szCs w:val="20"/>
              </w:rPr>
            </w:pPr>
            <w:r>
              <w:rPr>
                <w:rFonts w:ascii="Bodoni MT" w:hAnsi="Bodoni MT"/>
                <w:sz w:val="20"/>
                <w:szCs w:val="20"/>
              </w:rPr>
              <w:t>Scoperture</w:t>
            </w:r>
          </w:p>
        </w:tc>
      </w:tr>
      <w:tr w:rsidR="002F45C0" w:rsidRPr="002F45C0" w:rsidTr="002F45C0">
        <w:tc>
          <w:tcPr>
            <w:tcW w:w="2477" w:type="dxa"/>
            <w:shd w:val="clear" w:color="auto" w:fill="95B3D7" w:themeFill="accent1" w:themeFillTint="99"/>
            <w:vAlign w:val="center"/>
          </w:tcPr>
          <w:p w:rsidR="002F45C0" w:rsidRPr="002F45C0" w:rsidRDefault="002F45C0" w:rsidP="002F45C0">
            <w:pPr>
              <w:rPr>
                <w:rFonts w:ascii="Bodoni MT" w:hAnsi="Bodoni MT"/>
                <w:color w:val="FFFFFF" w:themeColor="background1"/>
                <w:sz w:val="20"/>
                <w:szCs w:val="20"/>
              </w:rPr>
            </w:pPr>
            <w:r w:rsidRPr="002F45C0">
              <w:rPr>
                <w:rFonts w:ascii="Bodoni MT" w:hAnsi="Bodoni MT"/>
                <w:color w:val="FFFFFF" w:themeColor="background1"/>
                <w:sz w:val="20"/>
                <w:szCs w:val="20"/>
              </w:rPr>
              <w:t>Categoria A</w:t>
            </w:r>
          </w:p>
        </w:tc>
        <w:tc>
          <w:tcPr>
            <w:tcW w:w="2478" w:type="dxa"/>
            <w:vAlign w:val="center"/>
          </w:tcPr>
          <w:p w:rsidR="002F45C0" w:rsidRPr="003F08EF" w:rsidRDefault="002F45C0" w:rsidP="002F45C0">
            <w:pPr>
              <w:jc w:val="center"/>
              <w:rPr>
                <w:sz w:val="20"/>
                <w:szCs w:val="20"/>
              </w:rPr>
            </w:pPr>
            <w:r w:rsidRPr="003F08EF">
              <w:rPr>
                <w:sz w:val="20"/>
                <w:szCs w:val="20"/>
              </w:rPr>
              <w:t>170</w:t>
            </w:r>
          </w:p>
        </w:tc>
        <w:tc>
          <w:tcPr>
            <w:tcW w:w="2478" w:type="dxa"/>
            <w:vAlign w:val="center"/>
          </w:tcPr>
          <w:p w:rsidR="002F45C0" w:rsidRPr="003F08EF" w:rsidRDefault="002F45C0" w:rsidP="002F45C0">
            <w:pPr>
              <w:jc w:val="center"/>
              <w:rPr>
                <w:sz w:val="20"/>
                <w:szCs w:val="20"/>
              </w:rPr>
            </w:pPr>
            <w:r w:rsidRPr="003F08EF">
              <w:rPr>
                <w:sz w:val="20"/>
                <w:szCs w:val="20"/>
              </w:rPr>
              <w:t>174</w:t>
            </w:r>
          </w:p>
        </w:tc>
        <w:tc>
          <w:tcPr>
            <w:tcW w:w="2478" w:type="dxa"/>
            <w:vAlign w:val="center"/>
          </w:tcPr>
          <w:p w:rsidR="002F45C0" w:rsidRPr="003F08EF" w:rsidRDefault="002F45C0" w:rsidP="002F45C0">
            <w:pPr>
              <w:jc w:val="center"/>
              <w:rPr>
                <w:sz w:val="20"/>
                <w:szCs w:val="20"/>
              </w:rPr>
            </w:pPr>
            <w:r w:rsidRPr="003F08EF">
              <w:rPr>
                <w:sz w:val="20"/>
                <w:szCs w:val="20"/>
              </w:rPr>
              <w:t>4</w:t>
            </w:r>
          </w:p>
        </w:tc>
      </w:tr>
      <w:tr w:rsidR="002F45C0" w:rsidRPr="002F45C0" w:rsidTr="002F45C0">
        <w:tc>
          <w:tcPr>
            <w:tcW w:w="2477" w:type="dxa"/>
            <w:shd w:val="clear" w:color="auto" w:fill="95B3D7" w:themeFill="accent1" w:themeFillTint="99"/>
            <w:vAlign w:val="center"/>
          </w:tcPr>
          <w:p w:rsidR="002F45C0" w:rsidRPr="002F45C0" w:rsidRDefault="002F45C0" w:rsidP="002F45C0">
            <w:pPr>
              <w:rPr>
                <w:rFonts w:ascii="Bodoni MT" w:hAnsi="Bodoni MT"/>
                <w:color w:val="FFFFFF" w:themeColor="background1"/>
                <w:sz w:val="20"/>
                <w:szCs w:val="20"/>
              </w:rPr>
            </w:pPr>
            <w:r w:rsidRPr="002F45C0">
              <w:rPr>
                <w:rFonts w:ascii="Bodoni MT" w:hAnsi="Bodoni MT"/>
                <w:color w:val="FFFFFF" w:themeColor="background1"/>
                <w:sz w:val="20"/>
                <w:szCs w:val="20"/>
              </w:rPr>
              <w:t>Categoria B</w:t>
            </w:r>
          </w:p>
        </w:tc>
        <w:tc>
          <w:tcPr>
            <w:tcW w:w="2478" w:type="dxa"/>
            <w:vAlign w:val="center"/>
          </w:tcPr>
          <w:p w:rsidR="002F45C0" w:rsidRPr="003F08EF" w:rsidRDefault="002F45C0" w:rsidP="002F45C0">
            <w:pPr>
              <w:jc w:val="center"/>
              <w:rPr>
                <w:sz w:val="20"/>
                <w:szCs w:val="20"/>
              </w:rPr>
            </w:pPr>
            <w:r w:rsidRPr="003F08EF">
              <w:rPr>
                <w:sz w:val="20"/>
                <w:szCs w:val="20"/>
              </w:rPr>
              <w:t>497</w:t>
            </w:r>
          </w:p>
        </w:tc>
        <w:tc>
          <w:tcPr>
            <w:tcW w:w="2478" w:type="dxa"/>
            <w:vAlign w:val="center"/>
          </w:tcPr>
          <w:p w:rsidR="002F45C0" w:rsidRPr="003F08EF" w:rsidRDefault="002F45C0" w:rsidP="002F45C0">
            <w:pPr>
              <w:jc w:val="center"/>
              <w:rPr>
                <w:sz w:val="20"/>
                <w:szCs w:val="20"/>
              </w:rPr>
            </w:pPr>
            <w:r w:rsidRPr="003F08EF">
              <w:rPr>
                <w:sz w:val="20"/>
                <w:szCs w:val="20"/>
              </w:rPr>
              <w:t>440</w:t>
            </w:r>
          </w:p>
        </w:tc>
        <w:tc>
          <w:tcPr>
            <w:tcW w:w="2478" w:type="dxa"/>
            <w:vAlign w:val="center"/>
          </w:tcPr>
          <w:p w:rsidR="002F45C0" w:rsidRPr="003F08EF" w:rsidRDefault="002F45C0" w:rsidP="002F45C0">
            <w:pPr>
              <w:jc w:val="center"/>
              <w:rPr>
                <w:sz w:val="20"/>
                <w:szCs w:val="20"/>
              </w:rPr>
            </w:pPr>
            <w:r w:rsidRPr="003F08EF">
              <w:rPr>
                <w:sz w:val="20"/>
                <w:szCs w:val="20"/>
              </w:rPr>
              <w:t>-57</w:t>
            </w:r>
          </w:p>
        </w:tc>
      </w:tr>
      <w:tr w:rsidR="002F45C0" w:rsidRPr="002F45C0" w:rsidTr="002F45C0">
        <w:tc>
          <w:tcPr>
            <w:tcW w:w="2477" w:type="dxa"/>
            <w:shd w:val="clear" w:color="auto" w:fill="95B3D7" w:themeFill="accent1" w:themeFillTint="99"/>
            <w:vAlign w:val="center"/>
          </w:tcPr>
          <w:p w:rsidR="002F45C0" w:rsidRPr="002F45C0" w:rsidRDefault="002F45C0" w:rsidP="002F45C0">
            <w:pPr>
              <w:rPr>
                <w:rFonts w:ascii="Bodoni MT" w:hAnsi="Bodoni MT"/>
                <w:color w:val="FFFFFF" w:themeColor="background1"/>
                <w:sz w:val="20"/>
                <w:szCs w:val="20"/>
              </w:rPr>
            </w:pPr>
            <w:r w:rsidRPr="002F45C0">
              <w:rPr>
                <w:rFonts w:ascii="Bodoni MT" w:hAnsi="Bodoni MT"/>
                <w:color w:val="FFFFFF" w:themeColor="background1"/>
                <w:sz w:val="20"/>
                <w:szCs w:val="20"/>
              </w:rPr>
              <w:t>Categoria C</w:t>
            </w:r>
          </w:p>
        </w:tc>
        <w:tc>
          <w:tcPr>
            <w:tcW w:w="2478" w:type="dxa"/>
            <w:vAlign w:val="center"/>
          </w:tcPr>
          <w:p w:rsidR="002F45C0" w:rsidRPr="003F08EF" w:rsidRDefault="002F45C0" w:rsidP="002F45C0">
            <w:pPr>
              <w:jc w:val="center"/>
              <w:rPr>
                <w:sz w:val="20"/>
                <w:szCs w:val="20"/>
              </w:rPr>
            </w:pPr>
            <w:r w:rsidRPr="003F08EF">
              <w:rPr>
                <w:sz w:val="20"/>
                <w:szCs w:val="20"/>
              </w:rPr>
              <w:t>763</w:t>
            </w:r>
          </w:p>
        </w:tc>
        <w:tc>
          <w:tcPr>
            <w:tcW w:w="2478" w:type="dxa"/>
            <w:vAlign w:val="center"/>
          </w:tcPr>
          <w:p w:rsidR="002F45C0" w:rsidRPr="003F08EF" w:rsidRDefault="002F45C0" w:rsidP="002F45C0">
            <w:pPr>
              <w:jc w:val="center"/>
              <w:rPr>
                <w:sz w:val="20"/>
                <w:szCs w:val="20"/>
              </w:rPr>
            </w:pPr>
            <w:r w:rsidRPr="003F08EF">
              <w:rPr>
                <w:sz w:val="20"/>
                <w:szCs w:val="20"/>
              </w:rPr>
              <w:t>667</w:t>
            </w:r>
          </w:p>
        </w:tc>
        <w:tc>
          <w:tcPr>
            <w:tcW w:w="2478" w:type="dxa"/>
            <w:vAlign w:val="center"/>
          </w:tcPr>
          <w:p w:rsidR="002F45C0" w:rsidRPr="003F08EF" w:rsidRDefault="002F45C0" w:rsidP="002F45C0">
            <w:pPr>
              <w:jc w:val="center"/>
              <w:rPr>
                <w:sz w:val="20"/>
                <w:szCs w:val="20"/>
              </w:rPr>
            </w:pPr>
            <w:r w:rsidRPr="003F08EF">
              <w:rPr>
                <w:sz w:val="20"/>
                <w:szCs w:val="20"/>
              </w:rPr>
              <w:t>-96</w:t>
            </w:r>
          </w:p>
        </w:tc>
      </w:tr>
      <w:tr w:rsidR="002F45C0" w:rsidRPr="002F45C0" w:rsidTr="002F45C0">
        <w:tc>
          <w:tcPr>
            <w:tcW w:w="2477" w:type="dxa"/>
            <w:shd w:val="clear" w:color="auto" w:fill="95B3D7" w:themeFill="accent1" w:themeFillTint="99"/>
          </w:tcPr>
          <w:p w:rsidR="002F45C0" w:rsidRPr="002F45C0" w:rsidRDefault="002F45C0" w:rsidP="002F45C0">
            <w:pPr>
              <w:rPr>
                <w:color w:val="FFFFFF" w:themeColor="background1"/>
              </w:rPr>
            </w:pPr>
            <w:r w:rsidRPr="002F45C0">
              <w:rPr>
                <w:rFonts w:ascii="Bodoni MT" w:hAnsi="Bodoni MT"/>
                <w:color w:val="FFFFFF" w:themeColor="background1"/>
                <w:sz w:val="20"/>
                <w:szCs w:val="20"/>
              </w:rPr>
              <w:t>Categoria D</w:t>
            </w:r>
          </w:p>
        </w:tc>
        <w:tc>
          <w:tcPr>
            <w:tcW w:w="2478" w:type="dxa"/>
            <w:vAlign w:val="center"/>
          </w:tcPr>
          <w:p w:rsidR="002F45C0" w:rsidRPr="003F08EF" w:rsidRDefault="002F45C0" w:rsidP="002F45C0">
            <w:pPr>
              <w:jc w:val="center"/>
              <w:rPr>
                <w:sz w:val="20"/>
                <w:szCs w:val="20"/>
              </w:rPr>
            </w:pPr>
            <w:r w:rsidRPr="003F08EF">
              <w:rPr>
                <w:sz w:val="20"/>
                <w:szCs w:val="20"/>
              </w:rPr>
              <w:t>1310</w:t>
            </w:r>
          </w:p>
        </w:tc>
        <w:tc>
          <w:tcPr>
            <w:tcW w:w="2478" w:type="dxa"/>
            <w:vAlign w:val="center"/>
          </w:tcPr>
          <w:p w:rsidR="002F45C0" w:rsidRPr="003F08EF" w:rsidRDefault="002F45C0" w:rsidP="002F45C0">
            <w:pPr>
              <w:jc w:val="center"/>
              <w:rPr>
                <w:sz w:val="20"/>
                <w:szCs w:val="20"/>
              </w:rPr>
            </w:pPr>
            <w:r w:rsidRPr="003F08EF">
              <w:rPr>
                <w:sz w:val="20"/>
                <w:szCs w:val="20"/>
              </w:rPr>
              <w:t>1071</w:t>
            </w:r>
          </w:p>
        </w:tc>
        <w:tc>
          <w:tcPr>
            <w:tcW w:w="2478" w:type="dxa"/>
            <w:vAlign w:val="center"/>
          </w:tcPr>
          <w:p w:rsidR="002F45C0" w:rsidRPr="003F08EF" w:rsidRDefault="002F45C0" w:rsidP="002F45C0">
            <w:pPr>
              <w:jc w:val="center"/>
              <w:rPr>
                <w:sz w:val="20"/>
                <w:szCs w:val="20"/>
              </w:rPr>
            </w:pPr>
            <w:r w:rsidRPr="003F08EF">
              <w:rPr>
                <w:sz w:val="20"/>
                <w:szCs w:val="20"/>
              </w:rPr>
              <w:t>-239</w:t>
            </w:r>
          </w:p>
        </w:tc>
      </w:tr>
      <w:tr w:rsidR="002F45C0" w:rsidRPr="002F45C0" w:rsidTr="002F45C0">
        <w:tc>
          <w:tcPr>
            <w:tcW w:w="2477" w:type="dxa"/>
            <w:shd w:val="clear" w:color="auto" w:fill="95B3D7" w:themeFill="accent1" w:themeFillTint="99"/>
          </w:tcPr>
          <w:p w:rsidR="002F45C0" w:rsidRPr="002F45C0" w:rsidRDefault="002F45C0" w:rsidP="002F45C0">
            <w:pPr>
              <w:rPr>
                <w:color w:val="FFFFFF" w:themeColor="background1"/>
              </w:rPr>
            </w:pPr>
            <w:r w:rsidRPr="002F45C0">
              <w:rPr>
                <w:rFonts w:ascii="Bodoni MT" w:hAnsi="Bodoni MT"/>
                <w:color w:val="FFFFFF" w:themeColor="background1"/>
                <w:sz w:val="20"/>
                <w:szCs w:val="20"/>
              </w:rPr>
              <w:t>TOTALE</w:t>
            </w:r>
          </w:p>
        </w:tc>
        <w:tc>
          <w:tcPr>
            <w:tcW w:w="2478" w:type="dxa"/>
            <w:vAlign w:val="center"/>
          </w:tcPr>
          <w:p w:rsidR="002F45C0" w:rsidRPr="003F08EF" w:rsidRDefault="002F45C0" w:rsidP="002F45C0">
            <w:pPr>
              <w:jc w:val="center"/>
              <w:rPr>
                <w:b/>
                <w:sz w:val="20"/>
                <w:szCs w:val="20"/>
              </w:rPr>
            </w:pPr>
            <w:r w:rsidRPr="003F08EF">
              <w:rPr>
                <w:b/>
                <w:sz w:val="20"/>
                <w:szCs w:val="20"/>
              </w:rPr>
              <w:t>2740</w:t>
            </w:r>
          </w:p>
        </w:tc>
        <w:tc>
          <w:tcPr>
            <w:tcW w:w="2478" w:type="dxa"/>
            <w:vAlign w:val="center"/>
          </w:tcPr>
          <w:p w:rsidR="002F45C0" w:rsidRPr="003F08EF" w:rsidRDefault="002F45C0" w:rsidP="002F45C0">
            <w:pPr>
              <w:jc w:val="center"/>
              <w:rPr>
                <w:b/>
                <w:sz w:val="20"/>
                <w:szCs w:val="20"/>
              </w:rPr>
            </w:pPr>
            <w:r w:rsidRPr="003F08EF">
              <w:rPr>
                <w:b/>
                <w:sz w:val="20"/>
                <w:szCs w:val="20"/>
              </w:rPr>
              <w:t>2352</w:t>
            </w:r>
          </w:p>
        </w:tc>
        <w:tc>
          <w:tcPr>
            <w:tcW w:w="2478" w:type="dxa"/>
            <w:vAlign w:val="center"/>
          </w:tcPr>
          <w:p w:rsidR="002F45C0" w:rsidRPr="003F08EF" w:rsidRDefault="002F45C0" w:rsidP="002F45C0">
            <w:pPr>
              <w:jc w:val="center"/>
              <w:rPr>
                <w:b/>
                <w:sz w:val="20"/>
                <w:szCs w:val="20"/>
              </w:rPr>
            </w:pPr>
            <w:r w:rsidRPr="003F08EF">
              <w:rPr>
                <w:b/>
                <w:sz w:val="20"/>
                <w:szCs w:val="20"/>
              </w:rPr>
              <w:t>-388</w:t>
            </w:r>
          </w:p>
        </w:tc>
      </w:tr>
    </w:tbl>
    <w:p w:rsidR="00AD4585" w:rsidRDefault="00AD4585" w:rsidP="003F08EF">
      <w:pPr>
        <w:pStyle w:val="CdcTesto"/>
      </w:pPr>
    </w:p>
    <w:tbl>
      <w:tblPr>
        <w:tblStyle w:val="Grigliatabella"/>
        <w:tblW w:w="0" w:type="auto"/>
        <w:tblLook w:val="04A0" w:firstRow="1" w:lastRow="0" w:firstColumn="1" w:lastColumn="0" w:noHBand="0" w:noVBand="1"/>
      </w:tblPr>
      <w:tblGrid>
        <w:gridCol w:w="3285"/>
        <w:gridCol w:w="3283"/>
        <w:gridCol w:w="3286"/>
      </w:tblGrid>
      <w:tr w:rsidR="003F08EF" w:rsidRPr="003F08EF" w:rsidTr="003F08EF">
        <w:tc>
          <w:tcPr>
            <w:tcW w:w="3303"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Personale amministrativo ex SRA in forza presso le Agenzie agricole</w:t>
            </w:r>
          </w:p>
        </w:tc>
        <w:tc>
          <w:tcPr>
            <w:tcW w:w="3304"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Dotazione organica</w:t>
            </w:r>
          </w:p>
        </w:tc>
        <w:tc>
          <w:tcPr>
            <w:tcW w:w="3304"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Personale a tempo indeterminato</w:t>
            </w:r>
          </w:p>
        </w:tc>
      </w:tr>
      <w:tr w:rsidR="003F08EF" w:rsidRPr="003F08EF" w:rsidTr="003F08EF">
        <w:tc>
          <w:tcPr>
            <w:tcW w:w="3303" w:type="dxa"/>
            <w:shd w:val="clear" w:color="auto" w:fill="95B3D7" w:themeFill="accent1" w:themeFillTint="99"/>
            <w:vAlign w:val="center"/>
          </w:tcPr>
          <w:p w:rsidR="003F08EF" w:rsidRPr="002F45C0" w:rsidRDefault="003F08EF" w:rsidP="003F08EF">
            <w:pPr>
              <w:rPr>
                <w:rFonts w:ascii="Bodoni MT" w:hAnsi="Bodoni MT"/>
                <w:color w:val="FFFFFF" w:themeColor="background1"/>
                <w:sz w:val="20"/>
                <w:szCs w:val="20"/>
              </w:rPr>
            </w:pPr>
            <w:r w:rsidRPr="002F45C0">
              <w:rPr>
                <w:rFonts w:ascii="Bodoni MT" w:hAnsi="Bodoni MT"/>
                <w:color w:val="FFFFFF" w:themeColor="background1"/>
                <w:sz w:val="20"/>
                <w:szCs w:val="20"/>
              </w:rPr>
              <w:t>Categoria A</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10</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2</w:t>
            </w:r>
          </w:p>
        </w:tc>
      </w:tr>
      <w:tr w:rsidR="003F08EF" w:rsidRPr="003F08EF" w:rsidTr="003F08EF">
        <w:tc>
          <w:tcPr>
            <w:tcW w:w="3303" w:type="dxa"/>
            <w:shd w:val="clear" w:color="auto" w:fill="95B3D7" w:themeFill="accent1" w:themeFillTint="99"/>
            <w:vAlign w:val="center"/>
          </w:tcPr>
          <w:p w:rsidR="003F08EF" w:rsidRPr="002F45C0" w:rsidRDefault="003F08EF" w:rsidP="003F08EF">
            <w:pPr>
              <w:rPr>
                <w:rFonts w:ascii="Bodoni MT" w:hAnsi="Bodoni MT"/>
                <w:color w:val="FFFFFF" w:themeColor="background1"/>
                <w:sz w:val="20"/>
                <w:szCs w:val="20"/>
              </w:rPr>
            </w:pPr>
            <w:r w:rsidRPr="002F45C0">
              <w:rPr>
                <w:rFonts w:ascii="Bodoni MT" w:hAnsi="Bodoni MT"/>
                <w:color w:val="FFFFFF" w:themeColor="background1"/>
                <w:sz w:val="20"/>
                <w:szCs w:val="20"/>
              </w:rPr>
              <w:t>Categoria B</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54</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56</w:t>
            </w:r>
          </w:p>
        </w:tc>
      </w:tr>
      <w:tr w:rsidR="003F08EF" w:rsidRPr="003F08EF" w:rsidTr="003F08EF">
        <w:tc>
          <w:tcPr>
            <w:tcW w:w="3303" w:type="dxa"/>
            <w:shd w:val="clear" w:color="auto" w:fill="95B3D7" w:themeFill="accent1" w:themeFillTint="99"/>
            <w:vAlign w:val="center"/>
          </w:tcPr>
          <w:p w:rsidR="003F08EF" w:rsidRPr="002F45C0" w:rsidRDefault="003F08EF" w:rsidP="003F08EF">
            <w:pPr>
              <w:rPr>
                <w:rFonts w:ascii="Bodoni MT" w:hAnsi="Bodoni MT"/>
                <w:color w:val="FFFFFF" w:themeColor="background1"/>
                <w:sz w:val="20"/>
                <w:szCs w:val="20"/>
              </w:rPr>
            </w:pPr>
            <w:r w:rsidRPr="002F45C0">
              <w:rPr>
                <w:rFonts w:ascii="Bodoni MT" w:hAnsi="Bodoni MT"/>
                <w:color w:val="FFFFFF" w:themeColor="background1"/>
                <w:sz w:val="20"/>
                <w:szCs w:val="20"/>
              </w:rPr>
              <w:t>Categoria C</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90</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81</w:t>
            </w:r>
          </w:p>
        </w:tc>
      </w:tr>
      <w:tr w:rsidR="003F08EF" w:rsidRPr="003F08EF" w:rsidTr="003F08EF">
        <w:tc>
          <w:tcPr>
            <w:tcW w:w="3303" w:type="dxa"/>
            <w:shd w:val="clear" w:color="auto" w:fill="95B3D7" w:themeFill="accent1" w:themeFillTint="99"/>
          </w:tcPr>
          <w:p w:rsidR="003F08EF" w:rsidRPr="002F45C0" w:rsidRDefault="003F08EF" w:rsidP="003F08EF">
            <w:pPr>
              <w:rPr>
                <w:color w:val="FFFFFF" w:themeColor="background1"/>
              </w:rPr>
            </w:pPr>
            <w:r w:rsidRPr="002F45C0">
              <w:rPr>
                <w:rFonts w:ascii="Bodoni MT" w:hAnsi="Bodoni MT"/>
                <w:color w:val="FFFFFF" w:themeColor="background1"/>
                <w:sz w:val="20"/>
                <w:szCs w:val="20"/>
              </w:rPr>
              <w:t>Categoria D</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97</w:t>
            </w:r>
          </w:p>
        </w:tc>
        <w:tc>
          <w:tcPr>
            <w:tcW w:w="3304"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69</w:t>
            </w:r>
          </w:p>
        </w:tc>
      </w:tr>
      <w:tr w:rsidR="003F08EF" w:rsidRPr="003F08EF" w:rsidTr="003F08EF">
        <w:tc>
          <w:tcPr>
            <w:tcW w:w="3303" w:type="dxa"/>
            <w:shd w:val="clear" w:color="auto" w:fill="95B3D7" w:themeFill="accent1" w:themeFillTint="99"/>
          </w:tcPr>
          <w:p w:rsidR="003F08EF" w:rsidRPr="002F45C0" w:rsidRDefault="003F08EF" w:rsidP="003F08EF">
            <w:pPr>
              <w:rPr>
                <w:color w:val="FFFFFF" w:themeColor="background1"/>
              </w:rPr>
            </w:pPr>
            <w:r w:rsidRPr="002F45C0">
              <w:rPr>
                <w:rFonts w:ascii="Bodoni MT" w:hAnsi="Bodoni MT"/>
                <w:color w:val="FFFFFF" w:themeColor="background1"/>
                <w:sz w:val="20"/>
                <w:szCs w:val="20"/>
              </w:rPr>
              <w:t>TOTALE</w:t>
            </w:r>
          </w:p>
        </w:tc>
        <w:tc>
          <w:tcPr>
            <w:tcW w:w="3304" w:type="dxa"/>
          </w:tcPr>
          <w:p w:rsidR="003F08EF" w:rsidRPr="003F08EF" w:rsidRDefault="003F08EF" w:rsidP="003F08EF">
            <w:pPr>
              <w:pStyle w:val="CdcTesto"/>
              <w:spacing w:after="0" w:line="240" w:lineRule="auto"/>
              <w:jc w:val="center"/>
              <w:rPr>
                <w:rFonts w:asciiTheme="minorHAnsi" w:hAnsiTheme="minorHAnsi"/>
                <w:b/>
                <w:color w:val="auto"/>
                <w:sz w:val="20"/>
                <w:szCs w:val="20"/>
              </w:rPr>
            </w:pPr>
            <w:r w:rsidRPr="003F08EF">
              <w:rPr>
                <w:rFonts w:asciiTheme="minorHAnsi" w:hAnsiTheme="minorHAnsi"/>
                <w:b/>
                <w:color w:val="auto"/>
                <w:sz w:val="20"/>
                <w:szCs w:val="20"/>
              </w:rPr>
              <w:t>251</w:t>
            </w:r>
          </w:p>
        </w:tc>
        <w:tc>
          <w:tcPr>
            <w:tcW w:w="3304" w:type="dxa"/>
          </w:tcPr>
          <w:p w:rsidR="003F08EF" w:rsidRPr="003F08EF" w:rsidRDefault="003F08EF" w:rsidP="003F08EF">
            <w:pPr>
              <w:pStyle w:val="CdcTesto"/>
              <w:spacing w:after="0" w:line="240" w:lineRule="auto"/>
              <w:jc w:val="center"/>
              <w:rPr>
                <w:rFonts w:asciiTheme="minorHAnsi" w:hAnsiTheme="minorHAnsi"/>
                <w:b/>
                <w:color w:val="auto"/>
                <w:sz w:val="20"/>
                <w:szCs w:val="20"/>
              </w:rPr>
            </w:pPr>
            <w:r w:rsidRPr="003F08EF">
              <w:rPr>
                <w:rFonts w:asciiTheme="minorHAnsi" w:hAnsiTheme="minorHAnsi"/>
                <w:b/>
                <w:color w:val="auto"/>
                <w:sz w:val="20"/>
                <w:szCs w:val="20"/>
              </w:rPr>
              <w:t>208</w:t>
            </w:r>
          </w:p>
        </w:tc>
      </w:tr>
    </w:tbl>
    <w:p w:rsidR="003F08EF" w:rsidRDefault="003F08EF" w:rsidP="003F08EF">
      <w:pPr>
        <w:pStyle w:val="CdcTesto"/>
        <w:jc w:val="center"/>
      </w:pPr>
    </w:p>
    <w:tbl>
      <w:tblPr>
        <w:tblStyle w:val="Grigliatabella"/>
        <w:tblW w:w="0" w:type="auto"/>
        <w:tblLook w:val="04A0" w:firstRow="1" w:lastRow="0" w:firstColumn="1" w:lastColumn="0" w:noHBand="0" w:noVBand="1"/>
      </w:tblPr>
      <w:tblGrid>
        <w:gridCol w:w="2462"/>
        <w:gridCol w:w="2463"/>
        <w:gridCol w:w="2466"/>
        <w:gridCol w:w="2463"/>
      </w:tblGrid>
      <w:tr w:rsidR="003F08EF" w:rsidRPr="003F08EF" w:rsidTr="003F08EF">
        <w:tc>
          <w:tcPr>
            <w:tcW w:w="2477"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Personale del C.F.V.A.</w:t>
            </w:r>
          </w:p>
        </w:tc>
        <w:tc>
          <w:tcPr>
            <w:tcW w:w="2478"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Dotazione organica</w:t>
            </w:r>
          </w:p>
        </w:tc>
        <w:tc>
          <w:tcPr>
            <w:tcW w:w="2478"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Personale a tempo indeterminato</w:t>
            </w:r>
          </w:p>
        </w:tc>
        <w:tc>
          <w:tcPr>
            <w:tcW w:w="2478" w:type="dxa"/>
            <w:shd w:val="clear" w:color="auto" w:fill="0F243E" w:themeFill="text2" w:themeFillShade="80"/>
            <w:vAlign w:val="center"/>
          </w:tcPr>
          <w:p w:rsidR="003F08EF" w:rsidRPr="002F45C0" w:rsidRDefault="003F08EF" w:rsidP="003F08EF">
            <w:pPr>
              <w:jc w:val="center"/>
              <w:rPr>
                <w:rFonts w:ascii="Bodoni MT" w:hAnsi="Bodoni MT"/>
                <w:sz w:val="20"/>
                <w:szCs w:val="20"/>
              </w:rPr>
            </w:pPr>
            <w:r>
              <w:rPr>
                <w:rFonts w:ascii="Bodoni MT" w:hAnsi="Bodoni MT"/>
                <w:sz w:val="20"/>
                <w:szCs w:val="20"/>
              </w:rPr>
              <w:t>Scoperture</w:t>
            </w:r>
          </w:p>
        </w:tc>
      </w:tr>
      <w:tr w:rsidR="003F08EF" w:rsidRPr="003F08EF" w:rsidTr="003F08EF">
        <w:tc>
          <w:tcPr>
            <w:tcW w:w="2477" w:type="dxa"/>
            <w:shd w:val="clear" w:color="auto" w:fill="95B3D7" w:themeFill="accent1" w:themeFillTint="99"/>
            <w:vAlign w:val="center"/>
          </w:tcPr>
          <w:p w:rsidR="003F08EF" w:rsidRPr="003F08EF" w:rsidRDefault="003F08EF" w:rsidP="003F08EF">
            <w:pPr>
              <w:pStyle w:val="CdcTesto"/>
              <w:spacing w:after="0" w:line="240" w:lineRule="auto"/>
              <w:jc w:val="left"/>
              <w:rPr>
                <w:color w:val="FFFFFF" w:themeColor="background1"/>
                <w:sz w:val="20"/>
                <w:szCs w:val="20"/>
              </w:rPr>
            </w:pPr>
            <w:r>
              <w:rPr>
                <w:color w:val="FFFFFF" w:themeColor="background1"/>
                <w:sz w:val="20"/>
                <w:szCs w:val="20"/>
              </w:rPr>
              <w:t>AREA A</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975</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945</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-30</w:t>
            </w:r>
          </w:p>
        </w:tc>
      </w:tr>
      <w:tr w:rsidR="003F08EF" w:rsidRPr="003F08EF" w:rsidTr="00D54BB0">
        <w:tc>
          <w:tcPr>
            <w:tcW w:w="2477" w:type="dxa"/>
            <w:shd w:val="clear" w:color="auto" w:fill="95B3D7" w:themeFill="accent1" w:themeFillTint="99"/>
          </w:tcPr>
          <w:p w:rsidR="003F08EF" w:rsidRDefault="003F08EF" w:rsidP="003F08EF">
            <w:r w:rsidRPr="00F8356B">
              <w:rPr>
                <w:color w:val="FFFFFF" w:themeColor="background1"/>
                <w:sz w:val="20"/>
                <w:szCs w:val="20"/>
              </w:rPr>
              <w:t xml:space="preserve">AREA </w:t>
            </w:r>
            <w:r>
              <w:rPr>
                <w:color w:val="FFFFFF" w:themeColor="background1"/>
                <w:sz w:val="20"/>
                <w:szCs w:val="20"/>
              </w:rPr>
              <w:t>B</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325</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299</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-26</w:t>
            </w:r>
          </w:p>
        </w:tc>
      </w:tr>
      <w:tr w:rsidR="003F08EF" w:rsidRPr="003F08EF" w:rsidTr="00D54BB0">
        <w:tc>
          <w:tcPr>
            <w:tcW w:w="2477" w:type="dxa"/>
            <w:shd w:val="clear" w:color="auto" w:fill="95B3D7" w:themeFill="accent1" w:themeFillTint="99"/>
          </w:tcPr>
          <w:p w:rsidR="003F08EF" w:rsidRDefault="003F08EF" w:rsidP="003F08EF">
            <w:r w:rsidRPr="00F8356B">
              <w:rPr>
                <w:color w:val="FFFFFF" w:themeColor="background1"/>
                <w:sz w:val="20"/>
                <w:szCs w:val="20"/>
              </w:rPr>
              <w:t xml:space="preserve">AREA </w:t>
            </w:r>
            <w:r>
              <w:rPr>
                <w:color w:val="FFFFFF" w:themeColor="background1"/>
                <w:sz w:val="20"/>
                <w:szCs w:val="20"/>
              </w:rPr>
              <w:t>C</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80</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61</w:t>
            </w:r>
          </w:p>
        </w:tc>
        <w:tc>
          <w:tcPr>
            <w:tcW w:w="2478" w:type="dxa"/>
          </w:tcPr>
          <w:p w:rsidR="003F08EF" w:rsidRPr="003F08EF" w:rsidRDefault="003F08EF" w:rsidP="003F08EF">
            <w:pPr>
              <w:pStyle w:val="CdcTesto"/>
              <w:spacing w:after="0" w:line="240" w:lineRule="auto"/>
              <w:jc w:val="center"/>
              <w:rPr>
                <w:rFonts w:asciiTheme="minorHAnsi" w:hAnsiTheme="minorHAnsi"/>
                <w:sz w:val="20"/>
                <w:szCs w:val="20"/>
              </w:rPr>
            </w:pPr>
            <w:r w:rsidRPr="003F08EF">
              <w:rPr>
                <w:rFonts w:asciiTheme="minorHAnsi" w:hAnsiTheme="minorHAnsi"/>
                <w:sz w:val="20"/>
                <w:szCs w:val="20"/>
              </w:rPr>
              <w:t>-19</w:t>
            </w:r>
          </w:p>
        </w:tc>
      </w:tr>
      <w:tr w:rsidR="003F08EF" w:rsidRPr="003F08EF" w:rsidTr="003F08EF">
        <w:tc>
          <w:tcPr>
            <w:tcW w:w="2477" w:type="dxa"/>
            <w:shd w:val="clear" w:color="auto" w:fill="95B3D7" w:themeFill="accent1" w:themeFillTint="99"/>
            <w:vAlign w:val="center"/>
          </w:tcPr>
          <w:p w:rsidR="003F08EF" w:rsidRPr="003F08EF" w:rsidRDefault="003F08EF" w:rsidP="003F08EF">
            <w:pPr>
              <w:pStyle w:val="CdcTesto"/>
              <w:spacing w:after="0" w:line="240" w:lineRule="auto"/>
              <w:jc w:val="left"/>
              <w:rPr>
                <w:sz w:val="20"/>
                <w:szCs w:val="20"/>
              </w:rPr>
            </w:pPr>
            <w:r w:rsidRPr="003F08EF">
              <w:rPr>
                <w:color w:val="FFFFFF" w:themeColor="background1"/>
                <w:sz w:val="20"/>
                <w:szCs w:val="20"/>
              </w:rPr>
              <w:t>TOTALE</w:t>
            </w:r>
          </w:p>
        </w:tc>
        <w:tc>
          <w:tcPr>
            <w:tcW w:w="2478" w:type="dxa"/>
          </w:tcPr>
          <w:p w:rsidR="003F08EF" w:rsidRPr="003F08EF" w:rsidRDefault="003F08EF" w:rsidP="003F08EF">
            <w:pPr>
              <w:pStyle w:val="CdcTesto"/>
              <w:spacing w:after="0" w:line="240" w:lineRule="auto"/>
              <w:jc w:val="center"/>
              <w:rPr>
                <w:rFonts w:asciiTheme="minorHAnsi" w:hAnsiTheme="minorHAnsi"/>
                <w:b/>
                <w:sz w:val="20"/>
                <w:szCs w:val="20"/>
              </w:rPr>
            </w:pPr>
            <w:r w:rsidRPr="003F08EF">
              <w:rPr>
                <w:rFonts w:asciiTheme="minorHAnsi" w:hAnsiTheme="minorHAnsi"/>
                <w:b/>
                <w:sz w:val="20"/>
                <w:szCs w:val="20"/>
              </w:rPr>
              <w:t>1380</w:t>
            </w:r>
          </w:p>
        </w:tc>
        <w:tc>
          <w:tcPr>
            <w:tcW w:w="2478" w:type="dxa"/>
          </w:tcPr>
          <w:p w:rsidR="003F08EF" w:rsidRPr="003F08EF" w:rsidRDefault="003F08EF" w:rsidP="003F08EF">
            <w:pPr>
              <w:pStyle w:val="CdcTesto"/>
              <w:spacing w:after="0" w:line="240" w:lineRule="auto"/>
              <w:jc w:val="center"/>
              <w:rPr>
                <w:rFonts w:asciiTheme="minorHAnsi" w:hAnsiTheme="minorHAnsi"/>
                <w:b/>
                <w:sz w:val="20"/>
                <w:szCs w:val="20"/>
              </w:rPr>
            </w:pPr>
            <w:r w:rsidRPr="003F08EF">
              <w:rPr>
                <w:rFonts w:asciiTheme="minorHAnsi" w:hAnsiTheme="minorHAnsi"/>
                <w:b/>
                <w:sz w:val="20"/>
                <w:szCs w:val="20"/>
              </w:rPr>
              <w:t>1305</w:t>
            </w:r>
          </w:p>
        </w:tc>
        <w:tc>
          <w:tcPr>
            <w:tcW w:w="2478" w:type="dxa"/>
          </w:tcPr>
          <w:p w:rsidR="003F08EF" w:rsidRPr="003F08EF" w:rsidRDefault="003F08EF" w:rsidP="003F08EF">
            <w:pPr>
              <w:pStyle w:val="CdcTesto"/>
              <w:spacing w:after="0" w:line="240" w:lineRule="auto"/>
              <w:jc w:val="center"/>
              <w:rPr>
                <w:rFonts w:asciiTheme="minorHAnsi" w:hAnsiTheme="minorHAnsi"/>
                <w:b/>
                <w:sz w:val="20"/>
                <w:szCs w:val="20"/>
              </w:rPr>
            </w:pPr>
            <w:r w:rsidRPr="003F08EF">
              <w:rPr>
                <w:rFonts w:asciiTheme="minorHAnsi" w:hAnsiTheme="minorHAnsi"/>
                <w:b/>
                <w:sz w:val="20"/>
                <w:szCs w:val="20"/>
              </w:rPr>
              <w:t>-75</w:t>
            </w:r>
          </w:p>
        </w:tc>
      </w:tr>
    </w:tbl>
    <w:p w:rsidR="003F08EF" w:rsidRPr="003F08EF" w:rsidRDefault="003F08EF" w:rsidP="003F08EF">
      <w:pPr>
        <w:pStyle w:val="CdcTesto"/>
        <w:jc w:val="left"/>
        <w:rPr>
          <w:sz w:val="18"/>
          <w:szCs w:val="18"/>
        </w:rPr>
      </w:pPr>
      <w:r>
        <w:rPr>
          <w:sz w:val="18"/>
          <w:szCs w:val="18"/>
        </w:rPr>
        <w:t>Fonte: DGR 64/9 del 02.12.2016, all. n. 1</w:t>
      </w:r>
    </w:p>
    <w:p w:rsidR="008F0C14" w:rsidRDefault="00FA2BDB" w:rsidP="00820A82">
      <w:pPr>
        <w:pStyle w:val="CdcTesto"/>
      </w:pPr>
      <w:r>
        <w:lastRenderedPageBreak/>
        <w:t xml:space="preserve">Per quanto riguarda il </w:t>
      </w:r>
      <w:r w:rsidRPr="00587DC8">
        <w:rPr>
          <w:b/>
        </w:rPr>
        <w:t>personale dirigente</w:t>
      </w:r>
      <w:r>
        <w:t>, a</w:t>
      </w:r>
      <w:r w:rsidR="00820A82">
        <w:t>lla stessa data risu</w:t>
      </w:r>
      <w:r w:rsidR="00587DC8">
        <w:t xml:space="preserve">ltano complessivamente coperte </w:t>
      </w:r>
      <w:r w:rsidR="00820A82" w:rsidRPr="00587DC8">
        <w:rPr>
          <w:b/>
        </w:rPr>
        <w:t>136</w:t>
      </w:r>
      <w:r w:rsidR="00820A82">
        <w:t xml:space="preserve"> posizioni di dirigenti a tempo indeterminato o con incarichi di natura temporanea, a fronte della dotazione prevista di 147 posizioni.</w:t>
      </w:r>
    </w:p>
    <w:p w:rsidR="00587DC8" w:rsidRDefault="00820A82" w:rsidP="00820A82">
      <w:pPr>
        <w:pStyle w:val="CdcTesto"/>
      </w:pPr>
      <w:r>
        <w:t>La Regione dichiara</w:t>
      </w:r>
      <w:r>
        <w:rPr>
          <w:rStyle w:val="Rimandonotaapidipagina"/>
        </w:rPr>
        <w:footnoteReference w:id="168"/>
      </w:r>
      <w:r>
        <w:t xml:space="preserve"> di aver rispettato i limiti di spesa per il personale di cui all’art. 1 commi 557 e 557 quater legge n. 296/2006, provvedendo a ridurla con riferimento al valore medio della spesa sostenuta nel triennio precedente</w:t>
      </w:r>
      <w:r w:rsidR="00587DC8">
        <w:t xml:space="preserve"> di riferimento</w:t>
      </w:r>
      <w:r>
        <w:t xml:space="preserve">. </w:t>
      </w:r>
    </w:p>
    <w:p w:rsidR="00820A82" w:rsidRDefault="00820A82" w:rsidP="00820A82">
      <w:pPr>
        <w:pStyle w:val="CdcTesto"/>
      </w:pPr>
      <w:r>
        <w:t>Dichiara, inoltre, di aver ricompreso tra le componenti di</w:t>
      </w:r>
      <w:r w:rsidR="00587DC8">
        <w:t xml:space="preserve"> </w:t>
      </w:r>
      <w:r>
        <w:t>spesa quelle relative al personale iscritto nella c.d. “lista speciale ad esaurimento ex L.R. 42/1989”, secondo le indicazioni formulate dalla Corte dei conti in sede di parifica del rendiconto 2015.</w:t>
      </w:r>
    </w:p>
    <w:p w:rsidR="00820A82" w:rsidRDefault="00820A82" w:rsidP="00820A82">
      <w:pPr>
        <w:pStyle w:val="CdcTesto"/>
      </w:pPr>
      <w:r>
        <w:t xml:space="preserve">A tal fine </w:t>
      </w:r>
      <w:r w:rsidR="00587DC8">
        <w:t xml:space="preserve">la Regione </w:t>
      </w:r>
      <w:r>
        <w:t>produce dive</w:t>
      </w:r>
      <w:r w:rsidR="00587DC8">
        <w:t>rsi prospetti di quantificazione</w:t>
      </w:r>
      <w:r>
        <w:t xml:space="preserve"> delle spese complessive e delle componenti da sottrarre,</w:t>
      </w:r>
      <w:r w:rsidR="00587DC8">
        <w:t xml:space="preserve"> presentandole</w:t>
      </w:r>
      <w:r>
        <w:t xml:space="preserve"> secondo una base omogenea di calcolo annuale.</w:t>
      </w:r>
      <w:r w:rsidR="00587DC8">
        <w:t xml:space="preserve"> Nelle tabelle sottostanti si riportano le spese per il personale per il 2016 così come determinate ai fini della verifica del rispetto dei limiti prescritti, esposte nell’andamento triennale.</w:t>
      </w:r>
    </w:p>
    <w:p w:rsidR="008F0C14" w:rsidRDefault="004A7E6A" w:rsidP="004A7E6A">
      <w:pPr>
        <w:pStyle w:val="Didascalia"/>
      </w:pPr>
      <w:bookmarkStart w:id="293" w:name="_Toc507422535"/>
      <w:r>
        <w:t xml:space="preserve">Tabella </w:t>
      </w:r>
      <w:r w:rsidR="00B90472">
        <w:fldChar w:fldCharType="begin"/>
      </w:r>
      <w:r w:rsidR="00B90472">
        <w:instrText xml:space="preserve"> SEQ Tabella \* ARABIC </w:instrText>
      </w:r>
      <w:r w:rsidR="00B90472">
        <w:fldChar w:fldCharType="separate"/>
      </w:r>
      <w:r w:rsidR="008616B3">
        <w:rPr>
          <w:noProof/>
        </w:rPr>
        <w:t>67</w:t>
      </w:r>
      <w:r w:rsidR="00B90472">
        <w:rPr>
          <w:noProof/>
        </w:rPr>
        <w:fldChar w:fldCharType="end"/>
      </w:r>
      <w:r>
        <w:t xml:space="preserve"> -</w:t>
      </w:r>
      <w:r w:rsidR="00820A82">
        <w:t xml:space="preserve"> Spesa per il personale (al netto delle componenti da sottrarre)</w:t>
      </w:r>
      <w:bookmarkEnd w:id="293"/>
    </w:p>
    <w:tbl>
      <w:tblPr>
        <w:tblStyle w:val="Grigliatabella"/>
        <w:tblW w:w="5000" w:type="pct"/>
        <w:jc w:val="center"/>
        <w:tblLook w:val="04A0" w:firstRow="1" w:lastRow="0" w:firstColumn="1" w:lastColumn="0" w:noHBand="0" w:noVBand="1"/>
      </w:tblPr>
      <w:tblGrid>
        <w:gridCol w:w="2463"/>
        <w:gridCol w:w="2463"/>
        <w:gridCol w:w="2464"/>
        <w:gridCol w:w="2464"/>
      </w:tblGrid>
      <w:tr w:rsidR="00E57A80" w:rsidRPr="00E57A80" w:rsidTr="00E10BC3">
        <w:trPr>
          <w:jc w:val="center"/>
        </w:trPr>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media 2011-2013</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2014</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2015</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2016</w:t>
            </w:r>
          </w:p>
        </w:tc>
      </w:tr>
      <w:tr w:rsidR="00E57A80" w:rsidRPr="006462C2" w:rsidTr="006462C2">
        <w:trPr>
          <w:jc w:val="center"/>
        </w:trPr>
        <w:tc>
          <w:tcPr>
            <w:tcW w:w="1250" w:type="pct"/>
            <w:vAlign w:val="center"/>
          </w:tcPr>
          <w:p w:rsidR="00E57A80" w:rsidRPr="006462C2" w:rsidRDefault="00E57A80" w:rsidP="006462C2">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250.662.591,30</w:t>
            </w:r>
          </w:p>
        </w:tc>
        <w:tc>
          <w:tcPr>
            <w:tcW w:w="1250" w:type="pct"/>
            <w:vAlign w:val="center"/>
          </w:tcPr>
          <w:p w:rsidR="00E57A80" w:rsidRPr="006462C2" w:rsidRDefault="00E57A80" w:rsidP="006462C2">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228.156.771,22</w:t>
            </w:r>
          </w:p>
        </w:tc>
        <w:tc>
          <w:tcPr>
            <w:tcW w:w="1250" w:type="pct"/>
            <w:vAlign w:val="center"/>
          </w:tcPr>
          <w:p w:rsidR="00E57A80" w:rsidRPr="006462C2" w:rsidRDefault="00E57A80" w:rsidP="006462C2">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238.899.795,19</w:t>
            </w:r>
          </w:p>
        </w:tc>
        <w:tc>
          <w:tcPr>
            <w:tcW w:w="1250" w:type="pct"/>
            <w:vAlign w:val="center"/>
          </w:tcPr>
          <w:p w:rsidR="00E57A80" w:rsidRPr="006462C2" w:rsidRDefault="00E57A80" w:rsidP="006462C2">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235.800.774,43</w:t>
            </w:r>
          </w:p>
        </w:tc>
      </w:tr>
    </w:tbl>
    <w:p w:rsidR="00820A82" w:rsidRDefault="004A7E6A" w:rsidP="004A7E6A">
      <w:pPr>
        <w:pStyle w:val="Didascalia"/>
      </w:pPr>
      <w:bookmarkStart w:id="294" w:name="_Toc507422536"/>
      <w:r>
        <w:t xml:space="preserve">Tabella </w:t>
      </w:r>
      <w:r w:rsidR="00B90472">
        <w:fldChar w:fldCharType="begin"/>
      </w:r>
      <w:r w:rsidR="00B90472">
        <w:instrText xml:space="preserve"> SEQ Tabella \* ARABIC </w:instrText>
      </w:r>
      <w:r w:rsidR="00B90472">
        <w:fldChar w:fldCharType="separate"/>
      </w:r>
      <w:r w:rsidR="008616B3">
        <w:rPr>
          <w:noProof/>
        </w:rPr>
        <w:t>68</w:t>
      </w:r>
      <w:r w:rsidR="00B90472">
        <w:rPr>
          <w:noProof/>
        </w:rPr>
        <w:fldChar w:fldCharType="end"/>
      </w:r>
      <w:r w:rsidR="00E57A80">
        <w:t xml:space="preserve"> - Spesa per il personale (al netto delle componenti da sottrarre e dell’IRAP)</w:t>
      </w:r>
      <w:bookmarkEnd w:id="294"/>
    </w:p>
    <w:tbl>
      <w:tblPr>
        <w:tblStyle w:val="Grigliatabella"/>
        <w:tblW w:w="5000" w:type="pct"/>
        <w:jc w:val="center"/>
        <w:tblLook w:val="04A0" w:firstRow="1" w:lastRow="0" w:firstColumn="1" w:lastColumn="0" w:noHBand="0" w:noVBand="1"/>
      </w:tblPr>
      <w:tblGrid>
        <w:gridCol w:w="2463"/>
        <w:gridCol w:w="2463"/>
        <w:gridCol w:w="2464"/>
        <w:gridCol w:w="2464"/>
      </w:tblGrid>
      <w:tr w:rsidR="00E57A80" w:rsidTr="00E10BC3">
        <w:trPr>
          <w:jc w:val="center"/>
        </w:trPr>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media 2011-2013</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2014</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2015</w:t>
            </w:r>
          </w:p>
        </w:tc>
        <w:tc>
          <w:tcPr>
            <w:tcW w:w="1250" w:type="pct"/>
            <w:shd w:val="clear" w:color="auto" w:fill="0F243E" w:themeFill="text2" w:themeFillShade="80"/>
            <w:vAlign w:val="center"/>
          </w:tcPr>
          <w:p w:rsidR="00E57A80" w:rsidRPr="00E57A80" w:rsidRDefault="00E57A80" w:rsidP="00E57A80">
            <w:pPr>
              <w:pStyle w:val="CdcTesto"/>
              <w:spacing w:after="0"/>
              <w:jc w:val="center"/>
              <w:rPr>
                <w:color w:val="FFFFFF" w:themeColor="background1"/>
                <w:sz w:val="20"/>
                <w:szCs w:val="20"/>
              </w:rPr>
            </w:pPr>
            <w:r w:rsidRPr="00E57A80">
              <w:rPr>
                <w:color w:val="FFFFFF" w:themeColor="background1"/>
                <w:sz w:val="20"/>
                <w:szCs w:val="20"/>
              </w:rPr>
              <w:t>Spesa 2016</w:t>
            </w:r>
          </w:p>
        </w:tc>
      </w:tr>
      <w:tr w:rsidR="00E57A80" w:rsidRPr="006462C2" w:rsidTr="00E10BC3">
        <w:trPr>
          <w:jc w:val="center"/>
        </w:trPr>
        <w:tc>
          <w:tcPr>
            <w:tcW w:w="1250" w:type="pct"/>
            <w:vAlign w:val="center"/>
          </w:tcPr>
          <w:p w:rsidR="00E57A80" w:rsidRPr="006462C2" w:rsidRDefault="00E57A80" w:rsidP="00E10BC3">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238.844.733,34</w:t>
            </w:r>
          </w:p>
        </w:tc>
        <w:tc>
          <w:tcPr>
            <w:tcW w:w="1250" w:type="pct"/>
            <w:vAlign w:val="center"/>
          </w:tcPr>
          <w:p w:rsidR="00E57A80" w:rsidRPr="006462C2" w:rsidRDefault="00E57A80" w:rsidP="00E10BC3">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224.702.885,65</w:t>
            </w:r>
          </w:p>
        </w:tc>
        <w:tc>
          <w:tcPr>
            <w:tcW w:w="1250" w:type="pct"/>
            <w:vAlign w:val="center"/>
          </w:tcPr>
          <w:p w:rsidR="00E57A80" w:rsidRPr="006462C2" w:rsidRDefault="00E57A80" w:rsidP="00E10BC3">
            <w:pPr>
              <w:pStyle w:val="CdcTesto"/>
              <w:spacing w:after="0" w:line="240" w:lineRule="atLeast"/>
              <w:jc w:val="center"/>
              <w:rPr>
                <w:rFonts w:asciiTheme="minorHAnsi" w:hAnsiTheme="minorHAnsi" w:cstheme="minorHAnsi"/>
                <w:sz w:val="20"/>
                <w:szCs w:val="20"/>
              </w:rPr>
            </w:pPr>
            <w:r w:rsidRPr="006462C2">
              <w:rPr>
                <w:rFonts w:asciiTheme="minorHAnsi" w:hAnsiTheme="minorHAnsi" w:cstheme="minorHAnsi"/>
                <w:sz w:val="20"/>
                <w:szCs w:val="20"/>
              </w:rPr>
              <w:t>224.878.347,32</w:t>
            </w:r>
          </w:p>
        </w:tc>
        <w:tc>
          <w:tcPr>
            <w:tcW w:w="1250" w:type="pct"/>
            <w:vAlign w:val="center"/>
          </w:tcPr>
          <w:p w:rsidR="00E57A80" w:rsidRPr="006462C2" w:rsidRDefault="005B07C4" w:rsidP="00E10BC3">
            <w:pPr>
              <w:pStyle w:val="CdcTesto"/>
              <w:spacing w:after="0" w:line="240" w:lineRule="atLeast"/>
              <w:jc w:val="center"/>
              <w:rPr>
                <w:rFonts w:asciiTheme="minorHAnsi" w:hAnsiTheme="minorHAnsi" w:cstheme="minorHAnsi"/>
                <w:sz w:val="20"/>
                <w:szCs w:val="20"/>
              </w:rPr>
            </w:pPr>
            <w:r>
              <w:rPr>
                <w:rFonts w:asciiTheme="minorHAnsi" w:hAnsiTheme="minorHAnsi" w:cstheme="minorHAnsi"/>
                <w:sz w:val="20"/>
                <w:szCs w:val="20"/>
              </w:rPr>
              <w:t>2</w:t>
            </w:r>
            <w:r w:rsidR="00E57A80" w:rsidRPr="006462C2">
              <w:rPr>
                <w:rFonts w:asciiTheme="minorHAnsi" w:hAnsiTheme="minorHAnsi" w:cstheme="minorHAnsi"/>
                <w:sz w:val="20"/>
                <w:szCs w:val="20"/>
              </w:rPr>
              <w:t>22.097.007,30</w:t>
            </w:r>
          </w:p>
        </w:tc>
      </w:tr>
    </w:tbl>
    <w:p w:rsidR="00E57A80" w:rsidRDefault="00587DC8" w:rsidP="006462C2">
      <w:pPr>
        <w:pStyle w:val="CdcTesto"/>
        <w:spacing w:before="360"/>
      </w:pPr>
      <w:r>
        <w:t>Inoltre, l</w:t>
      </w:r>
      <w:r w:rsidR="00E57A80">
        <w:t xml:space="preserve">a Regione dichiara di aver disposto l’automatica riduzione dei </w:t>
      </w:r>
      <w:r w:rsidR="00E57A80" w:rsidRPr="00E57A80">
        <w:rPr>
          <w:b/>
        </w:rPr>
        <w:t>fondi destinati al trattamento accessorio</w:t>
      </w:r>
      <w:r w:rsidR="00E57A80">
        <w:rPr>
          <w:b/>
        </w:rPr>
        <w:t xml:space="preserve"> </w:t>
      </w:r>
      <w:r w:rsidR="00E57A80">
        <w:t xml:space="preserve">in proporzione alla diminuzione del personale in servizio, in ossequio alle disposizioni </w:t>
      </w:r>
      <w:r w:rsidR="00A06261">
        <w:t xml:space="preserve">vigenti </w:t>
      </w:r>
      <w:r w:rsidR="00E57A80">
        <w:t>(art. 1 comma 236 legge n. 208/2015).</w:t>
      </w:r>
    </w:p>
    <w:p w:rsidR="00E57A80" w:rsidRDefault="00E57A80" w:rsidP="00E57A80">
      <w:pPr>
        <w:pStyle w:val="CdcTesto"/>
      </w:pPr>
      <w:r>
        <w:t xml:space="preserve">Con riguardo all’applicazione data </w:t>
      </w:r>
      <w:r w:rsidR="00587DC8">
        <w:t>d</w:t>
      </w:r>
      <w:r>
        <w:t xml:space="preserve">alla Regione alle prescrizioni vigenti in materia di spesa per incarichi di </w:t>
      </w:r>
      <w:r w:rsidRPr="00D54BB0">
        <w:rPr>
          <w:b/>
        </w:rPr>
        <w:t>collaborazione co</w:t>
      </w:r>
      <w:r w:rsidR="00587DC8">
        <w:rPr>
          <w:b/>
        </w:rPr>
        <w:t xml:space="preserve">ordinata e continuativa (lavoro </w:t>
      </w:r>
      <w:r w:rsidRPr="00D54BB0">
        <w:rPr>
          <w:b/>
        </w:rPr>
        <w:t>flessibile)</w:t>
      </w:r>
      <w:r w:rsidR="00587DC8">
        <w:rPr>
          <w:b/>
        </w:rPr>
        <w:t>,</w:t>
      </w:r>
      <w:r>
        <w:t xml:space="preserve"> </w:t>
      </w:r>
      <w:r w:rsidR="00D54BB0">
        <w:t>la Corte dei conti ha già formulato osservazioni nell’ambito della parifica del rendiconto 2015.</w:t>
      </w:r>
    </w:p>
    <w:p w:rsidR="00D54BB0" w:rsidRPr="00FD5564" w:rsidRDefault="00D54BB0" w:rsidP="00E57A80">
      <w:pPr>
        <w:pStyle w:val="CdcTesto"/>
        <w:rPr>
          <w:i/>
        </w:rPr>
      </w:pPr>
      <w:r>
        <w:t>Sul punto la Regione</w:t>
      </w:r>
      <w:r w:rsidR="00587DC8">
        <w:t>, nel riproporre le proprie deduzioni già sottoposte alla Corte,</w:t>
      </w:r>
      <w:r>
        <w:t xml:space="preserve"> precisa ulteriormente “</w:t>
      </w:r>
      <w:r w:rsidRPr="00FD5564">
        <w:rPr>
          <w:i/>
        </w:rPr>
        <w:t>lo specifico nuovo limite introdotto dall’art. 14 del D.L. 66/2014</w:t>
      </w:r>
      <w:r w:rsidR="00A06261">
        <w:rPr>
          <w:i/>
        </w:rPr>
        <w:t xml:space="preserve"> </w:t>
      </w:r>
      <w:r w:rsidRPr="00FD5564">
        <w:rPr>
          <w:i/>
        </w:rPr>
        <w:t>è stato rispettato.</w:t>
      </w:r>
      <w:r w:rsidR="00A06261">
        <w:rPr>
          <w:i/>
        </w:rPr>
        <w:t xml:space="preserve"> </w:t>
      </w:r>
      <w:r w:rsidRPr="00FD5564">
        <w:rPr>
          <w:i/>
        </w:rPr>
        <w:t>La Regione non ha invece rispettato il limite di cui all’art. 9, comma 28, del D</w:t>
      </w:r>
      <w:r w:rsidR="006462C2">
        <w:rPr>
          <w:i/>
        </w:rPr>
        <w:t>.</w:t>
      </w:r>
      <w:r w:rsidRPr="00FD5564">
        <w:rPr>
          <w:i/>
        </w:rPr>
        <w:t>L</w:t>
      </w:r>
      <w:r w:rsidR="006462C2">
        <w:rPr>
          <w:i/>
        </w:rPr>
        <w:t>.</w:t>
      </w:r>
      <w:r w:rsidRPr="00FD5564">
        <w:rPr>
          <w:i/>
        </w:rPr>
        <w:t xml:space="preserve"> 78/2010, richiamato nel citato art. 14, riguardante i contratti di collaborazione coordinata e continuativa, per i </w:t>
      </w:r>
      <w:r w:rsidRPr="00FD5564">
        <w:rPr>
          <w:i/>
        </w:rPr>
        <w:lastRenderedPageBreak/>
        <w:t xml:space="preserve">quali è stato registrato uno scostamento di euro 518.832 rispetto al tetto di spesa </w:t>
      </w:r>
      <w:r w:rsidR="00A06261">
        <w:rPr>
          <w:i/>
        </w:rPr>
        <w:t xml:space="preserve">pari al 50% di quella sostenuta nel </w:t>
      </w:r>
      <w:r w:rsidRPr="00FD5564">
        <w:rPr>
          <w:i/>
        </w:rPr>
        <w:t>2009. Lo scostamento è dovuto al fatto che la differente interpretazione della norma, rispetto a quella data dalla Giunta regiona</w:t>
      </w:r>
      <w:r w:rsidR="00130B51">
        <w:rPr>
          <w:i/>
        </w:rPr>
        <w:t xml:space="preserve">le con le deliberazioni n. </w:t>
      </w:r>
      <w:r w:rsidR="00A06261">
        <w:rPr>
          <w:i/>
        </w:rPr>
        <w:t>13/</w:t>
      </w:r>
      <w:r w:rsidRPr="00FD5564">
        <w:rPr>
          <w:i/>
        </w:rPr>
        <w:t>10 del 15.03.2011 e n. 20/12 del 26.04.2011, è avvenuta nella parte finale dell’esercizio 2016 a seguito delle osservazioni espresse dalla Corte dei conti, in occasione della parifica del Rendiconto 2015: ciò non ha consentito alla struttura regionale di adeguare prontamente il livello di spesa già sostenuta.</w:t>
      </w:r>
    </w:p>
    <w:p w:rsidR="00D54BB0" w:rsidRDefault="00D54BB0" w:rsidP="00E57A80">
      <w:pPr>
        <w:pStyle w:val="CdcTesto"/>
      </w:pPr>
      <w:r w:rsidRPr="00FD5564">
        <w:rPr>
          <w:i/>
        </w:rPr>
        <w:t xml:space="preserve">A seguito del suddetto nuovo orientamento, in ordine all’applicazione della disposizione di cui all’articolo 9, </w:t>
      </w:r>
      <w:r w:rsidR="00FD5564" w:rsidRPr="00FD5564">
        <w:rPr>
          <w:i/>
        </w:rPr>
        <w:t>la Direzione generale dei Servizi finanziari, in data 23.11.2016, ha emanato una circolare applicativa che ha disposto la sospensione del perfezionamento di nuovi contratti a tempo determinato o con convezioni, ovvero di collaborazione coordinata e continuativa a valere sui fondi nazionali e regionali</w:t>
      </w:r>
      <w:r w:rsidR="00FD5564">
        <w:t xml:space="preserve">”. </w:t>
      </w:r>
    </w:p>
    <w:p w:rsidR="00FD5564" w:rsidRDefault="00FD5564" w:rsidP="00E57A80">
      <w:pPr>
        <w:pStyle w:val="CdcTesto"/>
      </w:pPr>
      <w:r>
        <w:t xml:space="preserve">In aderenza ai nuovi schemi contabili, l’allegato al rendiconto 19.9 espone analiticamente gli incarichi, gli impegni, i pagamenti, i </w:t>
      </w:r>
      <w:r w:rsidR="00281FFE">
        <w:t>riaccertamenti intervenuti, distinguendo per fonte le spese sostenute (Piano di rinascita, fon</w:t>
      </w:r>
      <w:r w:rsidR="00587DC8">
        <w:t>di comunitari</w:t>
      </w:r>
      <w:r w:rsidR="00281FFE">
        <w:t>, fondi statali, fondi regionali e per Assessorato).</w:t>
      </w:r>
    </w:p>
    <w:p w:rsidR="00604039" w:rsidRDefault="00281FFE" w:rsidP="00281FFE">
      <w:pPr>
        <w:pStyle w:val="CdcTesto"/>
      </w:pPr>
      <w:r w:rsidRPr="00587DC8">
        <w:rPr>
          <w:b/>
        </w:rPr>
        <w:t>La spesa complessiva indistinta</w:t>
      </w:r>
      <w:r>
        <w:t xml:space="preserve">, al netto dell’IRAP, per lavoro flessibile </w:t>
      </w:r>
      <w:r w:rsidR="00587DC8">
        <w:t>ammonta</w:t>
      </w:r>
      <w:r>
        <w:t xml:space="preserve"> a titolo di impegni </w:t>
      </w:r>
      <w:r w:rsidR="00470A45">
        <w:t xml:space="preserve">a </w:t>
      </w:r>
      <w:r w:rsidR="006462C2">
        <w:rPr>
          <w:b/>
        </w:rPr>
        <w:t xml:space="preserve">€ </w:t>
      </w:r>
      <w:r w:rsidRPr="00470A45">
        <w:rPr>
          <w:b/>
        </w:rPr>
        <w:t>4.614.690,49</w:t>
      </w:r>
      <w:r w:rsidRPr="00A06261">
        <w:rPr>
          <w:b/>
        </w:rPr>
        <w:t>, di cui pagati € 4.217.403,29</w:t>
      </w:r>
      <w:r w:rsidR="00A06261" w:rsidRPr="00A06261">
        <w:rPr>
          <w:b/>
        </w:rPr>
        <w:t xml:space="preserve"> </w:t>
      </w:r>
      <w:r w:rsidR="00A06261" w:rsidRPr="00470A45">
        <w:rPr>
          <w:b/>
        </w:rPr>
        <w:t>per n. 176 incarichi</w:t>
      </w:r>
      <w:r>
        <w:t xml:space="preserve">. </w:t>
      </w:r>
    </w:p>
    <w:p w:rsidR="00470A45" w:rsidRDefault="00281FFE" w:rsidP="00281FFE">
      <w:pPr>
        <w:pStyle w:val="CdcTesto"/>
      </w:pPr>
      <w:r>
        <w:t>Ai fini dell’osservanza del limite fissato dall’art. 9, comma 28 del D.L. 78/2010, l’importo totale della spesa impegnata per lavoro flessibile nel 2009 (ovvero l</w:t>
      </w:r>
      <w:r w:rsidR="00991FFC">
        <w:t>a spesa media del triennio 2007/</w:t>
      </w:r>
      <w:r>
        <w:t>2009) viene indicato dalla Regione in € 4.748.887</w:t>
      </w:r>
      <w:r w:rsidR="000C27DF">
        <w:t>,14 e il limite di spesa – così</w:t>
      </w:r>
      <w:r>
        <w:t xml:space="preserve"> come </w:t>
      </w:r>
      <w:r w:rsidR="00470A45">
        <w:t>normativamente</w:t>
      </w:r>
      <w:r w:rsidR="00130B51">
        <w:t xml:space="preserve"> previsto – viene indicato in € </w:t>
      </w:r>
      <w:r>
        <w:t>2.374.443,57.</w:t>
      </w:r>
    </w:p>
    <w:p w:rsidR="00281FFE" w:rsidRDefault="00281FFE" w:rsidP="00281FFE">
      <w:pPr>
        <w:pStyle w:val="CdcTesto"/>
      </w:pPr>
      <w:r>
        <w:t>I relativi prospetti vengono redatti anche secondo l’interpretazione cui è</w:t>
      </w:r>
      <w:r w:rsidR="00470A45">
        <w:t>, invece,</w:t>
      </w:r>
      <w:r>
        <w:t xml:space="preserve"> pervenuta la Region</w:t>
      </w:r>
      <w:r w:rsidR="00470A45">
        <w:t>e in materia di stabilizzazione, illustrata nei documenti in esame.</w:t>
      </w:r>
    </w:p>
    <w:p w:rsidR="00281FFE" w:rsidRDefault="00470A45" w:rsidP="00281FFE">
      <w:pPr>
        <w:pStyle w:val="CdcTesto"/>
      </w:pPr>
      <w:r>
        <w:t xml:space="preserve">A </w:t>
      </w:r>
      <w:r w:rsidR="00E71471">
        <w:t>fronte delle prosp</w:t>
      </w:r>
      <w:r>
        <w:t>ettazioni regionali, p</w:t>
      </w:r>
      <w:r w:rsidR="00281FFE">
        <w:t xml:space="preserve">ur tenendo conto degli slittamenti temporali che si sono determinati nell’approvazione dei rendiconti regionali e del tempo di cui sarebbe stato necessario disporre in sede amministrativo-gestionale per </w:t>
      </w:r>
      <w:r>
        <w:t>assumere misure</w:t>
      </w:r>
      <w:r w:rsidR="00281FFE">
        <w:t xml:space="preserve"> di </w:t>
      </w:r>
      <w:r>
        <w:t>adeguamento</w:t>
      </w:r>
      <w:r w:rsidR="00281FFE">
        <w:t xml:space="preserve"> alle osservazioni della Corte dei conti, si dev</w:t>
      </w:r>
      <w:r w:rsidR="000C27DF">
        <w:t xml:space="preserve">e </w:t>
      </w:r>
      <w:r w:rsidR="00643E80">
        <w:t>ribadire</w:t>
      </w:r>
      <w:r w:rsidR="00281FFE">
        <w:t xml:space="preserve"> </w:t>
      </w:r>
      <w:r w:rsidR="001C2295">
        <w:t xml:space="preserve">la </w:t>
      </w:r>
      <w:r w:rsidR="00281FFE">
        <w:t xml:space="preserve">necessità di assicurare </w:t>
      </w:r>
      <w:r w:rsidR="000C27DF" w:rsidRPr="006462C2">
        <w:t xml:space="preserve">in tema di </w:t>
      </w:r>
      <w:r w:rsidR="001C2295" w:rsidRPr="006462C2">
        <w:t xml:space="preserve">limiti di </w:t>
      </w:r>
      <w:r w:rsidR="000C27DF" w:rsidRPr="006462C2">
        <w:t xml:space="preserve">spesa per il lavoro </w:t>
      </w:r>
      <w:r w:rsidR="001C2295" w:rsidRPr="006462C2">
        <w:t xml:space="preserve">flessibile, </w:t>
      </w:r>
      <w:r w:rsidR="000C27DF" w:rsidRPr="006462C2">
        <w:t xml:space="preserve">il </w:t>
      </w:r>
      <w:r w:rsidR="00281FFE" w:rsidRPr="006462C2">
        <w:t xml:space="preserve">rispetto alle vigenti norme di contenimento finanziario. </w:t>
      </w:r>
      <w:r w:rsidRPr="006462C2">
        <w:t xml:space="preserve">Inoltre </w:t>
      </w:r>
      <w:r w:rsidR="00281FFE" w:rsidRPr="006462C2">
        <w:t xml:space="preserve">va </w:t>
      </w:r>
      <w:r w:rsidRPr="006462C2">
        <w:t>sottolineato</w:t>
      </w:r>
      <w:r w:rsidR="00281FFE">
        <w:t xml:space="preserve"> l’incremento di spesa che si registra a titolo di lavoro flessibile rispetto all’esercizio 2015 (4,</w:t>
      </w:r>
      <w:r w:rsidR="006462C2">
        <w:t>614</w:t>
      </w:r>
      <w:r w:rsidR="00281FFE">
        <w:t xml:space="preserve"> milioni di euro a fronte di 3,864 milioni nel 2015).</w:t>
      </w:r>
    </w:p>
    <w:p w:rsidR="000312E9" w:rsidRPr="005A13A3" w:rsidRDefault="000312E9" w:rsidP="005A13A3">
      <w:pPr>
        <w:pStyle w:val="CdcTesto"/>
      </w:pPr>
      <w:r w:rsidRPr="005A13A3">
        <w:t>Per quanto attiene ai limiti fissati alla spesa regionale per gli incarichi di consulenza, studio e ricerca, i prospetti recati dal citato Allegato 19.9 espongono</w:t>
      </w:r>
      <w:r w:rsidR="005A13A3">
        <w:t xml:space="preserve"> gli incarichi </w:t>
      </w:r>
      <w:r w:rsidR="005A13A3" w:rsidRPr="005A13A3">
        <w:t xml:space="preserve">per i quali non trovano </w:t>
      </w:r>
      <w:r w:rsidR="005A13A3" w:rsidRPr="005A13A3">
        <w:lastRenderedPageBreak/>
        <w:t>applicazione i limiti di spesa in argomento</w:t>
      </w:r>
      <w:r w:rsidRPr="005A13A3">
        <w:t xml:space="preserve">: a) n. 23 incarichi sostenuti con fondi regionali per impegni pari a </w:t>
      </w:r>
      <w:r w:rsidR="00F00825">
        <w:t xml:space="preserve">€ </w:t>
      </w:r>
      <w:r w:rsidRPr="005A13A3">
        <w:t>273.740,10; b) n. 13 incarichi sostenuti con fondi Comunitari e statali</w:t>
      </w:r>
      <w:r w:rsidR="005A13A3">
        <w:t xml:space="preserve"> per </w:t>
      </w:r>
      <w:r w:rsidR="00F00825">
        <w:t>€ </w:t>
      </w:r>
      <w:r w:rsidR="005A13A3">
        <w:t>102.731,99 di impegni</w:t>
      </w:r>
      <w:r w:rsidRPr="005A13A3">
        <w:t>.</w:t>
      </w:r>
    </w:p>
    <w:p w:rsidR="000312E9" w:rsidRPr="005A13A3" w:rsidRDefault="000312E9" w:rsidP="00991FFC">
      <w:pPr>
        <w:pStyle w:val="CdcTesto"/>
      </w:pPr>
      <w:r w:rsidRPr="005A13A3">
        <w:t xml:space="preserve">Per </w:t>
      </w:r>
      <w:r w:rsidR="005A13A3">
        <w:t>gli</w:t>
      </w:r>
      <w:r w:rsidRPr="005A13A3">
        <w:t xml:space="preserve"> impegni </w:t>
      </w:r>
      <w:r w:rsidR="005A13A3">
        <w:t xml:space="preserve">interessati </w:t>
      </w:r>
      <w:r w:rsidRPr="005A13A3">
        <w:t>(</w:t>
      </w:r>
      <w:r w:rsidR="00F00825">
        <w:t xml:space="preserve">€ </w:t>
      </w:r>
      <w:r w:rsidRPr="005A13A3">
        <w:t xml:space="preserve">273.740,10) i prospetti evidenziano, </w:t>
      </w:r>
      <w:r w:rsidR="005A13A3">
        <w:t>distintamente</w:t>
      </w:r>
      <w:r w:rsidRPr="005A13A3">
        <w:t>, il rispetto del limite del 20% della spesa sostenuta nel 2009</w:t>
      </w:r>
      <w:r w:rsidRPr="005A13A3">
        <w:rPr>
          <w:rStyle w:val="Rimandonotaapidipagina"/>
        </w:rPr>
        <w:footnoteReference w:id="169"/>
      </w:r>
      <w:r w:rsidRPr="005A13A3">
        <w:t xml:space="preserve"> (uguale a </w:t>
      </w:r>
      <w:r w:rsidR="00F00825">
        <w:t xml:space="preserve">€ </w:t>
      </w:r>
      <w:r w:rsidRPr="005A13A3">
        <w:t>435.972,39) e il rispetto del limite dell’1,4% della spesa per il personale dell’anno 2012</w:t>
      </w:r>
      <w:r w:rsidRPr="005A13A3">
        <w:rPr>
          <w:rStyle w:val="Rimandonotaapidipagina"/>
        </w:rPr>
        <w:footnoteReference w:id="170"/>
      </w:r>
      <w:r w:rsidRPr="005A13A3">
        <w:rPr>
          <w:vertAlign w:val="superscript"/>
        </w:rPr>
        <w:t xml:space="preserve"> </w:t>
      </w:r>
      <w:r w:rsidRPr="005A13A3">
        <w:t xml:space="preserve">(che era pari a </w:t>
      </w:r>
      <w:r w:rsidR="00F00825">
        <w:t xml:space="preserve">€ </w:t>
      </w:r>
      <w:r w:rsidRPr="005A13A3">
        <w:t>3.247.314,66).</w:t>
      </w:r>
    </w:p>
    <w:p w:rsidR="000312E9" w:rsidRPr="005A13A3" w:rsidRDefault="000312E9" w:rsidP="00991FFC">
      <w:pPr>
        <w:pStyle w:val="CdcTesto"/>
      </w:pPr>
      <w:r w:rsidRPr="005A13A3">
        <w:t>La spesa per incarichi di consulenza, studio e ricerca sostenuta con risorse regionali risulta in aumento rispetto a quella del 2015 che era pari a 156.636,25 euro.</w:t>
      </w:r>
    </w:p>
    <w:p w:rsidR="00604039" w:rsidRDefault="000312E9" w:rsidP="00991FFC">
      <w:pPr>
        <w:pStyle w:val="CdcTesto"/>
      </w:pPr>
      <w:r>
        <w:t>L</w:t>
      </w:r>
      <w:r w:rsidR="005E221B">
        <w:t>a spesa per il personale-esperto</w:t>
      </w:r>
      <w:r>
        <w:t xml:space="preserve"> del </w:t>
      </w:r>
      <w:r w:rsidRPr="005A13A3">
        <w:rPr>
          <w:b/>
        </w:rPr>
        <w:t>Centro Regionale di programmazione (CRP)</w:t>
      </w:r>
      <w:r w:rsidRPr="005A13A3">
        <w:t>,</w:t>
      </w:r>
      <w:r w:rsidR="005A13A3">
        <w:t xml:space="preserve"> assunto con contratti</w:t>
      </w:r>
      <w:r>
        <w:t xml:space="preserve"> di diritto privato</w:t>
      </w:r>
      <w:r w:rsidR="005A13A3">
        <w:t>,</w:t>
      </w:r>
      <w:r>
        <w:t xml:space="preserve"> non grava sul bilancio regionale, bensì sui fondi della contabilità speciale relativa al Piano di Rinascita (Legge 11 giugno 1962 n. 588 e legge 24 giugno 1974 n. 268). Il costo ammonta per </w:t>
      </w:r>
      <w:r w:rsidRPr="005A13A3">
        <w:rPr>
          <w:b/>
        </w:rPr>
        <w:t xml:space="preserve">n. 19 unità lavorative a </w:t>
      </w:r>
      <w:r w:rsidR="002A2FE9" w:rsidRPr="005A13A3">
        <w:rPr>
          <w:b/>
        </w:rPr>
        <w:t>€ 3.109.106,72</w:t>
      </w:r>
      <w:r w:rsidR="002A2FE9">
        <w:t>: trattasi di un costo unitario assai più elevato di quello necessario per il personale dirigente del ruolo regionale</w:t>
      </w:r>
      <w:r w:rsidR="002A2FE9">
        <w:rPr>
          <w:rStyle w:val="Rimandonotaapidipagina"/>
        </w:rPr>
        <w:footnoteReference w:id="171"/>
      </w:r>
      <w:r w:rsidR="002A2FE9">
        <w:t xml:space="preserve"> (circa 164 migliaia di euro contro 142 migliaia di euro di costo medio per i dirigenti del ruolo regionale).</w:t>
      </w:r>
    </w:p>
    <w:p w:rsidR="000312E9" w:rsidRDefault="000312E9" w:rsidP="00974611">
      <w:pPr>
        <w:spacing w:line="360" w:lineRule="auto"/>
        <w:jc w:val="both"/>
        <w:rPr>
          <w:rFonts w:ascii="Bodoni MT" w:hAnsi="Bodoni MT"/>
          <w:sz w:val="24"/>
          <w:szCs w:val="24"/>
        </w:rPr>
      </w:pPr>
    </w:p>
    <w:p w:rsidR="000312E9" w:rsidRDefault="000312E9" w:rsidP="00974611">
      <w:pPr>
        <w:spacing w:line="360" w:lineRule="auto"/>
        <w:jc w:val="both"/>
        <w:rPr>
          <w:rFonts w:ascii="Bodoni MT" w:hAnsi="Bodoni MT"/>
          <w:sz w:val="24"/>
          <w:szCs w:val="24"/>
        </w:rPr>
      </w:pPr>
    </w:p>
    <w:p w:rsidR="000312E9" w:rsidRDefault="000312E9" w:rsidP="00974611">
      <w:pPr>
        <w:spacing w:line="360" w:lineRule="auto"/>
        <w:jc w:val="both"/>
        <w:rPr>
          <w:rFonts w:ascii="Bodoni MT" w:hAnsi="Bodoni MT"/>
          <w:sz w:val="24"/>
          <w:szCs w:val="24"/>
        </w:rPr>
      </w:pPr>
    </w:p>
    <w:p w:rsidR="000312E9" w:rsidRDefault="000312E9" w:rsidP="00974611">
      <w:pPr>
        <w:spacing w:line="360" w:lineRule="auto"/>
        <w:jc w:val="both"/>
        <w:rPr>
          <w:rFonts w:ascii="Bodoni MT" w:hAnsi="Bodoni MT"/>
          <w:sz w:val="24"/>
          <w:szCs w:val="24"/>
        </w:rPr>
      </w:pPr>
    </w:p>
    <w:p w:rsidR="00E12A0A" w:rsidRDefault="00E12A0A" w:rsidP="00974611">
      <w:pPr>
        <w:spacing w:line="360" w:lineRule="auto"/>
        <w:jc w:val="both"/>
        <w:rPr>
          <w:rFonts w:ascii="Bodoni MT" w:hAnsi="Bodoni MT"/>
          <w:sz w:val="24"/>
          <w:szCs w:val="24"/>
        </w:rPr>
        <w:sectPr w:rsidR="00E12A0A" w:rsidSect="00CD34A0">
          <w:headerReference w:type="default" r:id="rId72"/>
          <w:type w:val="oddPage"/>
          <w:pgSz w:w="11906" w:h="16838"/>
          <w:pgMar w:top="1417" w:right="1134" w:bottom="1134" w:left="1134" w:header="708" w:footer="708" w:gutter="0"/>
          <w:cols w:space="708"/>
          <w:docGrid w:linePitch="360"/>
        </w:sectPr>
      </w:pPr>
    </w:p>
    <w:p w:rsidR="000312E9" w:rsidRDefault="00D507FA" w:rsidP="003E55B8">
      <w:pPr>
        <w:pStyle w:val="Titolo1"/>
      </w:pPr>
      <w:bookmarkStart w:id="295" w:name="_Toc507422670"/>
      <w:r>
        <w:lastRenderedPageBreak/>
        <w:t>L’AVANZAMENTO DELLA PROGRAMMAZIONE FINANZIATA CON FONDI COMUNITARI</w:t>
      </w:r>
      <w:bookmarkEnd w:id="295"/>
    </w:p>
    <w:p w:rsidR="00F4781C" w:rsidRPr="00E348A4" w:rsidRDefault="002B5DE9" w:rsidP="00130B51">
      <w:pPr>
        <w:jc w:val="both"/>
        <w:rPr>
          <w:rFonts w:ascii="Bodoni MT" w:hAnsi="Bodoni MT"/>
          <w:i/>
        </w:rPr>
      </w:pPr>
      <w:r>
        <w:rPr>
          <w:rFonts w:ascii="Bodoni MT" w:hAnsi="Bodoni MT"/>
          <w:i/>
        </w:rPr>
        <w:t>Sommario: 17</w:t>
      </w:r>
      <w:r w:rsidR="00F4781C">
        <w:rPr>
          <w:rFonts w:ascii="Bodoni MT" w:hAnsi="Bodoni MT"/>
          <w:i/>
        </w:rPr>
        <w:t>.1 L’abrogazione</w:t>
      </w:r>
      <w:r>
        <w:rPr>
          <w:rFonts w:ascii="Bodoni MT" w:hAnsi="Bodoni MT"/>
          <w:i/>
        </w:rPr>
        <w:t xml:space="preserve"> dell’Organismo strumentale – 17</w:t>
      </w:r>
      <w:r w:rsidR="00F4781C">
        <w:rPr>
          <w:rFonts w:ascii="Bodoni MT" w:hAnsi="Bodoni MT"/>
          <w:i/>
        </w:rPr>
        <w:t>.2 La gestione dei fondi comunitari, FSC, PAC e Patto per lo sviluppo della Regione Sardegna</w:t>
      </w:r>
    </w:p>
    <w:p w:rsidR="004526EF" w:rsidRDefault="001C2295" w:rsidP="004526EF">
      <w:pPr>
        <w:pStyle w:val="Titolo2"/>
      </w:pPr>
      <w:bookmarkStart w:id="296" w:name="_Toc507422671"/>
      <w:r w:rsidRPr="006462C2">
        <w:t>La soppressione</w:t>
      </w:r>
      <w:r>
        <w:t xml:space="preserve"> </w:t>
      </w:r>
      <w:r w:rsidR="004526EF">
        <w:t>dell’Organismo strumentale</w:t>
      </w:r>
      <w:bookmarkEnd w:id="296"/>
    </w:p>
    <w:p w:rsidR="004526EF" w:rsidRDefault="004526EF" w:rsidP="004526EF">
      <w:pPr>
        <w:pStyle w:val="CdcTesto"/>
      </w:pPr>
      <w:r>
        <w:t>Con riguardo alle fondamentali necessità di disporre di un quadro unitario di notizie circa l’avanzamento finanziario e fisico, (agevolmente consultabile e tracciabile) dei diversi programmi di spesa, la legge di stabilità 2016 (legge 208/2015 art. 1 comma 792 e seguenti) ha previsto che le regioni e le province autonome possono istituire un proprio “</w:t>
      </w:r>
      <w:r w:rsidRPr="00297549">
        <w:rPr>
          <w:b/>
        </w:rPr>
        <w:t>organismo strumentale per gli interventi europei</w:t>
      </w:r>
      <w:r>
        <w:t>”, dotato di autonomia gestionale e contabile, avente ad oggetto esclusivo la gestione degli interventi europei. Secondo la richiamata normativa, all’organismo strumentale si trasferiscono tutti i crediti e i debiti riguardanti le risorse europee e di cofinanziamento nazionale (verso la Ue e verso terzi) e allo stesso si intesta un conto di tesoreria unica appositamente istituito. La finalità di tale struttura appare evidente: disporre con immediatezza del quadro notizie afferenti l’avanzamento fisico e finanziario degli interventi programmati, tracciare con chiarezza i rapporti di credito/debito con la UE e con gli altri soggetti interessati (beneficiari o delegati all’attuazione), enucleare una gestione atta ad assicurare unitarietà e concentrazione alle attività, ovvero maggiore efficacia ed efficienza, potenziando in sostanza la responsabilizzazione sul conseguimento dei risultati a medio e lu</w:t>
      </w:r>
      <w:r w:rsidR="00554210">
        <w:t>ngo termine in capo ai soggetti gestori.</w:t>
      </w:r>
    </w:p>
    <w:p w:rsidR="004526EF" w:rsidRDefault="004526EF" w:rsidP="004526EF">
      <w:pPr>
        <w:pStyle w:val="CdcTesto"/>
      </w:pPr>
      <w:r>
        <w:t xml:space="preserve">Nella legge di stabilità per il 2016 (art. 2 L.R. 5/2016) la Regione </w:t>
      </w:r>
      <w:r w:rsidR="001C2295" w:rsidRPr="006462C2">
        <w:t>ha previsto</w:t>
      </w:r>
      <w:r>
        <w:t xml:space="preserve"> la costituzione di un “</w:t>
      </w:r>
      <w:r w:rsidRPr="00554210">
        <w:rPr>
          <w:b/>
        </w:rPr>
        <w:t>Organismo strumentale per gli interventi europei nella Regione</w:t>
      </w:r>
      <w:r>
        <w:t xml:space="preserve">”, </w:t>
      </w:r>
      <w:r w:rsidR="00554210">
        <w:t>disponendo che</w:t>
      </w:r>
      <w:r>
        <w:t xml:space="preserve"> nell’attività </w:t>
      </w:r>
      <w:r w:rsidR="00554210">
        <w:t xml:space="preserve">detto Organismo si avvarrà di beni e </w:t>
      </w:r>
      <w:r>
        <w:t>personale della Regione</w:t>
      </w:r>
      <w:r w:rsidR="00554210">
        <w:t>, ovvero senza oneri aggiuntivi sul bilancio regionale</w:t>
      </w:r>
      <w:r>
        <w:t>.</w:t>
      </w:r>
    </w:p>
    <w:p w:rsidR="004526EF" w:rsidRDefault="00554210" w:rsidP="004526EF">
      <w:pPr>
        <w:pStyle w:val="CdcTesto"/>
      </w:pPr>
      <w:r>
        <w:t>Con successiva deliberazione</w:t>
      </w:r>
      <w:r w:rsidR="004526EF">
        <w:rPr>
          <w:rStyle w:val="Rimandonotaapidipagina"/>
        </w:rPr>
        <w:footnoteReference w:id="172"/>
      </w:r>
      <w:r w:rsidR="004526EF">
        <w:t xml:space="preserve"> la Giunta regionale </w:t>
      </w:r>
      <w:r w:rsidR="001C2295" w:rsidRPr="006462C2">
        <w:t xml:space="preserve">ha espresso </w:t>
      </w:r>
      <w:r w:rsidR="004526EF" w:rsidRPr="006462C2">
        <w:t>du</w:t>
      </w:r>
      <w:r w:rsidR="00991FFC">
        <w:t>b</w:t>
      </w:r>
      <w:r w:rsidR="004526EF" w:rsidRPr="006462C2">
        <w:t>bi</w:t>
      </w:r>
      <w:r w:rsidR="001C2295" w:rsidRPr="006462C2">
        <w:t xml:space="preserve"> circ</w:t>
      </w:r>
      <w:r w:rsidR="004526EF" w:rsidRPr="006462C2">
        <w:t>a</w:t>
      </w:r>
      <w:r w:rsidR="001C2295">
        <w:t xml:space="preserve"> </w:t>
      </w:r>
      <w:r w:rsidR="004526EF">
        <w:t>l</w:t>
      </w:r>
      <w:r w:rsidR="001C2295">
        <w:t>’</w:t>
      </w:r>
      <w:r w:rsidR="004526EF">
        <w:t>opportunità di</w:t>
      </w:r>
      <w:r w:rsidR="00A06261">
        <w:t xml:space="preserve"> </w:t>
      </w:r>
      <w:r w:rsidR="004526EF">
        <w:t>tale istituzione</w:t>
      </w:r>
      <w:r w:rsidR="001C2295">
        <w:t>,</w:t>
      </w:r>
      <w:r w:rsidR="004526EF">
        <w:t xml:space="preserve"> </w:t>
      </w:r>
      <w:r>
        <w:t>dichiarando di voler evitare</w:t>
      </w:r>
      <w:r w:rsidR="004526EF">
        <w:t xml:space="preserve"> costi aggiunti</w:t>
      </w:r>
      <w:r>
        <w:t>vi di organizzazione/mantenimento.</w:t>
      </w:r>
      <w:r w:rsidR="004526EF">
        <w:t xml:space="preserve"> </w:t>
      </w:r>
      <w:r>
        <w:t>L</w:t>
      </w:r>
      <w:r w:rsidR="004526EF">
        <w:t xml:space="preserve">e argomentazioni contenute </w:t>
      </w:r>
      <w:r>
        <w:t xml:space="preserve">nella richiamata deliberazione risultano </w:t>
      </w:r>
      <w:r w:rsidR="004526EF">
        <w:t xml:space="preserve">sintomatiche </w:t>
      </w:r>
      <w:r>
        <w:t xml:space="preserve">circa </w:t>
      </w:r>
      <w:r w:rsidR="001C2295">
        <w:t xml:space="preserve">le </w:t>
      </w:r>
      <w:r w:rsidR="001C2295" w:rsidRPr="006462C2">
        <w:t>difficoltà</w:t>
      </w:r>
      <w:r>
        <w:t xml:space="preserve"> </w:t>
      </w:r>
      <w:r w:rsidR="004526EF">
        <w:t>all’access</w:t>
      </w:r>
      <w:r w:rsidR="002F3A4E">
        <w:t xml:space="preserve">o alle informazioni contabili </w:t>
      </w:r>
      <w:r w:rsidR="004526EF">
        <w:t xml:space="preserve">riguardanti la gestione dei fondi e dei </w:t>
      </w:r>
      <w:r w:rsidR="004526EF">
        <w:lastRenderedPageBreak/>
        <w:t>cofinanziamenti comunitari e statali,</w:t>
      </w:r>
      <w:r>
        <w:t xml:space="preserve"> poiché detti limiti vengono puntualmente riconosciuti formulando proposte per il loro successivo superamento.</w:t>
      </w:r>
    </w:p>
    <w:p w:rsidR="00554210" w:rsidRPr="006462C2" w:rsidRDefault="001C2295" w:rsidP="004526EF">
      <w:pPr>
        <w:pStyle w:val="CdcTesto"/>
      </w:pPr>
      <w:r w:rsidRPr="006462C2">
        <w:t xml:space="preserve">La </w:t>
      </w:r>
      <w:r w:rsidR="00554210" w:rsidRPr="006462C2">
        <w:t>Corte dei conti nel corso dei numerosi controlli specifici</w:t>
      </w:r>
      <w:r w:rsidRPr="006462C2">
        <w:t xml:space="preserve"> (le prime programmazioni UE risalgono agli anni 90’ POR 1994-1999)</w:t>
      </w:r>
      <w:r w:rsidR="00554210" w:rsidRPr="006462C2">
        <w:t xml:space="preserve">, </w:t>
      </w:r>
      <w:r w:rsidRPr="006462C2">
        <w:t xml:space="preserve">ha ripetutamente segnalato alla Regione l’esigenza di </w:t>
      </w:r>
      <w:r w:rsidR="007D6656" w:rsidRPr="006462C2">
        <w:t>a</w:t>
      </w:r>
      <w:r w:rsidR="00554210" w:rsidRPr="006462C2">
        <w:t>d</w:t>
      </w:r>
      <w:r w:rsidR="007D6656" w:rsidRPr="006462C2">
        <w:t>ottare m</w:t>
      </w:r>
      <w:r w:rsidR="00554210" w:rsidRPr="006462C2">
        <w:t>i</w:t>
      </w:r>
      <w:r w:rsidR="00792B2D">
        <w:t>sure per</w:t>
      </w:r>
      <w:r w:rsidR="00554210" w:rsidRPr="006462C2">
        <w:t xml:space="preserve"> poter agevolmente isolare in entrata e in uscita le risorse comunitarie di finanziamento </w:t>
      </w:r>
      <w:r w:rsidR="00C73365" w:rsidRPr="006462C2">
        <w:t xml:space="preserve">(o cofinanziamento) per inderogabili necessità di verifica del loro efficace andamento. Tali esigenze di </w:t>
      </w:r>
      <w:r w:rsidR="00B87297">
        <w:t>tracciabilità</w:t>
      </w:r>
      <w:r w:rsidR="00C73365" w:rsidRPr="006462C2">
        <w:t xml:space="preserve"> risultano ancor più preminenti in aderenza all’asserita impostazione unitaria dell’intera programmazione regionale di entrata e di spesa, secondo quanto ribadito in tutti i documenti di programmazione.</w:t>
      </w:r>
    </w:p>
    <w:p w:rsidR="00581817" w:rsidRPr="006462C2" w:rsidRDefault="00EF56DB" w:rsidP="004526EF">
      <w:pPr>
        <w:pStyle w:val="CdcTesto"/>
        <w:rPr>
          <w:i/>
        </w:rPr>
      </w:pPr>
      <w:r w:rsidRPr="006462C2">
        <w:rPr>
          <w:i/>
        </w:rPr>
        <w:t>“</w:t>
      </w:r>
      <w:r w:rsidR="00581817" w:rsidRPr="006462C2">
        <w:rPr>
          <w:i/>
        </w:rPr>
        <w:t>Dal confronto pare, infatti, emergere che la gran parte d</w:t>
      </w:r>
      <w:r w:rsidR="00A30B7B" w:rsidRPr="006462C2">
        <w:rPr>
          <w:i/>
        </w:rPr>
        <w:t>elle regioni non ha ancora attiv</w:t>
      </w:r>
      <w:r w:rsidR="00581817" w:rsidRPr="006462C2">
        <w:rPr>
          <w:i/>
        </w:rPr>
        <w:t>ato l’Organismo strumentale in questione, la cui concreta utilità era stata prevalentemente ravvisata solo qualora non fossero state accolte le proposte di modifica della legge n. 243/2012 nel</w:t>
      </w:r>
      <w:r w:rsidR="00A30B7B" w:rsidRPr="006462C2">
        <w:rPr>
          <w:i/>
        </w:rPr>
        <w:t xml:space="preserve"> </w:t>
      </w:r>
      <w:r w:rsidR="00581817" w:rsidRPr="006462C2">
        <w:rPr>
          <w:i/>
        </w:rPr>
        <w:t>senso della</w:t>
      </w:r>
      <w:r w:rsidR="00A30B7B" w:rsidRPr="006462C2">
        <w:rPr>
          <w:i/>
        </w:rPr>
        <w:t xml:space="preserve"> definitiva soppressione dell’o</w:t>
      </w:r>
      <w:r w:rsidR="00581817" w:rsidRPr="006462C2">
        <w:rPr>
          <w:i/>
        </w:rPr>
        <w:t>bbligo di</w:t>
      </w:r>
      <w:r w:rsidR="00A30B7B" w:rsidRPr="006462C2">
        <w:rPr>
          <w:i/>
        </w:rPr>
        <w:t xml:space="preserve"> </w:t>
      </w:r>
      <w:r w:rsidR="00581817" w:rsidRPr="006462C2">
        <w:rPr>
          <w:i/>
        </w:rPr>
        <w:t xml:space="preserve">cassa per i bilanci degli enti territoriali. </w:t>
      </w:r>
      <w:r w:rsidR="00A30B7B" w:rsidRPr="006462C2">
        <w:rPr>
          <w:i/>
        </w:rPr>
        <w:t xml:space="preserve">Tale </w:t>
      </w:r>
      <w:r w:rsidR="00581817" w:rsidRPr="006462C2">
        <w:rPr>
          <w:i/>
        </w:rPr>
        <w:t xml:space="preserve">modifica </w:t>
      </w:r>
      <w:r w:rsidR="00A30B7B" w:rsidRPr="006462C2">
        <w:rPr>
          <w:i/>
        </w:rPr>
        <w:t xml:space="preserve">è stata di recente approvata con legge n. 164 del 12.08.2016 (pubblicata in G.U. il 29.08.2016 ed entrata in vigore il 13.09.2016), escludendo definitivamente l’obbligo del pareggio di cassa. Ciò </w:t>
      </w:r>
      <w:r w:rsidR="00A06261" w:rsidRPr="006462C2">
        <w:rPr>
          <w:i/>
        </w:rPr>
        <w:t>consentirà</w:t>
      </w:r>
      <w:r w:rsidR="00A30B7B" w:rsidRPr="006462C2">
        <w:rPr>
          <w:i/>
        </w:rPr>
        <w:t>, quindi, di elidere in via definitiva gli effetti negativi sul saldo finale di cassa derivanti dalle discrasie temporali dei flussi di cassa provenienti dai cofinanziamenti statali ed europei legati alla gestione degli interventi comunitari…</w:t>
      </w:r>
      <w:r w:rsidR="007B4FB6" w:rsidRPr="006462C2">
        <w:rPr>
          <w:i/>
        </w:rPr>
        <w:t xml:space="preserve">Da cui consegue che, in luogo della realizzazione ex novo di un intero sistema di contabilità separata, gli stessi risultati possono essere raggiunti con l’implementazione nel sistema regionale contabile ora in uso (SAP) di un sistema di tracciabilità, sia per la parte di competenza (crediti/debiti) che di cassa (pagamenti/incassi), delle operazioni finanziarie </w:t>
      </w:r>
      <w:r w:rsidR="00A06261" w:rsidRPr="006462C2">
        <w:rPr>
          <w:i/>
        </w:rPr>
        <w:t xml:space="preserve">correlate </w:t>
      </w:r>
      <w:r w:rsidR="007B4FB6" w:rsidRPr="006462C2">
        <w:rPr>
          <w:i/>
        </w:rPr>
        <w:t>agli interventi finanziati da risorse europee</w:t>
      </w:r>
      <w:r w:rsidR="00B87297">
        <w:rPr>
          <w:i/>
        </w:rPr>
        <w:t>”</w:t>
      </w:r>
      <w:r w:rsidR="007B4FB6" w:rsidRPr="006462C2">
        <w:rPr>
          <w:i/>
        </w:rPr>
        <w:t>.</w:t>
      </w:r>
    </w:p>
    <w:p w:rsidR="00EF56DB" w:rsidRDefault="00EF56DB" w:rsidP="004526EF">
      <w:pPr>
        <w:pStyle w:val="CdcTesto"/>
      </w:pPr>
      <w:r w:rsidRPr="006462C2">
        <w:t>A</w:t>
      </w:r>
      <w:r w:rsidR="0029143F" w:rsidRPr="006462C2">
        <w:t xml:space="preserve"> seguito dell’abrogazione della norma istitutiva dell’organismo regionale da parte dell’art. 1 comma 3 della L.R. 2 dicembre 2016, n. 32</w:t>
      </w:r>
      <w:r w:rsidRPr="006462C2">
        <w:t>,</w:t>
      </w:r>
      <w:r>
        <w:t xml:space="preserve"> le discrasie evidenziat</w:t>
      </w:r>
      <w:r w:rsidR="002F3A4E">
        <w:t>e dalla stessa Giunta regionale</w:t>
      </w:r>
      <w:r>
        <w:t xml:space="preserve"> sopravvivono integralmente e danno esattamente conto delle difficoltà di ricostruire all’interno delle scritture di bilancio l’andamento dei flussi di risorse in questione, sia in fase programmatoria, sia, soprattutto, in fase consuntiva. Gli effetti ripetutamente evocati di vantaggio che conseguirebbero alla “</w:t>
      </w:r>
      <w:r w:rsidR="00A06261">
        <w:t>unitarietà</w:t>
      </w:r>
      <w:r>
        <w:t xml:space="preserve"> e concentrazione” delle risorse per il raggiungimento degli obiettivi di bilancio, non possono, </w:t>
      </w:r>
      <w:r w:rsidR="004C0147">
        <w:t>conseguentemente, trovare agevole verifica, come può constatarsi dalla lettura dei documenti messi a disposizione a corredo del rendiconto.</w:t>
      </w:r>
    </w:p>
    <w:p w:rsidR="00581817" w:rsidRDefault="00581817" w:rsidP="004526EF">
      <w:pPr>
        <w:pStyle w:val="CdcTesto"/>
      </w:pPr>
      <w:r>
        <w:lastRenderedPageBreak/>
        <w:t>Anche l’odierno quadro di notizie si presenta frammentario rispetto alle valutazioni di efficacia</w:t>
      </w:r>
      <w:r w:rsidR="002F3A4E">
        <w:t xml:space="preserve"> sostanziale che si dovrebbero </w:t>
      </w:r>
      <w:r w:rsidR="00A06261">
        <w:t>desumere</w:t>
      </w:r>
      <w:r w:rsidR="002F3A4E">
        <w:t xml:space="preserve"> </w:t>
      </w:r>
      <w:r>
        <w:t>dall’esame analitico dei quadri complessivi di entrata e di spesa del rendiconto.</w:t>
      </w:r>
    </w:p>
    <w:p w:rsidR="00EF1D29" w:rsidRDefault="00EF1D29" w:rsidP="00EF1D29">
      <w:pPr>
        <w:autoSpaceDE w:val="0"/>
        <w:autoSpaceDN w:val="0"/>
        <w:adjustRightInd w:val="0"/>
        <w:spacing w:after="120" w:line="360" w:lineRule="auto"/>
        <w:jc w:val="both"/>
        <w:textAlignment w:val="center"/>
        <w:rPr>
          <w:rFonts w:ascii="Bodoni MT" w:eastAsiaTheme="minorEastAsia" w:hAnsi="Bodoni MT" w:cs="Bodoni MT"/>
          <w:color w:val="000000"/>
          <w:sz w:val="24"/>
          <w:szCs w:val="24"/>
        </w:rPr>
      </w:pPr>
      <w:r>
        <w:rPr>
          <w:rFonts w:ascii="Bodoni MT" w:eastAsiaTheme="minorEastAsia" w:hAnsi="Bodoni MT" w:cs="Bodoni MT"/>
          <w:color w:val="000000"/>
          <w:sz w:val="24"/>
          <w:szCs w:val="24"/>
        </w:rPr>
        <w:t>In sede finale di controdeduzioni la Regione riferisce che “le regioni hanno presentato una proposta di emendamento all’art. 1, comma 793, della L. 208/15 e successivamente all’art. 1 comma 466 della L. 232/2016, finalizzata ad escludere dal pareggio gli effetti del trasferimento delle suddette risorse. A seguito della sentenza della Corte costituzionale 247 del 2017 è attualmente in corso una riflessione in ordine all’applicazione dei principi enunciati dalla Suprema Corte in merito alla possibilità per le regioni di utilizzare l’avanzo – sia questo libero che, a maggior ragione, quello vincolato – considerandolo tra le entrate finali ai fini del pareggio (art. 9, L. 243/2012 e s.m.i.).</w:t>
      </w:r>
    </w:p>
    <w:p w:rsidR="004526EF" w:rsidRDefault="004526EF" w:rsidP="00112261">
      <w:pPr>
        <w:pStyle w:val="Titolo2"/>
        <w:jc w:val="both"/>
      </w:pPr>
      <w:bookmarkStart w:id="297" w:name="_Toc507422672"/>
      <w:r>
        <w:t>La gesti</w:t>
      </w:r>
      <w:r w:rsidR="006066A2">
        <w:t>one dei fondi comunitari – FSC -</w:t>
      </w:r>
      <w:r w:rsidR="00112261">
        <w:t xml:space="preserve"> </w:t>
      </w:r>
      <w:r>
        <w:t>PAC</w:t>
      </w:r>
      <w:r w:rsidR="00112261">
        <w:t xml:space="preserve"> </w:t>
      </w:r>
      <w:r w:rsidR="006066A2">
        <w:t>-</w:t>
      </w:r>
      <w:r w:rsidR="00112261">
        <w:t xml:space="preserve"> Patto per lo sviluppo della Regione Sardegna</w:t>
      </w:r>
      <w:bookmarkEnd w:id="297"/>
    </w:p>
    <w:p w:rsidR="000312E9" w:rsidRDefault="0081013A" w:rsidP="00D507FA">
      <w:pPr>
        <w:pStyle w:val="CdcTesto"/>
      </w:pPr>
      <w:r>
        <w:t xml:space="preserve">La </w:t>
      </w:r>
      <w:r w:rsidR="00D507FA">
        <w:t>Regione fonda la propria manovra di bilancio sul principio della concentrazione e</w:t>
      </w:r>
      <w:r>
        <w:t>d</w:t>
      </w:r>
      <w:r w:rsidR="00D507FA">
        <w:t xml:space="preserve"> unitarietà delle risorse: il Programma Regionale di sviluppo </w:t>
      </w:r>
      <w:r w:rsidR="00224D74">
        <w:t xml:space="preserve">(PRS) e la Programmazione unitaria </w:t>
      </w:r>
      <w:r>
        <w:t>prevedono</w:t>
      </w:r>
      <w:r w:rsidR="00224D74">
        <w:t xml:space="preserve"> </w:t>
      </w:r>
      <w:r>
        <w:t>l’</w:t>
      </w:r>
      <w:r w:rsidR="00224D74">
        <w:t>articolazione di obiettivi avvalendosi di t</w:t>
      </w:r>
      <w:r>
        <w:t>utte le risorse finanziarie attiv</w:t>
      </w:r>
      <w:r w:rsidR="00224D74">
        <w:t xml:space="preserve">abili (concentrazione, integrazione e specializzazione delle risorse finanziarie). </w:t>
      </w:r>
      <w:r w:rsidR="00D627F4">
        <w:t xml:space="preserve">Al coordinamento, </w:t>
      </w:r>
      <w:r>
        <w:t xml:space="preserve">alla </w:t>
      </w:r>
      <w:r w:rsidR="00D627F4">
        <w:t xml:space="preserve">verifica e </w:t>
      </w:r>
      <w:r>
        <w:t xml:space="preserve">al </w:t>
      </w:r>
      <w:r w:rsidR="00D627F4">
        <w:t xml:space="preserve">monitoraggio dell’attuazione degli interventi </w:t>
      </w:r>
      <w:r w:rsidR="002260AC">
        <w:t xml:space="preserve">programmati, </w:t>
      </w:r>
      <w:r>
        <w:t>nonché all’</w:t>
      </w:r>
      <w:r w:rsidR="002260AC">
        <w:t xml:space="preserve">elaborazione </w:t>
      </w:r>
      <w:r>
        <w:t xml:space="preserve">di </w:t>
      </w:r>
      <w:r w:rsidR="002260AC">
        <w:t xml:space="preserve">documenti e </w:t>
      </w:r>
      <w:r>
        <w:t xml:space="preserve">di </w:t>
      </w:r>
      <w:r w:rsidR="002260AC">
        <w:t xml:space="preserve">proposte, </w:t>
      </w:r>
      <w:r>
        <w:t xml:space="preserve">alla </w:t>
      </w:r>
      <w:r w:rsidR="002260AC">
        <w:t>progettazione e</w:t>
      </w:r>
      <w:r>
        <w:t>d</w:t>
      </w:r>
      <w:r w:rsidR="002260AC">
        <w:t xml:space="preserve"> implementazione dei sistemi informatici ecc…</w:t>
      </w:r>
      <w:r w:rsidR="00B87297">
        <w:t xml:space="preserve"> </w:t>
      </w:r>
      <w:r w:rsidR="002260AC">
        <w:t xml:space="preserve">è preposta l’apposita </w:t>
      </w:r>
      <w:r w:rsidR="002260AC" w:rsidRPr="002260AC">
        <w:rPr>
          <w:b/>
          <w:i/>
        </w:rPr>
        <w:t>Unità di progetto di coordinamento tecnico per la programmazione unitaria</w:t>
      </w:r>
      <w:r w:rsidR="002260AC">
        <w:t>.</w:t>
      </w:r>
    </w:p>
    <w:p w:rsidR="002260AC" w:rsidRPr="002260AC" w:rsidRDefault="002260AC" w:rsidP="00D507FA">
      <w:pPr>
        <w:pStyle w:val="CdcTesto"/>
        <w:rPr>
          <w:b/>
          <w:i/>
        </w:rPr>
      </w:pPr>
      <w:r w:rsidRPr="002260AC">
        <w:rPr>
          <w:b/>
          <w:i/>
        </w:rPr>
        <w:t>L’Unità di progetto opera a supporto della Cabina di Regia della programmazione unitaria</w:t>
      </w:r>
      <w:r w:rsidRPr="002260AC">
        <w:rPr>
          <w:rStyle w:val="Rimandonotaapidipagina"/>
          <w:b/>
          <w:i/>
        </w:rPr>
        <w:footnoteReference w:id="173"/>
      </w:r>
      <w:r w:rsidRPr="002260AC">
        <w:rPr>
          <w:b/>
          <w:i/>
        </w:rPr>
        <w:t>.</w:t>
      </w:r>
    </w:p>
    <w:p w:rsidR="002260AC" w:rsidRDefault="0081013A" w:rsidP="00CD4593">
      <w:pPr>
        <w:pStyle w:val="CdcTesto"/>
        <w:spacing w:before="240"/>
      </w:pPr>
      <w:r>
        <w:t xml:space="preserve">In sede previsionale il </w:t>
      </w:r>
      <w:r w:rsidR="002260AC">
        <w:t xml:space="preserve">quadro delle finalità strategiche per il 2016 si avvale di circa 8,395 milioni di euro di cui </w:t>
      </w:r>
      <w:r w:rsidR="00BB2ABC">
        <w:t>1,054 milioni provenienti dalla Programmazione unitaria</w:t>
      </w:r>
      <w:r w:rsidR="00BB2ABC">
        <w:rPr>
          <w:rStyle w:val="Rimandonotaapidipagina"/>
        </w:rPr>
        <w:footnoteReference w:id="174"/>
      </w:r>
      <w:r w:rsidR="00BB2ABC">
        <w:t xml:space="preserve">, che comprende il POR 2013-2017, il PO 2014-2020, i fondi PAC (piano azione e coesione), i fondi FSC (fondo di sviluppo e coesione) e </w:t>
      </w:r>
      <w:r>
        <w:t xml:space="preserve">si </w:t>
      </w:r>
      <w:r w:rsidR="00BB2ABC">
        <w:t>sottolinea che “…</w:t>
      </w:r>
      <w:r w:rsidR="009B2ECC" w:rsidRPr="009B2ECC">
        <w:rPr>
          <w:i/>
        </w:rPr>
        <w:t xml:space="preserve">le risorse…di varia natura si fondono sinergicamente per </w:t>
      </w:r>
      <w:r w:rsidR="009B2ECC" w:rsidRPr="009B2ECC">
        <w:rPr>
          <w:i/>
        </w:rPr>
        <w:lastRenderedPageBreak/>
        <w:t>l’attuazione delle politiche. In altre parole non si può valutare l’ammontare delle risorse disponibili per una determinata politica guardando unicamente agli stanziamenti presenti nel bilancio regionale perché questo darebbe un quadro fortemente parziale e distorsivo</w:t>
      </w:r>
      <w:r w:rsidR="009B2ECC">
        <w:t>…”.</w:t>
      </w:r>
    </w:p>
    <w:p w:rsidR="009B2ECC" w:rsidRDefault="009B2ECC" w:rsidP="009B2ECC">
      <w:pPr>
        <w:pStyle w:val="CdcTesto"/>
        <w:spacing w:before="120"/>
      </w:pPr>
      <w:r>
        <w:t xml:space="preserve">A maggior chiarimento il </w:t>
      </w:r>
      <w:r w:rsidRPr="0081013A">
        <w:rPr>
          <w:b/>
        </w:rPr>
        <w:t>DEFR distingue e prevede</w:t>
      </w:r>
      <w:r>
        <w:t>:</w:t>
      </w:r>
    </w:p>
    <w:p w:rsidR="009B2ECC" w:rsidRDefault="00A956C8" w:rsidP="007D10C5">
      <w:pPr>
        <w:pStyle w:val="CdcTesto"/>
        <w:numPr>
          <w:ilvl w:val="0"/>
          <w:numId w:val="11"/>
        </w:numPr>
        <w:tabs>
          <w:tab w:val="left" w:pos="284"/>
        </w:tabs>
        <w:spacing w:before="120"/>
      </w:pPr>
      <w:r>
        <w:t>trasferimenti A</w:t>
      </w:r>
      <w:r w:rsidR="009B2ECC">
        <w:t xml:space="preserve">S, c/capitale FSC 2007-2013: </w:t>
      </w:r>
      <w:r w:rsidR="009B2ECC">
        <w:tab/>
      </w:r>
      <w:r w:rsidR="009B2ECC">
        <w:tab/>
        <w:t>109 milioni di euro;</w:t>
      </w:r>
    </w:p>
    <w:p w:rsidR="009B2ECC" w:rsidRDefault="009B2ECC" w:rsidP="007D10C5">
      <w:pPr>
        <w:pStyle w:val="CdcTesto"/>
        <w:numPr>
          <w:ilvl w:val="0"/>
          <w:numId w:val="11"/>
        </w:numPr>
        <w:tabs>
          <w:tab w:val="left" w:pos="284"/>
        </w:tabs>
        <w:spacing w:before="120"/>
      </w:pPr>
      <w:r>
        <w:t>trasferimenti AS, cofinanziamento P</w:t>
      </w:r>
      <w:r w:rsidR="00A06261">
        <w:t>OR 2014-2020</w:t>
      </w:r>
      <w:r>
        <w:t xml:space="preserve">: </w:t>
      </w:r>
      <w:r>
        <w:tab/>
        <w:t>44 milioni di euro;</w:t>
      </w:r>
    </w:p>
    <w:p w:rsidR="009B2ECC" w:rsidRDefault="009B2ECC" w:rsidP="007D10C5">
      <w:pPr>
        <w:pStyle w:val="CdcTesto"/>
        <w:numPr>
          <w:ilvl w:val="0"/>
          <w:numId w:val="11"/>
        </w:numPr>
        <w:tabs>
          <w:tab w:val="left" w:pos="284"/>
        </w:tabs>
        <w:spacing w:before="120"/>
      </w:pPr>
      <w:r>
        <w:t xml:space="preserve">trasferimenti UE (Tit. IV), POR 2014-2020: </w:t>
      </w:r>
      <w:r>
        <w:tab/>
      </w:r>
      <w:r>
        <w:tab/>
        <w:t>71 milioni di euro;</w:t>
      </w:r>
    </w:p>
    <w:p w:rsidR="009B2ECC" w:rsidRPr="002260AC" w:rsidRDefault="009B2ECC" w:rsidP="007D10C5">
      <w:pPr>
        <w:pStyle w:val="CdcTesto"/>
        <w:numPr>
          <w:ilvl w:val="0"/>
          <w:numId w:val="11"/>
        </w:numPr>
        <w:tabs>
          <w:tab w:val="left" w:pos="284"/>
        </w:tabs>
        <w:spacing w:before="120"/>
      </w:pPr>
      <w:r>
        <w:t>trasferimenti UE correnti (Tit. II):</w:t>
      </w:r>
      <w:r>
        <w:tab/>
      </w:r>
      <w:r>
        <w:tab/>
      </w:r>
      <w:r>
        <w:tab/>
        <w:t>35 milioni di euro.</w:t>
      </w:r>
    </w:p>
    <w:p w:rsidR="000312E9" w:rsidRDefault="009B2ECC" w:rsidP="00C96DEC">
      <w:pPr>
        <w:pStyle w:val="CdcTesto"/>
      </w:pPr>
      <w:r>
        <w:t>Dal prospetto che segue</w:t>
      </w:r>
      <w:r w:rsidR="0081013A">
        <w:t>, pervenuto in sede di verifica istruttoria,</w:t>
      </w:r>
      <w:r>
        <w:t xml:space="preserve"> si ricava che al 31.12.2016 sono state ancora certificate spese a valere sulla programmazione </w:t>
      </w:r>
      <w:r w:rsidR="00991FFC">
        <w:t>2007/</w:t>
      </w:r>
      <w:r w:rsidR="00F30A4B">
        <w:t>2013, mentre nessuna spesa risulta certificata a v</w:t>
      </w:r>
      <w:r w:rsidR="00991FFC">
        <w:t>alere sulla programmazione 2014/</w:t>
      </w:r>
      <w:r w:rsidR="00F30A4B">
        <w:t>2020.</w:t>
      </w:r>
    </w:p>
    <w:p w:rsidR="00F30A4B" w:rsidRDefault="00F30A4B" w:rsidP="00C96DEC">
      <w:pPr>
        <w:pStyle w:val="CdcTesto"/>
      </w:pPr>
      <w:r>
        <w:t>Inoltre, come può osservars</w:t>
      </w:r>
      <w:r w:rsidR="009009AC">
        <w:t>i, i rimborsi UE effettivamente riconosciuti</w:t>
      </w:r>
      <w:r>
        <w:t xml:space="preserve"> risultano di importo inferiore rispetto alle richieste regionali di rimborso (ovvero </w:t>
      </w:r>
      <w:r w:rsidR="009009AC">
        <w:t xml:space="preserve">rispetto </w:t>
      </w:r>
      <w:r>
        <w:t>alle spese ritenute in sede regionale certificabili</w:t>
      </w:r>
      <w:r w:rsidR="009009AC">
        <w:t xml:space="preserve"> e presentate come tali a rimborso</w:t>
      </w:r>
      <w:r>
        <w:t>).</w:t>
      </w:r>
    </w:p>
    <w:p w:rsidR="00F30A4B" w:rsidRDefault="009009AC" w:rsidP="00C96DEC">
      <w:pPr>
        <w:pStyle w:val="CdcTesto"/>
      </w:pPr>
      <w:r>
        <w:t xml:space="preserve">Con riguardo </w:t>
      </w:r>
      <w:r w:rsidR="0029143F">
        <w:t>a</w:t>
      </w:r>
      <w:r>
        <w:t xml:space="preserve">gli interventi </w:t>
      </w:r>
      <w:r w:rsidR="00F30A4B">
        <w:t>relativi</w:t>
      </w:r>
      <w:r w:rsidR="00C96DEC">
        <w:t xml:space="preserve"> alla nuova programmazione 2014/</w:t>
      </w:r>
      <w:r w:rsidR="00F30A4B">
        <w:t>202</w:t>
      </w:r>
      <w:r>
        <w:t>0</w:t>
      </w:r>
      <w:r w:rsidR="00A956C8">
        <w:t>,</w:t>
      </w:r>
      <w:r>
        <w:t xml:space="preserve"> </w:t>
      </w:r>
      <w:r w:rsidR="0029143F">
        <w:t xml:space="preserve">si </w:t>
      </w:r>
      <w:r w:rsidR="00F30A4B">
        <w:t xml:space="preserve">deve </w:t>
      </w:r>
      <w:r>
        <w:t>constatare</w:t>
      </w:r>
      <w:r w:rsidR="00F30A4B">
        <w:t xml:space="preserve"> </w:t>
      </w:r>
      <w:r w:rsidR="00B87297">
        <w:t>che</w:t>
      </w:r>
      <w:r w:rsidR="00F30A4B">
        <w:t xml:space="preserve"> nessuna spesa è </w:t>
      </w:r>
      <w:r>
        <w:t xml:space="preserve">ancora </w:t>
      </w:r>
      <w:r w:rsidR="00F30A4B">
        <w:t xml:space="preserve">certificabile (presentabile a rimborso) e vengono erogati </w:t>
      </w:r>
      <w:r>
        <w:t>importi a titolo provvisorio di mero anticipo</w:t>
      </w:r>
      <w:r w:rsidR="00F30A4B">
        <w:t>.</w:t>
      </w:r>
    </w:p>
    <w:p w:rsidR="000312E9" w:rsidRDefault="004A7E6A" w:rsidP="00C96DEC">
      <w:pPr>
        <w:pStyle w:val="Didascalia"/>
        <w:spacing w:before="0"/>
        <w:rPr>
          <w:sz w:val="24"/>
          <w:szCs w:val="24"/>
        </w:rPr>
      </w:pPr>
      <w:bookmarkStart w:id="298" w:name="_Toc507422537"/>
      <w:r>
        <w:t xml:space="preserve">Tabella </w:t>
      </w:r>
      <w:r w:rsidR="00B90472">
        <w:fldChar w:fldCharType="begin"/>
      </w:r>
      <w:r w:rsidR="00B90472">
        <w:instrText xml:space="preserve"> SEQ Tabella \* ARABIC </w:instrText>
      </w:r>
      <w:r w:rsidR="00B90472">
        <w:fldChar w:fldCharType="separate"/>
      </w:r>
      <w:r w:rsidR="008616B3">
        <w:rPr>
          <w:noProof/>
        </w:rPr>
        <w:t>69</w:t>
      </w:r>
      <w:r w:rsidR="00B90472">
        <w:rPr>
          <w:noProof/>
        </w:rPr>
        <w:fldChar w:fldCharType="end"/>
      </w:r>
      <w:r w:rsidR="00F30A4B">
        <w:t xml:space="preserve"> </w:t>
      </w:r>
      <w:r w:rsidR="00B573F9">
        <w:t>–</w:t>
      </w:r>
      <w:r w:rsidR="00F30A4B">
        <w:t xml:space="preserve"> </w:t>
      </w:r>
      <w:r w:rsidR="00B573F9">
        <w:t>Stato di avanzamento finanziario</w:t>
      </w:r>
      <w:bookmarkEnd w:id="298"/>
    </w:p>
    <w:tbl>
      <w:tblPr>
        <w:tblStyle w:val="Grigliatabella"/>
        <w:tblW w:w="5000" w:type="pct"/>
        <w:jc w:val="center"/>
        <w:tblLook w:val="04A0" w:firstRow="1" w:lastRow="0" w:firstColumn="1" w:lastColumn="0" w:noHBand="0" w:noVBand="1"/>
      </w:tblPr>
      <w:tblGrid>
        <w:gridCol w:w="4927"/>
        <w:gridCol w:w="4927"/>
      </w:tblGrid>
      <w:tr w:rsidR="00F30A4B" w:rsidRPr="00F30A4B" w:rsidTr="00EE3D0D">
        <w:trPr>
          <w:jc w:val="center"/>
        </w:trPr>
        <w:tc>
          <w:tcPr>
            <w:tcW w:w="5000" w:type="pct"/>
            <w:gridSpan w:val="2"/>
            <w:shd w:val="clear" w:color="auto" w:fill="0F243E" w:themeFill="text2" w:themeFillShade="80"/>
            <w:vAlign w:val="center"/>
          </w:tcPr>
          <w:p w:rsidR="00F30A4B" w:rsidRPr="00F30A4B" w:rsidRDefault="00F30A4B" w:rsidP="00EE3D0D">
            <w:pPr>
              <w:jc w:val="center"/>
              <w:rPr>
                <w:rFonts w:ascii="Bodoni MT" w:hAnsi="Bodoni MT"/>
                <w:sz w:val="20"/>
                <w:szCs w:val="20"/>
              </w:rPr>
            </w:pPr>
            <w:r>
              <w:rPr>
                <w:rFonts w:ascii="Bodoni MT" w:hAnsi="Bodoni MT"/>
                <w:sz w:val="20"/>
                <w:szCs w:val="20"/>
              </w:rPr>
              <w:t>P.O. FESR 2007/2013</w:t>
            </w:r>
          </w:p>
        </w:tc>
      </w:tr>
      <w:tr w:rsidR="00F30A4B" w:rsidRPr="00F30A4B" w:rsidTr="00EE3D0D">
        <w:trPr>
          <w:jc w:val="center"/>
        </w:trPr>
        <w:tc>
          <w:tcPr>
            <w:tcW w:w="2500" w:type="pct"/>
            <w:shd w:val="clear" w:color="auto" w:fill="95B3D7" w:themeFill="accent1" w:themeFillTint="99"/>
            <w:vAlign w:val="center"/>
          </w:tcPr>
          <w:p w:rsidR="00F30A4B" w:rsidRPr="00F30A4B" w:rsidRDefault="00F30A4B"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Spese certificate al 31/12/2016</w:t>
            </w:r>
          </w:p>
        </w:tc>
        <w:tc>
          <w:tcPr>
            <w:tcW w:w="2500" w:type="pct"/>
            <w:shd w:val="clear" w:color="auto" w:fill="95B3D7" w:themeFill="accent1" w:themeFillTint="99"/>
            <w:vAlign w:val="center"/>
          </w:tcPr>
          <w:p w:rsidR="00F30A4B" w:rsidRPr="00F30A4B" w:rsidRDefault="00F30A4B"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Entrate riscosse al 31/12/2016</w:t>
            </w:r>
            <w:r w:rsidR="00EE3D0D">
              <w:rPr>
                <w:rFonts w:ascii="Bodoni MT" w:hAnsi="Bodoni MT"/>
                <w:color w:val="FFFFFF" w:themeColor="background1"/>
                <w:sz w:val="20"/>
                <w:szCs w:val="20"/>
              </w:rPr>
              <w:t>*</w:t>
            </w:r>
          </w:p>
        </w:tc>
      </w:tr>
      <w:tr w:rsidR="00F30A4B" w:rsidRPr="00F30A4B" w:rsidTr="00B573F9">
        <w:trPr>
          <w:trHeight w:val="218"/>
          <w:jc w:val="center"/>
        </w:trPr>
        <w:tc>
          <w:tcPr>
            <w:tcW w:w="2500" w:type="pct"/>
            <w:vAlign w:val="center"/>
          </w:tcPr>
          <w:p w:rsidR="00F30A4B" w:rsidRPr="00F30A4B" w:rsidRDefault="00F30A4B" w:rsidP="00E10BC3">
            <w:pPr>
              <w:spacing w:line="160" w:lineRule="atLeast"/>
              <w:jc w:val="center"/>
              <w:rPr>
                <w:rFonts w:ascii="Bodoni MT" w:hAnsi="Bodoni MT"/>
                <w:b/>
                <w:sz w:val="20"/>
                <w:szCs w:val="20"/>
              </w:rPr>
            </w:pPr>
            <w:r w:rsidRPr="00F30A4B">
              <w:rPr>
                <w:rFonts w:ascii="Bodoni MT" w:hAnsi="Bodoni MT"/>
                <w:b/>
                <w:sz w:val="20"/>
                <w:szCs w:val="20"/>
              </w:rPr>
              <w:t>1.374.400.631,40</w:t>
            </w:r>
          </w:p>
        </w:tc>
        <w:tc>
          <w:tcPr>
            <w:tcW w:w="2500" w:type="pct"/>
            <w:vAlign w:val="center"/>
          </w:tcPr>
          <w:p w:rsidR="00F30A4B" w:rsidRPr="00EE3D0D" w:rsidRDefault="00F30A4B" w:rsidP="00E10BC3">
            <w:pPr>
              <w:spacing w:line="160" w:lineRule="atLeast"/>
              <w:jc w:val="center"/>
              <w:rPr>
                <w:rFonts w:ascii="Bodoni MT" w:hAnsi="Bodoni MT"/>
                <w:b/>
                <w:sz w:val="20"/>
                <w:szCs w:val="20"/>
              </w:rPr>
            </w:pPr>
            <w:r w:rsidRPr="00EE3D0D">
              <w:rPr>
                <w:rFonts w:ascii="Bodoni MT" w:hAnsi="Bodoni MT"/>
                <w:b/>
                <w:sz w:val="20"/>
                <w:szCs w:val="20"/>
              </w:rPr>
              <w:t>1.021.955.223,86</w:t>
            </w:r>
          </w:p>
        </w:tc>
      </w:tr>
    </w:tbl>
    <w:p w:rsidR="00112261" w:rsidRDefault="00112261" w:rsidP="00C96DEC">
      <w:pPr>
        <w:spacing w:after="0" w:line="240" w:lineRule="auto"/>
      </w:pPr>
    </w:p>
    <w:tbl>
      <w:tblPr>
        <w:tblStyle w:val="Grigliatabella"/>
        <w:tblW w:w="5000" w:type="pct"/>
        <w:jc w:val="center"/>
        <w:tblLook w:val="04A0" w:firstRow="1" w:lastRow="0" w:firstColumn="1" w:lastColumn="0" w:noHBand="0" w:noVBand="1"/>
      </w:tblPr>
      <w:tblGrid>
        <w:gridCol w:w="4927"/>
        <w:gridCol w:w="4927"/>
      </w:tblGrid>
      <w:tr w:rsidR="00F30A4B" w:rsidRPr="00F30A4B" w:rsidTr="00EE3D0D">
        <w:trPr>
          <w:jc w:val="center"/>
        </w:trPr>
        <w:tc>
          <w:tcPr>
            <w:tcW w:w="5000" w:type="pct"/>
            <w:gridSpan w:val="2"/>
            <w:shd w:val="clear" w:color="auto" w:fill="0F243E" w:themeFill="text2" w:themeFillShade="80"/>
            <w:vAlign w:val="center"/>
          </w:tcPr>
          <w:p w:rsidR="00F30A4B" w:rsidRPr="00EE3D0D" w:rsidRDefault="00F30A4B" w:rsidP="00EE3D0D">
            <w:pPr>
              <w:jc w:val="center"/>
              <w:rPr>
                <w:rFonts w:ascii="Bodoni MT" w:hAnsi="Bodoni MT"/>
                <w:b/>
                <w:sz w:val="20"/>
                <w:szCs w:val="20"/>
              </w:rPr>
            </w:pPr>
            <w:r w:rsidRPr="00EE3D0D">
              <w:rPr>
                <w:rFonts w:ascii="Bodoni MT" w:hAnsi="Bodoni MT"/>
                <w:b/>
                <w:sz w:val="20"/>
                <w:szCs w:val="20"/>
              </w:rPr>
              <w:t>P</w:t>
            </w:r>
            <w:r w:rsidR="00EE3D0D">
              <w:rPr>
                <w:rFonts w:ascii="Bodoni MT" w:hAnsi="Bodoni MT"/>
                <w:b/>
                <w:sz w:val="20"/>
                <w:szCs w:val="20"/>
              </w:rPr>
              <w:t>.O. FESR 2014</w:t>
            </w:r>
            <w:r w:rsidRPr="00EE3D0D">
              <w:rPr>
                <w:rFonts w:ascii="Bodoni MT" w:hAnsi="Bodoni MT"/>
                <w:b/>
                <w:sz w:val="20"/>
                <w:szCs w:val="20"/>
              </w:rPr>
              <w:t>/2020</w:t>
            </w:r>
          </w:p>
        </w:tc>
      </w:tr>
      <w:tr w:rsidR="00F30A4B" w:rsidRPr="00F30A4B" w:rsidTr="00EE3D0D">
        <w:trPr>
          <w:jc w:val="center"/>
        </w:trPr>
        <w:tc>
          <w:tcPr>
            <w:tcW w:w="2500" w:type="pct"/>
            <w:shd w:val="clear" w:color="auto" w:fill="95B3D7" w:themeFill="accent1" w:themeFillTint="99"/>
            <w:vAlign w:val="center"/>
          </w:tcPr>
          <w:p w:rsidR="00F30A4B" w:rsidRPr="00F30A4B" w:rsidRDefault="00F30A4B"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Spese certificate al 31/12/2016</w:t>
            </w:r>
          </w:p>
        </w:tc>
        <w:tc>
          <w:tcPr>
            <w:tcW w:w="2500" w:type="pct"/>
            <w:shd w:val="clear" w:color="auto" w:fill="95B3D7" w:themeFill="accent1" w:themeFillTint="99"/>
            <w:vAlign w:val="center"/>
          </w:tcPr>
          <w:p w:rsidR="00F30A4B" w:rsidRPr="00F30A4B" w:rsidRDefault="00F30A4B"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Entrate riscosse al 31/12/2016</w:t>
            </w:r>
            <w:r>
              <w:rPr>
                <w:rFonts w:ascii="Bodoni MT" w:hAnsi="Bodoni MT"/>
                <w:color w:val="FFFFFF" w:themeColor="background1"/>
                <w:sz w:val="20"/>
                <w:szCs w:val="20"/>
              </w:rPr>
              <w:t xml:space="preserve"> (anticipi)</w:t>
            </w:r>
          </w:p>
        </w:tc>
      </w:tr>
      <w:tr w:rsidR="00F30A4B" w:rsidRPr="00F30A4B" w:rsidTr="00B573F9">
        <w:trPr>
          <w:trHeight w:val="178"/>
          <w:jc w:val="center"/>
        </w:trPr>
        <w:tc>
          <w:tcPr>
            <w:tcW w:w="2500" w:type="pct"/>
            <w:shd w:val="clear" w:color="auto" w:fill="FFFFFF" w:themeFill="background1"/>
            <w:vAlign w:val="center"/>
          </w:tcPr>
          <w:p w:rsidR="00F30A4B" w:rsidRPr="00EE3D0D" w:rsidRDefault="00F30A4B" w:rsidP="00EE3D0D">
            <w:pPr>
              <w:jc w:val="center"/>
              <w:rPr>
                <w:rFonts w:ascii="Bodoni MT" w:hAnsi="Bodoni MT"/>
                <w:b/>
                <w:sz w:val="20"/>
                <w:szCs w:val="20"/>
              </w:rPr>
            </w:pPr>
            <w:r w:rsidRPr="00EE3D0D">
              <w:rPr>
                <w:rFonts w:ascii="Bodoni MT" w:hAnsi="Bodoni MT"/>
                <w:b/>
                <w:sz w:val="20"/>
                <w:szCs w:val="20"/>
              </w:rPr>
              <w:t>0,00</w:t>
            </w:r>
          </w:p>
        </w:tc>
        <w:tc>
          <w:tcPr>
            <w:tcW w:w="2500" w:type="pct"/>
            <w:shd w:val="clear" w:color="auto" w:fill="FFFFFF" w:themeFill="background1"/>
            <w:vAlign w:val="center"/>
          </w:tcPr>
          <w:p w:rsidR="00F30A4B" w:rsidRPr="00EE3D0D" w:rsidRDefault="00F30A4B" w:rsidP="00EE3D0D">
            <w:pPr>
              <w:jc w:val="center"/>
              <w:rPr>
                <w:rFonts w:ascii="Bodoni MT" w:hAnsi="Bodoni MT"/>
                <w:b/>
                <w:sz w:val="20"/>
                <w:szCs w:val="20"/>
              </w:rPr>
            </w:pPr>
            <w:r w:rsidRPr="00EE3D0D">
              <w:rPr>
                <w:rFonts w:ascii="Bodoni MT" w:hAnsi="Bodoni MT"/>
                <w:b/>
                <w:sz w:val="20"/>
                <w:szCs w:val="20"/>
              </w:rPr>
              <w:t>37.192.614,37</w:t>
            </w:r>
          </w:p>
        </w:tc>
      </w:tr>
    </w:tbl>
    <w:p w:rsidR="00112261" w:rsidRDefault="00112261" w:rsidP="00C96DEC">
      <w:pPr>
        <w:spacing w:after="0" w:line="240" w:lineRule="auto"/>
      </w:pPr>
    </w:p>
    <w:tbl>
      <w:tblPr>
        <w:tblStyle w:val="Grigliatabella"/>
        <w:tblW w:w="5000" w:type="pct"/>
        <w:jc w:val="center"/>
        <w:tblLook w:val="04A0" w:firstRow="1" w:lastRow="0" w:firstColumn="1" w:lastColumn="0" w:noHBand="0" w:noVBand="1"/>
      </w:tblPr>
      <w:tblGrid>
        <w:gridCol w:w="4927"/>
        <w:gridCol w:w="4927"/>
      </w:tblGrid>
      <w:tr w:rsidR="00EE3D0D" w:rsidRPr="00F30A4B" w:rsidTr="00EE3D0D">
        <w:trPr>
          <w:jc w:val="center"/>
        </w:trPr>
        <w:tc>
          <w:tcPr>
            <w:tcW w:w="5000" w:type="pct"/>
            <w:gridSpan w:val="2"/>
            <w:shd w:val="clear" w:color="auto" w:fill="0F243E" w:themeFill="text2" w:themeFillShade="80"/>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PO FSE 2007/2013</w:t>
            </w:r>
          </w:p>
        </w:tc>
      </w:tr>
      <w:tr w:rsidR="00EE3D0D" w:rsidRPr="00F30A4B" w:rsidTr="00EE3D0D">
        <w:trPr>
          <w:jc w:val="center"/>
        </w:trPr>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Spese certificate al 31/12/2016</w:t>
            </w:r>
          </w:p>
        </w:tc>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Entrate riscosse al 31/12/2016</w:t>
            </w:r>
          </w:p>
        </w:tc>
      </w:tr>
      <w:tr w:rsidR="00EE3D0D" w:rsidRPr="00F30A4B" w:rsidTr="00B573F9">
        <w:trPr>
          <w:trHeight w:val="166"/>
          <w:jc w:val="center"/>
        </w:trPr>
        <w:tc>
          <w:tcPr>
            <w:tcW w:w="2500" w:type="pct"/>
            <w:shd w:val="clear" w:color="auto" w:fill="FFFFFF" w:themeFill="background1"/>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719.099.733,67</w:t>
            </w:r>
          </w:p>
        </w:tc>
        <w:tc>
          <w:tcPr>
            <w:tcW w:w="2500" w:type="pct"/>
            <w:shd w:val="clear" w:color="auto" w:fill="FFFFFF" w:themeFill="background1"/>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547.812.578,45</w:t>
            </w:r>
          </w:p>
        </w:tc>
      </w:tr>
    </w:tbl>
    <w:p w:rsidR="00112261" w:rsidRDefault="00112261" w:rsidP="00C96DEC">
      <w:pPr>
        <w:spacing w:after="0" w:line="240" w:lineRule="auto"/>
      </w:pPr>
    </w:p>
    <w:tbl>
      <w:tblPr>
        <w:tblStyle w:val="Grigliatabella"/>
        <w:tblW w:w="5000" w:type="pct"/>
        <w:jc w:val="center"/>
        <w:tblLook w:val="04A0" w:firstRow="1" w:lastRow="0" w:firstColumn="1" w:lastColumn="0" w:noHBand="0" w:noVBand="1"/>
      </w:tblPr>
      <w:tblGrid>
        <w:gridCol w:w="4927"/>
        <w:gridCol w:w="4927"/>
      </w:tblGrid>
      <w:tr w:rsidR="00EE3D0D" w:rsidRPr="00F30A4B" w:rsidTr="00EE3D0D">
        <w:trPr>
          <w:jc w:val="center"/>
        </w:trPr>
        <w:tc>
          <w:tcPr>
            <w:tcW w:w="5000" w:type="pct"/>
            <w:gridSpan w:val="2"/>
            <w:shd w:val="clear" w:color="auto" w:fill="0F243E" w:themeFill="text2" w:themeFillShade="80"/>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PO FSE 2014/2020</w:t>
            </w:r>
          </w:p>
        </w:tc>
      </w:tr>
      <w:tr w:rsidR="00EE3D0D" w:rsidRPr="00F30A4B" w:rsidTr="00EE3D0D">
        <w:trPr>
          <w:jc w:val="center"/>
        </w:trPr>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Spese certificate al 31/12/2016</w:t>
            </w:r>
          </w:p>
        </w:tc>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Entrate riscosse al 31/12/2016</w:t>
            </w:r>
            <w:r>
              <w:rPr>
                <w:rFonts w:ascii="Bodoni MT" w:hAnsi="Bodoni MT"/>
                <w:color w:val="FFFFFF" w:themeColor="background1"/>
                <w:sz w:val="20"/>
                <w:szCs w:val="20"/>
              </w:rPr>
              <w:t xml:space="preserve"> (anticipi)</w:t>
            </w:r>
          </w:p>
        </w:tc>
      </w:tr>
      <w:tr w:rsidR="00EE3D0D" w:rsidRPr="00F30A4B" w:rsidTr="00B573F9">
        <w:trPr>
          <w:trHeight w:val="126"/>
          <w:jc w:val="center"/>
        </w:trPr>
        <w:tc>
          <w:tcPr>
            <w:tcW w:w="2500" w:type="pct"/>
            <w:shd w:val="clear" w:color="auto" w:fill="FFFFFF" w:themeFill="background1"/>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0,00</w:t>
            </w:r>
          </w:p>
        </w:tc>
        <w:tc>
          <w:tcPr>
            <w:tcW w:w="2500" w:type="pct"/>
            <w:shd w:val="clear" w:color="auto" w:fill="FFFFFF" w:themeFill="background1"/>
            <w:vAlign w:val="center"/>
          </w:tcPr>
          <w:p w:rsidR="00EE3D0D" w:rsidRPr="00EE3D0D" w:rsidRDefault="00EE3D0D" w:rsidP="00EE3D0D">
            <w:pPr>
              <w:jc w:val="center"/>
              <w:rPr>
                <w:rFonts w:ascii="Bodoni MT" w:hAnsi="Bodoni MT"/>
                <w:b/>
                <w:sz w:val="20"/>
                <w:szCs w:val="20"/>
              </w:rPr>
            </w:pPr>
            <w:r>
              <w:rPr>
                <w:rFonts w:ascii="Bodoni MT" w:hAnsi="Bodoni MT"/>
                <w:b/>
                <w:sz w:val="20"/>
                <w:szCs w:val="20"/>
              </w:rPr>
              <w:t>15.679.200,00</w:t>
            </w:r>
          </w:p>
        </w:tc>
      </w:tr>
    </w:tbl>
    <w:p w:rsidR="00F64621" w:rsidRDefault="00F64621" w:rsidP="00C96DEC">
      <w:pPr>
        <w:spacing w:after="120" w:line="240" w:lineRule="auto"/>
      </w:pPr>
    </w:p>
    <w:tbl>
      <w:tblPr>
        <w:tblStyle w:val="Grigliatabella"/>
        <w:tblW w:w="5000" w:type="pct"/>
        <w:jc w:val="center"/>
        <w:tblLook w:val="04A0" w:firstRow="1" w:lastRow="0" w:firstColumn="1" w:lastColumn="0" w:noHBand="0" w:noVBand="1"/>
      </w:tblPr>
      <w:tblGrid>
        <w:gridCol w:w="4927"/>
        <w:gridCol w:w="4927"/>
      </w:tblGrid>
      <w:tr w:rsidR="00EE3D0D" w:rsidRPr="00F30A4B" w:rsidTr="00EE3D0D">
        <w:trPr>
          <w:jc w:val="center"/>
        </w:trPr>
        <w:tc>
          <w:tcPr>
            <w:tcW w:w="5000" w:type="pct"/>
            <w:gridSpan w:val="2"/>
            <w:shd w:val="clear" w:color="auto" w:fill="0F243E" w:themeFill="text2" w:themeFillShade="80"/>
            <w:vAlign w:val="center"/>
          </w:tcPr>
          <w:p w:rsidR="00EE3D0D" w:rsidRDefault="00EE3D0D" w:rsidP="00EE3D0D">
            <w:pPr>
              <w:jc w:val="center"/>
              <w:rPr>
                <w:rFonts w:ascii="Bodoni MT" w:hAnsi="Bodoni MT"/>
                <w:b/>
                <w:sz w:val="20"/>
                <w:szCs w:val="20"/>
              </w:rPr>
            </w:pPr>
            <w:r>
              <w:rPr>
                <w:rFonts w:ascii="Bodoni MT" w:hAnsi="Bodoni MT"/>
                <w:b/>
                <w:sz w:val="20"/>
                <w:szCs w:val="20"/>
              </w:rPr>
              <w:t>PAC 2014/2020</w:t>
            </w:r>
          </w:p>
        </w:tc>
      </w:tr>
      <w:tr w:rsidR="00EE3D0D" w:rsidRPr="00F30A4B" w:rsidTr="00EE3D0D">
        <w:trPr>
          <w:jc w:val="center"/>
        </w:trPr>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Spese certificate al 31/12/2016</w:t>
            </w:r>
          </w:p>
        </w:tc>
        <w:tc>
          <w:tcPr>
            <w:tcW w:w="2500" w:type="pct"/>
            <w:shd w:val="clear" w:color="auto" w:fill="95B3D7" w:themeFill="accent1" w:themeFillTint="99"/>
            <w:vAlign w:val="center"/>
          </w:tcPr>
          <w:p w:rsidR="00EE3D0D" w:rsidRPr="00F30A4B" w:rsidRDefault="00EE3D0D" w:rsidP="00EE3D0D">
            <w:pPr>
              <w:jc w:val="center"/>
              <w:rPr>
                <w:rFonts w:ascii="Bodoni MT" w:hAnsi="Bodoni MT"/>
                <w:color w:val="FFFFFF" w:themeColor="background1"/>
                <w:sz w:val="20"/>
                <w:szCs w:val="20"/>
              </w:rPr>
            </w:pPr>
            <w:r w:rsidRPr="00F30A4B">
              <w:rPr>
                <w:rFonts w:ascii="Bodoni MT" w:hAnsi="Bodoni MT"/>
                <w:color w:val="FFFFFF" w:themeColor="background1"/>
                <w:sz w:val="20"/>
                <w:szCs w:val="20"/>
              </w:rPr>
              <w:t>Entrate riscosse al 31/12/2016</w:t>
            </w:r>
          </w:p>
        </w:tc>
      </w:tr>
      <w:tr w:rsidR="00EE3D0D" w:rsidRPr="00F30A4B" w:rsidTr="00B573F9">
        <w:trPr>
          <w:trHeight w:val="228"/>
          <w:jc w:val="center"/>
        </w:trPr>
        <w:tc>
          <w:tcPr>
            <w:tcW w:w="2500" w:type="pct"/>
            <w:shd w:val="clear" w:color="auto" w:fill="FFFFFF" w:themeFill="background1"/>
            <w:vAlign w:val="center"/>
          </w:tcPr>
          <w:p w:rsidR="00EE3D0D" w:rsidRDefault="00EE3D0D" w:rsidP="00EE3D0D">
            <w:pPr>
              <w:jc w:val="center"/>
              <w:rPr>
                <w:rFonts w:ascii="Bodoni MT" w:hAnsi="Bodoni MT"/>
                <w:b/>
                <w:sz w:val="20"/>
                <w:szCs w:val="20"/>
              </w:rPr>
            </w:pPr>
            <w:r>
              <w:rPr>
                <w:rFonts w:ascii="Bodoni MT" w:hAnsi="Bodoni MT"/>
                <w:b/>
                <w:sz w:val="20"/>
                <w:szCs w:val="20"/>
              </w:rPr>
              <w:t>0,00</w:t>
            </w:r>
          </w:p>
        </w:tc>
        <w:tc>
          <w:tcPr>
            <w:tcW w:w="2500" w:type="pct"/>
            <w:shd w:val="clear" w:color="auto" w:fill="FFFFFF" w:themeFill="background1"/>
            <w:vAlign w:val="center"/>
          </w:tcPr>
          <w:p w:rsidR="00EE3D0D" w:rsidRDefault="00EE3D0D" w:rsidP="00EE3D0D">
            <w:pPr>
              <w:jc w:val="center"/>
              <w:rPr>
                <w:rFonts w:ascii="Bodoni MT" w:hAnsi="Bodoni MT"/>
                <w:b/>
                <w:sz w:val="20"/>
                <w:szCs w:val="20"/>
              </w:rPr>
            </w:pPr>
            <w:r>
              <w:rPr>
                <w:rFonts w:ascii="Bodoni MT" w:hAnsi="Bodoni MT"/>
                <w:b/>
                <w:sz w:val="20"/>
                <w:szCs w:val="20"/>
              </w:rPr>
              <w:t>0,00</w:t>
            </w:r>
          </w:p>
        </w:tc>
      </w:tr>
    </w:tbl>
    <w:p w:rsidR="000312E9" w:rsidRDefault="00EE3D0D" w:rsidP="00EE3D0D">
      <w:pPr>
        <w:spacing w:after="0" w:line="240" w:lineRule="auto"/>
        <w:rPr>
          <w:rFonts w:ascii="Bodoni MT" w:hAnsi="Bodoni MT"/>
          <w:sz w:val="18"/>
          <w:szCs w:val="18"/>
        </w:rPr>
      </w:pPr>
      <w:r>
        <w:rPr>
          <w:rFonts w:ascii="Bodoni MT" w:hAnsi="Bodoni MT"/>
          <w:sz w:val="18"/>
          <w:szCs w:val="18"/>
        </w:rPr>
        <w:t>Fonte: risposte istruttorie del Centro regionale di programmazione (febbraio 2017)</w:t>
      </w:r>
    </w:p>
    <w:p w:rsidR="00EE3D0D" w:rsidRDefault="009009AC" w:rsidP="00B573F9">
      <w:pPr>
        <w:spacing w:after="0" w:line="240" w:lineRule="auto"/>
        <w:jc w:val="both"/>
        <w:rPr>
          <w:rFonts w:ascii="Bodoni MT" w:hAnsi="Bodoni MT"/>
          <w:sz w:val="18"/>
          <w:szCs w:val="18"/>
        </w:rPr>
      </w:pPr>
      <w:r>
        <w:rPr>
          <w:rFonts w:ascii="Bodoni MT" w:hAnsi="Bodoni MT"/>
          <w:sz w:val="18"/>
          <w:szCs w:val="18"/>
        </w:rPr>
        <w:lastRenderedPageBreak/>
        <w:t>*Il dato si riferisce all’</w:t>
      </w:r>
      <w:r w:rsidR="00EE3D0D">
        <w:rPr>
          <w:rFonts w:ascii="Bodoni MT" w:hAnsi="Bodoni MT"/>
          <w:sz w:val="18"/>
          <w:szCs w:val="18"/>
        </w:rPr>
        <w:t>intero costo programmato, mentre i pagamenti UE si attestano su 768.229.086,30 euro (v. all. 19 rendiconto 2016)</w:t>
      </w:r>
    </w:p>
    <w:p w:rsidR="000312E9" w:rsidRDefault="001E4CB5" w:rsidP="00F00825">
      <w:pPr>
        <w:spacing w:before="360" w:line="360" w:lineRule="auto"/>
        <w:jc w:val="both"/>
        <w:rPr>
          <w:rFonts w:ascii="Bodoni MT" w:hAnsi="Bodoni MT"/>
          <w:sz w:val="24"/>
          <w:szCs w:val="24"/>
        </w:rPr>
      </w:pPr>
      <w:r>
        <w:rPr>
          <w:rFonts w:ascii="Bodoni MT" w:hAnsi="Bodoni MT"/>
          <w:sz w:val="24"/>
          <w:szCs w:val="24"/>
        </w:rPr>
        <w:t xml:space="preserve">La Relazione </w:t>
      </w:r>
      <w:r w:rsidR="004267A5">
        <w:rPr>
          <w:rFonts w:ascii="Bodoni MT" w:hAnsi="Bodoni MT"/>
          <w:sz w:val="24"/>
          <w:szCs w:val="24"/>
        </w:rPr>
        <w:t>sulla gestione (All.19 al rendiconto 2016)</w:t>
      </w:r>
      <w:r w:rsidR="009009AC">
        <w:rPr>
          <w:rFonts w:ascii="Bodoni MT" w:hAnsi="Bodoni MT"/>
          <w:sz w:val="24"/>
          <w:szCs w:val="24"/>
        </w:rPr>
        <w:t>, aggiornando in parte i dati sopra esposti,</w:t>
      </w:r>
      <w:r w:rsidR="004267A5">
        <w:rPr>
          <w:rFonts w:ascii="Bodoni MT" w:hAnsi="Bodoni MT"/>
          <w:sz w:val="24"/>
          <w:szCs w:val="24"/>
        </w:rPr>
        <w:t xml:space="preserve"> espone analiticamente quadri di avanzamento finanziario per ciascun fondo al 31 dicembre 2016.</w:t>
      </w:r>
    </w:p>
    <w:p w:rsidR="004267A5" w:rsidRDefault="004A7E6A" w:rsidP="004A7E6A">
      <w:pPr>
        <w:pStyle w:val="Didascalia"/>
        <w:rPr>
          <w:sz w:val="24"/>
          <w:szCs w:val="24"/>
        </w:rPr>
      </w:pPr>
      <w:bookmarkStart w:id="299" w:name="_Toc507422538"/>
      <w:r>
        <w:t xml:space="preserve">Tabella </w:t>
      </w:r>
      <w:r w:rsidR="00B90472">
        <w:fldChar w:fldCharType="begin"/>
      </w:r>
      <w:r w:rsidR="00B90472">
        <w:instrText xml:space="preserve"> SEQ Tabella \* ARABIC </w:instrText>
      </w:r>
      <w:r w:rsidR="00B90472">
        <w:fldChar w:fldCharType="separate"/>
      </w:r>
      <w:r w:rsidR="008616B3">
        <w:rPr>
          <w:noProof/>
        </w:rPr>
        <w:t>70</w:t>
      </w:r>
      <w:r w:rsidR="00B90472">
        <w:rPr>
          <w:noProof/>
        </w:rPr>
        <w:fldChar w:fldCharType="end"/>
      </w:r>
      <w:r w:rsidR="004267A5">
        <w:t xml:space="preserve"> </w:t>
      </w:r>
      <w:r>
        <w:t>-</w:t>
      </w:r>
      <w:r w:rsidR="004267A5">
        <w:t xml:space="preserve"> Stato attuazione FESR POR 2014-2020*</w:t>
      </w:r>
      <w:bookmarkEnd w:id="299"/>
    </w:p>
    <w:tbl>
      <w:tblPr>
        <w:tblStyle w:val="Grigliatabella"/>
        <w:tblW w:w="5000" w:type="pct"/>
        <w:jc w:val="center"/>
        <w:tblLook w:val="04A0" w:firstRow="1" w:lastRow="0" w:firstColumn="1" w:lastColumn="0" w:noHBand="0" w:noVBand="1"/>
      </w:tblPr>
      <w:tblGrid>
        <w:gridCol w:w="2463"/>
        <w:gridCol w:w="2463"/>
        <w:gridCol w:w="2464"/>
        <w:gridCol w:w="2464"/>
      </w:tblGrid>
      <w:tr w:rsidR="0015298A" w:rsidRPr="004267A5" w:rsidTr="004F3710">
        <w:trPr>
          <w:jc w:val="center"/>
        </w:trPr>
        <w:tc>
          <w:tcPr>
            <w:tcW w:w="1250" w:type="pct"/>
            <w:shd w:val="clear" w:color="auto" w:fill="0F243E" w:themeFill="text2" w:themeFillShade="80"/>
          </w:tcPr>
          <w:p w:rsidR="0015298A" w:rsidRPr="004267A5" w:rsidRDefault="0015298A" w:rsidP="009009AC">
            <w:pPr>
              <w:jc w:val="center"/>
              <w:rPr>
                <w:rFonts w:ascii="Bodoni MT" w:hAnsi="Bodoni MT"/>
                <w:sz w:val="20"/>
                <w:szCs w:val="20"/>
              </w:rPr>
            </w:pPr>
            <w:r>
              <w:rPr>
                <w:rFonts w:ascii="Bodoni MT" w:hAnsi="Bodoni MT"/>
                <w:sz w:val="20"/>
                <w:szCs w:val="20"/>
              </w:rPr>
              <w:t>Dotazione finanziaria Rif. C(2015) 4926 del 14.07.2015</w:t>
            </w:r>
          </w:p>
        </w:tc>
        <w:tc>
          <w:tcPr>
            <w:tcW w:w="1250" w:type="pct"/>
            <w:shd w:val="clear" w:color="auto" w:fill="0F243E" w:themeFill="text2" w:themeFillShade="80"/>
          </w:tcPr>
          <w:p w:rsidR="0015298A" w:rsidRPr="004267A5" w:rsidRDefault="0015298A" w:rsidP="009009AC">
            <w:pPr>
              <w:jc w:val="center"/>
              <w:rPr>
                <w:rFonts w:ascii="Bodoni MT" w:hAnsi="Bodoni MT"/>
                <w:sz w:val="20"/>
                <w:szCs w:val="20"/>
              </w:rPr>
            </w:pPr>
            <w:r>
              <w:rPr>
                <w:rFonts w:ascii="Bodoni MT" w:hAnsi="Bodoni MT"/>
                <w:sz w:val="20"/>
                <w:szCs w:val="20"/>
              </w:rPr>
              <w:t>Dotazione importo procedure avviate</w:t>
            </w:r>
          </w:p>
        </w:tc>
        <w:tc>
          <w:tcPr>
            <w:tcW w:w="1250" w:type="pct"/>
            <w:shd w:val="clear" w:color="auto" w:fill="0F243E" w:themeFill="text2" w:themeFillShade="80"/>
          </w:tcPr>
          <w:p w:rsidR="0015298A" w:rsidRPr="004267A5" w:rsidRDefault="0015298A" w:rsidP="009009AC">
            <w:pPr>
              <w:jc w:val="center"/>
              <w:rPr>
                <w:rFonts w:ascii="Bodoni MT" w:hAnsi="Bodoni MT"/>
                <w:sz w:val="20"/>
                <w:szCs w:val="20"/>
              </w:rPr>
            </w:pPr>
            <w:r>
              <w:rPr>
                <w:rFonts w:ascii="Bodoni MT" w:hAnsi="Bodoni MT"/>
                <w:sz w:val="20"/>
                <w:szCs w:val="20"/>
              </w:rPr>
              <w:t>Importo procedure di prossimo avvio</w:t>
            </w:r>
          </w:p>
        </w:tc>
        <w:tc>
          <w:tcPr>
            <w:tcW w:w="1250" w:type="pct"/>
            <w:shd w:val="clear" w:color="auto" w:fill="0F243E" w:themeFill="text2" w:themeFillShade="80"/>
          </w:tcPr>
          <w:p w:rsidR="0015298A" w:rsidRPr="004267A5" w:rsidRDefault="0015298A" w:rsidP="009009AC">
            <w:pPr>
              <w:jc w:val="center"/>
              <w:rPr>
                <w:rFonts w:ascii="Bodoni MT" w:hAnsi="Bodoni MT"/>
                <w:sz w:val="20"/>
                <w:szCs w:val="20"/>
              </w:rPr>
            </w:pPr>
            <w:r>
              <w:rPr>
                <w:rFonts w:ascii="Bodoni MT" w:hAnsi="Bodoni MT"/>
                <w:sz w:val="20"/>
                <w:szCs w:val="20"/>
              </w:rPr>
              <w:t>Pagamenti registrati sul sistema informativo per il Monitoraggio</w:t>
            </w:r>
          </w:p>
        </w:tc>
      </w:tr>
      <w:tr w:rsidR="0015298A" w:rsidRPr="004267A5" w:rsidTr="004F3710">
        <w:trPr>
          <w:jc w:val="center"/>
        </w:trPr>
        <w:tc>
          <w:tcPr>
            <w:tcW w:w="1250" w:type="pct"/>
          </w:tcPr>
          <w:p w:rsidR="0015298A" w:rsidRPr="0015298A" w:rsidRDefault="0015298A" w:rsidP="009009AC">
            <w:pPr>
              <w:jc w:val="center"/>
              <w:rPr>
                <w:rFonts w:cstheme="minorHAnsi"/>
                <w:sz w:val="20"/>
                <w:szCs w:val="20"/>
              </w:rPr>
            </w:pPr>
            <w:r w:rsidRPr="0015298A">
              <w:rPr>
                <w:rFonts w:cstheme="minorHAnsi"/>
                <w:sz w:val="20"/>
                <w:szCs w:val="20"/>
              </w:rPr>
              <w:t>930.979.082,00</w:t>
            </w:r>
          </w:p>
        </w:tc>
        <w:tc>
          <w:tcPr>
            <w:tcW w:w="1250" w:type="pct"/>
          </w:tcPr>
          <w:p w:rsidR="0015298A" w:rsidRPr="0015298A" w:rsidRDefault="0015298A" w:rsidP="009009AC">
            <w:pPr>
              <w:jc w:val="center"/>
              <w:rPr>
                <w:rFonts w:cstheme="minorHAnsi"/>
                <w:sz w:val="20"/>
                <w:szCs w:val="20"/>
              </w:rPr>
            </w:pPr>
            <w:r w:rsidRPr="0015298A">
              <w:rPr>
                <w:rFonts w:cstheme="minorHAnsi"/>
                <w:sz w:val="20"/>
                <w:szCs w:val="20"/>
              </w:rPr>
              <w:t>288.921.632,48/</w:t>
            </w:r>
          </w:p>
        </w:tc>
        <w:tc>
          <w:tcPr>
            <w:tcW w:w="1250" w:type="pct"/>
          </w:tcPr>
          <w:p w:rsidR="0015298A" w:rsidRPr="0015298A" w:rsidRDefault="0015298A" w:rsidP="009009AC">
            <w:pPr>
              <w:jc w:val="center"/>
              <w:rPr>
                <w:rFonts w:cstheme="minorHAnsi"/>
                <w:sz w:val="20"/>
                <w:szCs w:val="20"/>
              </w:rPr>
            </w:pPr>
            <w:r w:rsidRPr="0015298A">
              <w:rPr>
                <w:rFonts w:cstheme="minorHAnsi"/>
                <w:sz w:val="20"/>
                <w:szCs w:val="20"/>
              </w:rPr>
              <w:t>414.608.488,00</w:t>
            </w:r>
          </w:p>
        </w:tc>
        <w:tc>
          <w:tcPr>
            <w:tcW w:w="1250" w:type="pct"/>
          </w:tcPr>
          <w:p w:rsidR="0015298A" w:rsidRPr="0015298A" w:rsidRDefault="0015298A" w:rsidP="009009AC">
            <w:pPr>
              <w:jc w:val="center"/>
              <w:rPr>
                <w:rFonts w:cstheme="minorHAnsi"/>
                <w:sz w:val="20"/>
                <w:szCs w:val="20"/>
              </w:rPr>
            </w:pPr>
            <w:r w:rsidRPr="0015298A">
              <w:rPr>
                <w:rFonts w:cstheme="minorHAnsi"/>
                <w:sz w:val="20"/>
                <w:szCs w:val="20"/>
              </w:rPr>
              <w:t>15.881.121,68</w:t>
            </w:r>
          </w:p>
        </w:tc>
      </w:tr>
      <w:tr w:rsidR="0015298A" w:rsidRPr="004267A5" w:rsidTr="004F3710">
        <w:trPr>
          <w:jc w:val="center"/>
        </w:trPr>
        <w:tc>
          <w:tcPr>
            <w:tcW w:w="5000" w:type="pct"/>
            <w:gridSpan w:val="4"/>
          </w:tcPr>
          <w:p w:rsidR="0015298A" w:rsidRDefault="0015298A" w:rsidP="0015298A">
            <w:r w:rsidRPr="00DF666F">
              <w:rPr>
                <w:rFonts w:ascii="Bodoni MT" w:hAnsi="Bodoni MT"/>
                <w:sz w:val="18"/>
                <w:szCs w:val="18"/>
              </w:rPr>
              <w:t>Prevede investimenti per oltre 930 miliardi di euro per il settennio</w:t>
            </w:r>
          </w:p>
        </w:tc>
      </w:tr>
    </w:tbl>
    <w:p w:rsidR="000312E9" w:rsidRDefault="004A7E6A" w:rsidP="004A7E6A">
      <w:pPr>
        <w:pStyle w:val="Didascalia"/>
        <w:rPr>
          <w:sz w:val="24"/>
          <w:szCs w:val="24"/>
        </w:rPr>
      </w:pPr>
      <w:bookmarkStart w:id="300" w:name="_Toc507422539"/>
      <w:r>
        <w:t xml:space="preserve">Tabella </w:t>
      </w:r>
      <w:r w:rsidR="00B90472">
        <w:fldChar w:fldCharType="begin"/>
      </w:r>
      <w:r w:rsidR="00B90472">
        <w:instrText xml:space="preserve"> SEQ Tabella \* ARABIC </w:instrText>
      </w:r>
      <w:r w:rsidR="00B90472">
        <w:fldChar w:fldCharType="separate"/>
      </w:r>
      <w:r w:rsidR="008616B3">
        <w:rPr>
          <w:noProof/>
        </w:rPr>
        <w:t>71</w:t>
      </w:r>
      <w:r w:rsidR="00B90472">
        <w:rPr>
          <w:noProof/>
        </w:rPr>
        <w:fldChar w:fldCharType="end"/>
      </w:r>
      <w:r w:rsidR="004267A5">
        <w:t xml:space="preserve"> </w:t>
      </w:r>
      <w:r>
        <w:t>-</w:t>
      </w:r>
      <w:r w:rsidR="004267A5">
        <w:t xml:space="preserve"> Stato attuazione FSE POR 2007-2013</w:t>
      </w:r>
      <w:bookmarkEnd w:id="300"/>
    </w:p>
    <w:tbl>
      <w:tblPr>
        <w:tblStyle w:val="Grigliatabella"/>
        <w:tblW w:w="5000" w:type="pct"/>
        <w:jc w:val="center"/>
        <w:tblLook w:val="04A0" w:firstRow="1" w:lastRow="0" w:firstColumn="1" w:lastColumn="0" w:noHBand="0" w:noVBand="1"/>
      </w:tblPr>
      <w:tblGrid>
        <w:gridCol w:w="2463"/>
        <w:gridCol w:w="2463"/>
        <w:gridCol w:w="2464"/>
        <w:gridCol w:w="2464"/>
      </w:tblGrid>
      <w:tr w:rsidR="0015298A" w:rsidRPr="004267A5" w:rsidTr="00E10BC3">
        <w:trPr>
          <w:jc w:val="center"/>
        </w:trPr>
        <w:tc>
          <w:tcPr>
            <w:tcW w:w="1250" w:type="pct"/>
            <w:shd w:val="clear" w:color="auto" w:fill="0F243E" w:themeFill="text2" w:themeFillShade="80"/>
          </w:tcPr>
          <w:p w:rsidR="0015298A" w:rsidRPr="004267A5" w:rsidRDefault="0015298A" w:rsidP="004267A5">
            <w:pPr>
              <w:spacing w:line="360" w:lineRule="auto"/>
              <w:jc w:val="center"/>
              <w:rPr>
                <w:rFonts w:ascii="Bodoni MT" w:hAnsi="Bodoni MT"/>
                <w:sz w:val="20"/>
                <w:szCs w:val="20"/>
              </w:rPr>
            </w:pPr>
            <w:r>
              <w:rPr>
                <w:rFonts w:ascii="Bodoni MT" w:hAnsi="Bodoni MT"/>
                <w:sz w:val="20"/>
                <w:szCs w:val="20"/>
              </w:rPr>
              <w:t>Piano finanziario PO</w:t>
            </w:r>
          </w:p>
        </w:tc>
        <w:tc>
          <w:tcPr>
            <w:tcW w:w="1250" w:type="pct"/>
            <w:shd w:val="clear" w:color="auto" w:fill="0F243E" w:themeFill="text2" w:themeFillShade="80"/>
          </w:tcPr>
          <w:p w:rsidR="0015298A" w:rsidRPr="004267A5" w:rsidRDefault="0015298A" w:rsidP="004267A5">
            <w:pPr>
              <w:spacing w:line="360" w:lineRule="auto"/>
              <w:jc w:val="center"/>
              <w:rPr>
                <w:rFonts w:ascii="Bodoni MT" w:hAnsi="Bodoni MT"/>
                <w:sz w:val="20"/>
                <w:szCs w:val="20"/>
              </w:rPr>
            </w:pPr>
            <w:r>
              <w:rPr>
                <w:rFonts w:ascii="Bodoni MT" w:hAnsi="Bodoni MT"/>
                <w:sz w:val="20"/>
                <w:szCs w:val="20"/>
              </w:rPr>
              <w:t xml:space="preserve">Impegni </w:t>
            </w:r>
          </w:p>
        </w:tc>
        <w:tc>
          <w:tcPr>
            <w:tcW w:w="1250" w:type="pct"/>
            <w:shd w:val="clear" w:color="auto" w:fill="0F243E" w:themeFill="text2" w:themeFillShade="80"/>
          </w:tcPr>
          <w:p w:rsidR="0015298A" w:rsidRPr="004267A5" w:rsidRDefault="0015298A" w:rsidP="004267A5">
            <w:pPr>
              <w:spacing w:line="360" w:lineRule="auto"/>
              <w:jc w:val="center"/>
              <w:rPr>
                <w:rFonts w:ascii="Bodoni MT" w:hAnsi="Bodoni MT"/>
                <w:sz w:val="20"/>
                <w:szCs w:val="20"/>
              </w:rPr>
            </w:pPr>
            <w:r>
              <w:rPr>
                <w:rFonts w:ascii="Bodoni MT" w:hAnsi="Bodoni MT"/>
                <w:sz w:val="20"/>
                <w:szCs w:val="20"/>
              </w:rPr>
              <w:t xml:space="preserve">Pagamenti </w:t>
            </w:r>
          </w:p>
        </w:tc>
        <w:tc>
          <w:tcPr>
            <w:tcW w:w="1250" w:type="pct"/>
            <w:shd w:val="clear" w:color="auto" w:fill="0F243E" w:themeFill="text2" w:themeFillShade="80"/>
          </w:tcPr>
          <w:p w:rsidR="0015298A" w:rsidRPr="004267A5" w:rsidRDefault="0015298A" w:rsidP="004267A5">
            <w:pPr>
              <w:spacing w:line="360" w:lineRule="auto"/>
              <w:jc w:val="center"/>
              <w:rPr>
                <w:rFonts w:ascii="Bodoni MT" w:hAnsi="Bodoni MT"/>
                <w:sz w:val="20"/>
                <w:szCs w:val="20"/>
              </w:rPr>
            </w:pPr>
            <w:r>
              <w:rPr>
                <w:rFonts w:ascii="Bodoni MT" w:hAnsi="Bodoni MT"/>
                <w:sz w:val="20"/>
                <w:szCs w:val="20"/>
              </w:rPr>
              <w:t>Spese totali certificate</w:t>
            </w:r>
          </w:p>
        </w:tc>
      </w:tr>
      <w:tr w:rsidR="0015298A" w:rsidRPr="004267A5" w:rsidTr="00E10BC3">
        <w:trPr>
          <w:jc w:val="center"/>
        </w:trPr>
        <w:tc>
          <w:tcPr>
            <w:tcW w:w="1250" w:type="pct"/>
            <w:vAlign w:val="center"/>
          </w:tcPr>
          <w:p w:rsidR="0015298A" w:rsidRPr="0015298A" w:rsidRDefault="0015298A" w:rsidP="004F3710">
            <w:pPr>
              <w:jc w:val="center"/>
              <w:rPr>
                <w:rFonts w:cstheme="minorHAnsi"/>
                <w:sz w:val="20"/>
                <w:szCs w:val="20"/>
              </w:rPr>
            </w:pPr>
            <w:r w:rsidRPr="0015298A">
              <w:rPr>
                <w:rFonts w:cstheme="minorHAnsi"/>
                <w:sz w:val="20"/>
                <w:szCs w:val="20"/>
              </w:rPr>
              <w:t>675.053.206,06</w:t>
            </w:r>
          </w:p>
        </w:tc>
        <w:tc>
          <w:tcPr>
            <w:tcW w:w="1250" w:type="pct"/>
            <w:vAlign w:val="center"/>
          </w:tcPr>
          <w:p w:rsidR="0015298A" w:rsidRPr="0015298A" w:rsidRDefault="0015298A" w:rsidP="004F3710">
            <w:pPr>
              <w:jc w:val="center"/>
              <w:rPr>
                <w:rFonts w:cstheme="minorHAnsi"/>
                <w:sz w:val="20"/>
                <w:szCs w:val="20"/>
              </w:rPr>
            </w:pPr>
            <w:r w:rsidRPr="0015298A">
              <w:rPr>
                <w:rFonts w:cstheme="minorHAnsi"/>
                <w:sz w:val="20"/>
                <w:szCs w:val="20"/>
              </w:rPr>
              <w:t>762.326.372,08</w:t>
            </w:r>
          </w:p>
        </w:tc>
        <w:tc>
          <w:tcPr>
            <w:tcW w:w="1250" w:type="pct"/>
            <w:vAlign w:val="center"/>
          </w:tcPr>
          <w:p w:rsidR="0015298A" w:rsidRPr="0015298A" w:rsidRDefault="0015298A" w:rsidP="004F3710">
            <w:pPr>
              <w:jc w:val="center"/>
              <w:rPr>
                <w:rFonts w:cstheme="minorHAnsi"/>
                <w:sz w:val="20"/>
                <w:szCs w:val="20"/>
              </w:rPr>
            </w:pPr>
            <w:r w:rsidRPr="0015298A">
              <w:rPr>
                <w:rFonts w:cstheme="minorHAnsi"/>
                <w:sz w:val="20"/>
                <w:szCs w:val="20"/>
              </w:rPr>
              <w:t>738.938.775,18</w:t>
            </w:r>
          </w:p>
        </w:tc>
        <w:tc>
          <w:tcPr>
            <w:tcW w:w="1250" w:type="pct"/>
            <w:vAlign w:val="center"/>
          </w:tcPr>
          <w:p w:rsidR="0015298A" w:rsidRPr="0015298A" w:rsidRDefault="0015298A" w:rsidP="004F3710">
            <w:pPr>
              <w:jc w:val="center"/>
              <w:rPr>
                <w:rFonts w:cstheme="minorHAnsi"/>
                <w:sz w:val="20"/>
                <w:szCs w:val="20"/>
              </w:rPr>
            </w:pPr>
            <w:r w:rsidRPr="0015298A">
              <w:rPr>
                <w:rFonts w:cstheme="minorHAnsi"/>
                <w:sz w:val="20"/>
                <w:szCs w:val="20"/>
              </w:rPr>
              <w:t>719.099.733,32</w:t>
            </w:r>
          </w:p>
        </w:tc>
      </w:tr>
      <w:tr w:rsidR="0015298A" w:rsidRPr="004267A5" w:rsidTr="00E10BC3">
        <w:trPr>
          <w:jc w:val="center"/>
        </w:trPr>
        <w:tc>
          <w:tcPr>
            <w:tcW w:w="5000" w:type="pct"/>
            <w:gridSpan w:val="4"/>
          </w:tcPr>
          <w:p w:rsidR="0015298A" w:rsidRPr="004267A5" w:rsidRDefault="0015298A" w:rsidP="0015298A">
            <w:pPr>
              <w:jc w:val="both"/>
              <w:rPr>
                <w:rFonts w:ascii="Bodoni MT" w:hAnsi="Bodoni MT"/>
                <w:sz w:val="20"/>
                <w:szCs w:val="20"/>
              </w:rPr>
            </w:pPr>
            <w:r>
              <w:rPr>
                <w:rFonts w:ascii="Bodoni MT" w:hAnsi="Bodoni MT"/>
                <w:sz w:val="18"/>
                <w:szCs w:val="18"/>
              </w:rPr>
              <w:t xml:space="preserve">La data finale prevista per le operazioni di rendicontazione è fissata al 31.03.2017; sono in corso di verifica finale le operazioni di riconoscimento da parte della Commissione; non si dispone del dato relativo alla spesa </w:t>
            </w:r>
            <w:r w:rsidR="001B6BFA">
              <w:rPr>
                <w:rFonts w:ascii="Bodoni MT" w:hAnsi="Bodoni MT"/>
                <w:sz w:val="18"/>
                <w:szCs w:val="18"/>
              </w:rPr>
              <w:t xml:space="preserve">complessiva </w:t>
            </w:r>
            <w:r>
              <w:rPr>
                <w:rFonts w:ascii="Bodoni MT" w:hAnsi="Bodoni MT"/>
                <w:sz w:val="18"/>
                <w:szCs w:val="18"/>
              </w:rPr>
              <w:t>ad oggi riconosciuta; la RAS confida che venga approvata l’intera spesa sostenuta</w:t>
            </w:r>
          </w:p>
        </w:tc>
      </w:tr>
    </w:tbl>
    <w:p w:rsidR="000312E9" w:rsidRDefault="004A7E6A" w:rsidP="004A7E6A">
      <w:pPr>
        <w:pStyle w:val="Didascalia"/>
        <w:rPr>
          <w:sz w:val="24"/>
          <w:szCs w:val="24"/>
        </w:rPr>
      </w:pPr>
      <w:bookmarkStart w:id="301" w:name="_Toc507422540"/>
      <w:r>
        <w:t xml:space="preserve">Tabella </w:t>
      </w:r>
      <w:r w:rsidR="00B90472">
        <w:fldChar w:fldCharType="begin"/>
      </w:r>
      <w:r w:rsidR="00B90472">
        <w:instrText xml:space="preserve"> SEQ Tabella \* ARABIC </w:instrText>
      </w:r>
      <w:r w:rsidR="00B90472">
        <w:fldChar w:fldCharType="separate"/>
      </w:r>
      <w:r w:rsidR="008616B3">
        <w:rPr>
          <w:noProof/>
        </w:rPr>
        <w:t>72</w:t>
      </w:r>
      <w:r w:rsidR="00B90472">
        <w:rPr>
          <w:noProof/>
        </w:rPr>
        <w:fldChar w:fldCharType="end"/>
      </w:r>
      <w:r w:rsidR="00CD5B3C">
        <w:t xml:space="preserve"> - Stato attuazione FSE POR 2014-2020</w:t>
      </w:r>
      <w:bookmarkEnd w:id="301"/>
    </w:p>
    <w:tbl>
      <w:tblPr>
        <w:tblStyle w:val="Grigliatabella"/>
        <w:tblW w:w="5000" w:type="pct"/>
        <w:jc w:val="center"/>
        <w:tblLook w:val="04A0" w:firstRow="1" w:lastRow="0" w:firstColumn="1" w:lastColumn="0" w:noHBand="0" w:noVBand="1"/>
      </w:tblPr>
      <w:tblGrid>
        <w:gridCol w:w="3284"/>
        <w:gridCol w:w="3285"/>
        <w:gridCol w:w="3285"/>
      </w:tblGrid>
      <w:tr w:rsidR="0015298A" w:rsidTr="004F3710">
        <w:trPr>
          <w:jc w:val="center"/>
        </w:trPr>
        <w:tc>
          <w:tcPr>
            <w:tcW w:w="1666" w:type="pct"/>
            <w:shd w:val="clear" w:color="auto" w:fill="0F243E" w:themeFill="text2" w:themeFillShade="80"/>
            <w:vAlign w:val="center"/>
          </w:tcPr>
          <w:p w:rsidR="0015298A" w:rsidRPr="00CD5B3C" w:rsidRDefault="0015298A" w:rsidP="0015298A">
            <w:pPr>
              <w:jc w:val="center"/>
              <w:rPr>
                <w:rFonts w:ascii="Bodoni MT" w:hAnsi="Bodoni MT"/>
                <w:sz w:val="20"/>
                <w:szCs w:val="20"/>
              </w:rPr>
            </w:pPr>
            <w:r>
              <w:rPr>
                <w:rFonts w:ascii="Bodoni MT" w:hAnsi="Bodoni MT"/>
                <w:sz w:val="20"/>
                <w:szCs w:val="20"/>
              </w:rPr>
              <w:t>Finanziamento totale (in EUR)</w:t>
            </w:r>
          </w:p>
        </w:tc>
        <w:tc>
          <w:tcPr>
            <w:tcW w:w="1667" w:type="pct"/>
            <w:shd w:val="clear" w:color="auto" w:fill="0F243E" w:themeFill="text2" w:themeFillShade="80"/>
            <w:vAlign w:val="center"/>
          </w:tcPr>
          <w:p w:rsidR="0015298A" w:rsidRPr="00CD5B3C" w:rsidRDefault="0015298A" w:rsidP="0015298A">
            <w:pPr>
              <w:jc w:val="center"/>
              <w:rPr>
                <w:rFonts w:ascii="Bodoni MT" w:hAnsi="Bodoni MT"/>
                <w:sz w:val="20"/>
                <w:szCs w:val="20"/>
              </w:rPr>
            </w:pPr>
            <w:r>
              <w:rPr>
                <w:rFonts w:ascii="Bodoni MT" w:hAnsi="Bodoni MT"/>
                <w:sz w:val="20"/>
                <w:szCs w:val="20"/>
              </w:rPr>
              <w:t>Impegni</w:t>
            </w:r>
          </w:p>
        </w:tc>
        <w:tc>
          <w:tcPr>
            <w:tcW w:w="1667" w:type="pct"/>
            <w:shd w:val="clear" w:color="auto" w:fill="0F243E" w:themeFill="text2" w:themeFillShade="80"/>
            <w:vAlign w:val="center"/>
          </w:tcPr>
          <w:p w:rsidR="0015298A" w:rsidRPr="00CD5B3C" w:rsidRDefault="0015298A" w:rsidP="0015298A">
            <w:pPr>
              <w:jc w:val="center"/>
              <w:rPr>
                <w:rFonts w:ascii="Bodoni MT" w:hAnsi="Bodoni MT"/>
                <w:sz w:val="20"/>
                <w:szCs w:val="20"/>
              </w:rPr>
            </w:pPr>
            <w:r>
              <w:rPr>
                <w:rFonts w:ascii="Bodoni MT" w:hAnsi="Bodoni MT"/>
                <w:sz w:val="20"/>
                <w:szCs w:val="20"/>
              </w:rPr>
              <w:t>Spesa totale ammissibile dichiarata dai beneficiari all’Autorità di Gestione</w:t>
            </w:r>
          </w:p>
        </w:tc>
      </w:tr>
      <w:tr w:rsidR="0015298A" w:rsidTr="004F3710">
        <w:trPr>
          <w:jc w:val="center"/>
        </w:trPr>
        <w:tc>
          <w:tcPr>
            <w:tcW w:w="1666" w:type="pct"/>
          </w:tcPr>
          <w:p w:rsidR="0015298A" w:rsidRPr="004F3710" w:rsidRDefault="004F3710" w:rsidP="0015298A">
            <w:pPr>
              <w:jc w:val="center"/>
              <w:rPr>
                <w:rFonts w:cstheme="minorHAnsi"/>
                <w:sz w:val="20"/>
                <w:szCs w:val="20"/>
              </w:rPr>
            </w:pPr>
            <w:r w:rsidRPr="004F3710">
              <w:rPr>
                <w:rFonts w:cstheme="minorHAnsi"/>
                <w:sz w:val="20"/>
                <w:szCs w:val="20"/>
              </w:rPr>
              <w:t>444.800.000,00</w:t>
            </w:r>
          </w:p>
        </w:tc>
        <w:tc>
          <w:tcPr>
            <w:tcW w:w="1667" w:type="pct"/>
          </w:tcPr>
          <w:p w:rsidR="0015298A" w:rsidRPr="004F3710" w:rsidRDefault="004F3710" w:rsidP="0015298A">
            <w:pPr>
              <w:jc w:val="center"/>
              <w:rPr>
                <w:rFonts w:cstheme="minorHAnsi"/>
                <w:sz w:val="20"/>
                <w:szCs w:val="20"/>
              </w:rPr>
            </w:pPr>
            <w:r w:rsidRPr="004F3710">
              <w:rPr>
                <w:rFonts w:cstheme="minorHAnsi"/>
                <w:sz w:val="20"/>
                <w:szCs w:val="20"/>
              </w:rPr>
              <w:t>60.501.245,60</w:t>
            </w:r>
          </w:p>
        </w:tc>
        <w:tc>
          <w:tcPr>
            <w:tcW w:w="1667" w:type="pct"/>
          </w:tcPr>
          <w:p w:rsidR="0015298A" w:rsidRPr="004F3710" w:rsidRDefault="004F3710" w:rsidP="0015298A">
            <w:pPr>
              <w:jc w:val="center"/>
              <w:rPr>
                <w:rFonts w:cstheme="minorHAnsi"/>
                <w:sz w:val="20"/>
                <w:szCs w:val="20"/>
              </w:rPr>
            </w:pPr>
            <w:r w:rsidRPr="004F3710">
              <w:rPr>
                <w:rFonts w:cstheme="minorHAnsi"/>
                <w:sz w:val="20"/>
                <w:szCs w:val="20"/>
              </w:rPr>
              <w:t>7.619.168,26</w:t>
            </w:r>
          </w:p>
        </w:tc>
      </w:tr>
      <w:tr w:rsidR="0015298A" w:rsidTr="004F3710">
        <w:trPr>
          <w:jc w:val="center"/>
        </w:trPr>
        <w:tc>
          <w:tcPr>
            <w:tcW w:w="5000" w:type="pct"/>
            <w:gridSpan w:val="3"/>
            <w:vAlign w:val="center"/>
          </w:tcPr>
          <w:p w:rsidR="0015298A" w:rsidRPr="00CD5B3C" w:rsidRDefault="0015298A" w:rsidP="0015298A">
            <w:pPr>
              <w:jc w:val="both"/>
              <w:rPr>
                <w:rFonts w:ascii="Bodoni MT" w:hAnsi="Bodoni MT"/>
                <w:sz w:val="20"/>
                <w:szCs w:val="20"/>
              </w:rPr>
            </w:pPr>
            <w:r>
              <w:rPr>
                <w:rFonts w:ascii="Bodoni MT" w:hAnsi="Bodoni MT"/>
                <w:sz w:val="18"/>
                <w:szCs w:val="18"/>
              </w:rPr>
              <w:t>Nei primi due anni d’attuazione non si riscontrano interventi nell’Asse 2-Inclusione sociale; la spesa ammissibile non ha ancora affrontato la verifica dell’UE; si riferisce che “</w:t>
            </w:r>
            <w:r w:rsidRPr="00CD5B3C">
              <w:rPr>
                <w:rFonts w:ascii="Bodoni MT" w:hAnsi="Bodoni MT"/>
                <w:i/>
                <w:sz w:val="18"/>
                <w:szCs w:val="18"/>
              </w:rPr>
              <w:t>il moderato andamento che si registra si deve sia alla necessità di attendere che gli interventi promos</w:t>
            </w:r>
            <w:r>
              <w:rPr>
                <w:rFonts w:ascii="Bodoni MT" w:hAnsi="Bodoni MT"/>
                <w:i/>
                <w:sz w:val="18"/>
                <w:szCs w:val="18"/>
              </w:rPr>
              <w:t>si si traducano in spesa, sia al</w:t>
            </w:r>
            <w:r w:rsidRPr="00CD5B3C">
              <w:rPr>
                <w:rFonts w:ascii="Bodoni MT" w:hAnsi="Bodoni MT"/>
                <w:i/>
                <w:sz w:val="18"/>
                <w:szCs w:val="18"/>
              </w:rPr>
              <w:t xml:space="preserve"> fatto che il</w:t>
            </w:r>
            <w:r>
              <w:rPr>
                <w:rFonts w:ascii="Bodoni MT" w:hAnsi="Bodoni MT"/>
                <w:i/>
                <w:sz w:val="18"/>
                <w:szCs w:val="18"/>
              </w:rPr>
              <w:t xml:space="preserve"> processo di designazione dell’</w:t>
            </w:r>
            <w:r w:rsidRPr="00CD5B3C">
              <w:rPr>
                <w:rFonts w:ascii="Bodoni MT" w:hAnsi="Bodoni MT"/>
                <w:i/>
                <w:sz w:val="18"/>
                <w:szCs w:val="18"/>
              </w:rPr>
              <w:t>autorità è avvenuto nel dicembre 2016</w:t>
            </w:r>
            <w:r>
              <w:rPr>
                <w:rFonts w:ascii="Bodoni MT" w:hAnsi="Bodoni MT"/>
                <w:sz w:val="18"/>
                <w:szCs w:val="18"/>
              </w:rPr>
              <w:t>…”</w:t>
            </w:r>
          </w:p>
        </w:tc>
      </w:tr>
    </w:tbl>
    <w:p w:rsidR="000312E9" w:rsidRDefault="004A7E6A" w:rsidP="004A7E6A">
      <w:pPr>
        <w:pStyle w:val="Didascalia"/>
      </w:pPr>
      <w:bookmarkStart w:id="302" w:name="_Toc507422541"/>
      <w:r>
        <w:t xml:space="preserve">Tabella </w:t>
      </w:r>
      <w:r w:rsidR="00B90472">
        <w:fldChar w:fldCharType="begin"/>
      </w:r>
      <w:r w:rsidR="00B90472">
        <w:instrText xml:space="preserve"> SEQ Tabella \* ARABIC </w:instrText>
      </w:r>
      <w:r w:rsidR="00B90472">
        <w:fldChar w:fldCharType="separate"/>
      </w:r>
      <w:r w:rsidR="008616B3">
        <w:rPr>
          <w:noProof/>
        </w:rPr>
        <w:t>73</w:t>
      </w:r>
      <w:r w:rsidR="00B90472">
        <w:rPr>
          <w:noProof/>
        </w:rPr>
        <w:fldChar w:fldCharType="end"/>
      </w:r>
      <w:r w:rsidR="00CD5B3C">
        <w:t xml:space="preserve"> </w:t>
      </w:r>
      <w:r>
        <w:t>-</w:t>
      </w:r>
      <w:r w:rsidR="00CD5B3C">
        <w:t xml:space="preserve"> Stato di avanzamento finanziario PAC Sardegna</w:t>
      </w:r>
      <w:bookmarkEnd w:id="302"/>
      <w:r w:rsidR="00CD5B3C">
        <w:t xml:space="preserve"> </w:t>
      </w:r>
    </w:p>
    <w:tbl>
      <w:tblPr>
        <w:tblStyle w:val="Grigliatabella"/>
        <w:tblW w:w="5000" w:type="pct"/>
        <w:jc w:val="center"/>
        <w:tblLook w:val="04A0" w:firstRow="1" w:lastRow="0" w:firstColumn="1" w:lastColumn="0" w:noHBand="0" w:noVBand="1"/>
      </w:tblPr>
      <w:tblGrid>
        <w:gridCol w:w="3284"/>
        <w:gridCol w:w="3285"/>
        <w:gridCol w:w="3285"/>
      </w:tblGrid>
      <w:tr w:rsidR="004F3710" w:rsidRPr="004F3710" w:rsidTr="004F3710">
        <w:trPr>
          <w:jc w:val="center"/>
        </w:trPr>
        <w:tc>
          <w:tcPr>
            <w:tcW w:w="1666" w:type="pct"/>
            <w:shd w:val="clear" w:color="auto" w:fill="0F243E" w:themeFill="text2" w:themeFillShade="80"/>
          </w:tcPr>
          <w:p w:rsidR="004F3710" w:rsidRPr="004F3710" w:rsidRDefault="004F3710" w:rsidP="00CD5B3C">
            <w:pPr>
              <w:jc w:val="center"/>
              <w:rPr>
                <w:rFonts w:ascii="Bodoni MT" w:hAnsi="Bodoni MT"/>
                <w:sz w:val="20"/>
                <w:szCs w:val="20"/>
              </w:rPr>
            </w:pPr>
            <w:r w:rsidRPr="004F3710">
              <w:rPr>
                <w:rFonts w:ascii="Bodoni MT" w:hAnsi="Bodoni MT"/>
                <w:sz w:val="20"/>
                <w:szCs w:val="20"/>
              </w:rPr>
              <w:t xml:space="preserve">Dotazione </w:t>
            </w:r>
          </w:p>
        </w:tc>
        <w:tc>
          <w:tcPr>
            <w:tcW w:w="1667" w:type="pct"/>
            <w:shd w:val="clear" w:color="auto" w:fill="0F243E" w:themeFill="text2" w:themeFillShade="80"/>
          </w:tcPr>
          <w:p w:rsidR="004F3710" w:rsidRPr="004F3710" w:rsidRDefault="004F3710" w:rsidP="00CD5B3C">
            <w:pPr>
              <w:jc w:val="center"/>
              <w:rPr>
                <w:rFonts w:ascii="Bodoni MT" w:hAnsi="Bodoni MT"/>
                <w:sz w:val="20"/>
                <w:szCs w:val="20"/>
              </w:rPr>
            </w:pPr>
            <w:r w:rsidRPr="004F3710">
              <w:rPr>
                <w:rFonts w:ascii="Bodoni MT" w:hAnsi="Bodoni MT"/>
                <w:sz w:val="20"/>
                <w:szCs w:val="20"/>
              </w:rPr>
              <w:t>Impegni totali</w:t>
            </w:r>
          </w:p>
        </w:tc>
        <w:tc>
          <w:tcPr>
            <w:tcW w:w="1667" w:type="pct"/>
            <w:shd w:val="clear" w:color="auto" w:fill="0F243E" w:themeFill="text2" w:themeFillShade="80"/>
          </w:tcPr>
          <w:p w:rsidR="004F3710" w:rsidRPr="004F3710" w:rsidRDefault="004F3710" w:rsidP="00CD5B3C">
            <w:pPr>
              <w:jc w:val="center"/>
              <w:rPr>
                <w:rFonts w:ascii="Bodoni MT" w:hAnsi="Bodoni MT"/>
                <w:sz w:val="20"/>
                <w:szCs w:val="20"/>
              </w:rPr>
            </w:pPr>
            <w:r w:rsidRPr="004F3710">
              <w:rPr>
                <w:rFonts w:ascii="Bodoni MT" w:hAnsi="Bodoni MT"/>
                <w:sz w:val="20"/>
                <w:szCs w:val="20"/>
              </w:rPr>
              <w:t>Pagamenti totali</w:t>
            </w:r>
          </w:p>
        </w:tc>
      </w:tr>
      <w:tr w:rsidR="004F3710" w:rsidRPr="004F3710" w:rsidTr="004F3710">
        <w:trPr>
          <w:jc w:val="center"/>
        </w:trPr>
        <w:tc>
          <w:tcPr>
            <w:tcW w:w="1666" w:type="pct"/>
          </w:tcPr>
          <w:p w:rsidR="004F3710" w:rsidRPr="004F3710" w:rsidRDefault="004F3710" w:rsidP="00CD5B3C">
            <w:pPr>
              <w:jc w:val="center"/>
              <w:rPr>
                <w:rFonts w:ascii="Bodoni MT" w:hAnsi="Bodoni MT"/>
                <w:sz w:val="20"/>
                <w:szCs w:val="20"/>
              </w:rPr>
            </w:pPr>
            <w:r>
              <w:rPr>
                <w:rFonts w:ascii="Bodoni MT" w:hAnsi="Bodoni MT"/>
                <w:sz w:val="20"/>
                <w:szCs w:val="20"/>
              </w:rPr>
              <w:t>292.550.958,94</w:t>
            </w:r>
          </w:p>
        </w:tc>
        <w:tc>
          <w:tcPr>
            <w:tcW w:w="1667" w:type="pct"/>
          </w:tcPr>
          <w:p w:rsidR="004F3710" w:rsidRPr="004F3710" w:rsidRDefault="004F3710" w:rsidP="00CD5B3C">
            <w:pPr>
              <w:jc w:val="center"/>
              <w:rPr>
                <w:rFonts w:ascii="Bodoni MT" w:hAnsi="Bodoni MT"/>
                <w:sz w:val="20"/>
                <w:szCs w:val="20"/>
              </w:rPr>
            </w:pPr>
            <w:r>
              <w:rPr>
                <w:rFonts w:ascii="Bodoni MT" w:hAnsi="Bodoni MT"/>
                <w:sz w:val="20"/>
                <w:szCs w:val="20"/>
              </w:rPr>
              <w:t>316.850.345,02</w:t>
            </w:r>
          </w:p>
        </w:tc>
        <w:tc>
          <w:tcPr>
            <w:tcW w:w="1667" w:type="pct"/>
          </w:tcPr>
          <w:p w:rsidR="004F3710" w:rsidRPr="004F3710" w:rsidRDefault="004F3710" w:rsidP="00CD5B3C">
            <w:pPr>
              <w:jc w:val="center"/>
              <w:rPr>
                <w:rFonts w:ascii="Bodoni MT" w:hAnsi="Bodoni MT"/>
                <w:sz w:val="20"/>
                <w:szCs w:val="20"/>
              </w:rPr>
            </w:pPr>
            <w:r>
              <w:rPr>
                <w:rFonts w:ascii="Bodoni MT" w:hAnsi="Bodoni MT"/>
                <w:sz w:val="20"/>
                <w:szCs w:val="20"/>
              </w:rPr>
              <w:t>154.168.019,69</w:t>
            </w:r>
          </w:p>
        </w:tc>
      </w:tr>
      <w:tr w:rsidR="004F3710" w:rsidRPr="004F3710" w:rsidTr="004F3710">
        <w:trPr>
          <w:jc w:val="center"/>
        </w:trPr>
        <w:tc>
          <w:tcPr>
            <w:tcW w:w="5000" w:type="pct"/>
            <w:gridSpan w:val="3"/>
          </w:tcPr>
          <w:p w:rsidR="002A61EC" w:rsidRDefault="002A61EC" w:rsidP="004F3710">
            <w:pPr>
              <w:jc w:val="both"/>
              <w:rPr>
                <w:rFonts w:ascii="Bodoni MT" w:hAnsi="Bodoni MT"/>
                <w:sz w:val="20"/>
                <w:szCs w:val="20"/>
              </w:rPr>
            </w:pPr>
            <w:r>
              <w:rPr>
                <w:rFonts w:ascii="Bodoni MT" w:hAnsi="Bodoni MT"/>
                <w:sz w:val="20"/>
                <w:szCs w:val="20"/>
              </w:rPr>
              <w:t xml:space="preserve">Il </w:t>
            </w:r>
            <w:r w:rsidRPr="002A61EC">
              <w:rPr>
                <w:rFonts w:ascii="Bodoni MT" w:hAnsi="Bodoni MT"/>
                <w:b/>
                <w:sz w:val="20"/>
                <w:szCs w:val="20"/>
              </w:rPr>
              <w:t>Piano Azione e Coesione</w:t>
            </w:r>
            <w:r>
              <w:rPr>
                <w:rFonts w:ascii="Bodoni MT" w:hAnsi="Bodoni MT"/>
                <w:sz w:val="20"/>
                <w:szCs w:val="20"/>
              </w:rPr>
              <w:t xml:space="preserve"> unitario siglato tra Ministro della coesione territoriale e Regioni del Mezzogiorno, nasce per contrastare il ritardo attuativo dei POR 2007-2013 nelle diverse realtà regionali e ha subito nuove rimodulazioni in relazione alle priorità d’intervento e alle categorie di investimento attuate. </w:t>
            </w:r>
          </w:p>
          <w:p w:rsidR="002A61EC" w:rsidRDefault="002A61EC" w:rsidP="004F3710">
            <w:pPr>
              <w:jc w:val="both"/>
              <w:rPr>
                <w:rFonts w:ascii="Bodoni MT" w:hAnsi="Bodoni MT"/>
                <w:sz w:val="20"/>
                <w:szCs w:val="20"/>
              </w:rPr>
            </w:pPr>
            <w:r>
              <w:rPr>
                <w:rFonts w:ascii="Bodoni MT" w:hAnsi="Bodoni MT"/>
                <w:sz w:val="20"/>
                <w:szCs w:val="20"/>
              </w:rPr>
              <w:t xml:space="preserve">Il quadro PAC Sardegna al 31.12.2016 incardina le seguenti priorità d’intervento: </w:t>
            </w:r>
            <w:r w:rsidRPr="002A61EC">
              <w:rPr>
                <w:rFonts w:ascii="Bodoni MT" w:hAnsi="Bodoni MT"/>
                <w:b/>
                <w:sz w:val="20"/>
                <w:szCs w:val="20"/>
              </w:rPr>
              <w:t>reti e mobilità</w:t>
            </w:r>
            <w:r>
              <w:rPr>
                <w:rFonts w:ascii="Bodoni MT" w:hAnsi="Bodoni MT"/>
                <w:sz w:val="20"/>
                <w:szCs w:val="20"/>
              </w:rPr>
              <w:t xml:space="preserve">; </w:t>
            </w:r>
            <w:r w:rsidRPr="002A61EC">
              <w:rPr>
                <w:rFonts w:ascii="Bodoni MT" w:hAnsi="Bodoni MT"/>
                <w:b/>
                <w:sz w:val="20"/>
                <w:szCs w:val="20"/>
              </w:rPr>
              <w:t>inclusione</w:t>
            </w:r>
            <w:r>
              <w:rPr>
                <w:rFonts w:ascii="Bodoni MT" w:hAnsi="Bodoni MT"/>
                <w:sz w:val="20"/>
                <w:szCs w:val="20"/>
              </w:rPr>
              <w:t xml:space="preserve"> </w:t>
            </w:r>
            <w:r w:rsidRPr="002A61EC">
              <w:rPr>
                <w:rFonts w:ascii="Bodoni MT" w:hAnsi="Bodoni MT"/>
                <w:b/>
                <w:sz w:val="20"/>
                <w:szCs w:val="20"/>
              </w:rPr>
              <w:t>sociale</w:t>
            </w:r>
            <w:r>
              <w:rPr>
                <w:rFonts w:ascii="Bodoni MT" w:hAnsi="Bodoni MT"/>
                <w:sz w:val="20"/>
                <w:szCs w:val="20"/>
              </w:rPr>
              <w:t xml:space="preserve">; </w:t>
            </w:r>
            <w:r w:rsidRPr="002A61EC">
              <w:rPr>
                <w:rFonts w:ascii="Bodoni MT" w:hAnsi="Bodoni MT"/>
                <w:b/>
                <w:sz w:val="20"/>
                <w:szCs w:val="20"/>
              </w:rPr>
              <w:t>istruzione</w:t>
            </w:r>
            <w:r>
              <w:rPr>
                <w:rFonts w:ascii="Bodoni MT" w:hAnsi="Bodoni MT"/>
                <w:sz w:val="20"/>
                <w:szCs w:val="20"/>
              </w:rPr>
              <w:t xml:space="preserve">; </w:t>
            </w:r>
            <w:r w:rsidRPr="002A61EC">
              <w:rPr>
                <w:rFonts w:ascii="Bodoni MT" w:hAnsi="Bodoni MT"/>
                <w:b/>
                <w:sz w:val="20"/>
                <w:szCs w:val="20"/>
              </w:rPr>
              <w:t>occupazione</w:t>
            </w:r>
            <w:r>
              <w:rPr>
                <w:rFonts w:ascii="Bodoni MT" w:hAnsi="Bodoni MT"/>
                <w:sz w:val="20"/>
                <w:szCs w:val="20"/>
              </w:rPr>
              <w:t xml:space="preserve">; </w:t>
            </w:r>
            <w:r w:rsidRPr="002A61EC">
              <w:rPr>
                <w:rFonts w:ascii="Bodoni MT" w:hAnsi="Bodoni MT"/>
                <w:b/>
                <w:sz w:val="20"/>
                <w:szCs w:val="20"/>
              </w:rPr>
              <w:t>a</w:t>
            </w:r>
            <w:r>
              <w:rPr>
                <w:rFonts w:ascii="Bodoni MT" w:hAnsi="Bodoni MT"/>
                <w:b/>
                <w:sz w:val="20"/>
                <w:szCs w:val="20"/>
              </w:rPr>
              <w:t>z</w:t>
            </w:r>
            <w:r w:rsidRPr="002A61EC">
              <w:rPr>
                <w:rFonts w:ascii="Bodoni MT" w:hAnsi="Bodoni MT"/>
                <w:b/>
                <w:sz w:val="20"/>
                <w:szCs w:val="20"/>
              </w:rPr>
              <w:t>ioni</w:t>
            </w:r>
            <w:r>
              <w:rPr>
                <w:rFonts w:ascii="Bodoni MT" w:hAnsi="Bodoni MT"/>
                <w:sz w:val="20"/>
                <w:szCs w:val="20"/>
              </w:rPr>
              <w:t xml:space="preserve"> </w:t>
            </w:r>
            <w:r w:rsidRPr="002A61EC">
              <w:rPr>
                <w:rFonts w:ascii="Bodoni MT" w:hAnsi="Bodoni MT"/>
                <w:b/>
                <w:sz w:val="20"/>
                <w:szCs w:val="20"/>
              </w:rPr>
              <w:t>di</w:t>
            </w:r>
            <w:r>
              <w:rPr>
                <w:rFonts w:ascii="Bodoni MT" w:hAnsi="Bodoni MT"/>
                <w:sz w:val="20"/>
                <w:szCs w:val="20"/>
              </w:rPr>
              <w:t xml:space="preserve"> </w:t>
            </w:r>
            <w:r w:rsidRPr="002A61EC">
              <w:rPr>
                <w:rFonts w:ascii="Bodoni MT" w:hAnsi="Bodoni MT"/>
                <w:b/>
                <w:sz w:val="20"/>
                <w:szCs w:val="20"/>
              </w:rPr>
              <w:t>salvaguardia</w:t>
            </w:r>
            <w:r>
              <w:rPr>
                <w:rFonts w:ascii="Bodoni MT" w:hAnsi="Bodoni MT"/>
                <w:sz w:val="20"/>
                <w:szCs w:val="20"/>
              </w:rPr>
              <w:t xml:space="preserve">. Tale situazione potrebbe essere nel corso del 2017 ulteriormente integrata; nel </w:t>
            </w:r>
            <w:r w:rsidRPr="002A61EC">
              <w:rPr>
                <w:rFonts w:ascii="Bodoni MT" w:hAnsi="Bodoni MT"/>
                <w:b/>
                <w:sz w:val="20"/>
                <w:szCs w:val="20"/>
              </w:rPr>
              <w:t>corso del 2017</w:t>
            </w:r>
            <w:r>
              <w:rPr>
                <w:rFonts w:ascii="Bodoni MT" w:hAnsi="Bodoni MT"/>
                <w:sz w:val="20"/>
                <w:szCs w:val="20"/>
              </w:rPr>
              <w:t xml:space="preserve"> è prevista l’elaborazione della </w:t>
            </w:r>
            <w:r w:rsidRPr="002A61EC">
              <w:rPr>
                <w:rFonts w:ascii="Bodoni MT" w:hAnsi="Bodoni MT"/>
                <w:b/>
                <w:sz w:val="20"/>
                <w:szCs w:val="20"/>
              </w:rPr>
              <w:t>prima Domanda di pagamento</w:t>
            </w:r>
            <w:r>
              <w:rPr>
                <w:rFonts w:ascii="Bodoni MT" w:hAnsi="Bodoni MT"/>
                <w:sz w:val="20"/>
                <w:szCs w:val="20"/>
              </w:rPr>
              <w:t>. Lo stato di avanzamento al 32.12.2016 registra pagamenti pari a circa la metà della dotazione finanziaria del Piano (154,168 milioni di euro di pagamenti sulla dotazione complessiva pari a 292,550 milioni di euro).</w:t>
            </w:r>
          </w:p>
          <w:p w:rsidR="004F3710" w:rsidRPr="004F3710" w:rsidRDefault="004F3710" w:rsidP="004F3710">
            <w:pPr>
              <w:jc w:val="both"/>
              <w:rPr>
                <w:rFonts w:ascii="Bodoni MT" w:hAnsi="Bodoni MT"/>
                <w:sz w:val="20"/>
                <w:szCs w:val="20"/>
              </w:rPr>
            </w:pPr>
            <w:r w:rsidRPr="004F3710">
              <w:rPr>
                <w:rFonts w:ascii="Bodoni MT" w:hAnsi="Bodoni MT"/>
                <w:sz w:val="20"/>
                <w:szCs w:val="20"/>
              </w:rPr>
              <w:t>Si registrano numerosi interventi di riprogrammazione a far data dal 2012, l’ulti</w:t>
            </w:r>
            <w:r w:rsidR="00A06261">
              <w:rPr>
                <w:rFonts w:ascii="Bodoni MT" w:hAnsi="Bodoni MT"/>
                <w:sz w:val="20"/>
                <w:szCs w:val="20"/>
              </w:rPr>
              <w:t>mo avvenuto in data 21.07.2016.</w:t>
            </w:r>
          </w:p>
        </w:tc>
      </w:tr>
    </w:tbl>
    <w:p w:rsidR="00CD5B3C" w:rsidRDefault="004A7E6A" w:rsidP="004A7E6A">
      <w:pPr>
        <w:pStyle w:val="Didascalia"/>
      </w:pPr>
      <w:bookmarkStart w:id="303" w:name="_Toc507422542"/>
      <w:r>
        <w:t xml:space="preserve">Tabella </w:t>
      </w:r>
      <w:r w:rsidR="00B90472">
        <w:fldChar w:fldCharType="begin"/>
      </w:r>
      <w:r w:rsidR="00B90472">
        <w:instrText xml:space="preserve"> SEQ Tabella \* ARABIC </w:instrText>
      </w:r>
      <w:r w:rsidR="00B90472">
        <w:fldChar w:fldCharType="separate"/>
      </w:r>
      <w:r w:rsidR="008616B3">
        <w:rPr>
          <w:noProof/>
        </w:rPr>
        <w:t>74</w:t>
      </w:r>
      <w:r w:rsidR="00B90472">
        <w:rPr>
          <w:noProof/>
        </w:rPr>
        <w:fldChar w:fldCharType="end"/>
      </w:r>
      <w:r w:rsidR="00C959D5">
        <w:t xml:space="preserve"> - Stato attuazione del FSC 2007-2013</w:t>
      </w:r>
      <w:bookmarkEnd w:id="303"/>
    </w:p>
    <w:tbl>
      <w:tblPr>
        <w:tblStyle w:val="Grigliatabella"/>
        <w:tblW w:w="5000" w:type="pct"/>
        <w:jc w:val="center"/>
        <w:tblLook w:val="04A0" w:firstRow="1" w:lastRow="0" w:firstColumn="1" w:lastColumn="0" w:noHBand="0" w:noVBand="1"/>
      </w:tblPr>
      <w:tblGrid>
        <w:gridCol w:w="3284"/>
        <w:gridCol w:w="3285"/>
        <w:gridCol w:w="3285"/>
      </w:tblGrid>
      <w:tr w:rsidR="00203E5B" w:rsidRPr="00203E5B" w:rsidTr="00203E5B">
        <w:trPr>
          <w:jc w:val="center"/>
        </w:trPr>
        <w:tc>
          <w:tcPr>
            <w:tcW w:w="1666" w:type="pct"/>
            <w:shd w:val="clear" w:color="auto" w:fill="0F243E" w:themeFill="text2" w:themeFillShade="80"/>
            <w:vAlign w:val="center"/>
          </w:tcPr>
          <w:p w:rsidR="00203E5B" w:rsidRPr="00203E5B" w:rsidRDefault="00203E5B" w:rsidP="00203E5B">
            <w:pPr>
              <w:jc w:val="center"/>
              <w:rPr>
                <w:rFonts w:ascii="Bodoni MT" w:hAnsi="Bodoni MT"/>
                <w:b/>
                <w:sz w:val="20"/>
                <w:szCs w:val="20"/>
              </w:rPr>
            </w:pPr>
            <w:r w:rsidRPr="00203E5B">
              <w:rPr>
                <w:rFonts w:ascii="Bodoni MT" w:hAnsi="Bodoni MT"/>
                <w:b/>
                <w:sz w:val="20"/>
                <w:szCs w:val="20"/>
              </w:rPr>
              <w:t>Totale FSC 2007-2013</w:t>
            </w:r>
          </w:p>
        </w:tc>
        <w:tc>
          <w:tcPr>
            <w:tcW w:w="1667" w:type="pct"/>
            <w:shd w:val="clear" w:color="auto" w:fill="0F243E" w:themeFill="text2" w:themeFillShade="80"/>
            <w:vAlign w:val="center"/>
          </w:tcPr>
          <w:p w:rsidR="00203E5B" w:rsidRPr="00203E5B" w:rsidRDefault="00203E5B" w:rsidP="00203E5B">
            <w:pPr>
              <w:jc w:val="center"/>
              <w:rPr>
                <w:rFonts w:ascii="Bodoni MT" w:hAnsi="Bodoni MT"/>
                <w:b/>
                <w:sz w:val="20"/>
                <w:szCs w:val="20"/>
              </w:rPr>
            </w:pPr>
            <w:r w:rsidRPr="00203E5B">
              <w:rPr>
                <w:rFonts w:ascii="Bodoni MT" w:hAnsi="Bodoni MT"/>
                <w:b/>
                <w:sz w:val="20"/>
                <w:szCs w:val="20"/>
              </w:rPr>
              <w:t>Ammontare FSC con OGV assunte</w:t>
            </w:r>
          </w:p>
        </w:tc>
        <w:tc>
          <w:tcPr>
            <w:tcW w:w="1667" w:type="pct"/>
            <w:shd w:val="clear" w:color="auto" w:fill="0F243E" w:themeFill="text2" w:themeFillShade="80"/>
            <w:vAlign w:val="center"/>
          </w:tcPr>
          <w:p w:rsidR="00203E5B" w:rsidRPr="00203E5B" w:rsidRDefault="00203E5B" w:rsidP="00203E5B">
            <w:pPr>
              <w:jc w:val="center"/>
              <w:rPr>
                <w:rFonts w:ascii="Bodoni MT" w:hAnsi="Bodoni MT"/>
                <w:b/>
                <w:sz w:val="20"/>
                <w:szCs w:val="20"/>
              </w:rPr>
            </w:pPr>
            <w:r w:rsidRPr="00203E5B">
              <w:rPr>
                <w:rFonts w:ascii="Bodoni MT" w:hAnsi="Bodoni MT"/>
                <w:b/>
                <w:sz w:val="20"/>
                <w:szCs w:val="20"/>
              </w:rPr>
              <w:t>Ammontare FSC con OGV non assunte al 30.12.2016</w:t>
            </w:r>
          </w:p>
        </w:tc>
      </w:tr>
      <w:tr w:rsidR="00203E5B" w:rsidRPr="00203E5B" w:rsidTr="00203E5B">
        <w:trPr>
          <w:jc w:val="center"/>
        </w:trPr>
        <w:tc>
          <w:tcPr>
            <w:tcW w:w="1666" w:type="pct"/>
          </w:tcPr>
          <w:p w:rsidR="00203E5B" w:rsidRPr="00F64621" w:rsidRDefault="00203E5B" w:rsidP="00C959D5">
            <w:pPr>
              <w:jc w:val="center"/>
              <w:rPr>
                <w:rFonts w:cstheme="minorHAnsi"/>
                <w:sz w:val="18"/>
                <w:szCs w:val="18"/>
              </w:rPr>
            </w:pPr>
            <w:r w:rsidRPr="00F64621">
              <w:rPr>
                <w:rFonts w:cstheme="minorHAnsi"/>
                <w:sz w:val="18"/>
                <w:szCs w:val="18"/>
              </w:rPr>
              <w:t>1.905.801.457</w:t>
            </w:r>
          </w:p>
        </w:tc>
        <w:tc>
          <w:tcPr>
            <w:tcW w:w="1667" w:type="pct"/>
          </w:tcPr>
          <w:p w:rsidR="00203E5B" w:rsidRPr="00F64621" w:rsidRDefault="00203E5B" w:rsidP="00C959D5">
            <w:pPr>
              <w:jc w:val="center"/>
              <w:rPr>
                <w:rFonts w:cstheme="minorHAnsi"/>
                <w:sz w:val="18"/>
                <w:szCs w:val="18"/>
              </w:rPr>
            </w:pPr>
            <w:r w:rsidRPr="00F64621">
              <w:rPr>
                <w:rFonts w:cstheme="minorHAnsi"/>
                <w:sz w:val="18"/>
                <w:szCs w:val="18"/>
              </w:rPr>
              <w:t>1.770.927.460</w:t>
            </w:r>
          </w:p>
        </w:tc>
        <w:tc>
          <w:tcPr>
            <w:tcW w:w="1667" w:type="pct"/>
          </w:tcPr>
          <w:p w:rsidR="00203E5B" w:rsidRPr="00F64621" w:rsidRDefault="00203E5B" w:rsidP="00C959D5">
            <w:pPr>
              <w:jc w:val="center"/>
              <w:rPr>
                <w:rFonts w:cstheme="minorHAnsi"/>
                <w:sz w:val="18"/>
                <w:szCs w:val="18"/>
              </w:rPr>
            </w:pPr>
            <w:r w:rsidRPr="00F64621">
              <w:rPr>
                <w:rFonts w:cstheme="minorHAnsi"/>
                <w:sz w:val="18"/>
                <w:szCs w:val="18"/>
              </w:rPr>
              <w:t>38.523.997</w:t>
            </w:r>
          </w:p>
        </w:tc>
      </w:tr>
      <w:tr w:rsidR="00203E5B" w:rsidRPr="00203E5B" w:rsidTr="00203E5B">
        <w:trPr>
          <w:jc w:val="center"/>
        </w:trPr>
        <w:tc>
          <w:tcPr>
            <w:tcW w:w="5000" w:type="pct"/>
            <w:gridSpan w:val="3"/>
          </w:tcPr>
          <w:p w:rsidR="00203E5B" w:rsidRPr="00F64621" w:rsidRDefault="0062184B" w:rsidP="00203E5B">
            <w:pPr>
              <w:jc w:val="both"/>
              <w:rPr>
                <w:rFonts w:ascii="Bodoni MT" w:hAnsi="Bodoni MT"/>
                <w:sz w:val="18"/>
                <w:szCs w:val="18"/>
              </w:rPr>
            </w:pPr>
            <w:r w:rsidRPr="00F64621">
              <w:rPr>
                <w:rFonts w:ascii="Bodoni MT" w:hAnsi="Bodoni MT"/>
                <w:sz w:val="18"/>
                <w:szCs w:val="18"/>
              </w:rPr>
              <w:t xml:space="preserve">La programmazione </w:t>
            </w:r>
            <w:r w:rsidRPr="00F64621">
              <w:rPr>
                <w:rFonts w:ascii="Bodoni MT" w:hAnsi="Bodoni MT"/>
                <w:b/>
                <w:sz w:val="18"/>
                <w:szCs w:val="18"/>
              </w:rPr>
              <w:t xml:space="preserve">Fondo Sviluppo e Coesione 2007-2013 </w:t>
            </w:r>
            <w:r w:rsidRPr="00F64621">
              <w:rPr>
                <w:rFonts w:ascii="Bodoni MT" w:hAnsi="Bodoni MT"/>
                <w:sz w:val="18"/>
                <w:szCs w:val="18"/>
              </w:rPr>
              <w:t xml:space="preserve">riporta una dotazione finanziaria composta per fonte (UE, Regione, Provincia, Comune, Privati, Stato, FSC regionale, FSC nazionale, risorse liberate, rotazione PAC) pari a </w:t>
            </w:r>
            <w:r w:rsidRPr="00F64621">
              <w:rPr>
                <w:rFonts w:ascii="Bodoni MT" w:hAnsi="Bodoni MT"/>
                <w:b/>
                <w:sz w:val="18"/>
                <w:szCs w:val="18"/>
              </w:rPr>
              <w:t>2,458 miliardi di euro</w:t>
            </w:r>
            <w:r w:rsidRPr="00F64621">
              <w:rPr>
                <w:rFonts w:ascii="Bodoni MT" w:hAnsi="Bodoni MT"/>
                <w:sz w:val="18"/>
                <w:szCs w:val="18"/>
              </w:rPr>
              <w:t xml:space="preserve">. Le risorse, però, effettivamente stanziate dal CIPE </w:t>
            </w:r>
            <w:r w:rsidRPr="00F64621">
              <w:rPr>
                <w:rFonts w:ascii="Bodoni MT" w:hAnsi="Bodoni MT"/>
                <w:b/>
                <w:sz w:val="18"/>
                <w:szCs w:val="18"/>
              </w:rPr>
              <w:t>ammontano a 1,905 miliardi di euro</w:t>
            </w:r>
            <w:r w:rsidRPr="00F64621">
              <w:rPr>
                <w:rFonts w:ascii="Bodoni MT" w:hAnsi="Bodoni MT"/>
                <w:sz w:val="18"/>
                <w:szCs w:val="18"/>
              </w:rPr>
              <w:t>. I dati riportati nel prospetto sono aggiornati al 31.12.2015.</w:t>
            </w:r>
          </w:p>
          <w:p w:rsidR="0062184B" w:rsidRPr="00F64621" w:rsidRDefault="0062184B" w:rsidP="00203E5B">
            <w:pPr>
              <w:jc w:val="both"/>
              <w:rPr>
                <w:rFonts w:ascii="Bodoni MT" w:hAnsi="Bodoni MT"/>
                <w:sz w:val="18"/>
                <w:szCs w:val="18"/>
              </w:rPr>
            </w:pPr>
            <w:r w:rsidRPr="00F64621">
              <w:rPr>
                <w:rFonts w:ascii="Bodoni MT" w:hAnsi="Bodoni MT"/>
                <w:sz w:val="18"/>
                <w:szCs w:val="18"/>
              </w:rPr>
              <w:t xml:space="preserve">Il termine ultimo entro il quale assumere le Obbligazioni giuridicamente vincolanti (OGV) da parte dei soggetti attuatori era fissato per il 30 giugno 2016, poi prorogato dal CIPE al 31 dicembre 2016, a </w:t>
            </w:r>
            <w:r w:rsidR="001B6BFA" w:rsidRPr="00F64621">
              <w:rPr>
                <w:rFonts w:ascii="Bodoni MT" w:hAnsi="Bodoni MT"/>
                <w:sz w:val="18"/>
                <w:szCs w:val="18"/>
              </w:rPr>
              <w:t>pena</w:t>
            </w:r>
            <w:r w:rsidRPr="00F64621">
              <w:rPr>
                <w:rFonts w:ascii="Bodoni MT" w:hAnsi="Bodoni MT"/>
                <w:sz w:val="18"/>
                <w:szCs w:val="18"/>
              </w:rPr>
              <w:t xml:space="preserve"> di perdita/revoca delle risorse.</w:t>
            </w:r>
          </w:p>
          <w:p w:rsidR="0062184B" w:rsidRPr="0062184B" w:rsidRDefault="0062184B" w:rsidP="00203E5B">
            <w:pPr>
              <w:jc w:val="both"/>
              <w:rPr>
                <w:rFonts w:ascii="Bodoni MT" w:hAnsi="Bodoni MT"/>
                <w:sz w:val="20"/>
                <w:szCs w:val="20"/>
              </w:rPr>
            </w:pPr>
            <w:r w:rsidRPr="00F64621">
              <w:rPr>
                <w:rFonts w:ascii="Bodoni MT" w:hAnsi="Bodoni MT"/>
                <w:sz w:val="18"/>
                <w:szCs w:val="18"/>
              </w:rPr>
              <w:lastRenderedPageBreak/>
              <w:t xml:space="preserve">La Regione segnala che a fronte dei rallentamenti registrati a tutto il 2015 (si consideri che si registrano </w:t>
            </w:r>
            <w:r w:rsidR="00066CF0" w:rsidRPr="00F64621">
              <w:rPr>
                <w:rFonts w:ascii="Bodoni MT" w:hAnsi="Bodoni MT"/>
                <w:sz w:val="18"/>
                <w:szCs w:val="18"/>
              </w:rPr>
              <w:t>realizzazioni</w:t>
            </w:r>
            <w:r w:rsidR="002928F0" w:rsidRPr="00F64621">
              <w:rPr>
                <w:rFonts w:ascii="Bodoni MT" w:hAnsi="Bodoni MT"/>
                <w:sz w:val="18"/>
                <w:szCs w:val="18"/>
              </w:rPr>
              <w:t xml:space="preserve"> </w:t>
            </w:r>
            <w:r w:rsidR="00BA0DEB" w:rsidRPr="00F64621">
              <w:rPr>
                <w:rFonts w:ascii="Bodoni MT" w:hAnsi="Bodoni MT"/>
                <w:sz w:val="18"/>
                <w:szCs w:val="18"/>
              </w:rPr>
              <w:t xml:space="preserve">per circa </w:t>
            </w:r>
            <w:r w:rsidR="00BA0DEB" w:rsidRPr="00F64621">
              <w:rPr>
                <w:rFonts w:ascii="Bodoni MT" w:hAnsi="Bodoni MT"/>
                <w:b/>
                <w:sz w:val="18"/>
                <w:szCs w:val="18"/>
              </w:rPr>
              <w:t>44,595 milioni di euro</w:t>
            </w:r>
            <w:r w:rsidR="00BA0DEB" w:rsidRPr="00F64621">
              <w:rPr>
                <w:rFonts w:ascii="Bodoni MT" w:hAnsi="Bodoni MT"/>
                <w:sz w:val="18"/>
                <w:szCs w:val="18"/>
              </w:rPr>
              <w:t xml:space="preserve"> su una dotazione di </w:t>
            </w:r>
            <w:r w:rsidR="00BA0DEB" w:rsidRPr="00F64621">
              <w:rPr>
                <w:rFonts w:ascii="Bodoni MT" w:hAnsi="Bodoni MT"/>
                <w:b/>
                <w:sz w:val="18"/>
                <w:szCs w:val="18"/>
              </w:rPr>
              <w:t xml:space="preserve">2,458 </w:t>
            </w:r>
            <w:r w:rsidR="001B6BFA" w:rsidRPr="00F64621">
              <w:rPr>
                <w:rFonts w:ascii="Bodoni MT" w:hAnsi="Bodoni MT"/>
                <w:b/>
                <w:sz w:val="18"/>
                <w:szCs w:val="18"/>
              </w:rPr>
              <w:t>miliardi</w:t>
            </w:r>
            <w:r w:rsidR="00BA0DEB" w:rsidRPr="00F64621">
              <w:rPr>
                <w:rFonts w:ascii="Bodoni MT" w:hAnsi="Bodoni MT"/>
                <w:b/>
                <w:sz w:val="18"/>
                <w:szCs w:val="18"/>
              </w:rPr>
              <w:t xml:space="preserve"> di euro</w:t>
            </w:r>
            <w:r w:rsidR="00BA0DEB" w:rsidRPr="00F64621">
              <w:rPr>
                <w:rFonts w:ascii="Bodoni MT" w:hAnsi="Bodoni MT"/>
                <w:sz w:val="18"/>
                <w:szCs w:val="18"/>
              </w:rPr>
              <w:t xml:space="preserve">) nel corso del 2016 ci sarebbe stato un consistente avanzamento, essendo state assunte obbligazioni (OGV) pari a </w:t>
            </w:r>
            <w:r w:rsidR="00862879" w:rsidRPr="00F64621">
              <w:rPr>
                <w:rFonts w:ascii="Bodoni MT" w:hAnsi="Bodoni MT"/>
                <w:sz w:val="18"/>
                <w:szCs w:val="18"/>
              </w:rPr>
              <w:t>1</w:t>
            </w:r>
            <w:r w:rsidR="00010A66" w:rsidRPr="00F64621">
              <w:rPr>
                <w:rFonts w:ascii="Bodoni MT" w:hAnsi="Bodoni MT"/>
                <w:sz w:val="18"/>
                <w:szCs w:val="18"/>
              </w:rPr>
              <w:t>,</w:t>
            </w:r>
            <w:r w:rsidR="00862879" w:rsidRPr="00F64621">
              <w:rPr>
                <w:rFonts w:ascii="Bodoni MT" w:hAnsi="Bodoni MT"/>
                <w:sz w:val="18"/>
                <w:szCs w:val="18"/>
              </w:rPr>
              <w:t>77</w:t>
            </w:r>
            <w:r w:rsidR="002928F0" w:rsidRPr="00F64621">
              <w:rPr>
                <w:rFonts w:ascii="Bodoni MT" w:hAnsi="Bodoni MT"/>
                <w:sz w:val="18"/>
                <w:szCs w:val="18"/>
              </w:rPr>
              <w:t xml:space="preserve">0 miliardi di euro. Alla luce dell’avanzamento del programma si registrano </w:t>
            </w:r>
            <w:r w:rsidR="001B6BFA" w:rsidRPr="00F64621">
              <w:rPr>
                <w:rFonts w:ascii="Bodoni MT" w:hAnsi="Bodoni MT"/>
                <w:sz w:val="18"/>
                <w:szCs w:val="18"/>
              </w:rPr>
              <w:t xml:space="preserve">tuttavia </w:t>
            </w:r>
            <w:r w:rsidR="002928F0" w:rsidRPr="00F64621">
              <w:rPr>
                <w:rFonts w:ascii="Bodoni MT" w:hAnsi="Bodoni MT"/>
                <w:sz w:val="18"/>
                <w:szCs w:val="18"/>
              </w:rPr>
              <w:t>bassissime riscossioni di entrata a mero titolo di anticipazione in favore della Sardegna (due quote di 146,815 milioni di euro e 177,</w:t>
            </w:r>
            <w:r w:rsidR="00862879" w:rsidRPr="00F64621">
              <w:rPr>
                <w:rFonts w:ascii="Bodoni MT" w:hAnsi="Bodoni MT"/>
                <w:sz w:val="18"/>
                <w:szCs w:val="18"/>
              </w:rPr>
              <w:t xml:space="preserve">740 milioni </w:t>
            </w:r>
            <w:r w:rsidR="00010A66" w:rsidRPr="00F64621">
              <w:rPr>
                <w:rFonts w:ascii="Bodoni MT" w:hAnsi="Bodoni MT"/>
                <w:sz w:val="18"/>
                <w:szCs w:val="18"/>
              </w:rPr>
              <w:t xml:space="preserve">di euro </w:t>
            </w:r>
            <w:r w:rsidR="00862879" w:rsidRPr="00F64621">
              <w:rPr>
                <w:rFonts w:ascii="Bodoni MT" w:hAnsi="Bodoni MT"/>
                <w:sz w:val="18"/>
                <w:szCs w:val="18"/>
              </w:rPr>
              <w:t>ad oggi parzialmente erogata).</w:t>
            </w:r>
          </w:p>
        </w:tc>
      </w:tr>
    </w:tbl>
    <w:p w:rsidR="00862879" w:rsidRDefault="00862879" w:rsidP="00CD4593">
      <w:pPr>
        <w:pStyle w:val="CdcTesto"/>
        <w:spacing w:before="360"/>
      </w:pPr>
      <w:r>
        <w:lastRenderedPageBreak/>
        <w:t>Il quadro risorse “</w:t>
      </w:r>
      <w:r w:rsidR="00066CF0">
        <w:t xml:space="preserve">aggiuntive” </w:t>
      </w:r>
      <w:r>
        <w:t xml:space="preserve">si completa a seguito del </w:t>
      </w:r>
      <w:r w:rsidRPr="00862879">
        <w:rPr>
          <w:b/>
        </w:rPr>
        <w:t>Patto per lo sviluppo della Regione Sardegna</w:t>
      </w:r>
      <w:r>
        <w:t xml:space="preserve">, </w:t>
      </w:r>
      <w:r w:rsidR="00010A66">
        <w:t>sottoscritto</w:t>
      </w:r>
      <w:r w:rsidR="00066CF0">
        <w:t xml:space="preserve"> a Sassari il 29 luglio 2016 dallo Stato e dalla Regione, con cui viene programmata </w:t>
      </w:r>
      <w:r w:rsidR="00B573F9">
        <w:t>la quota regionale del FSC 2014/</w:t>
      </w:r>
      <w:r w:rsidR="00066CF0">
        <w:t xml:space="preserve">2020 a favore della Sardegna pari a 1,509 miliardi di euro, di cui 267,6 milioni di </w:t>
      </w:r>
      <w:r w:rsidR="00B573F9">
        <w:t>euro spendibili negli anni 2016/</w:t>
      </w:r>
      <w:r w:rsidR="00066CF0">
        <w:t xml:space="preserve">2017, per interventi individuati nel confronto con </w:t>
      </w:r>
      <w:r w:rsidR="001B6BFA">
        <w:t>lo</w:t>
      </w:r>
      <w:r w:rsidR="00066CF0">
        <w:t xml:space="preserve"> Stato.</w:t>
      </w:r>
    </w:p>
    <w:p w:rsidR="00066CF0" w:rsidRDefault="00066CF0" w:rsidP="00C959D5">
      <w:pPr>
        <w:pStyle w:val="CdcTesto"/>
      </w:pPr>
      <w:r>
        <w:t>Il CIPE ha già assegnato al Patto per la Sardegna 1,509 miliardi d</w:t>
      </w:r>
      <w:r w:rsidR="002C1F0C">
        <w:t>i euro (delibera 26/2016 del 10 </w:t>
      </w:r>
      <w:r>
        <w:t>agosto 2016) e successivamente la Giunta regionale ha individuato le Linee d’Azione, le strutture competenti all’attuazione e le relative dotazioni finanzi</w:t>
      </w:r>
      <w:r w:rsidR="002C1F0C">
        <w:t>arie (D.G.R. 5/1 del 24 gennaio </w:t>
      </w:r>
      <w:r>
        <w:t>2017).</w:t>
      </w:r>
    </w:p>
    <w:p w:rsidR="00CD4593" w:rsidRDefault="00066CF0" w:rsidP="00C959D5">
      <w:pPr>
        <w:pStyle w:val="CdcTesto"/>
      </w:pPr>
      <w:r>
        <w:t>La gestione delle entrate a valere sul FSC è in</w:t>
      </w:r>
      <w:r w:rsidR="009F363D">
        <w:t xml:space="preserve"> </w:t>
      </w:r>
      <w:r>
        <w:t>capo alla Direzione generale della Presidenza e per ogni linea d’azione verrà creato apposito capitolo di spesa</w:t>
      </w:r>
      <w:r w:rsidR="009F363D">
        <w:t xml:space="preserve"> “</w:t>
      </w:r>
      <w:r w:rsidR="009F363D" w:rsidRPr="006462C2">
        <w:rPr>
          <w:b/>
        </w:rPr>
        <w:t>…</w:t>
      </w:r>
      <w:r w:rsidR="009F363D" w:rsidRPr="009F363D">
        <w:rPr>
          <w:b/>
        </w:rPr>
        <w:t>al fine di agevolare la tracciabilità dei flussi finanziari</w:t>
      </w:r>
      <w:r w:rsidR="009F363D" w:rsidRPr="006462C2">
        <w:rPr>
          <w:b/>
        </w:rPr>
        <w:t>…</w:t>
      </w:r>
      <w:r w:rsidR="009F363D">
        <w:t>”.</w:t>
      </w:r>
    </w:p>
    <w:p w:rsidR="00E12A0A" w:rsidRDefault="00B87297" w:rsidP="00C959D5">
      <w:pPr>
        <w:pStyle w:val="CdcTesto"/>
        <w:rPr>
          <w:i/>
        </w:rPr>
        <w:sectPr w:rsidR="00E12A0A" w:rsidSect="00CD34A0">
          <w:headerReference w:type="default" r:id="rId73"/>
          <w:type w:val="oddPage"/>
          <w:pgSz w:w="11906" w:h="16838"/>
          <w:pgMar w:top="1417" w:right="1134" w:bottom="1134" w:left="1134" w:header="708" w:footer="708" w:gutter="0"/>
          <w:cols w:space="708"/>
          <w:docGrid w:linePitch="360"/>
        </w:sectPr>
      </w:pPr>
      <w:r>
        <w:t>Le considerazioni in ultimo pervenute a firma dell’Assessore alla programmazione</w:t>
      </w:r>
      <w:r>
        <w:rPr>
          <w:rStyle w:val="Rimandonotaapidipagina"/>
        </w:rPr>
        <w:footnoteReference w:id="175"/>
      </w:r>
      <w:r>
        <w:t>, successivamente all’adunanza di verifica, precisano che “</w:t>
      </w:r>
      <w:r w:rsidRPr="00F64621">
        <w:rPr>
          <w:i/>
        </w:rPr>
        <w:t>le regole europee prevedono la chiusura della rendicontazione e della certificazione delle spese della programmazione 2007/2013 al 31/03/2017 e che quindi la Regione ha operato all’interno delle regole esistenti. Il dato da sottolineare è che grazie al grande lavoro fatto dalle Autorità dei Gestione dei POR la regione è riuscita a rendicontare tutte le risorse della programmazione 2007/2013……Per quanto riguarda il ciclo di programmazione 2014/2020, che di fatto è partito nel 2016, una volta concluse tutte le procedure di accreditamento previste dalla normativa europea, i programmi sono in pieno svolgimento e stiamo lavorando per raggiungere gli obiettivi di spesa previsti per il 31/12/2018”.</w:t>
      </w:r>
    </w:p>
    <w:p w:rsidR="009C738D" w:rsidRDefault="00B568E4" w:rsidP="009C738D">
      <w:pPr>
        <w:pStyle w:val="Titolo1"/>
      </w:pPr>
      <w:bookmarkStart w:id="304" w:name="_Toc507422673"/>
      <w:r>
        <w:lastRenderedPageBreak/>
        <w:t>IL SERVIZIO SANITARIO REGIONALE</w:t>
      </w:r>
      <w:bookmarkEnd w:id="304"/>
    </w:p>
    <w:p w:rsidR="002B5DE9" w:rsidRPr="002B5DE9" w:rsidRDefault="002B5DE9" w:rsidP="002B5DE9">
      <w:pPr>
        <w:pStyle w:val="CdcTesto"/>
        <w:rPr>
          <w:i/>
          <w:sz w:val="18"/>
          <w:szCs w:val="18"/>
        </w:rPr>
      </w:pPr>
      <w:r>
        <w:rPr>
          <w:i/>
          <w:sz w:val="18"/>
          <w:szCs w:val="18"/>
        </w:rPr>
        <w:t>Sommario: 18.1 La perimetrazione delle risorse destinate alla spesa sanitaria – 18.2 Le risorse del bilancio Regionale destinate alla sanità – 18.3 Le risorse destinate alle Aziende – 18.4 Azioni per il contenimento dei costi – 18.5 I risultati di esercizio delle Aziende Sanitarie – 18.5.1 La spesa farmaceutica – 18.6 Il disavanzo sanitario e la relativa copertura – 18.7 Il Piano di rientro 2016-2018 – 18.8 I debiti delle Aziende del SSR - -18.9 I debiti delle Aziende Sanitarie</w:t>
      </w:r>
    </w:p>
    <w:p w:rsidR="009C738D" w:rsidRDefault="009C738D" w:rsidP="009C738D">
      <w:pPr>
        <w:pStyle w:val="Titolo2"/>
      </w:pPr>
      <w:bookmarkStart w:id="305" w:name="_Toc507422674"/>
      <w:r>
        <w:t>La perimetrazione delle risorse destinate alla spesa sanitaria</w:t>
      </w:r>
      <w:bookmarkEnd w:id="305"/>
    </w:p>
    <w:p w:rsidR="009C738D" w:rsidRPr="004B0524" w:rsidRDefault="009C738D" w:rsidP="009C738D">
      <w:pPr>
        <w:pStyle w:val="CdcTesto"/>
      </w:pPr>
      <w:r w:rsidRPr="004B0524">
        <w:t xml:space="preserve">La Legge finanziaria regionale </w:t>
      </w:r>
      <w:r>
        <w:t xml:space="preserve">2015 </w:t>
      </w:r>
      <w:r w:rsidR="007B5308" w:rsidRPr="004B0524">
        <w:t xml:space="preserve">ha previsto </w:t>
      </w:r>
      <w:r w:rsidR="007B5308">
        <w:t xml:space="preserve">(L.R. n. 5/2015 </w:t>
      </w:r>
      <w:r w:rsidRPr="004B0524">
        <w:t>art. 29</w:t>
      </w:r>
      <w:r>
        <w:t>, comma 2</w:t>
      </w:r>
      <w:r w:rsidR="007B5308">
        <w:t>)</w:t>
      </w:r>
      <w:r>
        <w:t xml:space="preserve"> che a decorrere dal 0</w:t>
      </w:r>
      <w:r w:rsidRPr="004B0524">
        <w:t xml:space="preserve">1/01/2015, le disposizioni di cui al Titolo II del D.Lgs. n. 118/2011, si applicano </w:t>
      </w:r>
      <w:r>
        <w:t xml:space="preserve">in via esclusiva alle </w:t>
      </w:r>
      <w:r w:rsidRPr="004B0524">
        <w:t>aziende sanitarie</w:t>
      </w:r>
      <w:r w:rsidR="007B5308">
        <w:t xml:space="preserve"> (</w:t>
      </w:r>
      <w:r w:rsidR="007B5308" w:rsidRPr="004B0524">
        <w:t>artt. 25 e 32 del D.Lgs. n. 118/2011</w:t>
      </w:r>
      <w:r w:rsidR="007B5308">
        <w:t>)</w:t>
      </w:r>
      <w:r w:rsidRPr="004B0524">
        <w:t>.</w:t>
      </w:r>
      <w:r w:rsidR="007B5308">
        <w:t xml:space="preserve"> </w:t>
      </w:r>
    </w:p>
    <w:p w:rsidR="009C738D" w:rsidRDefault="009C738D" w:rsidP="009C738D">
      <w:pPr>
        <w:pStyle w:val="CdcTesto"/>
      </w:pPr>
      <w:r>
        <w:t>Come già riferito nella Relazione sul Bilancio preventivo della Regione</w:t>
      </w:r>
      <w:r>
        <w:rPr>
          <w:rStyle w:val="Rimandonotaapidipagina"/>
        </w:rPr>
        <w:footnoteReference w:id="176"/>
      </w:r>
      <w:r>
        <w:t>, l’Assessore alla Sanità</w:t>
      </w:r>
      <w:r w:rsidR="007B5308">
        <w:rPr>
          <w:rStyle w:val="Rimandonotaapidipagina"/>
        </w:rPr>
        <w:footnoteReference w:id="177"/>
      </w:r>
      <w:r w:rsidR="007B5308">
        <w:t xml:space="preserve"> </w:t>
      </w:r>
      <w:r>
        <w:t>ha ritenuto che la disciplina prevista</w:t>
      </w:r>
      <w:r w:rsidRPr="004B0524">
        <w:t xml:space="preserve"> </w:t>
      </w:r>
      <w:r>
        <w:t>da</w:t>
      </w:r>
      <w:r w:rsidRPr="004B0524">
        <w:t xml:space="preserve">l Titolo II del D.Lgs. n. 118/2011 </w:t>
      </w:r>
      <w:r>
        <w:t>avrebbe dovuto</w:t>
      </w:r>
      <w:r w:rsidR="007B5308">
        <w:t xml:space="preserve"> trovare applicazione</w:t>
      </w:r>
      <w:r w:rsidRPr="004B0524">
        <w:t xml:space="preserve"> </w:t>
      </w:r>
      <w:r w:rsidR="007B5308">
        <w:t>(</w:t>
      </w:r>
      <w:r w:rsidRPr="004B0524">
        <w:t>conformemente a quanto previsto dall’art. 1, comma 5 del predetto decreto</w:t>
      </w:r>
      <w:r w:rsidR="00A956C8">
        <w:t>)</w:t>
      </w:r>
      <w:r w:rsidRPr="004B0524">
        <w:t xml:space="preserve"> solo nei riguardi di quelle Regioni che gestiscono la spesa sanitaria con le risorse provenienti dal Fondo sanitario nazionale e, quindi, non in Sardegna.</w:t>
      </w:r>
      <w:r w:rsidR="007B5308">
        <w:t xml:space="preserve"> N</w:t>
      </w:r>
      <w:r>
        <w:t xml:space="preserve">ella stessa delibera, </w:t>
      </w:r>
      <w:r w:rsidRPr="004B0524">
        <w:t xml:space="preserve">nel fornire direttive </w:t>
      </w:r>
      <w:r>
        <w:t xml:space="preserve">agli Uffici regionali </w:t>
      </w:r>
      <w:r w:rsidRPr="004B0524">
        <w:t>per l’armonizzazi</w:t>
      </w:r>
      <w:r>
        <w:t>one contabile, l’Assessore ha evidenziato che</w:t>
      </w:r>
      <w:r w:rsidRPr="004B0524">
        <w:t xml:space="preserve"> </w:t>
      </w:r>
      <w:r>
        <w:t xml:space="preserve">poiché la disciplina </w:t>
      </w:r>
      <w:r w:rsidR="007B5308">
        <w:t>in esame</w:t>
      </w:r>
      <w:r w:rsidR="002C1F0C">
        <w:t xml:space="preserve"> </w:t>
      </w:r>
      <w:r>
        <w:t>“</w:t>
      </w:r>
      <w:r w:rsidRPr="001D6C64">
        <w:rPr>
          <w:i/>
        </w:rPr>
        <w:t>è applicata al solo fine di garantire la necessaria omogeneità nella redazione dei bilanci e nella tenuta della contabilità da parte dei predetti enti, rispetto a quelli del restante territorio nazionale, la</w:t>
      </w:r>
      <w:r w:rsidRPr="004B0524">
        <w:t xml:space="preserve"> </w:t>
      </w:r>
      <w:r w:rsidRPr="004B0524">
        <w:rPr>
          <w:i/>
        </w:rPr>
        <w:t>perimetrazione della spesa sanitaria</w:t>
      </w:r>
      <w:r w:rsidRPr="004B0524">
        <w:t xml:space="preserve"> </w:t>
      </w:r>
      <w:r w:rsidRPr="00E574DA">
        <w:rPr>
          <w:i/>
        </w:rPr>
        <w:t>non deve essere finalizzata alla gestione della stessa spesa all’interno del bilancio regionale, ma in prospettiva, esclusivamente al consolidamento dei conti</w:t>
      </w:r>
      <w:r>
        <w:t xml:space="preserve">”. </w:t>
      </w:r>
    </w:p>
    <w:p w:rsidR="009C738D" w:rsidRPr="004B0524" w:rsidRDefault="009C738D" w:rsidP="009C738D">
      <w:pPr>
        <w:pStyle w:val="CdcTesto"/>
      </w:pPr>
      <w:r>
        <w:t>In sede di audizione</w:t>
      </w:r>
      <w:r w:rsidR="007B5308">
        <w:rPr>
          <w:rStyle w:val="Rimandonotaapidipagina"/>
        </w:rPr>
        <w:footnoteReference w:id="178"/>
      </w:r>
      <w:r>
        <w:t xml:space="preserve"> è stato richiesto ai rappresentanti dell’Amministrazione regionale se sia stato predisposto il prospetto riguardante le previsioni di competenza e cassa dei capitoli di entrata e di spesa del perimetro sani</w:t>
      </w:r>
      <w:r w:rsidR="00F00825">
        <w:t>tario (art. 20, comma 1, del D.</w:t>
      </w:r>
      <w:r>
        <w:t xml:space="preserve">Lgs. n. 118/2011) o se il bilancio regionale sia articolato in modo da distinguere la gestione ordinaria da quella sanitaria. </w:t>
      </w:r>
      <w:r w:rsidR="007B5308">
        <w:t xml:space="preserve">Nel </w:t>
      </w:r>
      <w:r>
        <w:t>ribadire che per l’esercizio all’esame il prospetto non è stato compilato</w:t>
      </w:r>
      <w:r w:rsidR="007B5308">
        <w:t>,</w:t>
      </w:r>
      <w:r w:rsidR="007B5308" w:rsidRPr="007B5308">
        <w:t xml:space="preserve"> </w:t>
      </w:r>
      <w:r w:rsidR="007B5308">
        <w:t>il Direttore Generale dei Servizi Finanziari della Regione</w:t>
      </w:r>
      <w:r>
        <w:t xml:space="preserve"> ha riferito che è in corso interlocuzione tra Governo e Regione per evidenziare, nelle scritture di bilancio</w:t>
      </w:r>
      <w:r w:rsidR="007B5308" w:rsidRPr="007B5308">
        <w:t xml:space="preserve"> </w:t>
      </w:r>
      <w:r w:rsidR="007B5308">
        <w:t>a valere dall’esercizio 2018</w:t>
      </w:r>
      <w:r>
        <w:t>, la spesa sanitaria obbliga</w:t>
      </w:r>
      <w:r w:rsidR="007B5308">
        <w:t>toria correlandola all’entrata</w:t>
      </w:r>
      <w:r>
        <w:t>.</w:t>
      </w:r>
    </w:p>
    <w:p w:rsidR="001E653B" w:rsidRDefault="007B5308" w:rsidP="001E653B">
      <w:pPr>
        <w:pStyle w:val="CdcTesto"/>
      </w:pPr>
      <w:r>
        <w:lastRenderedPageBreak/>
        <w:t xml:space="preserve">Il </w:t>
      </w:r>
      <w:r w:rsidR="009C738D">
        <w:t xml:space="preserve">Direttore Generale dei Servizi Finanziari ha </w:t>
      </w:r>
      <w:r>
        <w:t xml:space="preserve">ulteriormente </w:t>
      </w:r>
      <w:r w:rsidR="009C738D">
        <w:t>riferito</w:t>
      </w:r>
      <w:r w:rsidR="009C738D">
        <w:rPr>
          <w:rStyle w:val="Rimandonotaapidipagina"/>
        </w:rPr>
        <w:footnoteReference w:id="179"/>
      </w:r>
      <w:r w:rsidR="009C738D">
        <w:t xml:space="preserve"> che</w:t>
      </w:r>
      <w:r w:rsidR="001E653B">
        <w:t>,</w:t>
      </w:r>
      <w:r w:rsidR="009C738D">
        <w:t xml:space="preserve"> in relazione alle problematiche legate alla perimetrazione della spesa sanitaria, ha proceduto, a partire dal 2015, a una prima </w:t>
      </w:r>
      <w:r w:rsidR="009C738D" w:rsidRPr="00D45156">
        <w:rPr>
          <w:b/>
        </w:rPr>
        <w:t>classificazione della spesa sanitaria</w:t>
      </w:r>
      <w:r w:rsidR="009C738D">
        <w:t xml:space="preserve"> in analogia con le indicazioni di cui al</w:t>
      </w:r>
      <w:r w:rsidR="001E653B">
        <w:t>l’art. 20, c. </w:t>
      </w:r>
      <w:r w:rsidR="005B0435">
        <w:t>1, lett.</w:t>
      </w:r>
      <w:r>
        <w:t xml:space="preserve"> </w:t>
      </w:r>
      <w:r w:rsidR="005B0435">
        <w:t>a) del D.</w:t>
      </w:r>
      <w:r w:rsidR="009C738D">
        <w:t xml:space="preserve">Lgs. 118/2011. </w:t>
      </w:r>
    </w:p>
    <w:p w:rsidR="009C738D" w:rsidRPr="001416F5" w:rsidRDefault="001E653B" w:rsidP="001E653B">
      <w:pPr>
        <w:pStyle w:val="CdcTesto"/>
      </w:pPr>
      <w:r>
        <w:t xml:space="preserve">Ferma restando la posizione espressa in sede politica con </w:t>
      </w:r>
      <w:r w:rsidRPr="001416F5">
        <w:t xml:space="preserve">la </w:t>
      </w:r>
      <w:r>
        <w:t>nota congiunta dei Presidenti delle Autonomie Speciali indirizzata al MEF</w:t>
      </w:r>
      <w:r>
        <w:rPr>
          <w:rStyle w:val="Rimandonotaapidipagina"/>
        </w:rPr>
        <w:footnoteReference w:id="180"/>
      </w:r>
      <w:r>
        <w:t>, al fine di soddisfare l’esigenza manifestata di una migliore rappresentazione della spesa sanitaria obbligatoria (LEA) e non obbligatoria, e della sua copertura nel bilancio regionale, a</w:t>
      </w:r>
      <w:r w:rsidR="009C738D" w:rsidRPr="001416F5">
        <w:t xml:space="preserve"> partire dal 2016</w:t>
      </w:r>
      <w:r w:rsidR="009C738D">
        <w:t>, in vista della predisposizione della manovra 2018/2020,</w:t>
      </w:r>
      <w:r w:rsidR="009C738D" w:rsidRPr="001416F5">
        <w:t xml:space="preserve"> </w:t>
      </w:r>
      <w:r w:rsidR="009C738D">
        <w:t>la Regione h</w:t>
      </w:r>
      <w:r w:rsidR="009C738D" w:rsidRPr="001416F5">
        <w:t xml:space="preserve">a </w:t>
      </w:r>
      <w:r w:rsidR="009C738D">
        <w:t xml:space="preserve">riferito di aver </w:t>
      </w:r>
      <w:r w:rsidR="009C738D" w:rsidRPr="001416F5">
        <w:t xml:space="preserve">provveduto ad una accurata analisi tesa a scomporre la suddetta spesa obbligatoria in maniera più aderente all'esigenza di differenziare le risorse destinate al finanziamento del fabbisogno aggiuntivo corrente, in analogia con le voci indicate dall’articolo 20 del </w:t>
      </w:r>
      <w:r w:rsidR="007B5308">
        <w:t>D.Lgs.</w:t>
      </w:r>
      <w:r w:rsidR="009C738D" w:rsidRPr="001416F5">
        <w:t xml:space="preserve"> 118/2011.</w:t>
      </w:r>
    </w:p>
    <w:p w:rsidR="009C738D" w:rsidRPr="001416F5" w:rsidRDefault="009C738D" w:rsidP="009C738D">
      <w:pPr>
        <w:spacing w:after="0" w:line="360" w:lineRule="auto"/>
        <w:rPr>
          <w:rFonts w:ascii="Bodoni MT" w:hAnsi="Bodoni MT"/>
          <w:sz w:val="24"/>
          <w:szCs w:val="24"/>
        </w:rPr>
      </w:pPr>
      <w:r w:rsidRPr="001416F5">
        <w:rPr>
          <w:rFonts w:ascii="Bodoni MT" w:hAnsi="Bodoni MT"/>
          <w:sz w:val="24"/>
          <w:szCs w:val="24"/>
        </w:rPr>
        <w:t>In particolare,</w:t>
      </w:r>
      <w:r w:rsidR="001E653B">
        <w:rPr>
          <w:rFonts w:ascii="Bodoni MT" w:hAnsi="Bodoni MT"/>
          <w:sz w:val="24"/>
          <w:szCs w:val="24"/>
        </w:rPr>
        <w:t xml:space="preserve"> la spesa sanitaria, di cui al citato </w:t>
      </w:r>
      <w:r w:rsidRPr="001416F5">
        <w:rPr>
          <w:rFonts w:ascii="Bodoni MT" w:hAnsi="Bodoni MT"/>
          <w:sz w:val="24"/>
          <w:szCs w:val="24"/>
        </w:rPr>
        <w:t>articolo 20, comma 1, è allocata</w:t>
      </w:r>
      <w:r>
        <w:rPr>
          <w:rFonts w:ascii="Bodoni MT" w:hAnsi="Bodoni MT"/>
          <w:sz w:val="24"/>
          <w:szCs w:val="24"/>
        </w:rPr>
        <w:t>:</w:t>
      </w:r>
      <w:r w:rsidRPr="001416F5">
        <w:rPr>
          <w:rFonts w:ascii="Bodoni MT" w:hAnsi="Bodoni MT"/>
          <w:sz w:val="24"/>
          <w:szCs w:val="24"/>
        </w:rPr>
        <w:t xml:space="preserve"> </w:t>
      </w:r>
    </w:p>
    <w:p w:rsidR="009C738D" w:rsidRPr="005B0435" w:rsidRDefault="009C738D" w:rsidP="007D10C5">
      <w:pPr>
        <w:pStyle w:val="Paragrafoelenco"/>
        <w:numPr>
          <w:ilvl w:val="0"/>
          <w:numId w:val="20"/>
        </w:numPr>
        <w:tabs>
          <w:tab w:val="left" w:pos="284"/>
        </w:tabs>
        <w:spacing w:after="0"/>
        <w:rPr>
          <w:rFonts w:ascii="Bodoni MT" w:hAnsi="Bodoni MT"/>
          <w:sz w:val="24"/>
          <w:szCs w:val="24"/>
        </w:rPr>
      </w:pPr>
      <w:r w:rsidRPr="005B0435">
        <w:rPr>
          <w:rFonts w:ascii="Bodoni MT" w:hAnsi="Bodoni MT"/>
          <w:sz w:val="24"/>
          <w:szCs w:val="24"/>
        </w:rPr>
        <w:t>Con riferimento alla lettera a) nella Missione 13-</w:t>
      </w:r>
      <w:r w:rsidRPr="005B0435">
        <w:rPr>
          <w:rFonts w:ascii="Bodoni MT" w:hAnsi="Bodoni MT"/>
          <w:i/>
          <w:sz w:val="24"/>
          <w:szCs w:val="24"/>
        </w:rPr>
        <w:t>Tutela della salute</w:t>
      </w:r>
      <w:r w:rsidRPr="005B0435">
        <w:rPr>
          <w:rFonts w:ascii="Bodoni MT" w:hAnsi="Bodoni MT"/>
          <w:sz w:val="24"/>
          <w:szCs w:val="24"/>
        </w:rPr>
        <w:t>, programma 01;</w:t>
      </w:r>
    </w:p>
    <w:p w:rsidR="009C738D" w:rsidRPr="005B0435" w:rsidRDefault="009C738D" w:rsidP="007D10C5">
      <w:pPr>
        <w:pStyle w:val="Paragrafoelenco"/>
        <w:numPr>
          <w:ilvl w:val="0"/>
          <w:numId w:val="20"/>
        </w:numPr>
        <w:tabs>
          <w:tab w:val="left" w:pos="284"/>
        </w:tabs>
        <w:spacing w:after="0"/>
        <w:rPr>
          <w:rFonts w:ascii="Bodoni MT" w:hAnsi="Bodoni MT"/>
          <w:sz w:val="24"/>
          <w:szCs w:val="24"/>
        </w:rPr>
      </w:pPr>
      <w:r w:rsidRPr="005B0435">
        <w:rPr>
          <w:rFonts w:ascii="Bodoni MT" w:hAnsi="Bodoni MT"/>
          <w:sz w:val="24"/>
          <w:szCs w:val="24"/>
        </w:rPr>
        <w:t>Con riferimento alla lettera b) nella Missione 13-</w:t>
      </w:r>
      <w:r w:rsidRPr="005B0435">
        <w:rPr>
          <w:rFonts w:ascii="Bodoni MT" w:hAnsi="Bodoni MT"/>
          <w:i/>
          <w:sz w:val="24"/>
          <w:szCs w:val="24"/>
        </w:rPr>
        <w:t>Tutela della salute</w:t>
      </w:r>
      <w:r w:rsidRPr="005B0435">
        <w:rPr>
          <w:rFonts w:ascii="Bodoni MT" w:hAnsi="Bodoni MT"/>
          <w:sz w:val="24"/>
          <w:szCs w:val="24"/>
        </w:rPr>
        <w:t>, programmi 02 -03;</w:t>
      </w:r>
    </w:p>
    <w:p w:rsidR="009C738D" w:rsidRPr="005B0435" w:rsidRDefault="009C738D" w:rsidP="007D10C5">
      <w:pPr>
        <w:pStyle w:val="Paragrafoelenco"/>
        <w:numPr>
          <w:ilvl w:val="0"/>
          <w:numId w:val="20"/>
        </w:numPr>
        <w:tabs>
          <w:tab w:val="left" w:pos="284"/>
        </w:tabs>
        <w:spacing w:after="0"/>
        <w:rPr>
          <w:rFonts w:ascii="Bodoni MT" w:hAnsi="Bodoni MT"/>
          <w:sz w:val="24"/>
          <w:szCs w:val="24"/>
        </w:rPr>
      </w:pPr>
      <w:r w:rsidRPr="005B0435">
        <w:rPr>
          <w:rFonts w:ascii="Bodoni MT" w:hAnsi="Bodoni MT"/>
          <w:sz w:val="24"/>
          <w:szCs w:val="24"/>
        </w:rPr>
        <w:t>Con riferimento alla lettera c) nella Missione 13-</w:t>
      </w:r>
      <w:r w:rsidRPr="005B0435">
        <w:rPr>
          <w:rFonts w:ascii="Bodoni MT" w:hAnsi="Bodoni MT"/>
          <w:i/>
          <w:sz w:val="24"/>
          <w:szCs w:val="24"/>
        </w:rPr>
        <w:t>Tutela della salute</w:t>
      </w:r>
      <w:r w:rsidRPr="005B0435">
        <w:rPr>
          <w:rFonts w:ascii="Bodoni MT" w:hAnsi="Bodoni MT"/>
          <w:sz w:val="24"/>
          <w:szCs w:val="24"/>
        </w:rPr>
        <w:t>, programma 04;</w:t>
      </w:r>
    </w:p>
    <w:p w:rsidR="009C738D" w:rsidRPr="005B0435" w:rsidRDefault="009C738D" w:rsidP="007D10C5">
      <w:pPr>
        <w:pStyle w:val="Paragrafoelenco"/>
        <w:numPr>
          <w:ilvl w:val="0"/>
          <w:numId w:val="20"/>
        </w:numPr>
        <w:tabs>
          <w:tab w:val="left" w:pos="284"/>
        </w:tabs>
        <w:spacing w:after="0"/>
        <w:rPr>
          <w:rFonts w:ascii="Bodoni MT" w:hAnsi="Bodoni MT"/>
          <w:sz w:val="24"/>
          <w:szCs w:val="24"/>
        </w:rPr>
      </w:pPr>
      <w:r w:rsidRPr="005B0435">
        <w:rPr>
          <w:rFonts w:ascii="Bodoni MT" w:hAnsi="Bodoni MT"/>
          <w:sz w:val="24"/>
          <w:szCs w:val="24"/>
        </w:rPr>
        <w:t>Con riferimento alla lettera d) nella Missione 13-</w:t>
      </w:r>
      <w:r w:rsidRPr="005B0435">
        <w:rPr>
          <w:rFonts w:ascii="Bodoni MT" w:hAnsi="Bodoni MT"/>
          <w:i/>
          <w:sz w:val="24"/>
          <w:szCs w:val="24"/>
        </w:rPr>
        <w:t>Tutela della salute</w:t>
      </w:r>
      <w:r w:rsidRPr="005B0435">
        <w:rPr>
          <w:rFonts w:ascii="Bodoni MT" w:hAnsi="Bodoni MT"/>
          <w:sz w:val="24"/>
          <w:szCs w:val="24"/>
        </w:rPr>
        <w:t>, programmi 05 -08.</w:t>
      </w:r>
    </w:p>
    <w:p w:rsidR="009C738D" w:rsidRPr="001416F5" w:rsidRDefault="009C738D" w:rsidP="009C738D">
      <w:pPr>
        <w:spacing w:line="360" w:lineRule="auto"/>
        <w:rPr>
          <w:rFonts w:ascii="Bodoni MT" w:hAnsi="Bodoni MT"/>
          <w:sz w:val="24"/>
          <w:szCs w:val="24"/>
        </w:rPr>
      </w:pPr>
      <w:r w:rsidRPr="001416F5">
        <w:rPr>
          <w:rFonts w:ascii="Bodoni MT" w:hAnsi="Bodoni MT"/>
          <w:sz w:val="24"/>
          <w:szCs w:val="24"/>
        </w:rPr>
        <w:t>Sono sempre esclusi dalla perimetrazione i trasferimenti non destinati alle ASL.</w:t>
      </w:r>
    </w:p>
    <w:p w:rsidR="009C738D" w:rsidRPr="001416F5" w:rsidRDefault="001E653B" w:rsidP="009C738D">
      <w:pPr>
        <w:spacing w:line="360" w:lineRule="auto"/>
        <w:jc w:val="both"/>
        <w:rPr>
          <w:rFonts w:ascii="Bodoni MT" w:hAnsi="Bodoni MT"/>
          <w:sz w:val="24"/>
          <w:szCs w:val="24"/>
        </w:rPr>
      </w:pPr>
      <w:r>
        <w:rPr>
          <w:rFonts w:ascii="Bodoni MT" w:hAnsi="Bodoni MT"/>
          <w:sz w:val="24"/>
          <w:szCs w:val="24"/>
        </w:rPr>
        <w:t>Dopo aver q</w:t>
      </w:r>
      <w:r w:rsidR="009C738D" w:rsidRPr="001416F5">
        <w:rPr>
          <w:rFonts w:ascii="Bodoni MT" w:hAnsi="Bodoni MT"/>
          <w:sz w:val="24"/>
          <w:szCs w:val="24"/>
        </w:rPr>
        <w:t>uantificat</w:t>
      </w:r>
      <w:r>
        <w:rPr>
          <w:rFonts w:ascii="Bodoni MT" w:hAnsi="Bodoni MT"/>
          <w:sz w:val="24"/>
          <w:szCs w:val="24"/>
        </w:rPr>
        <w:t>o</w:t>
      </w:r>
      <w:r w:rsidR="009C738D" w:rsidRPr="001416F5">
        <w:rPr>
          <w:rFonts w:ascii="Bodoni MT" w:hAnsi="Bodoni MT"/>
          <w:sz w:val="24"/>
          <w:szCs w:val="24"/>
        </w:rPr>
        <w:t xml:space="preserve"> la spesa sanitaria</w:t>
      </w:r>
      <w:r>
        <w:rPr>
          <w:rFonts w:ascii="Bodoni MT" w:hAnsi="Bodoni MT"/>
          <w:sz w:val="24"/>
          <w:szCs w:val="24"/>
        </w:rPr>
        <w:t>, a garanzia della sua copertura</w:t>
      </w:r>
      <w:r w:rsidR="009C738D" w:rsidRPr="001416F5">
        <w:rPr>
          <w:rFonts w:ascii="Bodoni MT" w:hAnsi="Bodoni MT"/>
          <w:sz w:val="24"/>
          <w:szCs w:val="24"/>
        </w:rPr>
        <w:t xml:space="preserve"> è stata pe</w:t>
      </w:r>
      <w:r w:rsidR="00EF57A0">
        <w:rPr>
          <w:rFonts w:ascii="Bodoni MT" w:hAnsi="Bodoni MT"/>
          <w:sz w:val="24"/>
          <w:szCs w:val="24"/>
        </w:rPr>
        <w:t>rimetrata l’entrata</w:t>
      </w:r>
      <w:r w:rsidR="009C738D" w:rsidRPr="001416F5">
        <w:rPr>
          <w:rFonts w:ascii="Bodoni MT" w:hAnsi="Bodoni MT"/>
          <w:sz w:val="24"/>
          <w:szCs w:val="24"/>
        </w:rPr>
        <w:t xml:space="preserve"> </w:t>
      </w:r>
      <w:r w:rsidR="00EF57A0">
        <w:rPr>
          <w:rFonts w:ascii="Bodoni MT" w:hAnsi="Bodoni MT"/>
          <w:sz w:val="24"/>
          <w:szCs w:val="24"/>
        </w:rPr>
        <w:t>indicando l</w:t>
      </w:r>
      <w:r w:rsidR="009C738D" w:rsidRPr="001416F5">
        <w:rPr>
          <w:rFonts w:ascii="Bodoni MT" w:hAnsi="Bodoni MT"/>
          <w:sz w:val="24"/>
          <w:szCs w:val="24"/>
        </w:rPr>
        <w:t>a tipologia e i capitoli:</w:t>
      </w:r>
    </w:p>
    <w:p w:rsidR="009C738D" w:rsidRPr="00F00825" w:rsidRDefault="005B0435" w:rsidP="00F00825">
      <w:pPr>
        <w:pStyle w:val="Paragrafoelenco"/>
        <w:numPr>
          <w:ilvl w:val="0"/>
          <w:numId w:val="28"/>
        </w:numPr>
        <w:jc w:val="both"/>
        <w:rPr>
          <w:rFonts w:ascii="Bodoni MT" w:hAnsi="Bodoni MT"/>
          <w:sz w:val="24"/>
          <w:szCs w:val="24"/>
        </w:rPr>
      </w:pPr>
      <w:r w:rsidRPr="00F00825">
        <w:rPr>
          <w:rFonts w:ascii="Bodoni MT" w:hAnsi="Bodoni MT"/>
          <w:sz w:val="24"/>
          <w:szCs w:val="24"/>
        </w:rPr>
        <w:t xml:space="preserve">EC116.012 </w:t>
      </w:r>
      <w:r w:rsidR="009C738D" w:rsidRPr="00F00825">
        <w:rPr>
          <w:rFonts w:ascii="Bodoni MT" w:hAnsi="Bodoni MT"/>
          <w:sz w:val="24"/>
          <w:szCs w:val="24"/>
        </w:rPr>
        <w:t>Imposta regionale sulle attività produttive destinata alla spesa sanitaria (art. 1, D.Lgs. 15 dicembre 1997, n. 446, modificato dal D.Lgs. 10 aprile 1998, n. 137 e, art. 3, L.R. 12 marzo 2015, n. 5)</w:t>
      </w:r>
      <w:r w:rsidRPr="00F00825">
        <w:rPr>
          <w:rFonts w:ascii="Bodoni MT" w:hAnsi="Bodoni MT"/>
          <w:sz w:val="24"/>
          <w:szCs w:val="24"/>
        </w:rPr>
        <w:t>.</w:t>
      </w:r>
    </w:p>
    <w:p w:rsidR="009C738D" w:rsidRPr="00F00825" w:rsidRDefault="005B0435" w:rsidP="00F00825">
      <w:pPr>
        <w:pStyle w:val="Paragrafoelenco"/>
        <w:numPr>
          <w:ilvl w:val="0"/>
          <w:numId w:val="28"/>
        </w:numPr>
        <w:jc w:val="both"/>
        <w:rPr>
          <w:rFonts w:ascii="Bodoni MT" w:hAnsi="Bodoni MT"/>
          <w:sz w:val="24"/>
          <w:szCs w:val="24"/>
        </w:rPr>
      </w:pPr>
      <w:r w:rsidRPr="00F00825">
        <w:rPr>
          <w:rFonts w:ascii="Bodoni MT" w:hAnsi="Bodoni MT"/>
          <w:sz w:val="24"/>
          <w:szCs w:val="24"/>
        </w:rPr>
        <w:t xml:space="preserve">EC116.020 </w:t>
      </w:r>
      <w:r w:rsidR="009C738D" w:rsidRPr="00F00825">
        <w:rPr>
          <w:rFonts w:ascii="Bodoni MT" w:hAnsi="Bodoni MT"/>
          <w:sz w:val="24"/>
          <w:szCs w:val="24"/>
        </w:rPr>
        <w:t>Addizionale regionale all'imposta sul reddito delle persone fisiche destinate alla spesa sanitaria (art. 50, D.Lgs. 15 dicembre 1997, n. 446, modificato dal D.Lgs. 10 aprile 1998, n. 137)</w:t>
      </w:r>
      <w:r w:rsidRPr="00F00825">
        <w:rPr>
          <w:rFonts w:ascii="Bodoni MT" w:hAnsi="Bodoni MT"/>
          <w:sz w:val="24"/>
          <w:szCs w:val="24"/>
        </w:rPr>
        <w:t>.</w:t>
      </w:r>
    </w:p>
    <w:p w:rsidR="009C738D" w:rsidRPr="00F00825" w:rsidRDefault="005B0435" w:rsidP="00F00825">
      <w:pPr>
        <w:pStyle w:val="Paragrafoelenco"/>
        <w:numPr>
          <w:ilvl w:val="0"/>
          <w:numId w:val="28"/>
        </w:numPr>
        <w:jc w:val="both"/>
        <w:rPr>
          <w:rFonts w:ascii="Bodoni MT" w:hAnsi="Bodoni MT"/>
          <w:sz w:val="24"/>
          <w:szCs w:val="24"/>
        </w:rPr>
      </w:pPr>
      <w:r w:rsidRPr="00F00825">
        <w:rPr>
          <w:rFonts w:ascii="Bodoni MT" w:hAnsi="Bodoni MT"/>
          <w:sz w:val="24"/>
          <w:szCs w:val="24"/>
        </w:rPr>
        <w:t xml:space="preserve">EC121.021 </w:t>
      </w:r>
      <w:r w:rsidR="009C738D" w:rsidRPr="00F00825">
        <w:rPr>
          <w:rFonts w:ascii="Bodoni MT" w:hAnsi="Bodoni MT"/>
          <w:sz w:val="24"/>
          <w:szCs w:val="24"/>
        </w:rPr>
        <w:t>Quota parte del gettito IVA destinata al finanziamento della spesa sanitaria di parte corrente (art. 1, c. 836, Legge 27 dicembre 2006, n. 296). Rif.cap. spesa SC05.0001</w:t>
      </w:r>
      <w:r w:rsidRPr="00F00825">
        <w:rPr>
          <w:rFonts w:ascii="Bodoni MT" w:hAnsi="Bodoni MT"/>
          <w:sz w:val="24"/>
          <w:szCs w:val="24"/>
        </w:rPr>
        <w:t>.</w:t>
      </w:r>
    </w:p>
    <w:p w:rsidR="009C738D" w:rsidRPr="00F00825" w:rsidRDefault="005B0435" w:rsidP="00F00825">
      <w:pPr>
        <w:pStyle w:val="Paragrafoelenco"/>
        <w:numPr>
          <w:ilvl w:val="0"/>
          <w:numId w:val="28"/>
        </w:numPr>
        <w:jc w:val="both"/>
        <w:rPr>
          <w:rFonts w:ascii="Bodoni MT" w:hAnsi="Bodoni MT"/>
          <w:sz w:val="24"/>
          <w:szCs w:val="24"/>
        </w:rPr>
      </w:pPr>
      <w:r w:rsidRPr="00F00825">
        <w:rPr>
          <w:rFonts w:ascii="Bodoni MT" w:hAnsi="Bodoni MT"/>
          <w:sz w:val="24"/>
          <w:szCs w:val="24"/>
        </w:rPr>
        <w:lastRenderedPageBreak/>
        <w:t xml:space="preserve">EC121.014 </w:t>
      </w:r>
      <w:r w:rsidR="009C738D" w:rsidRPr="00F00825">
        <w:rPr>
          <w:rFonts w:ascii="Bodoni MT" w:hAnsi="Bodoni MT"/>
          <w:sz w:val="24"/>
          <w:szCs w:val="24"/>
        </w:rPr>
        <w:t>Imposta sul reddito delle società (I.R.E.S.) destinata alla spesa sanitaria (art. 8, L.C. 26 febbraio 1948, n. 3, sostituito dall'art. 1, lett. a), della legge 13 aprile 1983, n. 122)</w:t>
      </w:r>
      <w:r w:rsidRPr="00F00825">
        <w:rPr>
          <w:rFonts w:ascii="Bodoni MT" w:hAnsi="Bodoni MT"/>
          <w:sz w:val="24"/>
          <w:szCs w:val="24"/>
        </w:rPr>
        <w:t>.</w:t>
      </w:r>
    </w:p>
    <w:p w:rsidR="009C738D" w:rsidRPr="00F00825" w:rsidRDefault="009C738D" w:rsidP="00F00825">
      <w:pPr>
        <w:pStyle w:val="Paragrafoelenco"/>
        <w:numPr>
          <w:ilvl w:val="0"/>
          <w:numId w:val="28"/>
        </w:numPr>
        <w:jc w:val="both"/>
        <w:rPr>
          <w:rFonts w:ascii="Bodoni MT" w:hAnsi="Bodoni MT"/>
          <w:sz w:val="24"/>
          <w:szCs w:val="24"/>
        </w:rPr>
      </w:pPr>
      <w:r w:rsidRPr="00F00825">
        <w:rPr>
          <w:rFonts w:ascii="Bodoni MT" w:hAnsi="Bodoni MT"/>
          <w:sz w:val="24"/>
          <w:szCs w:val="24"/>
        </w:rPr>
        <w:t>EC121</w:t>
      </w:r>
      <w:r w:rsidR="00F00825" w:rsidRPr="00F00825">
        <w:rPr>
          <w:rFonts w:ascii="Bodoni MT" w:hAnsi="Bodoni MT"/>
          <w:sz w:val="24"/>
          <w:szCs w:val="24"/>
        </w:rPr>
        <w:t xml:space="preserve">.022 </w:t>
      </w:r>
      <w:r w:rsidRPr="00F00825">
        <w:rPr>
          <w:rFonts w:ascii="Bodoni MT" w:hAnsi="Bodoni MT"/>
          <w:sz w:val="24"/>
          <w:szCs w:val="24"/>
        </w:rPr>
        <w:t>Quota parte dell'imposta sul reddito (I.RE.), comprese le ritenute alla fonte di cui all'art. 23 del D.P.R. 29 settembre 1973, n. 600 destinata alla spesa sanitaria (art.</w:t>
      </w:r>
      <w:r w:rsidR="002C1F0C" w:rsidRPr="00F00825">
        <w:rPr>
          <w:rFonts w:ascii="Bodoni MT" w:hAnsi="Bodoni MT"/>
          <w:sz w:val="24"/>
          <w:szCs w:val="24"/>
        </w:rPr>
        <w:t xml:space="preserve"> 8, L.C. 26 </w:t>
      </w:r>
      <w:r w:rsidRPr="00F00825">
        <w:rPr>
          <w:rFonts w:ascii="Bodoni MT" w:hAnsi="Bodoni MT"/>
          <w:sz w:val="24"/>
          <w:szCs w:val="24"/>
        </w:rPr>
        <w:t>febbraio 1948, n. 3, sostituito dall'art. 1, lett. a) e d), della legge 13 aprile 1983, n. 122).</w:t>
      </w:r>
    </w:p>
    <w:p w:rsidR="009C738D" w:rsidRPr="007D55D7" w:rsidRDefault="00245071" w:rsidP="009C738D">
      <w:pPr>
        <w:spacing w:line="360" w:lineRule="auto"/>
        <w:jc w:val="both"/>
        <w:rPr>
          <w:rFonts w:ascii="Bodoni MT" w:hAnsi="Bodoni MT"/>
          <w:b/>
          <w:sz w:val="24"/>
          <w:szCs w:val="24"/>
        </w:rPr>
      </w:pPr>
      <w:r>
        <w:rPr>
          <w:rFonts w:ascii="Bodoni MT" w:hAnsi="Bodoni MT"/>
          <w:b/>
          <w:sz w:val="24"/>
          <w:szCs w:val="24"/>
        </w:rPr>
        <w:t>L</w:t>
      </w:r>
      <w:r w:rsidRPr="007D55D7">
        <w:rPr>
          <w:rFonts w:ascii="Bodoni MT" w:hAnsi="Bodoni MT"/>
          <w:b/>
          <w:sz w:val="24"/>
          <w:szCs w:val="24"/>
        </w:rPr>
        <w:t xml:space="preserve">e </w:t>
      </w:r>
      <w:r w:rsidR="009C738D" w:rsidRPr="007D55D7">
        <w:rPr>
          <w:rFonts w:ascii="Bodoni MT" w:hAnsi="Bodoni MT"/>
          <w:b/>
          <w:sz w:val="24"/>
          <w:szCs w:val="24"/>
        </w:rPr>
        <w:t>entrate principalmente dedicate sono i tributi propri (I</w:t>
      </w:r>
      <w:r w:rsidR="001E653B">
        <w:rPr>
          <w:rFonts w:ascii="Bodoni MT" w:hAnsi="Bodoni MT"/>
          <w:b/>
          <w:sz w:val="24"/>
          <w:szCs w:val="24"/>
        </w:rPr>
        <w:t>RAP e Addizionale IRPEF) e l’IV</w:t>
      </w:r>
      <w:r w:rsidR="00D47F63">
        <w:rPr>
          <w:rFonts w:ascii="Bodoni MT" w:hAnsi="Bodoni MT"/>
          <w:b/>
          <w:sz w:val="24"/>
          <w:szCs w:val="24"/>
        </w:rPr>
        <w:t>A</w:t>
      </w:r>
      <w:r w:rsidR="001E653B">
        <w:rPr>
          <w:rFonts w:ascii="Bodoni MT" w:hAnsi="Bodoni MT"/>
          <w:b/>
          <w:sz w:val="24"/>
          <w:szCs w:val="24"/>
        </w:rPr>
        <w:t xml:space="preserve"> e,</w:t>
      </w:r>
      <w:r w:rsidR="009C738D" w:rsidRPr="007D55D7">
        <w:rPr>
          <w:rFonts w:ascii="Bodoni MT" w:hAnsi="Bodoni MT"/>
          <w:b/>
          <w:sz w:val="24"/>
          <w:szCs w:val="24"/>
        </w:rPr>
        <w:t xml:space="preserve"> </w:t>
      </w:r>
      <w:r w:rsidR="001E653B">
        <w:rPr>
          <w:rFonts w:ascii="Bodoni MT" w:hAnsi="Bodoni MT"/>
          <w:b/>
          <w:sz w:val="24"/>
          <w:szCs w:val="24"/>
        </w:rPr>
        <w:t>in via residuale,</w:t>
      </w:r>
      <w:r w:rsidR="009C738D" w:rsidRPr="007D55D7">
        <w:rPr>
          <w:rFonts w:ascii="Bodoni MT" w:hAnsi="Bodoni MT"/>
          <w:b/>
          <w:sz w:val="24"/>
          <w:szCs w:val="24"/>
        </w:rPr>
        <w:t xml:space="preserve"> fino a soddisfazione delle esigenze di coperture</w:t>
      </w:r>
      <w:r w:rsidR="001E653B">
        <w:rPr>
          <w:rFonts w:ascii="Bodoni MT" w:hAnsi="Bodoni MT"/>
          <w:b/>
          <w:sz w:val="24"/>
          <w:szCs w:val="24"/>
        </w:rPr>
        <w:t xml:space="preserve">, sono dedicati </w:t>
      </w:r>
      <w:r w:rsidR="009C738D" w:rsidRPr="007D55D7">
        <w:rPr>
          <w:rFonts w:ascii="Bodoni MT" w:hAnsi="Bodoni MT"/>
          <w:b/>
          <w:sz w:val="24"/>
          <w:szCs w:val="24"/>
        </w:rPr>
        <w:t>alla spesa sanitaria il gettito IRES e IRE.</w:t>
      </w:r>
    </w:p>
    <w:p w:rsidR="009C738D" w:rsidRDefault="001E653B" w:rsidP="005B0435">
      <w:pPr>
        <w:pStyle w:val="CdcTesto"/>
      </w:pPr>
      <w:r>
        <w:t>L</w:t>
      </w:r>
      <w:r w:rsidRPr="001416F5">
        <w:t xml:space="preserve">a </w:t>
      </w:r>
      <w:r w:rsidR="009C738D" w:rsidRPr="001416F5">
        <w:t xml:space="preserve">Regione </w:t>
      </w:r>
      <w:r>
        <w:t xml:space="preserve">precisa di aver </w:t>
      </w:r>
      <w:r w:rsidR="009C738D" w:rsidRPr="001416F5">
        <w:t>optato per non costituire una Gestione Sanitaria Accentrata (GSA)</w:t>
      </w:r>
      <w:r>
        <w:t>,</w:t>
      </w:r>
      <w:r w:rsidR="009C738D" w:rsidRPr="001416F5">
        <w:t xml:space="preserve"> in quanto eroga i servizi sanitari per il tramite delle Aziende del Servizio Sanitario regionale.</w:t>
      </w:r>
      <w:r w:rsidR="009C738D">
        <w:t xml:space="preserve"> </w:t>
      </w:r>
    </w:p>
    <w:p w:rsidR="009C738D" w:rsidRDefault="009C738D" w:rsidP="005B0435">
      <w:pPr>
        <w:pStyle w:val="CdcTesto"/>
      </w:pPr>
      <w:r>
        <w:t xml:space="preserve">Le argomentazioni su esposte vengono </w:t>
      </w:r>
      <w:r w:rsidR="001E653B">
        <w:t>confermate</w:t>
      </w:r>
      <w:r>
        <w:t xml:space="preserve"> nei </w:t>
      </w:r>
      <w:r w:rsidRPr="004F2553">
        <w:t xml:space="preserve">questionari sul </w:t>
      </w:r>
      <w:r>
        <w:t>preventivo e sul rendiconto 2016</w:t>
      </w:r>
      <w:r w:rsidRPr="004F2553">
        <w:t>, redatt</w:t>
      </w:r>
      <w:r>
        <w:t>i</w:t>
      </w:r>
      <w:r w:rsidRPr="004F2553">
        <w:t xml:space="preserve"> ai sensi dell’art. 1, c. 3, del D.L. n. 174/2012</w:t>
      </w:r>
      <w:r>
        <w:rPr>
          <w:rStyle w:val="Rimandonotaapidipagina"/>
        </w:rPr>
        <w:footnoteReference w:id="181"/>
      </w:r>
      <w:r>
        <w:t>.</w:t>
      </w:r>
    </w:p>
    <w:p w:rsidR="009C738D" w:rsidRPr="009C738D" w:rsidRDefault="009C738D" w:rsidP="009C738D">
      <w:pPr>
        <w:pStyle w:val="Titolo2"/>
      </w:pPr>
      <w:bookmarkStart w:id="306" w:name="_Toc507422675"/>
      <w:r>
        <w:t>Le risorse del Bilancio Regionale destinate alla sanità</w:t>
      </w:r>
      <w:bookmarkEnd w:id="306"/>
    </w:p>
    <w:p w:rsidR="009C738D" w:rsidRPr="00FB5B4B" w:rsidRDefault="009C738D" w:rsidP="005B0435">
      <w:pPr>
        <w:pStyle w:val="CdcTesto"/>
      </w:pPr>
      <w:r w:rsidRPr="00FB5B4B">
        <w:t xml:space="preserve">Con specifico riguardo all’esercizio 2016, </w:t>
      </w:r>
      <w:r>
        <w:t>la spesa sanitaria è finanziata dagli stanziamenti</w:t>
      </w:r>
      <w:r w:rsidR="00BC467F">
        <w:t>, pari a € 3.601.051.175,83,</w:t>
      </w:r>
      <w:r>
        <w:t xml:space="preserve"> sui capitoli della </w:t>
      </w:r>
      <w:r w:rsidRPr="001E653B">
        <w:rPr>
          <w:b/>
        </w:rPr>
        <w:t xml:space="preserve">Missione 13 - </w:t>
      </w:r>
      <w:r w:rsidRPr="001E653B">
        <w:rPr>
          <w:b/>
          <w:i/>
        </w:rPr>
        <w:t>“Tutela della salute”</w:t>
      </w:r>
      <w:r w:rsidRPr="001E653B">
        <w:rPr>
          <w:b/>
        </w:rPr>
        <w:t xml:space="preserve"> che assorbe il 35,47% delle risorse del Bilancio</w:t>
      </w:r>
      <w:r>
        <w:t xml:space="preserve"> regionale, </w:t>
      </w:r>
      <w:r w:rsidRPr="001E653B">
        <w:rPr>
          <w:b/>
        </w:rPr>
        <w:t>in aumento rispetto al 2015</w:t>
      </w:r>
      <w:r>
        <w:t xml:space="preserve"> quando la medesima spesa si attestava su 34,17% degli stanziamenti complessivi. La stessa spesa è da intendersi interamente finanziata dalle entrate tributarie proprie, compartecipate e devolute di spettanza statutaria</w:t>
      </w:r>
      <w:r>
        <w:rPr>
          <w:rStyle w:val="Rimandonotaapidipagina"/>
        </w:rPr>
        <w:footnoteReference w:id="182"/>
      </w:r>
      <w:r>
        <w:t xml:space="preserve">. </w:t>
      </w:r>
    </w:p>
    <w:p w:rsidR="009C738D" w:rsidRDefault="009C738D" w:rsidP="005B0435">
      <w:pPr>
        <w:pStyle w:val="CdcTesto"/>
      </w:pPr>
      <w:r>
        <w:t>La tabella seguente riporta la gestione della spesa della competenza 2016 relativa alla Missione 13 distinta per titoli e programmi.</w:t>
      </w:r>
    </w:p>
    <w:p w:rsidR="005B0435" w:rsidRDefault="005B0435" w:rsidP="005B0435">
      <w:pPr>
        <w:pStyle w:val="Didascalia"/>
        <w:keepNext/>
      </w:pPr>
      <w:r>
        <w:br w:type="page"/>
      </w:r>
    </w:p>
    <w:p w:rsidR="009C738D" w:rsidRDefault="005B0435" w:rsidP="005B0435">
      <w:pPr>
        <w:pStyle w:val="Didascalia"/>
        <w:keepNext/>
        <w:rPr>
          <w:sz w:val="24"/>
          <w:szCs w:val="24"/>
        </w:rPr>
      </w:pPr>
      <w:bookmarkStart w:id="307" w:name="_Toc507422543"/>
      <w:r>
        <w:lastRenderedPageBreak/>
        <w:t xml:space="preserve">Tabella </w:t>
      </w:r>
      <w:r w:rsidR="00B90472">
        <w:fldChar w:fldCharType="begin"/>
      </w:r>
      <w:r w:rsidR="00B90472">
        <w:instrText xml:space="preserve"> SEQ Tabella \* ARABIC </w:instrText>
      </w:r>
      <w:r w:rsidR="00B90472">
        <w:fldChar w:fldCharType="separate"/>
      </w:r>
      <w:r w:rsidR="008616B3">
        <w:rPr>
          <w:noProof/>
        </w:rPr>
        <w:t>75</w:t>
      </w:r>
      <w:r w:rsidR="00B90472">
        <w:rPr>
          <w:noProof/>
        </w:rPr>
        <w:fldChar w:fldCharType="end"/>
      </w:r>
      <w:r w:rsidR="009C738D">
        <w:rPr>
          <w:sz w:val="24"/>
          <w:szCs w:val="24"/>
        </w:rPr>
        <w:t xml:space="preserve"> –</w:t>
      </w:r>
      <w:r w:rsidR="00245071">
        <w:rPr>
          <w:sz w:val="24"/>
          <w:szCs w:val="24"/>
        </w:rPr>
        <w:t xml:space="preserve"> Spese</w:t>
      </w:r>
      <w:r w:rsidR="009C738D">
        <w:rPr>
          <w:sz w:val="24"/>
          <w:szCs w:val="24"/>
        </w:rPr>
        <w:t xml:space="preserve"> Missione 13 – </w:t>
      </w:r>
      <w:r w:rsidR="00245071">
        <w:rPr>
          <w:sz w:val="24"/>
          <w:szCs w:val="24"/>
        </w:rPr>
        <w:t>Gestione di competenza 2016</w:t>
      </w:r>
      <w:bookmarkEnd w:id="307"/>
    </w:p>
    <w:tbl>
      <w:tblPr>
        <w:tblW w:w="5000" w:type="pct"/>
        <w:jc w:val="center"/>
        <w:tblCellMar>
          <w:left w:w="70" w:type="dxa"/>
          <w:right w:w="70" w:type="dxa"/>
        </w:tblCellMar>
        <w:tblLook w:val="04A0" w:firstRow="1" w:lastRow="0" w:firstColumn="1" w:lastColumn="0" w:noHBand="0" w:noVBand="1"/>
      </w:tblPr>
      <w:tblGrid>
        <w:gridCol w:w="2953"/>
        <w:gridCol w:w="839"/>
        <w:gridCol w:w="1535"/>
        <w:gridCol w:w="1557"/>
        <w:gridCol w:w="1535"/>
        <w:gridCol w:w="1359"/>
      </w:tblGrid>
      <w:tr w:rsidR="009C738D" w:rsidRPr="00E07215" w:rsidTr="00E244CE">
        <w:trPr>
          <w:trHeight w:val="425"/>
          <w:jc w:val="center"/>
        </w:trPr>
        <w:tc>
          <w:tcPr>
            <w:tcW w:w="1939" w:type="pct"/>
            <w:gridSpan w:val="2"/>
            <w:tcBorders>
              <w:top w:val="single" w:sz="4" w:space="0" w:color="auto"/>
              <w:left w:val="single" w:sz="4" w:space="0" w:color="auto"/>
              <w:bottom w:val="single" w:sz="4" w:space="0" w:color="auto"/>
              <w:right w:val="single" w:sz="4" w:space="0" w:color="auto"/>
            </w:tcBorders>
            <w:shd w:val="clear" w:color="000000" w:fill="1F3864"/>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 </w:t>
            </w:r>
          </w:p>
        </w:tc>
        <w:tc>
          <w:tcPr>
            <w:tcW w:w="785" w:type="pct"/>
            <w:tcBorders>
              <w:top w:val="single" w:sz="4" w:space="0" w:color="auto"/>
              <w:left w:val="nil"/>
              <w:bottom w:val="single" w:sz="4" w:space="0" w:color="auto"/>
              <w:right w:val="single" w:sz="4" w:space="0" w:color="auto"/>
            </w:tcBorders>
            <w:shd w:val="clear" w:color="000000" w:fill="1F3864"/>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Previsioni definitive es. 2016</w:t>
            </w:r>
          </w:p>
        </w:tc>
        <w:tc>
          <w:tcPr>
            <w:tcW w:w="796" w:type="pct"/>
            <w:tcBorders>
              <w:top w:val="single" w:sz="4" w:space="0" w:color="auto"/>
              <w:left w:val="nil"/>
              <w:bottom w:val="single" w:sz="4" w:space="0" w:color="auto"/>
              <w:right w:val="single" w:sz="4" w:space="0" w:color="auto"/>
            </w:tcBorders>
            <w:shd w:val="clear" w:color="000000" w:fill="1F3864"/>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Impegni</w:t>
            </w:r>
          </w:p>
        </w:tc>
        <w:tc>
          <w:tcPr>
            <w:tcW w:w="785" w:type="pct"/>
            <w:tcBorders>
              <w:top w:val="single" w:sz="4" w:space="0" w:color="auto"/>
              <w:left w:val="nil"/>
              <w:bottom w:val="single" w:sz="4" w:space="0" w:color="auto"/>
              <w:right w:val="single" w:sz="4" w:space="0" w:color="auto"/>
            </w:tcBorders>
            <w:shd w:val="clear" w:color="000000" w:fill="1F3864"/>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Pagamenti</w:t>
            </w:r>
          </w:p>
        </w:tc>
        <w:tc>
          <w:tcPr>
            <w:tcW w:w="695" w:type="pct"/>
            <w:tcBorders>
              <w:top w:val="single" w:sz="4" w:space="0" w:color="auto"/>
              <w:left w:val="nil"/>
              <w:bottom w:val="single" w:sz="4" w:space="0" w:color="auto"/>
              <w:right w:val="single" w:sz="4" w:space="0" w:color="auto"/>
            </w:tcBorders>
            <w:shd w:val="clear" w:color="000000" w:fill="1F3864"/>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Residui al 31/12/2016</w:t>
            </w:r>
          </w:p>
        </w:tc>
      </w:tr>
      <w:tr w:rsidR="009C738D" w:rsidRPr="00E07215" w:rsidTr="00E244CE">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000000" w:fill="1F3864"/>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Tit. I - Spese correnti</w:t>
            </w:r>
          </w:p>
        </w:tc>
      </w:tr>
      <w:tr w:rsidR="009C738D" w:rsidRPr="00E07215" w:rsidTr="00E244CE">
        <w:trPr>
          <w:trHeight w:val="293"/>
          <w:jc w:val="center"/>
        </w:trPr>
        <w:tc>
          <w:tcPr>
            <w:tcW w:w="151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Finanziamento Ordinario Garanzia LEA - Progr. 01</w:t>
            </w:r>
          </w:p>
        </w:tc>
        <w:tc>
          <w:tcPr>
            <w:tcW w:w="429" w:type="pct"/>
            <w:tcBorders>
              <w:top w:val="nil"/>
              <w:left w:val="nil"/>
              <w:bottom w:val="single" w:sz="4" w:space="0" w:color="auto"/>
              <w:right w:val="single" w:sz="4" w:space="0" w:color="auto"/>
            </w:tcBorders>
            <w:shd w:val="clear" w:color="auto" w:fill="95B3D7" w:themeFill="accent1" w:themeFillTint="99"/>
            <w:noWrap/>
            <w:vAlign w:val="bottom"/>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3.030.467.414,70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3.019.547.314,42</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2.938.793.463,15</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80.753.851,27</w:t>
            </w:r>
          </w:p>
        </w:tc>
      </w:tr>
      <w:tr w:rsidR="009C738D" w:rsidRPr="00E07215" w:rsidTr="00E244CE">
        <w:trPr>
          <w:trHeight w:val="185"/>
          <w:jc w:val="center"/>
        </w:trPr>
        <w:tc>
          <w:tcPr>
            <w:tcW w:w="1510"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r>
      <w:tr w:rsidR="009C738D" w:rsidRPr="00E07215" w:rsidTr="00E244CE">
        <w:trPr>
          <w:trHeight w:val="204"/>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Finanziamento aggiuntivo Livelli assistenza superiori Programma 02</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85.918.195,73</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77.180.918,68</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63.076.916,32</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14.104.002,36</w:t>
            </w:r>
          </w:p>
        </w:tc>
      </w:tr>
      <w:tr w:rsidR="009C738D" w:rsidRPr="00E07215" w:rsidTr="00E244CE">
        <w:trPr>
          <w:trHeight w:val="39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135.000,00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43"/>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Ripiano disavanzi esercizi pregressi - Programma 04</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0,00</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r>
      <w:tr w:rsidR="009C738D" w:rsidRPr="00E07215" w:rsidTr="00E244CE">
        <w:trPr>
          <w:trHeight w:val="27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94"/>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Ulteriori spese sanitarie Programma 07</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15.115.509,44</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14.736.711,54</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13.785.733,91</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950.977,63</w:t>
            </w:r>
          </w:p>
        </w:tc>
      </w:tr>
      <w:tr w:rsidR="009C738D" w:rsidRPr="00E07215" w:rsidTr="00E244CE">
        <w:trPr>
          <w:trHeight w:val="27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60"/>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Politica Regionale Unitaria Tutela della salute Programma 08</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6.089.137,00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0,00</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r>
      <w:tr w:rsidR="009C738D" w:rsidRPr="00E07215" w:rsidTr="00E244CE">
        <w:trPr>
          <w:trHeight w:val="39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26"/>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TOTALE Tit. I</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b/>
                <w:bCs/>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3.137.590.256,87</w:t>
            </w:r>
          </w:p>
        </w:tc>
        <w:tc>
          <w:tcPr>
            <w:tcW w:w="796"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3.111.464.944,64</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3.015.656.113,38</w:t>
            </w:r>
          </w:p>
        </w:tc>
        <w:tc>
          <w:tcPr>
            <w:tcW w:w="69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95.808.831,26</w:t>
            </w:r>
          </w:p>
        </w:tc>
      </w:tr>
      <w:tr w:rsidR="009C738D" w:rsidRPr="00E07215" w:rsidTr="00E244CE">
        <w:trPr>
          <w:trHeight w:val="30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135.000,00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b/>
                <w:bCs/>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lang w:eastAsia="it-IT"/>
              </w:rPr>
            </w:pPr>
          </w:p>
        </w:tc>
      </w:tr>
      <w:tr w:rsidR="009C738D" w:rsidRPr="00E07215" w:rsidTr="00E244CE">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000000" w:fill="1F3864"/>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Tit. II - Spese c/capitale</w:t>
            </w:r>
          </w:p>
        </w:tc>
      </w:tr>
      <w:tr w:rsidR="009C738D" w:rsidRPr="00E07215" w:rsidTr="00E244CE">
        <w:trPr>
          <w:trHeight w:val="222"/>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Finanziamento aggiuntivo Livelli assistenza superiori Programma 02</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3.470.000,00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3.470.000,00</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3.470.000,00</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r>
      <w:tr w:rsidR="009C738D" w:rsidRPr="00E07215" w:rsidTr="00E244CE">
        <w:trPr>
          <w:trHeight w:val="42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33"/>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Ripiano disavanzi esercizi pregressi - Programma 04</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356.068.258,75</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356.068.258,75</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356.068.258,75</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r>
      <w:tr w:rsidR="009C738D" w:rsidRPr="00E07215" w:rsidTr="00E244CE">
        <w:trPr>
          <w:trHeight w:val="39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99"/>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Investimenti sanitari Programma 05</w:t>
            </w:r>
          </w:p>
        </w:tc>
        <w:tc>
          <w:tcPr>
            <w:tcW w:w="429" w:type="pct"/>
            <w:tcBorders>
              <w:top w:val="nil"/>
              <w:left w:val="nil"/>
              <w:bottom w:val="single" w:sz="4" w:space="0" w:color="auto"/>
              <w:right w:val="single" w:sz="4" w:space="0" w:color="auto"/>
            </w:tcBorders>
            <w:shd w:val="clear" w:color="auto" w:fill="95B3D7" w:themeFill="accent1" w:themeFillTint="99"/>
            <w:noWrap/>
            <w:vAlign w:val="bottom"/>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30.273.584,67</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24.022.552,59</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11.362.264,94</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12.660.287,65</w:t>
            </w:r>
          </w:p>
        </w:tc>
      </w:tr>
      <w:tr w:rsidR="009C738D" w:rsidRPr="00E07215" w:rsidTr="00E244CE">
        <w:trPr>
          <w:trHeight w:val="27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5.943.996,53</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207"/>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Ulteriori spese sanitarie Programma 07</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405.000,00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405.000,00</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0,00</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405.000,00</w:t>
            </w:r>
          </w:p>
        </w:tc>
      </w:tr>
      <w:tr w:rsidR="009C738D" w:rsidRPr="00E07215" w:rsidTr="00E244CE">
        <w:trPr>
          <w:trHeight w:val="30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0,00</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59"/>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Politica Regionale Unitaria Tutela della Salute Programma 08</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73.244.075,54</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r w:rsidRPr="00E07215">
              <w:rPr>
                <w:rFonts w:ascii="Bodoni MT" w:eastAsia="Times New Roman" w:hAnsi="Bodoni MT" w:cs="Arial"/>
                <w:color w:val="000000"/>
                <w:sz w:val="16"/>
                <w:szCs w:val="16"/>
                <w:lang w:eastAsia="it-IT"/>
              </w:rPr>
              <w:t>27.818.767,54</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16.404.390,28</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r w:rsidRPr="00E07215">
              <w:rPr>
                <w:rFonts w:ascii="Bodoni MT" w:eastAsia="Times New Roman" w:hAnsi="Bodoni MT" w:cs="Arial"/>
                <w:sz w:val="16"/>
                <w:szCs w:val="16"/>
                <w:lang w:eastAsia="it-IT"/>
              </w:rPr>
              <w:t>11.414.377,26</w:t>
            </w:r>
          </w:p>
        </w:tc>
      </w:tr>
      <w:tr w:rsidR="009C738D" w:rsidRPr="00E07215" w:rsidTr="00E244CE">
        <w:trPr>
          <w:trHeight w:val="270"/>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color w:val="FFFFFF"/>
                <w:sz w:val="16"/>
                <w:szCs w:val="16"/>
                <w:lang w:eastAsia="it-IT"/>
              </w:rPr>
            </w:pPr>
            <w:r w:rsidRPr="00E07215">
              <w:rPr>
                <w:rFonts w:ascii="Bodoni MT" w:eastAsia="Times New Roman" w:hAnsi="Bodoni MT" w:cs="Arial"/>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color w:val="000000"/>
                <w:sz w:val="14"/>
                <w:szCs w:val="14"/>
                <w:lang w:eastAsia="it-IT"/>
              </w:rPr>
            </w:pPr>
            <w:r w:rsidRPr="00E07215">
              <w:rPr>
                <w:rFonts w:ascii="Calibri" w:eastAsia="Times New Roman" w:hAnsi="Calibri" w:cs="Calibri"/>
                <w:color w:val="000000"/>
                <w:sz w:val="14"/>
                <w:szCs w:val="14"/>
                <w:lang w:eastAsia="it-IT"/>
              </w:rPr>
              <w:t>45.184.314,03</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color w:val="000000"/>
                <w:sz w:val="16"/>
                <w:szCs w:val="16"/>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Bodoni MT" w:eastAsia="Times New Roman" w:hAnsi="Bodoni MT" w:cs="Arial"/>
                <w:sz w:val="16"/>
                <w:szCs w:val="16"/>
                <w:lang w:eastAsia="it-IT"/>
              </w:rPr>
            </w:pPr>
          </w:p>
        </w:tc>
      </w:tr>
      <w:tr w:rsidR="009C738D" w:rsidRPr="00E07215" w:rsidTr="00E244CE">
        <w:trPr>
          <w:trHeight w:val="124"/>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TOTALE Tit. II</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b/>
                <w:bCs/>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463.460.918,96</w:t>
            </w:r>
          </w:p>
        </w:tc>
        <w:tc>
          <w:tcPr>
            <w:tcW w:w="796"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411.784.578,88</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387.304.913,97</w:t>
            </w:r>
          </w:p>
        </w:tc>
        <w:tc>
          <w:tcPr>
            <w:tcW w:w="69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24.479.664,91</w:t>
            </w:r>
          </w:p>
        </w:tc>
      </w:tr>
      <w:tr w:rsidR="009C738D" w:rsidRPr="00E07215" w:rsidTr="00E244CE">
        <w:trPr>
          <w:trHeight w:val="255"/>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di cui fpv</w:t>
            </w: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51.128.310,56</w:t>
            </w:r>
          </w:p>
        </w:tc>
        <w:tc>
          <w:tcPr>
            <w:tcW w:w="796"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p>
        </w:tc>
        <w:tc>
          <w:tcPr>
            <w:tcW w:w="78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p>
        </w:tc>
        <w:tc>
          <w:tcPr>
            <w:tcW w:w="695" w:type="pct"/>
            <w:tcBorders>
              <w:top w:val="nil"/>
              <w:left w:val="nil"/>
              <w:bottom w:val="single" w:sz="4" w:space="0" w:color="auto"/>
              <w:right w:val="single" w:sz="4" w:space="0" w:color="auto"/>
            </w:tcBorders>
            <w:shd w:val="clear" w:color="000000" w:fill="FFFFFF"/>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p>
        </w:tc>
      </w:tr>
      <w:tr w:rsidR="009C738D" w:rsidRPr="00E07215" w:rsidTr="00E244CE">
        <w:trPr>
          <w:trHeight w:val="117"/>
          <w:jc w:val="center"/>
        </w:trPr>
        <w:tc>
          <w:tcPr>
            <w:tcW w:w="1510" w:type="pct"/>
            <w:vMerge w:val="restar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TOTALE MISSIONE 13</w:t>
            </w: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Calibri" w:eastAsia="Times New Roman" w:hAnsi="Calibri" w:cs="Calibri"/>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3.601.051.175,83</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3.523.249.523,52</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3.402.961.027,35</w:t>
            </w: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120.288.496,17</w:t>
            </w:r>
          </w:p>
        </w:tc>
      </w:tr>
      <w:tr w:rsidR="009C738D" w:rsidRPr="00E07215" w:rsidTr="00E244CE">
        <w:trPr>
          <w:trHeight w:val="255"/>
          <w:jc w:val="center"/>
        </w:trPr>
        <w:tc>
          <w:tcPr>
            <w:tcW w:w="1510" w:type="pct"/>
            <w:vMerge/>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p>
        </w:tc>
        <w:tc>
          <w:tcPr>
            <w:tcW w:w="429" w:type="pct"/>
            <w:tcBorders>
              <w:top w:val="nil"/>
              <w:left w:val="nil"/>
              <w:bottom w:val="single" w:sz="4" w:space="0" w:color="auto"/>
              <w:right w:val="single" w:sz="4" w:space="0" w:color="auto"/>
            </w:tcBorders>
            <w:shd w:val="clear" w:color="auto" w:fill="95B3D7" w:themeFill="accent1" w:themeFillTint="99"/>
            <w:noWrap/>
            <w:vAlign w:val="center"/>
            <w:hideMark/>
          </w:tcPr>
          <w:p w:rsidR="009C738D" w:rsidRPr="00E07215" w:rsidRDefault="009C738D" w:rsidP="009C738D">
            <w:pPr>
              <w:spacing w:after="0" w:line="240" w:lineRule="auto"/>
              <w:jc w:val="center"/>
              <w:rPr>
                <w:rFonts w:ascii="Bodoni MT" w:eastAsia="Times New Roman" w:hAnsi="Bodoni MT" w:cs="Arial"/>
                <w:b/>
                <w:bCs/>
                <w:color w:val="FFFFFF"/>
                <w:sz w:val="16"/>
                <w:szCs w:val="16"/>
                <w:lang w:eastAsia="it-IT"/>
              </w:rPr>
            </w:pPr>
            <w:r w:rsidRPr="00E07215">
              <w:rPr>
                <w:rFonts w:ascii="Bodoni MT" w:eastAsia="Times New Roman" w:hAnsi="Bodoni MT" w:cs="Arial"/>
                <w:b/>
                <w:bCs/>
                <w:color w:val="FFFFFF"/>
                <w:sz w:val="16"/>
                <w:szCs w:val="16"/>
                <w:lang w:eastAsia="it-IT"/>
              </w:rPr>
              <w:t>di cui fpv</w:t>
            </w: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r w:rsidRPr="00E07215">
              <w:rPr>
                <w:rFonts w:ascii="Calibri" w:eastAsia="Times New Roman" w:hAnsi="Calibri" w:cs="Calibri"/>
                <w:b/>
                <w:bCs/>
                <w:color w:val="000000"/>
                <w:sz w:val="14"/>
                <w:szCs w:val="14"/>
                <w:lang w:eastAsia="it-IT"/>
              </w:rPr>
              <w:t>51.263.310,56</w:t>
            </w:r>
          </w:p>
        </w:tc>
        <w:tc>
          <w:tcPr>
            <w:tcW w:w="796"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color w:val="000000"/>
                <w:sz w:val="14"/>
                <w:szCs w:val="14"/>
                <w:lang w:eastAsia="it-IT"/>
              </w:rPr>
            </w:pPr>
          </w:p>
        </w:tc>
        <w:tc>
          <w:tcPr>
            <w:tcW w:w="78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sz w:val="14"/>
                <w:szCs w:val="14"/>
                <w:lang w:eastAsia="it-IT"/>
              </w:rPr>
            </w:pPr>
          </w:p>
        </w:tc>
        <w:tc>
          <w:tcPr>
            <w:tcW w:w="695" w:type="pct"/>
            <w:tcBorders>
              <w:top w:val="nil"/>
              <w:left w:val="nil"/>
              <w:bottom w:val="single" w:sz="4" w:space="0" w:color="auto"/>
              <w:right w:val="single" w:sz="4" w:space="0" w:color="auto"/>
            </w:tcBorders>
            <w:shd w:val="clear" w:color="auto" w:fill="auto"/>
            <w:noWrap/>
            <w:vAlign w:val="center"/>
            <w:hideMark/>
          </w:tcPr>
          <w:p w:rsidR="009C738D" w:rsidRPr="00E07215" w:rsidRDefault="009C738D" w:rsidP="009C738D">
            <w:pPr>
              <w:spacing w:after="0" w:line="240" w:lineRule="auto"/>
              <w:jc w:val="center"/>
              <w:rPr>
                <w:rFonts w:ascii="Calibri" w:eastAsia="Times New Roman" w:hAnsi="Calibri" w:cs="Calibri"/>
                <w:b/>
                <w:bCs/>
                <w:sz w:val="14"/>
                <w:szCs w:val="14"/>
                <w:lang w:eastAsia="it-IT"/>
              </w:rPr>
            </w:pPr>
          </w:p>
        </w:tc>
      </w:tr>
    </w:tbl>
    <w:p w:rsidR="009C738D" w:rsidRPr="005B0435" w:rsidRDefault="009C738D" w:rsidP="005B0435">
      <w:pPr>
        <w:ind w:firstLine="426"/>
        <w:jc w:val="both"/>
        <w:rPr>
          <w:rFonts w:ascii="Bodoni MT" w:hAnsi="Bodoni MT"/>
          <w:sz w:val="18"/>
          <w:szCs w:val="18"/>
        </w:rPr>
      </w:pPr>
      <w:r w:rsidRPr="005B0435">
        <w:rPr>
          <w:rFonts w:ascii="Bodoni MT" w:hAnsi="Bodoni MT"/>
          <w:sz w:val="18"/>
          <w:szCs w:val="18"/>
        </w:rPr>
        <w:t>Font</w:t>
      </w:r>
      <w:r w:rsidR="005B0435">
        <w:rPr>
          <w:rFonts w:ascii="Bodoni MT" w:hAnsi="Bodoni MT"/>
          <w:sz w:val="18"/>
          <w:szCs w:val="18"/>
        </w:rPr>
        <w:t>e: elaborazione Cdc su dati Ras</w:t>
      </w:r>
    </w:p>
    <w:p w:rsidR="009C738D" w:rsidRDefault="009C738D" w:rsidP="005B0435">
      <w:pPr>
        <w:pStyle w:val="CdcTesto"/>
      </w:pPr>
      <w:r>
        <w:t xml:space="preserve">I dati riportati mostrano che gli </w:t>
      </w:r>
      <w:r w:rsidRPr="001E653B">
        <w:rPr>
          <w:b/>
        </w:rPr>
        <w:t>impegni sono stati pari al 97,84% degli stanziamenti complessivi</w:t>
      </w:r>
      <w:r>
        <w:t xml:space="preserve">, mentre i </w:t>
      </w:r>
      <w:r w:rsidRPr="001E653B">
        <w:rPr>
          <w:b/>
        </w:rPr>
        <w:t>pagamenti risultano pari al 96,59% degli impegni</w:t>
      </w:r>
      <w:r>
        <w:t>. L’analisi dei programmi di spesa mostra che l’84,15% degli stanziamenti riguarda il finanziamento ordinario dei LEA e il 9,9% afferisce al programma 04 “ripiano disavanzi esercizi pregressi”. I restanti programmi presentano stanziamenti più contenuti.</w:t>
      </w:r>
    </w:p>
    <w:p w:rsidR="009C738D" w:rsidRDefault="009C738D" w:rsidP="005B0435">
      <w:pPr>
        <w:pStyle w:val="CdcTesto"/>
      </w:pPr>
      <w:r>
        <w:t xml:space="preserve">Anche la gestione dei residui presenta una elevata capacità di pagamento, infatti, a fronte di </w:t>
      </w:r>
      <w:r w:rsidRPr="001E653B">
        <w:rPr>
          <w:b/>
        </w:rPr>
        <w:t xml:space="preserve">residui iniziali pari a </w:t>
      </w:r>
      <w:r w:rsidR="001E653B">
        <w:rPr>
          <w:b/>
        </w:rPr>
        <w:t xml:space="preserve">€ </w:t>
      </w:r>
      <w:r w:rsidRPr="001E653B">
        <w:rPr>
          <w:b/>
        </w:rPr>
        <w:t xml:space="preserve">300.880.496,73, sono stati pagati </w:t>
      </w:r>
      <w:r w:rsidR="001E653B">
        <w:rPr>
          <w:b/>
        </w:rPr>
        <w:t xml:space="preserve">€ </w:t>
      </w:r>
      <w:r w:rsidRPr="001E653B">
        <w:rPr>
          <w:b/>
        </w:rPr>
        <w:t>258.299.136,35 (pari all’85,8%)</w:t>
      </w:r>
      <w:r>
        <w:t>.</w:t>
      </w:r>
    </w:p>
    <w:p w:rsidR="005B0435" w:rsidRDefault="005B0435" w:rsidP="009C738D">
      <w:pPr>
        <w:jc w:val="center"/>
        <w:rPr>
          <w:rFonts w:ascii="Bodoni MT" w:hAnsi="Bodoni MT"/>
          <w:sz w:val="24"/>
          <w:szCs w:val="24"/>
        </w:rPr>
      </w:pPr>
    </w:p>
    <w:p w:rsidR="00F62FBB" w:rsidRDefault="00F62FBB" w:rsidP="005B0435">
      <w:pPr>
        <w:pStyle w:val="Didascalia"/>
        <w:keepNext/>
      </w:pPr>
      <w:r>
        <w:br w:type="page"/>
      </w:r>
    </w:p>
    <w:p w:rsidR="009C738D" w:rsidRDefault="005B0435" w:rsidP="005B0435">
      <w:pPr>
        <w:pStyle w:val="Didascalia"/>
        <w:keepNext/>
        <w:rPr>
          <w:sz w:val="24"/>
          <w:szCs w:val="24"/>
        </w:rPr>
      </w:pPr>
      <w:bookmarkStart w:id="308" w:name="_Toc507422544"/>
      <w:r>
        <w:lastRenderedPageBreak/>
        <w:t xml:space="preserve">Tabella </w:t>
      </w:r>
      <w:r w:rsidR="00B90472">
        <w:fldChar w:fldCharType="begin"/>
      </w:r>
      <w:r w:rsidR="00B90472">
        <w:instrText xml:space="preserve"> SEQ Tabella \* ARABIC </w:instrText>
      </w:r>
      <w:r w:rsidR="00B90472">
        <w:fldChar w:fldCharType="separate"/>
      </w:r>
      <w:r w:rsidR="008616B3">
        <w:rPr>
          <w:noProof/>
        </w:rPr>
        <w:t>76</w:t>
      </w:r>
      <w:r w:rsidR="00B90472">
        <w:rPr>
          <w:noProof/>
        </w:rPr>
        <w:fldChar w:fldCharType="end"/>
      </w:r>
      <w:r w:rsidR="009C738D">
        <w:rPr>
          <w:sz w:val="24"/>
          <w:szCs w:val="24"/>
        </w:rPr>
        <w:t xml:space="preserve"> – Spese Missione 13 – Gestione dei residui 2016</w:t>
      </w:r>
      <w:bookmarkEnd w:id="3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45"/>
        <w:gridCol w:w="1451"/>
        <w:gridCol w:w="1475"/>
        <w:gridCol w:w="1475"/>
        <w:gridCol w:w="1332"/>
      </w:tblGrid>
      <w:tr w:rsidR="009C738D" w:rsidRPr="00CD11C1" w:rsidTr="00E62D5A">
        <w:trPr>
          <w:trHeight w:val="416"/>
          <w:jc w:val="center"/>
        </w:trPr>
        <w:tc>
          <w:tcPr>
            <w:tcW w:w="2069" w:type="pct"/>
            <w:shd w:val="clear" w:color="000000" w:fill="1F3864"/>
            <w:noWrap/>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 </w:t>
            </w:r>
          </w:p>
        </w:tc>
        <w:tc>
          <w:tcPr>
            <w:tcW w:w="742" w:type="pct"/>
            <w:shd w:val="clear" w:color="000000" w:fill="1F3864"/>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Residui al 01/01/2016</w:t>
            </w:r>
          </w:p>
        </w:tc>
        <w:tc>
          <w:tcPr>
            <w:tcW w:w="754" w:type="pct"/>
            <w:shd w:val="clear" w:color="000000" w:fill="1F3864"/>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 xml:space="preserve">Residui </w:t>
            </w:r>
            <w:r>
              <w:rPr>
                <w:rFonts w:ascii="Bodoni MT" w:eastAsia="Times New Roman" w:hAnsi="Bodoni MT" w:cs="Arial"/>
                <w:b/>
                <w:bCs/>
                <w:color w:val="FFFFFF"/>
                <w:sz w:val="16"/>
                <w:szCs w:val="16"/>
                <w:lang w:eastAsia="it-IT"/>
              </w:rPr>
              <w:t>riaccertati</w:t>
            </w:r>
          </w:p>
        </w:tc>
        <w:tc>
          <w:tcPr>
            <w:tcW w:w="754" w:type="pct"/>
            <w:shd w:val="clear" w:color="000000" w:fill="1F3864"/>
            <w:noWrap/>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Pagamenti</w:t>
            </w:r>
          </w:p>
        </w:tc>
        <w:tc>
          <w:tcPr>
            <w:tcW w:w="681" w:type="pct"/>
            <w:shd w:val="clear" w:color="000000" w:fill="1F3864"/>
            <w:vAlign w:val="center"/>
            <w:hideMark/>
          </w:tcPr>
          <w:p w:rsidR="009C738D" w:rsidRPr="00CD11C1" w:rsidRDefault="00245071" w:rsidP="009C738D">
            <w:pPr>
              <w:spacing w:after="0" w:line="240" w:lineRule="auto"/>
              <w:jc w:val="center"/>
              <w:rPr>
                <w:rFonts w:ascii="Bodoni MT" w:eastAsia="Times New Roman" w:hAnsi="Bodoni MT" w:cs="Arial"/>
                <w:b/>
                <w:bCs/>
                <w:color w:val="FFFFFF"/>
                <w:sz w:val="16"/>
                <w:szCs w:val="16"/>
                <w:lang w:eastAsia="it-IT"/>
              </w:rPr>
            </w:pPr>
            <w:r>
              <w:rPr>
                <w:rFonts w:ascii="Bodoni MT" w:eastAsia="Times New Roman" w:hAnsi="Bodoni MT" w:cs="Arial"/>
                <w:b/>
                <w:bCs/>
                <w:color w:val="FFFFFF"/>
                <w:sz w:val="16"/>
                <w:szCs w:val="16"/>
                <w:lang w:eastAsia="it-IT"/>
              </w:rPr>
              <w:t xml:space="preserve">Residui </w:t>
            </w:r>
            <w:r w:rsidR="009C738D" w:rsidRPr="00CD11C1">
              <w:rPr>
                <w:rFonts w:ascii="Bodoni MT" w:eastAsia="Times New Roman" w:hAnsi="Bodoni MT" w:cs="Arial"/>
                <w:b/>
                <w:bCs/>
                <w:color w:val="FFFFFF"/>
                <w:sz w:val="16"/>
                <w:szCs w:val="16"/>
                <w:lang w:eastAsia="it-IT"/>
              </w:rPr>
              <w:t>dei residui al 31/12/2016</w:t>
            </w:r>
          </w:p>
        </w:tc>
      </w:tr>
      <w:tr w:rsidR="009C738D" w:rsidRPr="00CD11C1" w:rsidTr="00E62D5A">
        <w:trPr>
          <w:trHeight w:val="121"/>
          <w:jc w:val="center"/>
        </w:trPr>
        <w:tc>
          <w:tcPr>
            <w:tcW w:w="2069" w:type="pct"/>
            <w:shd w:val="clear" w:color="000000" w:fill="1F3864"/>
            <w:noWrap/>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Tit. I - Spese correnti</w:t>
            </w:r>
          </w:p>
        </w:tc>
        <w:tc>
          <w:tcPr>
            <w:tcW w:w="742" w:type="pct"/>
            <w:shd w:val="clear" w:color="000000" w:fill="1F3864"/>
            <w:noWrap/>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 </w:t>
            </w:r>
          </w:p>
        </w:tc>
        <w:tc>
          <w:tcPr>
            <w:tcW w:w="2189" w:type="pct"/>
            <w:gridSpan w:val="3"/>
            <w:shd w:val="clear" w:color="000000" w:fill="1F3864"/>
            <w:noWrap/>
            <w:vAlign w:val="center"/>
            <w:hideMark/>
          </w:tcPr>
          <w:p w:rsidR="009C738D" w:rsidRPr="00CD11C1" w:rsidRDefault="009C738D" w:rsidP="009C738D">
            <w:pPr>
              <w:spacing w:after="0" w:line="240" w:lineRule="auto"/>
              <w:jc w:val="center"/>
              <w:rPr>
                <w:rFonts w:ascii="Bodoni MT" w:eastAsia="Times New Roman" w:hAnsi="Bodoni MT" w:cs="Arial"/>
                <w:b/>
                <w:bCs/>
                <w:color w:val="FFFFFF"/>
                <w:sz w:val="16"/>
                <w:szCs w:val="16"/>
                <w:lang w:eastAsia="it-IT"/>
              </w:rPr>
            </w:pPr>
            <w:r w:rsidRPr="00CD11C1">
              <w:rPr>
                <w:rFonts w:ascii="Bodoni MT" w:eastAsia="Times New Roman" w:hAnsi="Bodoni MT" w:cs="Arial"/>
                <w:b/>
                <w:bCs/>
                <w:color w:val="FFFFFF"/>
                <w:sz w:val="16"/>
                <w:szCs w:val="16"/>
                <w:lang w:eastAsia="it-IT"/>
              </w:rPr>
              <w:t> </w:t>
            </w:r>
          </w:p>
        </w:tc>
      </w:tr>
      <w:tr w:rsidR="005B0435" w:rsidRPr="00CD11C1" w:rsidTr="00B573F9">
        <w:trPr>
          <w:trHeight w:val="337"/>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Finanziamento Ordinario Garanzia LEA - Progr. 01</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5B0435" w:rsidRPr="00E62D5A" w:rsidRDefault="005B0435" w:rsidP="005B0435">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190.234.382,18</w:t>
            </w:r>
          </w:p>
        </w:tc>
        <w:tc>
          <w:tcPr>
            <w:tcW w:w="754" w:type="pct"/>
            <w:shd w:val="clear" w:color="auto" w:fill="auto"/>
            <w:noWrap/>
            <w:vAlign w:val="center"/>
            <w:hideMark/>
          </w:tcPr>
          <w:p w:rsidR="005B0435" w:rsidRPr="00E62D5A" w:rsidRDefault="005B0435" w:rsidP="005B0435">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189.937.753,13</w:t>
            </w:r>
          </w:p>
        </w:tc>
        <w:tc>
          <w:tcPr>
            <w:tcW w:w="754" w:type="pct"/>
            <w:shd w:val="clear" w:color="auto" w:fill="auto"/>
            <w:noWrap/>
            <w:vAlign w:val="center"/>
            <w:hideMark/>
          </w:tcPr>
          <w:p w:rsidR="005B0435" w:rsidRPr="00E62D5A" w:rsidRDefault="005B0435" w:rsidP="005B0435">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189.145.279,90</w:t>
            </w:r>
          </w:p>
        </w:tc>
        <w:tc>
          <w:tcPr>
            <w:tcW w:w="681" w:type="pct"/>
            <w:shd w:val="clear" w:color="auto" w:fill="auto"/>
            <w:noWrap/>
            <w:vAlign w:val="center"/>
            <w:hideMark/>
          </w:tcPr>
          <w:p w:rsidR="005B0435" w:rsidRPr="00E62D5A" w:rsidRDefault="005B0435" w:rsidP="005B0435">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792.473,23</w:t>
            </w:r>
          </w:p>
        </w:tc>
      </w:tr>
      <w:tr w:rsidR="005B0435" w:rsidRPr="00CD11C1" w:rsidTr="00B573F9">
        <w:trPr>
          <w:trHeight w:val="449"/>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Bodoni MT" w:eastAsia="Times New Roman" w:hAnsi="Bodoni MT" w:cs="Arial"/>
                <w:color w:val="FFFFFF" w:themeColor="background1"/>
                <w:sz w:val="16"/>
                <w:szCs w:val="16"/>
                <w:lang w:eastAsia="it-IT"/>
              </w:rPr>
            </w:pPr>
            <w:r w:rsidRPr="005B0435">
              <w:rPr>
                <w:rFonts w:ascii="Bodoni MT" w:eastAsia="Times New Roman" w:hAnsi="Bodoni MT" w:cs="Arial"/>
                <w:color w:val="FFFFFF" w:themeColor="background1"/>
                <w:sz w:val="16"/>
                <w:szCs w:val="16"/>
                <w:lang w:eastAsia="it-IT"/>
              </w:rPr>
              <w:t>Finanziamento aggiuntivo Livelli assistenza superiori Programma 02 </w:t>
            </w:r>
          </w:p>
        </w:tc>
        <w:tc>
          <w:tcPr>
            <w:tcW w:w="742" w:type="pct"/>
            <w:shd w:val="clear" w:color="auto" w:fill="auto"/>
            <w:noWrap/>
            <w:vAlign w:val="center"/>
            <w:hideMark/>
          </w:tcPr>
          <w:p w:rsidR="005B0435" w:rsidRPr="00E62D5A" w:rsidRDefault="005B0435"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82.358.437,85 </w:t>
            </w:r>
          </w:p>
        </w:tc>
        <w:tc>
          <w:tcPr>
            <w:tcW w:w="754" w:type="pct"/>
            <w:shd w:val="clear" w:color="auto" w:fill="auto"/>
            <w:noWrap/>
            <w:vAlign w:val="center"/>
            <w:hideMark/>
          </w:tcPr>
          <w:p w:rsidR="005B0435" w:rsidRPr="00E62D5A" w:rsidRDefault="005B0435"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82.357.723,47 </w:t>
            </w:r>
          </w:p>
        </w:tc>
        <w:tc>
          <w:tcPr>
            <w:tcW w:w="754" w:type="pct"/>
            <w:shd w:val="clear" w:color="auto" w:fill="auto"/>
            <w:noWrap/>
            <w:vAlign w:val="center"/>
            <w:hideMark/>
          </w:tcPr>
          <w:p w:rsidR="005B0435" w:rsidRPr="00E62D5A" w:rsidRDefault="005B0435"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42.379.565,30 </w:t>
            </w:r>
          </w:p>
        </w:tc>
        <w:tc>
          <w:tcPr>
            <w:tcW w:w="681" w:type="pct"/>
            <w:shd w:val="clear" w:color="auto" w:fill="auto"/>
            <w:noWrap/>
            <w:vAlign w:val="center"/>
            <w:hideMark/>
          </w:tcPr>
          <w:p w:rsidR="005B0435" w:rsidRPr="00E62D5A" w:rsidRDefault="005B0435"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39.978.158,17 </w:t>
            </w:r>
          </w:p>
        </w:tc>
      </w:tr>
      <w:tr w:rsidR="00E62D5A" w:rsidRPr="00CD11C1" w:rsidTr="00B573F9">
        <w:trPr>
          <w:trHeight w:val="449"/>
          <w:jc w:val="center"/>
        </w:trPr>
        <w:tc>
          <w:tcPr>
            <w:tcW w:w="2069" w:type="pct"/>
            <w:shd w:val="clear" w:color="auto" w:fill="95B3D7" w:themeFill="accent1" w:themeFillTint="99"/>
            <w:vAlign w:val="center"/>
            <w:hideMark/>
          </w:tcPr>
          <w:p w:rsidR="00E62D5A" w:rsidRPr="005B0435" w:rsidRDefault="00E62D5A"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Ripiano disavanzi esercizi pregressi - Programma 04</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0,00 </w:t>
            </w:r>
          </w:p>
        </w:tc>
        <w:tc>
          <w:tcPr>
            <w:tcW w:w="681"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0,00 </w:t>
            </w:r>
          </w:p>
        </w:tc>
      </w:tr>
      <w:tr w:rsidR="00E62D5A" w:rsidRPr="00CD11C1" w:rsidTr="00B573F9">
        <w:trPr>
          <w:trHeight w:val="449"/>
          <w:jc w:val="center"/>
        </w:trPr>
        <w:tc>
          <w:tcPr>
            <w:tcW w:w="2069" w:type="pct"/>
            <w:shd w:val="clear" w:color="auto" w:fill="95B3D7" w:themeFill="accent1" w:themeFillTint="99"/>
            <w:vAlign w:val="center"/>
            <w:hideMark/>
          </w:tcPr>
          <w:p w:rsidR="00E62D5A" w:rsidRPr="005B0435" w:rsidRDefault="00E62D5A"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Ulteriori spese sanitarie Programma 07</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9.165.038,90 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9.109.508,57 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8.130.051,90 </w:t>
            </w:r>
          </w:p>
        </w:tc>
        <w:tc>
          <w:tcPr>
            <w:tcW w:w="681"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979.456,67 </w:t>
            </w:r>
          </w:p>
        </w:tc>
      </w:tr>
      <w:tr w:rsidR="00E62D5A" w:rsidRPr="00CD11C1" w:rsidTr="00B573F9">
        <w:trPr>
          <w:trHeight w:val="449"/>
          <w:jc w:val="center"/>
        </w:trPr>
        <w:tc>
          <w:tcPr>
            <w:tcW w:w="2069" w:type="pct"/>
            <w:shd w:val="clear" w:color="auto" w:fill="95B3D7" w:themeFill="accent1" w:themeFillTint="99"/>
            <w:vAlign w:val="center"/>
            <w:hideMark/>
          </w:tcPr>
          <w:p w:rsidR="00E62D5A" w:rsidRPr="005B0435" w:rsidRDefault="00E62D5A"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Politica Regionale Unitaria Tutela della salute Programma 08</w:t>
            </w:r>
          </w:p>
        </w:tc>
        <w:tc>
          <w:tcPr>
            <w:tcW w:w="742"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45.869,60 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45.869,60 </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45.869,60 </w:t>
            </w:r>
          </w:p>
        </w:tc>
        <w:tc>
          <w:tcPr>
            <w:tcW w:w="681"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r>
      <w:tr w:rsidR="005B0435" w:rsidRPr="00CD11C1" w:rsidTr="00B573F9">
        <w:trPr>
          <w:trHeight w:val="302"/>
          <w:jc w:val="center"/>
        </w:trPr>
        <w:tc>
          <w:tcPr>
            <w:tcW w:w="2069" w:type="pct"/>
            <w:shd w:val="clear" w:color="auto" w:fill="95B3D7" w:themeFill="accent1" w:themeFillTint="99"/>
            <w:noWrap/>
            <w:vAlign w:val="center"/>
            <w:hideMark/>
          </w:tcPr>
          <w:p w:rsidR="005B0435" w:rsidRPr="005B0435" w:rsidRDefault="005B0435" w:rsidP="005B0435">
            <w:pPr>
              <w:spacing w:after="0" w:line="240" w:lineRule="auto"/>
              <w:rPr>
                <w:rFonts w:ascii="Calibri" w:eastAsia="Times New Roman" w:hAnsi="Calibri" w:cs="Calibri"/>
                <w:b/>
                <w:bCs/>
                <w:color w:val="FFFFFF" w:themeColor="background1"/>
                <w:lang w:eastAsia="it-IT"/>
              </w:rPr>
            </w:pPr>
            <w:r w:rsidRPr="005B0435">
              <w:rPr>
                <w:rFonts w:ascii="Bodoni MT" w:eastAsia="Times New Roman" w:hAnsi="Bodoni MT" w:cs="Arial"/>
                <w:b/>
                <w:bCs/>
                <w:color w:val="FFFFFF" w:themeColor="background1"/>
                <w:sz w:val="16"/>
                <w:szCs w:val="16"/>
                <w:lang w:eastAsia="it-IT"/>
              </w:rPr>
              <w:t>TOTALE Tit. I</w:t>
            </w:r>
          </w:p>
        </w:tc>
        <w:tc>
          <w:tcPr>
            <w:tcW w:w="742" w:type="pct"/>
            <w:shd w:val="clear" w:color="000000" w:fill="FFFFFF"/>
            <w:noWrap/>
            <w:vAlign w:val="center"/>
            <w:hideMark/>
          </w:tcPr>
          <w:p w:rsidR="005B0435" w:rsidRPr="00E62D5A" w:rsidRDefault="005B0435" w:rsidP="005B0435">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281.803.728,53</w:t>
            </w:r>
          </w:p>
        </w:tc>
        <w:tc>
          <w:tcPr>
            <w:tcW w:w="754" w:type="pct"/>
            <w:shd w:val="clear" w:color="000000" w:fill="FFFFFF"/>
            <w:noWrap/>
            <w:vAlign w:val="center"/>
            <w:hideMark/>
          </w:tcPr>
          <w:p w:rsidR="005B0435" w:rsidRPr="00E62D5A" w:rsidRDefault="005B0435" w:rsidP="005B0435">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281.450.854,77</w:t>
            </w:r>
          </w:p>
        </w:tc>
        <w:tc>
          <w:tcPr>
            <w:tcW w:w="754" w:type="pct"/>
            <w:shd w:val="clear" w:color="000000" w:fill="FFFFFF"/>
            <w:noWrap/>
            <w:vAlign w:val="center"/>
            <w:hideMark/>
          </w:tcPr>
          <w:p w:rsidR="005B0435" w:rsidRPr="00E62D5A" w:rsidRDefault="005B0435" w:rsidP="005B0435">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239.700.766,70</w:t>
            </w:r>
          </w:p>
        </w:tc>
        <w:tc>
          <w:tcPr>
            <w:tcW w:w="681" w:type="pct"/>
            <w:shd w:val="clear" w:color="000000" w:fill="FFFFFF"/>
            <w:noWrap/>
            <w:vAlign w:val="center"/>
            <w:hideMark/>
          </w:tcPr>
          <w:p w:rsidR="005B0435" w:rsidRPr="00E62D5A" w:rsidRDefault="005B0435" w:rsidP="005B0435">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41.750.088,07</w:t>
            </w:r>
          </w:p>
        </w:tc>
      </w:tr>
      <w:tr w:rsidR="009C738D" w:rsidRPr="00CD11C1" w:rsidTr="00E62D5A">
        <w:trPr>
          <w:trHeight w:val="255"/>
          <w:jc w:val="center"/>
        </w:trPr>
        <w:tc>
          <w:tcPr>
            <w:tcW w:w="2069" w:type="pct"/>
            <w:shd w:val="clear" w:color="000000" w:fill="1F3864"/>
            <w:noWrap/>
            <w:vAlign w:val="center"/>
            <w:hideMark/>
          </w:tcPr>
          <w:p w:rsidR="009C738D" w:rsidRPr="005B0435" w:rsidRDefault="009C738D" w:rsidP="005B0435">
            <w:pPr>
              <w:spacing w:after="0" w:line="240" w:lineRule="auto"/>
              <w:rPr>
                <w:rFonts w:ascii="Bodoni MT" w:eastAsia="Times New Roman" w:hAnsi="Bodoni MT" w:cs="Arial"/>
                <w:b/>
                <w:bCs/>
                <w:color w:val="FFFFFF" w:themeColor="background1"/>
                <w:sz w:val="16"/>
                <w:szCs w:val="16"/>
                <w:lang w:eastAsia="it-IT"/>
              </w:rPr>
            </w:pPr>
            <w:r w:rsidRPr="005B0435">
              <w:rPr>
                <w:rFonts w:ascii="Bodoni MT" w:eastAsia="Times New Roman" w:hAnsi="Bodoni MT" w:cs="Arial"/>
                <w:b/>
                <w:bCs/>
                <w:color w:val="FFFFFF" w:themeColor="background1"/>
                <w:sz w:val="16"/>
                <w:szCs w:val="16"/>
                <w:lang w:eastAsia="it-IT"/>
              </w:rPr>
              <w:t>Tit. II - Spese c/capitale</w:t>
            </w:r>
          </w:p>
        </w:tc>
        <w:tc>
          <w:tcPr>
            <w:tcW w:w="742" w:type="pct"/>
            <w:shd w:val="clear" w:color="000000" w:fill="1F3864"/>
            <w:noWrap/>
            <w:vAlign w:val="center"/>
            <w:hideMark/>
          </w:tcPr>
          <w:p w:rsidR="009C738D" w:rsidRPr="00E62D5A" w:rsidRDefault="009C738D" w:rsidP="009C738D">
            <w:pPr>
              <w:spacing w:after="0" w:line="240" w:lineRule="auto"/>
              <w:jc w:val="center"/>
              <w:rPr>
                <w:rFonts w:eastAsia="Times New Roman" w:cstheme="minorHAnsi"/>
                <w:b/>
                <w:bCs/>
                <w:color w:val="FFFFFF"/>
                <w:sz w:val="18"/>
                <w:szCs w:val="18"/>
                <w:lang w:eastAsia="it-IT"/>
              </w:rPr>
            </w:pPr>
            <w:r w:rsidRPr="00E62D5A">
              <w:rPr>
                <w:rFonts w:eastAsia="Times New Roman" w:cstheme="minorHAnsi"/>
                <w:b/>
                <w:bCs/>
                <w:color w:val="FFFFFF"/>
                <w:sz w:val="18"/>
                <w:szCs w:val="18"/>
                <w:lang w:eastAsia="it-IT"/>
              </w:rPr>
              <w:t> </w:t>
            </w:r>
          </w:p>
        </w:tc>
        <w:tc>
          <w:tcPr>
            <w:tcW w:w="754" w:type="pct"/>
            <w:shd w:val="clear" w:color="000000" w:fill="1F3864"/>
            <w:noWrap/>
            <w:vAlign w:val="center"/>
            <w:hideMark/>
          </w:tcPr>
          <w:p w:rsidR="009C738D" w:rsidRPr="00E62D5A" w:rsidRDefault="009C738D" w:rsidP="009C738D">
            <w:pPr>
              <w:spacing w:after="0" w:line="240" w:lineRule="auto"/>
              <w:jc w:val="center"/>
              <w:rPr>
                <w:rFonts w:eastAsia="Times New Roman" w:cstheme="minorHAnsi"/>
                <w:b/>
                <w:bCs/>
                <w:color w:val="FFFFFF"/>
                <w:sz w:val="18"/>
                <w:szCs w:val="18"/>
                <w:lang w:eastAsia="it-IT"/>
              </w:rPr>
            </w:pPr>
            <w:r w:rsidRPr="00E62D5A">
              <w:rPr>
                <w:rFonts w:eastAsia="Times New Roman" w:cstheme="minorHAnsi"/>
                <w:b/>
                <w:bCs/>
                <w:color w:val="FFFFFF"/>
                <w:sz w:val="18"/>
                <w:szCs w:val="18"/>
                <w:lang w:eastAsia="it-IT"/>
              </w:rPr>
              <w:t> </w:t>
            </w:r>
          </w:p>
        </w:tc>
        <w:tc>
          <w:tcPr>
            <w:tcW w:w="754" w:type="pct"/>
            <w:shd w:val="clear" w:color="000000" w:fill="1F3864"/>
            <w:noWrap/>
            <w:vAlign w:val="center"/>
            <w:hideMark/>
          </w:tcPr>
          <w:p w:rsidR="009C738D" w:rsidRPr="00E62D5A" w:rsidRDefault="009C738D" w:rsidP="009C738D">
            <w:pPr>
              <w:spacing w:after="0" w:line="240" w:lineRule="auto"/>
              <w:jc w:val="center"/>
              <w:rPr>
                <w:rFonts w:eastAsia="Times New Roman" w:cstheme="minorHAnsi"/>
                <w:b/>
                <w:bCs/>
                <w:color w:val="FFFFFF"/>
                <w:sz w:val="18"/>
                <w:szCs w:val="18"/>
                <w:lang w:eastAsia="it-IT"/>
              </w:rPr>
            </w:pPr>
            <w:r w:rsidRPr="00E62D5A">
              <w:rPr>
                <w:rFonts w:eastAsia="Times New Roman" w:cstheme="minorHAnsi"/>
                <w:b/>
                <w:bCs/>
                <w:color w:val="FFFFFF"/>
                <w:sz w:val="18"/>
                <w:szCs w:val="18"/>
                <w:lang w:eastAsia="it-IT"/>
              </w:rPr>
              <w:t> </w:t>
            </w:r>
          </w:p>
        </w:tc>
        <w:tc>
          <w:tcPr>
            <w:tcW w:w="681" w:type="pct"/>
            <w:shd w:val="clear" w:color="000000" w:fill="1F3864"/>
            <w:noWrap/>
            <w:vAlign w:val="center"/>
            <w:hideMark/>
          </w:tcPr>
          <w:p w:rsidR="009C738D" w:rsidRPr="00E62D5A" w:rsidRDefault="009C738D" w:rsidP="009C738D">
            <w:pPr>
              <w:spacing w:after="0" w:line="240" w:lineRule="auto"/>
              <w:jc w:val="center"/>
              <w:rPr>
                <w:rFonts w:eastAsia="Times New Roman" w:cstheme="minorHAnsi"/>
                <w:b/>
                <w:bCs/>
                <w:color w:val="FFFFFF"/>
                <w:sz w:val="18"/>
                <w:szCs w:val="18"/>
                <w:lang w:eastAsia="it-IT"/>
              </w:rPr>
            </w:pPr>
            <w:r w:rsidRPr="00E62D5A">
              <w:rPr>
                <w:rFonts w:eastAsia="Times New Roman" w:cstheme="minorHAnsi"/>
                <w:b/>
                <w:bCs/>
                <w:color w:val="FFFFFF"/>
                <w:sz w:val="18"/>
                <w:szCs w:val="18"/>
                <w:lang w:eastAsia="it-IT"/>
              </w:rPr>
              <w:t> </w:t>
            </w:r>
          </w:p>
        </w:tc>
      </w:tr>
      <w:tr w:rsidR="00E62D5A" w:rsidRPr="00CD11C1" w:rsidTr="00B573F9">
        <w:trPr>
          <w:trHeight w:val="397"/>
          <w:jc w:val="center"/>
        </w:trPr>
        <w:tc>
          <w:tcPr>
            <w:tcW w:w="2069" w:type="pct"/>
            <w:shd w:val="clear" w:color="auto" w:fill="95B3D7" w:themeFill="accent1" w:themeFillTint="99"/>
            <w:vAlign w:val="center"/>
            <w:hideMark/>
          </w:tcPr>
          <w:p w:rsidR="00E62D5A" w:rsidRPr="005B0435" w:rsidRDefault="00E62D5A" w:rsidP="005B0435">
            <w:pPr>
              <w:spacing w:after="0" w:line="240" w:lineRule="auto"/>
              <w:rPr>
                <w:rFonts w:ascii="Bodoni MT" w:eastAsia="Times New Roman" w:hAnsi="Bodoni MT" w:cs="Arial"/>
                <w:color w:val="FFFFFF" w:themeColor="background1"/>
                <w:sz w:val="16"/>
                <w:szCs w:val="16"/>
                <w:lang w:eastAsia="it-IT"/>
              </w:rPr>
            </w:pPr>
            <w:r w:rsidRPr="005B0435">
              <w:rPr>
                <w:rFonts w:ascii="Bodoni MT" w:eastAsia="Times New Roman" w:hAnsi="Bodoni MT" w:cs="Arial"/>
                <w:color w:val="FFFFFF" w:themeColor="background1"/>
                <w:sz w:val="16"/>
                <w:szCs w:val="16"/>
                <w:lang w:eastAsia="it-IT"/>
              </w:rPr>
              <w:t>Finanziamento aggiuntivo Livelli assistenza superiori Programma 02 </w:t>
            </w:r>
          </w:p>
        </w:tc>
        <w:tc>
          <w:tcPr>
            <w:tcW w:w="742"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754"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681" w:type="pct"/>
            <w:shd w:val="clear" w:color="auto" w:fill="auto"/>
            <w:noWrap/>
            <w:vAlign w:val="center"/>
            <w:hideMark/>
          </w:tcPr>
          <w:p w:rsidR="00E62D5A" w:rsidRPr="00E62D5A" w:rsidRDefault="00E62D5A" w:rsidP="00E62D5A">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r>
      <w:tr w:rsidR="005B0435" w:rsidRPr="00CD11C1" w:rsidTr="00B573F9">
        <w:trPr>
          <w:trHeight w:val="418"/>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Ripiano disavanzi esercizi pregressi - Programma 04</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2.143.000,00</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2.143.000,00</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2.143.000,00</w:t>
            </w:r>
          </w:p>
        </w:tc>
        <w:tc>
          <w:tcPr>
            <w:tcW w:w="681"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r>
      <w:tr w:rsidR="005B0435" w:rsidRPr="00CD11C1" w:rsidTr="00B573F9">
        <w:trPr>
          <w:trHeight w:val="410"/>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Investimenti sanitari Programma 05</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14.902.895,18</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14.902.895,17</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14.806.120,17</w:t>
            </w:r>
          </w:p>
        </w:tc>
        <w:tc>
          <w:tcPr>
            <w:tcW w:w="681"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96.775,00</w:t>
            </w:r>
          </w:p>
        </w:tc>
      </w:tr>
      <w:tr w:rsidR="005B0435" w:rsidRPr="00CD11C1" w:rsidTr="00B573F9">
        <w:trPr>
          <w:trHeight w:val="287"/>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Ulteriori spese sanitarie Programma 07</w:t>
            </w:r>
          </w:p>
        </w:tc>
        <w:tc>
          <w:tcPr>
            <w:tcW w:w="742"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c>
          <w:tcPr>
            <w:tcW w:w="681"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r>
      <w:tr w:rsidR="005B0435" w:rsidRPr="00CD11C1" w:rsidTr="00B573F9">
        <w:trPr>
          <w:trHeight w:val="46"/>
          <w:jc w:val="center"/>
        </w:trPr>
        <w:tc>
          <w:tcPr>
            <w:tcW w:w="2069" w:type="pct"/>
            <w:shd w:val="clear" w:color="auto" w:fill="95B3D7" w:themeFill="accent1" w:themeFillTint="99"/>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color w:val="FFFFFF" w:themeColor="background1"/>
                <w:sz w:val="16"/>
                <w:szCs w:val="16"/>
                <w:lang w:eastAsia="it-IT"/>
              </w:rPr>
              <w:t>Politica Regionale Unitaria Tutela della Salute Programma 08</w:t>
            </w:r>
          </w:p>
        </w:tc>
        <w:tc>
          <w:tcPr>
            <w:tcW w:w="742"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2.030.873,02</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1.649.249,48</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1.649.249,48</w:t>
            </w:r>
          </w:p>
        </w:tc>
        <w:tc>
          <w:tcPr>
            <w:tcW w:w="681" w:type="pct"/>
            <w:shd w:val="clear" w:color="auto" w:fill="auto"/>
            <w:noWrap/>
            <w:vAlign w:val="center"/>
            <w:hideMark/>
          </w:tcPr>
          <w:p w:rsidR="005B0435" w:rsidRPr="00E62D5A" w:rsidRDefault="005B0435" w:rsidP="009C738D">
            <w:pPr>
              <w:spacing w:after="0" w:line="240" w:lineRule="auto"/>
              <w:jc w:val="right"/>
              <w:rPr>
                <w:rFonts w:eastAsia="Times New Roman" w:cstheme="minorHAnsi"/>
                <w:sz w:val="18"/>
                <w:szCs w:val="18"/>
                <w:lang w:eastAsia="it-IT"/>
              </w:rPr>
            </w:pPr>
            <w:r w:rsidRPr="00E62D5A">
              <w:rPr>
                <w:rFonts w:eastAsia="Times New Roman" w:cstheme="minorHAnsi"/>
                <w:sz w:val="18"/>
                <w:szCs w:val="18"/>
                <w:lang w:eastAsia="it-IT"/>
              </w:rPr>
              <w:t>0,00</w:t>
            </w:r>
          </w:p>
        </w:tc>
      </w:tr>
      <w:tr w:rsidR="005B0435" w:rsidRPr="00CD11C1" w:rsidTr="00B573F9">
        <w:trPr>
          <w:trHeight w:val="298"/>
          <w:jc w:val="center"/>
        </w:trPr>
        <w:tc>
          <w:tcPr>
            <w:tcW w:w="2069" w:type="pct"/>
            <w:shd w:val="clear" w:color="auto" w:fill="95B3D7" w:themeFill="accent1" w:themeFillTint="99"/>
            <w:noWrap/>
            <w:vAlign w:val="center"/>
            <w:hideMark/>
          </w:tcPr>
          <w:p w:rsidR="005B0435" w:rsidRPr="005B0435" w:rsidRDefault="005B0435" w:rsidP="005B0435">
            <w:pPr>
              <w:spacing w:after="0" w:line="240" w:lineRule="auto"/>
              <w:rPr>
                <w:rFonts w:ascii="Calibri" w:eastAsia="Times New Roman" w:hAnsi="Calibri" w:cs="Calibri"/>
                <w:b/>
                <w:bCs/>
                <w:color w:val="FFFFFF" w:themeColor="background1"/>
                <w:lang w:eastAsia="it-IT"/>
              </w:rPr>
            </w:pPr>
            <w:r w:rsidRPr="005B0435">
              <w:rPr>
                <w:rFonts w:ascii="Bodoni MT" w:eastAsia="Times New Roman" w:hAnsi="Bodoni MT" w:cs="Arial"/>
                <w:b/>
                <w:bCs/>
                <w:color w:val="FFFFFF" w:themeColor="background1"/>
                <w:sz w:val="16"/>
                <w:szCs w:val="16"/>
                <w:lang w:eastAsia="it-IT"/>
              </w:rPr>
              <w:t>TOTALE Tit. II</w:t>
            </w:r>
          </w:p>
        </w:tc>
        <w:tc>
          <w:tcPr>
            <w:tcW w:w="742" w:type="pct"/>
            <w:shd w:val="clear" w:color="000000" w:fill="FFFFFF"/>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19.076.768,20</w:t>
            </w:r>
          </w:p>
        </w:tc>
        <w:tc>
          <w:tcPr>
            <w:tcW w:w="754" w:type="pct"/>
            <w:shd w:val="clear" w:color="000000" w:fill="FFFFFF"/>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18.695.144,65</w:t>
            </w:r>
          </w:p>
        </w:tc>
        <w:tc>
          <w:tcPr>
            <w:tcW w:w="754" w:type="pct"/>
            <w:shd w:val="clear" w:color="000000" w:fill="FFFFFF"/>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18.598.369,65</w:t>
            </w:r>
          </w:p>
        </w:tc>
        <w:tc>
          <w:tcPr>
            <w:tcW w:w="681" w:type="pct"/>
            <w:shd w:val="clear" w:color="000000" w:fill="FFFFFF"/>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96.775,00</w:t>
            </w:r>
          </w:p>
        </w:tc>
      </w:tr>
      <w:tr w:rsidR="005B0435" w:rsidRPr="00CD11C1" w:rsidTr="00E62D5A">
        <w:trPr>
          <w:trHeight w:val="43"/>
          <w:jc w:val="center"/>
        </w:trPr>
        <w:tc>
          <w:tcPr>
            <w:tcW w:w="2069" w:type="pct"/>
            <w:shd w:val="clear" w:color="000000" w:fill="1F3864"/>
            <w:noWrap/>
            <w:vAlign w:val="center"/>
            <w:hideMark/>
          </w:tcPr>
          <w:p w:rsidR="005B0435" w:rsidRPr="005B0435" w:rsidRDefault="005B0435" w:rsidP="005B0435">
            <w:pPr>
              <w:spacing w:after="0" w:line="240" w:lineRule="auto"/>
              <w:rPr>
                <w:rFonts w:ascii="Calibri" w:eastAsia="Times New Roman" w:hAnsi="Calibri" w:cs="Calibri"/>
                <w:color w:val="FFFFFF" w:themeColor="background1"/>
                <w:lang w:eastAsia="it-IT"/>
              </w:rPr>
            </w:pPr>
            <w:r w:rsidRPr="005B0435">
              <w:rPr>
                <w:rFonts w:ascii="Bodoni MT" w:eastAsia="Times New Roman" w:hAnsi="Bodoni MT" w:cs="Arial"/>
                <w:b/>
                <w:bCs/>
                <w:color w:val="FFFFFF" w:themeColor="background1"/>
                <w:sz w:val="16"/>
                <w:szCs w:val="16"/>
                <w:lang w:eastAsia="it-IT"/>
              </w:rPr>
              <w:t>TOTALE MISSIONE 13</w:t>
            </w:r>
            <w:r w:rsidRPr="005B0435">
              <w:rPr>
                <w:rFonts w:ascii="Calibri" w:eastAsia="Times New Roman" w:hAnsi="Calibri" w:cs="Calibri"/>
                <w:color w:val="FFFFFF" w:themeColor="background1"/>
                <w:lang w:eastAsia="it-IT"/>
              </w:rPr>
              <w:t> </w:t>
            </w:r>
          </w:p>
        </w:tc>
        <w:tc>
          <w:tcPr>
            <w:tcW w:w="742" w:type="pct"/>
            <w:shd w:val="clear" w:color="auto" w:fill="auto"/>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300.880.496,73</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300.145.999,42</w:t>
            </w:r>
          </w:p>
        </w:tc>
        <w:tc>
          <w:tcPr>
            <w:tcW w:w="754" w:type="pct"/>
            <w:shd w:val="clear" w:color="auto" w:fill="auto"/>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258.299.136,35</w:t>
            </w:r>
          </w:p>
        </w:tc>
        <w:tc>
          <w:tcPr>
            <w:tcW w:w="681" w:type="pct"/>
            <w:shd w:val="clear" w:color="auto" w:fill="auto"/>
            <w:noWrap/>
            <w:vAlign w:val="center"/>
            <w:hideMark/>
          </w:tcPr>
          <w:p w:rsidR="005B0435" w:rsidRPr="00E62D5A" w:rsidRDefault="005B0435" w:rsidP="009C738D">
            <w:pPr>
              <w:spacing w:after="0" w:line="240" w:lineRule="auto"/>
              <w:jc w:val="right"/>
              <w:rPr>
                <w:rFonts w:eastAsia="Times New Roman" w:cstheme="minorHAnsi"/>
                <w:b/>
                <w:bCs/>
                <w:color w:val="000000"/>
                <w:sz w:val="18"/>
                <w:szCs w:val="18"/>
                <w:lang w:eastAsia="it-IT"/>
              </w:rPr>
            </w:pPr>
            <w:r w:rsidRPr="00E62D5A">
              <w:rPr>
                <w:rFonts w:eastAsia="Times New Roman" w:cstheme="minorHAnsi"/>
                <w:b/>
                <w:bCs/>
                <w:color w:val="000000"/>
                <w:sz w:val="18"/>
                <w:szCs w:val="18"/>
                <w:lang w:eastAsia="it-IT"/>
              </w:rPr>
              <w:t>41.846.863,07</w:t>
            </w:r>
          </w:p>
        </w:tc>
      </w:tr>
    </w:tbl>
    <w:p w:rsidR="009C738D" w:rsidRPr="00E62D5A" w:rsidRDefault="009C738D" w:rsidP="009C738D">
      <w:pPr>
        <w:jc w:val="both"/>
        <w:rPr>
          <w:rFonts w:ascii="Bodoni MT" w:hAnsi="Bodoni MT"/>
          <w:sz w:val="18"/>
          <w:szCs w:val="18"/>
        </w:rPr>
      </w:pPr>
      <w:r w:rsidRPr="00E62D5A">
        <w:rPr>
          <w:rFonts w:ascii="Bodoni MT" w:hAnsi="Bodoni MT"/>
          <w:sz w:val="18"/>
          <w:szCs w:val="18"/>
        </w:rPr>
        <w:t>Fonte: elaborazione Cdc su dati Ras</w:t>
      </w:r>
    </w:p>
    <w:p w:rsidR="009C738D" w:rsidRDefault="009C738D" w:rsidP="00E62D5A">
      <w:pPr>
        <w:pStyle w:val="CdcTesto"/>
        <w:rPr>
          <w:rFonts w:eastAsia="Times New Roman"/>
          <w:lang w:eastAsia="it-IT"/>
        </w:rPr>
      </w:pPr>
      <w:r>
        <w:t xml:space="preserve">I residui complessivi della gestione 2016 (competenza più residui) sono </w:t>
      </w:r>
      <w:r w:rsidRPr="009B670C">
        <w:t xml:space="preserve">pari a </w:t>
      </w:r>
      <w:r>
        <w:t>€</w:t>
      </w:r>
      <w:r w:rsidR="002E3EC5">
        <w:t xml:space="preserve"> </w:t>
      </w:r>
      <w:r w:rsidRPr="009B670C">
        <w:rPr>
          <w:rFonts w:eastAsia="Times New Roman"/>
          <w:lang w:eastAsia="it-IT"/>
        </w:rPr>
        <w:t>162</w:t>
      </w:r>
      <w:r>
        <w:rPr>
          <w:rFonts w:eastAsia="Times New Roman"/>
          <w:lang w:eastAsia="it-IT"/>
        </w:rPr>
        <w:t>.</w:t>
      </w:r>
      <w:r w:rsidRPr="009B670C">
        <w:rPr>
          <w:rFonts w:eastAsia="Times New Roman"/>
          <w:lang w:eastAsia="it-IT"/>
        </w:rPr>
        <w:t>135</w:t>
      </w:r>
      <w:r>
        <w:rPr>
          <w:rFonts w:eastAsia="Times New Roman"/>
          <w:lang w:eastAsia="it-IT"/>
        </w:rPr>
        <w:t>.</w:t>
      </w:r>
      <w:r w:rsidRPr="009B670C">
        <w:rPr>
          <w:rFonts w:eastAsia="Times New Roman"/>
          <w:lang w:eastAsia="it-IT"/>
        </w:rPr>
        <w:t>359,24</w:t>
      </w:r>
      <w:r>
        <w:rPr>
          <w:rFonts w:eastAsia="Times New Roman"/>
          <w:lang w:eastAsia="it-IT"/>
        </w:rPr>
        <w:t>, sensibilmente ridotti rispetto a quelli registrati al 31/12/2015 (€</w:t>
      </w:r>
      <w:r w:rsidR="00E62D5A">
        <w:rPr>
          <w:rFonts w:eastAsia="Times New Roman"/>
          <w:lang w:eastAsia="it-IT"/>
        </w:rPr>
        <w:t xml:space="preserve"> </w:t>
      </w:r>
      <w:r>
        <w:rPr>
          <w:rFonts w:eastAsia="Times New Roman"/>
          <w:lang w:eastAsia="it-IT"/>
        </w:rPr>
        <w:t>300.880.496,73).</w:t>
      </w:r>
    </w:p>
    <w:p w:rsidR="009C738D" w:rsidRDefault="009C738D" w:rsidP="00E62D5A">
      <w:pPr>
        <w:pStyle w:val="CdcTesto"/>
        <w:rPr>
          <w:rFonts w:eastAsia="Times New Roman"/>
          <w:lang w:eastAsia="it-IT"/>
        </w:rPr>
      </w:pPr>
      <w:r>
        <w:rPr>
          <w:rFonts w:eastAsia="Times New Roman"/>
          <w:lang w:eastAsia="it-IT"/>
        </w:rPr>
        <w:t xml:space="preserve">A fronte di </w:t>
      </w:r>
      <w:r w:rsidRPr="001E653B">
        <w:rPr>
          <w:rFonts w:eastAsia="Times New Roman"/>
          <w:b/>
          <w:lang w:eastAsia="it-IT"/>
        </w:rPr>
        <w:t xml:space="preserve">previsioni definitive di cassa della Missione 13 pari a </w:t>
      </w:r>
      <w:r w:rsidR="00E62D5A" w:rsidRPr="001E653B">
        <w:rPr>
          <w:rFonts w:eastAsia="Times New Roman"/>
          <w:b/>
          <w:lang w:eastAsia="it-IT"/>
        </w:rPr>
        <w:t xml:space="preserve">€ </w:t>
      </w:r>
      <w:r w:rsidRPr="001E653B">
        <w:rPr>
          <w:rFonts w:eastAsia="Times New Roman"/>
          <w:b/>
          <w:lang w:eastAsia="it-IT"/>
        </w:rPr>
        <w:t>3.763.832.451,17</w:t>
      </w:r>
      <w:r>
        <w:rPr>
          <w:rFonts w:eastAsia="Times New Roman"/>
          <w:lang w:eastAsia="it-IT"/>
        </w:rPr>
        <w:t xml:space="preserve">, sono stati effettuati </w:t>
      </w:r>
      <w:r w:rsidRPr="001E653B">
        <w:rPr>
          <w:rFonts w:eastAsia="Times New Roman"/>
          <w:b/>
          <w:lang w:eastAsia="it-IT"/>
        </w:rPr>
        <w:t xml:space="preserve">pagamenti complessivi per </w:t>
      </w:r>
      <w:r w:rsidR="00E62D5A" w:rsidRPr="001E653B">
        <w:rPr>
          <w:rFonts w:eastAsia="Times New Roman"/>
          <w:b/>
          <w:lang w:eastAsia="it-IT"/>
        </w:rPr>
        <w:t>€</w:t>
      </w:r>
      <w:r w:rsidRPr="001E653B">
        <w:rPr>
          <w:rFonts w:eastAsia="Times New Roman"/>
          <w:b/>
          <w:lang w:eastAsia="it-IT"/>
        </w:rPr>
        <w:t xml:space="preserve"> 3.661.260.163,70</w:t>
      </w:r>
      <w:r>
        <w:rPr>
          <w:rFonts w:eastAsia="Times New Roman"/>
          <w:lang w:eastAsia="it-IT"/>
        </w:rPr>
        <w:t>.</w:t>
      </w:r>
    </w:p>
    <w:p w:rsidR="009C738D" w:rsidRDefault="009C738D" w:rsidP="009C738D">
      <w:pPr>
        <w:pStyle w:val="Titolo2"/>
      </w:pPr>
      <w:bookmarkStart w:id="309" w:name="_Toc507422676"/>
      <w:r>
        <w:t>Le risorse assegnate alle Aziende</w:t>
      </w:r>
      <w:bookmarkEnd w:id="309"/>
    </w:p>
    <w:p w:rsidR="009C738D" w:rsidRPr="00166725" w:rsidRDefault="009C738D" w:rsidP="009C738D">
      <w:pPr>
        <w:pStyle w:val="CdcTesto"/>
        <w:rPr>
          <w:color w:val="auto"/>
          <w:szCs w:val="21"/>
        </w:rPr>
      </w:pPr>
      <w:r w:rsidRPr="00166725">
        <w:rPr>
          <w:color w:val="auto"/>
          <w:szCs w:val="21"/>
        </w:rPr>
        <w:t xml:space="preserve">Lo stanziamento previsto nel bilancio regionale 2016, da destinarsi al finanziamento indistinto della spesa sanitaria di parte corrente delle Aziende sanitarie regionali, è pari a € 2.855.363.550 (al netto delle entrate proprie delle Aziende sanitarie e del saldo negativo della mobilità </w:t>
      </w:r>
      <w:r w:rsidR="00D45156">
        <w:rPr>
          <w:color w:val="auto"/>
          <w:szCs w:val="21"/>
        </w:rPr>
        <w:t>interregionale</w:t>
      </w:r>
      <w:r w:rsidRPr="00166725">
        <w:rPr>
          <w:color w:val="auto"/>
          <w:szCs w:val="21"/>
        </w:rPr>
        <w:t>) a</w:t>
      </w:r>
      <w:r>
        <w:rPr>
          <w:color w:val="auto"/>
          <w:szCs w:val="21"/>
        </w:rPr>
        <w:t xml:space="preserve"> cui si aggiungono € 25.000.000</w:t>
      </w:r>
      <w:r w:rsidRPr="00166725">
        <w:rPr>
          <w:color w:val="auto"/>
          <w:szCs w:val="21"/>
        </w:rPr>
        <w:t xml:space="preserve"> quale integrazione a copertura delle spese per l’acquisto dei farmaci innovativi</w:t>
      </w:r>
      <w:r w:rsidRPr="00166725">
        <w:rPr>
          <w:color w:val="auto"/>
          <w:szCs w:val="21"/>
          <w:vertAlign w:val="superscript"/>
        </w:rPr>
        <w:footnoteReference w:id="183"/>
      </w:r>
      <w:r w:rsidRPr="00166725">
        <w:rPr>
          <w:color w:val="auto"/>
          <w:szCs w:val="21"/>
        </w:rPr>
        <w:t xml:space="preserve">, come disposto dal comma 5, dell’art. 1, della L.R. n. 32 del </w:t>
      </w:r>
      <w:r w:rsidR="00E62D5A">
        <w:rPr>
          <w:color w:val="auto"/>
          <w:szCs w:val="21"/>
        </w:rPr>
        <w:t>0</w:t>
      </w:r>
      <w:r w:rsidRPr="00166725">
        <w:rPr>
          <w:color w:val="auto"/>
          <w:szCs w:val="21"/>
        </w:rPr>
        <w:t>2/12/2016, pe</w:t>
      </w:r>
      <w:r>
        <w:rPr>
          <w:color w:val="auto"/>
          <w:szCs w:val="21"/>
        </w:rPr>
        <w:t xml:space="preserve">r </w:t>
      </w:r>
      <w:r w:rsidRPr="001E653B">
        <w:rPr>
          <w:b/>
          <w:color w:val="auto"/>
          <w:szCs w:val="21"/>
        </w:rPr>
        <w:t>un ammontare complessivo di € 2.880.363.500</w:t>
      </w:r>
      <w:r>
        <w:rPr>
          <w:color w:val="auto"/>
          <w:szCs w:val="21"/>
        </w:rPr>
        <w:t xml:space="preserve"> che grava sul capitolo SC05.0001 (Missione 13, Progr. 1)</w:t>
      </w:r>
      <w:r w:rsidRPr="00166725">
        <w:rPr>
          <w:color w:val="auto"/>
          <w:szCs w:val="21"/>
        </w:rPr>
        <w:t>.</w:t>
      </w:r>
      <w:r>
        <w:rPr>
          <w:color w:val="auto"/>
          <w:szCs w:val="21"/>
        </w:rPr>
        <w:t xml:space="preserve"> Nella Relazione sulla gestione viene riferito</w:t>
      </w:r>
      <w:r>
        <w:rPr>
          <w:rStyle w:val="Rimandonotaapidipagina"/>
          <w:color w:val="auto"/>
          <w:szCs w:val="21"/>
        </w:rPr>
        <w:footnoteReference w:id="184"/>
      </w:r>
      <w:r>
        <w:rPr>
          <w:color w:val="auto"/>
          <w:szCs w:val="21"/>
        </w:rPr>
        <w:t xml:space="preserve"> che </w:t>
      </w:r>
      <w:r w:rsidRPr="001E653B">
        <w:rPr>
          <w:b/>
          <w:color w:val="auto"/>
          <w:szCs w:val="21"/>
        </w:rPr>
        <w:t xml:space="preserve">a partire dal 2015 la </w:t>
      </w:r>
      <w:r w:rsidRPr="001E653B">
        <w:rPr>
          <w:b/>
          <w:color w:val="auto"/>
          <w:szCs w:val="21"/>
        </w:rPr>
        <w:lastRenderedPageBreak/>
        <w:t>Regione Sardegna ha fatto fronte ad una spesa per farmaci innovativi per la cura dell’epatite C che ha comportato, per gli anni 2015 e 2016, una spesa di poco più di 120 milioni di euro</w:t>
      </w:r>
      <w:r>
        <w:rPr>
          <w:color w:val="auto"/>
          <w:szCs w:val="21"/>
        </w:rPr>
        <w:t xml:space="preserve">, al lordo degli sconti previsti dagli accordi sottoscritti tra AIFA e Aziende farmaceutiche. Tale impegno economico finanziario è stato </w:t>
      </w:r>
      <w:r w:rsidRPr="001E653B">
        <w:rPr>
          <w:b/>
          <w:color w:val="auto"/>
          <w:szCs w:val="21"/>
        </w:rPr>
        <w:t>sostenuto con risorse quasi esclusivamente proprie</w:t>
      </w:r>
      <w:r>
        <w:rPr>
          <w:color w:val="auto"/>
          <w:szCs w:val="21"/>
        </w:rPr>
        <w:t>, se si esclude il contributo statale di euro 3.326.000 assegnato con il DM 9/10/2015, quale rimborso per l’acquisto dei medicinali innovativi, previsto dall’art. 1, c. 593, della L. 190/2014.</w:t>
      </w:r>
    </w:p>
    <w:p w:rsidR="009C738D" w:rsidRPr="003032B0" w:rsidRDefault="009C738D" w:rsidP="009C738D">
      <w:pPr>
        <w:pStyle w:val="CdcTesto"/>
        <w:rPr>
          <w:color w:val="auto"/>
          <w:szCs w:val="21"/>
        </w:rPr>
      </w:pPr>
      <w:r w:rsidRPr="003032B0">
        <w:rPr>
          <w:color w:val="auto"/>
          <w:szCs w:val="21"/>
        </w:rPr>
        <w:t>Come è emerso in sede di analisi del Bilancio Preventivo 2016</w:t>
      </w:r>
      <w:r w:rsidRPr="003032B0">
        <w:rPr>
          <w:rStyle w:val="Rimandonotaapidipagina"/>
          <w:color w:val="auto"/>
          <w:szCs w:val="21"/>
        </w:rPr>
        <w:footnoteReference w:id="185"/>
      </w:r>
      <w:r w:rsidRPr="003032B0">
        <w:rPr>
          <w:color w:val="auto"/>
          <w:szCs w:val="21"/>
        </w:rPr>
        <w:t xml:space="preserve">, </w:t>
      </w:r>
      <w:r w:rsidR="009E0FCC">
        <w:rPr>
          <w:color w:val="auto"/>
          <w:szCs w:val="21"/>
        </w:rPr>
        <w:t>con nota del DG della Sanità n. </w:t>
      </w:r>
      <w:r w:rsidRPr="003032B0">
        <w:rPr>
          <w:color w:val="auto"/>
          <w:szCs w:val="21"/>
        </w:rPr>
        <w:t xml:space="preserve">807 del 13/01/2017 sono state comunicate alle Aziende sanitarie le assegnazioni provvisorie per il finanziamento indistinto della spesa sanitaria di parte corrente del 2016, da contabilizzare nelle appropriate voci del modello di rilevazione ministeriale CE IV trimestre 2016. </w:t>
      </w:r>
    </w:p>
    <w:p w:rsidR="009C738D" w:rsidRDefault="009C738D" w:rsidP="009C738D">
      <w:pPr>
        <w:pStyle w:val="CdcTesto"/>
        <w:rPr>
          <w:color w:val="auto"/>
          <w:szCs w:val="21"/>
        </w:rPr>
      </w:pPr>
      <w:r w:rsidRPr="003032B0">
        <w:rPr>
          <w:color w:val="auto"/>
          <w:szCs w:val="21"/>
        </w:rPr>
        <w:t>Con la DGR n. 17/15 del 04/04/2017 sono state definitivamente assegnate</w:t>
      </w:r>
      <w:r w:rsidRPr="003032B0">
        <w:rPr>
          <w:color w:val="auto"/>
          <w:szCs w:val="21"/>
          <w:vertAlign w:val="superscript"/>
        </w:rPr>
        <w:footnoteReference w:id="186"/>
      </w:r>
      <w:r>
        <w:rPr>
          <w:color w:val="auto"/>
          <w:szCs w:val="21"/>
        </w:rPr>
        <w:t xml:space="preserve"> - sulla base dei criteri definiti nelle Deliberazioni della Giunta regionale n. 40/25 del </w:t>
      </w:r>
      <w:r w:rsidR="004A59E0">
        <w:rPr>
          <w:color w:val="auto"/>
          <w:szCs w:val="21"/>
        </w:rPr>
        <w:t>0</w:t>
      </w:r>
      <w:r>
        <w:rPr>
          <w:color w:val="auto"/>
          <w:szCs w:val="21"/>
        </w:rPr>
        <w:t>7/</w:t>
      </w:r>
      <w:r w:rsidR="009E0FCC">
        <w:rPr>
          <w:color w:val="auto"/>
          <w:szCs w:val="21"/>
        </w:rPr>
        <w:t>0</w:t>
      </w:r>
      <w:r>
        <w:rPr>
          <w:color w:val="auto"/>
          <w:szCs w:val="21"/>
        </w:rPr>
        <w:t>8/2015 e n. 45/5 del 15/</w:t>
      </w:r>
      <w:r w:rsidR="009E0FCC">
        <w:rPr>
          <w:color w:val="auto"/>
          <w:szCs w:val="21"/>
        </w:rPr>
        <w:t>0</w:t>
      </w:r>
      <w:r>
        <w:rPr>
          <w:color w:val="auto"/>
          <w:szCs w:val="21"/>
        </w:rPr>
        <w:t>9/2015 e successivamente modificati con le DGR n. 35/13 del 14/</w:t>
      </w:r>
      <w:r w:rsidR="009E0FCC">
        <w:rPr>
          <w:color w:val="auto"/>
          <w:szCs w:val="21"/>
        </w:rPr>
        <w:t>0</w:t>
      </w:r>
      <w:r>
        <w:rPr>
          <w:color w:val="auto"/>
          <w:szCs w:val="21"/>
        </w:rPr>
        <w:t>6/2016 e n. 44/27 del 25/</w:t>
      </w:r>
      <w:r w:rsidR="009E0FCC">
        <w:rPr>
          <w:color w:val="auto"/>
          <w:szCs w:val="21"/>
        </w:rPr>
        <w:t>0</w:t>
      </w:r>
      <w:r>
        <w:rPr>
          <w:color w:val="auto"/>
          <w:szCs w:val="21"/>
        </w:rPr>
        <w:t>7/2016 -</w:t>
      </w:r>
      <w:r w:rsidRPr="003032B0">
        <w:rPr>
          <w:color w:val="auto"/>
          <w:szCs w:val="21"/>
        </w:rPr>
        <w:t xml:space="preserve"> </w:t>
      </w:r>
      <w:r w:rsidRPr="001E653B">
        <w:rPr>
          <w:b/>
          <w:color w:val="auto"/>
          <w:szCs w:val="21"/>
        </w:rPr>
        <w:t>le risorse destinate al finanziamento indistinto della spesa sanitaria di parte corrente per l’esercizio 2016</w:t>
      </w:r>
      <w:r w:rsidRPr="003032B0">
        <w:rPr>
          <w:color w:val="auto"/>
          <w:szCs w:val="21"/>
        </w:rPr>
        <w:t xml:space="preserve">, che ammontano complessivamente a </w:t>
      </w:r>
      <w:r w:rsidRPr="003032B0">
        <w:rPr>
          <w:b/>
          <w:color w:val="auto"/>
          <w:szCs w:val="21"/>
        </w:rPr>
        <w:t>€ 2.946.644.140</w:t>
      </w:r>
      <w:r w:rsidRPr="003032B0">
        <w:rPr>
          <w:color w:val="auto"/>
          <w:szCs w:val="21"/>
        </w:rPr>
        <w:t xml:space="preserve"> (al </w:t>
      </w:r>
      <w:r w:rsidR="00DD11EE">
        <w:rPr>
          <w:color w:val="auto"/>
          <w:szCs w:val="21"/>
        </w:rPr>
        <w:t>lordo</w:t>
      </w:r>
      <w:r w:rsidRPr="003032B0">
        <w:rPr>
          <w:color w:val="auto"/>
          <w:szCs w:val="21"/>
        </w:rPr>
        <w:t xml:space="preserve"> della mobilità</w:t>
      </w:r>
      <w:r w:rsidR="00D45156">
        <w:rPr>
          <w:color w:val="auto"/>
          <w:szCs w:val="21"/>
        </w:rPr>
        <w:t xml:space="preserve"> sia intra che extra regione</w:t>
      </w:r>
      <w:r w:rsidRPr="003032B0">
        <w:rPr>
          <w:color w:val="auto"/>
          <w:szCs w:val="21"/>
        </w:rPr>
        <w:t xml:space="preserve">), come mostra la tabella seguente che riporta la ripartizione fra gli enti. </w:t>
      </w:r>
      <w:r>
        <w:rPr>
          <w:color w:val="auto"/>
          <w:szCs w:val="21"/>
        </w:rPr>
        <w:t>Tali risorse complessive risultano superiori a quelle erogate nell’esercizio precedente</w:t>
      </w:r>
      <w:r w:rsidR="00B31F14">
        <w:rPr>
          <w:color w:val="auto"/>
          <w:szCs w:val="21"/>
        </w:rPr>
        <w:t>, le quali erano</w:t>
      </w:r>
      <w:r w:rsidR="004A59E0">
        <w:rPr>
          <w:color w:val="auto"/>
          <w:szCs w:val="21"/>
        </w:rPr>
        <w:t>,</w:t>
      </w:r>
      <w:r w:rsidR="00B31F14">
        <w:rPr>
          <w:color w:val="auto"/>
          <w:szCs w:val="21"/>
        </w:rPr>
        <w:t xml:space="preserve"> al nett</w:t>
      </w:r>
      <w:r w:rsidR="004A59E0">
        <w:rPr>
          <w:color w:val="auto"/>
          <w:szCs w:val="21"/>
        </w:rPr>
        <w:t xml:space="preserve">o della mobilità, </w:t>
      </w:r>
      <w:r w:rsidR="00B31F14">
        <w:rPr>
          <w:color w:val="auto"/>
          <w:szCs w:val="21"/>
        </w:rPr>
        <w:t xml:space="preserve">pari </w:t>
      </w:r>
      <w:r>
        <w:rPr>
          <w:color w:val="auto"/>
          <w:szCs w:val="21"/>
        </w:rPr>
        <w:t xml:space="preserve">a </w:t>
      </w:r>
      <w:r w:rsidR="00B31F14">
        <w:rPr>
          <w:color w:val="auto"/>
          <w:szCs w:val="21"/>
        </w:rPr>
        <w:t xml:space="preserve">€ </w:t>
      </w:r>
      <w:r>
        <w:rPr>
          <w:color w:val="auto"/>
          <w:szCs w:val="21"/>
        </w:rPr>
        <w:t xml:space="preserve">2.812.671.868,67. </w:t>
      </w:r>
    </w:p>
    <w:p w:rsidR="00D45156" w:rsidRPr="003032B0" w:rsidRDefault="00D45156" w:rsidP="009C738D">
      <w:pPr>
        <w:pStyle w:val="CdcTesto"/>
        <w:rPr>
          <w:color w:val="auto"/>
          <w:szCs w:val="21"/>
        </w:rPr>
      </w:pPr>
      <w:r>
        <w:rPr>
          <w:color w:val="auto"/>
          <w:szCs w:val="21"/>
        </w:rPr>
        <w:t>In sede di erogazione delle risorse assegnate, la Regione che funge da camera di compensazione della mobilità intraregionale, provvede ad effettuare i dovuti conguagli tra le aziende, in base al saldo della mobilità intra regione; inoltre, la Regione trattiene dalle assegnazioni delle aziende la somma di competenza di ciascuna di esse, per effettuare il pagamento al MEF della mobilità extra regionale, secondo quanto precisato dalla Regione in corso di istruttoria</w:t>
      </w:r>
      <w:r>
        <w:rPr>
          <w:rStyle w:val="Rimandonotaapidipagina"/>
          <w:color w:val="auto"/>
          <w:szCs w:val="21"/>
        </w:rPr>
        <w:footnoteReference w:id="187"/>
      </w:r>
      <w:r>
        <w:rPr>
          <w:color w:val="auto"/>
          <w:szCs w:val="21"/>
        </w:rPr>
        <w:t xml:space="preserve"> </w:t>
      </w:r>
    </w:p>
    <w:p w:rsidR="009C738D" w:rsidRPr="003032B0" w:rsidRDefault="009C738D" w:rsidP="009C738D">
      <w:pPr>
        <w:pStyle w:val="CdcTesto"/>
        <w:rPr>
          <w:color w:val="auto"/>
          <w:szCs w:val="21"/>
        </w:rPr>
      </w:pPr>
      <w:r w:rsidRPr="003032B0">
        <w:rPr>
          <w:color w:val="auto"/>
          <w:szCs w:val="21"/>
        </w:rPr>
        <w:t>Il fondo sanitario regionale viene ripartito al lordo del saldo negativo della mobilità ex</w:t>
      </w:r>
      <w:r>
        <w:rPr>
          <w:color w:val="auto"/>
          <w:szCs w:val="21"/>
        </w:rPr>
        <w:t xml:space="preserve">traregionale, quantificato in € </w:t>
      </w:r>
      <w:r w:rsidRPr="003032B0">
        <w:rPr>
          <w:color w:val="auto"/>
          <w:szCs w:val="21"/>
        </w:rPr>
        <w:t xml:space="preserve">66.280.640 (capitolo SC05.5002 della MISSIONE 13, programma 1, cdr 00.12.01.01). </w:t>
      </w:r>
    </w:p>
    <w:p w:rsidR="009E0FCC" w:rsidRDefault="009E0FCC" w:rsidP="009E0FCC">
      <w:pPr>
        <w:pStyle w:val="Didascalia"/>
        <w:keepNext/>
      </w:pPr>
      <w:bookmarkStart w:id="310" w:name="_Toc481056487"/>
      <w:r>
        <w:br w:type="page"/>
      </w:r>
    </w:p>
    <w:p w:rsidR="009C738D" w:rsidRPr="003032B0" w:rsidRDefault="009E0FCC" w:rsidP="009E0FCC">
      <w:pPr>
        <w:pStyle w:val="Didascalia"/>
        <w:keepNext/>
        <w:rPr>
          <w:color w:val="auto"/>
          <w:szCs w:val="21"/>
        </w:rPr>
      </w:pPr>
      <w:bookmarkStart w:id="311" w:name="_Toc507422545"/>
      <w:r>
        <w:lastRenderedPageBreak/>
        <w:t xml:space="preserve">Tabella </w:t>
      </w:r>
      <w:r w:rsidR="00B90472">
        <w:fldChar w:fldCharType="begin"/>
      </w:r>
      <w:r w:rsidR="00B90472">
        <w:instrText xml:space="preserve"> SEQ Tabella \* ARABIC </w:instrText>
      </w:r>
      <w:r w:rsidR="00B90472">
        <w:fldChar w:fldCharType="separate"/>
      </w:r>
      <w:r w:rsidR="008616B3">
        <w:rPr>
          <w:noProof/>
        </w:rPr>
        <w:t>77</w:t>
      </w:r>
      <w:r w:rsidR="00B90472">
        <w:rPr>
          <w:noProof/>
        </w:rPr>
        <w:fldChar w:fldCharType="end"/>
      </w:r>
      <w:r w:rsidR="009C738D" w:rsidRPr="003032B0">
        <w:rPr>
          <w:color w:val="auto"/>
        </w:rPr>
        <w:t xml:space="preserve"> - </w:t>
      </w:r>
      <w:r w:rsidR="009C738D" w:rsidRPr="003032B0">
        <w:rPr>
          <w:color w:val="auto"/>
          <w:szCs w:val="21"/>
        </w:rPr>
        <w:t>Assegnazioni lorde 2016</w:t>
      </w:r>
      <w:bookmarkEnd w:id="310"/>
      <w:bookmarkEnd w:id="3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4836"/>
        <w:gridCol w:w="4942"/>
      </w:tblGrid>
      <w:tr w:rsidR="009C738D" w:rsidRPr="003032B0" w:rsidTr="009E0FCC">
        <w:trPr>
          <w:trHeight w:val="340"/>
          <w:jc w:val="center"/>
        </w:trPr>
        <w:tc>
          <w:tcPr>
            <w:tcW w:w="2473" w:type="pct"/>
            <w:shd w:val="clear" w:color="auto" w:fill="0F243E" w:themeFill="text2" w:themeFillShade="80"/>
            <w:vAlign w:val="center"/>
            <w:hideMark/>
          </w:tcPr>
          <w:p w:rsidR="009C738D" w:rsidRPr="00370BD0" w:rsidRDefault="009C738D" w:rsidP="009C738D">
            <w:pPr>
              <w:pStyle w:val="CdcTesto"/>
              <w:spacing w:after="0" w:line="240" w:lineRule="auto"/>
              <w:jc w:val="center"/>
              <w:rPr>
                <w:b/>
                <w:bCs/>
                <w:color w:val="FFFFFF" w:themeColor="background1"/>
                <w:sz w:val="18"/>
                <w:szCs w:val="18"/>
              </w:rPr>
            </w:pPr>
            <w:r w:rsidRPr="00370BD0">
              <w:rPr>
                <w:b/>
                <w:bCs/>
                <w:color w:val="FFFFFF" w:themeColor="background1"/>
                <w:sz w:val="18"/>
                <w:szCs w:val="18"/>
              </w:rPr>
              <w:t>AZIENDE</w:t>
            </w:r>
          </w:p>
        </w:tc>
        <w:tc>
          <w:tcPr>
            <w:tcW w:w="2527" w:type="pct"/>
            <w:shd w:val="clear" w:color="auto" w:fill="0F243E" w:themeFill="text2" w:themeFillShade="80"/>
            <w:vAlign w:val="center"/>
            <w:hideMark/>
          </w:tcPr>
          <w:p w:rsidR="009C738D" w:rsidRPr="00370BD0" w:rsidRDefault="009C738D" w:rsidP="009C738D">
            <w:pPr>
              <w:pStyle w:val="CdcTesto"/>
              <w:spacing w:after="0" w:line="240" w:lineRule="auto"/>
              <w:jc w:val="center"/>
              <w:rPr>
                <w:b/>
                <w:bCs/>
                <w:color w:val="FFFFFF" w:themeColor="background1"/>
                <w:sz w:val="18"/>
                <w:szCs w:val="18"/>
              </w:rPr>
            </w:pPr>
            <w:r w:rsidRPr="00370BD0">
              <w:rPr>
                <w:b/>
                <w:bCs/>
                <w:color w:val="FFFFFF" w:themeColor="background1"/>
                <w:sz w:val="18"/>
                <w:szCs w:val="18"/>
              </w:rPr>
              <w:t>ASSEGNAZIONE LORDA 2016</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1 Sassari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515.300.286,01</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2 Olbia</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248.309.878,16</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3 Nuoro</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291.753.596,40</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4 Lanusei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102.976.604,60</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5 Oristano</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279.635.489,08</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6 Sanluri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163.096.104,82</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7 Carbonia</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231.538.263,87</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ASL 8 Cagliari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892.434.896,24</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AOU Cagliari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35.659.420,46</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AOU Sassari</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90.630.624,94</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9C738D" w:rsidP="00D408BA">
            <w:pPr>
              <w:pStyle w:val="CdcTesto"/>
              <w:spacing w:after="0" w:line="240" w:lineRule="auto"/>
              <w:jc w:val="left"/>
              <w:rPr>
                <w:color w:val="FFFFFF" w:themeColor="background1"/>
                <w:sz w:val="18"/>
                <w:szCs w:val="18"/>
              </w:rPr>
            </w:pPr>
            <w:r w:rsidRPr="009E0FCC">
              <w:rPr>
                <w:color w:val="FFFFFF" w:themeColor="background1"/>
                <w:sz w:val="18"/>
                <w:szCs w:val="18"/>
              </w:rPr>
              <w:t>AO Brotzu</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color w:val="auto"/>
                <w:sz w:val="18"/>
                <w:szCs w:val="18"/>
              </w:rPr>
            </w:pPr>
            <w:r w:rsidRPr="009E0FCC">
              <w:rPr>
                <w:rFonts w:asciiTheme="minorHAnsi" w:hAnsiTheme="minorHAnsi" w:cstheme="minorHAnsi"/>
                <w:color w:val="auto"/>
                <w:sz w:val="18"/>
                <w:szCs w:val="18"/>
              </w:rPr>
              <w:t>95.308.975,42</w:t>
            </w:r>
          </w:p>
        </w:tc>
      </w:tr>
      <w:tr w:rsidR="009C738D" w:rsidRPr="003032B0" w:rsidTr="00A956C8">
        <w:trPr>
          <w:trHeight w:val="340"/>
          <w:jc w:val="center"/>
        </w:trPr>
        <w:tc>
          <w:tcPr>
            <w:tcW w:w="2473" w:type="pct"/>
            <w:shd w:val="clear" w:color="auto" w:fill="95B3D7" w:themeFill="accent1" w:themeFillTint="99"/>
            <w:vAlign w:val="center"/>
            <w:hideMark/>
          </w:tcPr>
          <w:p w:rsidR="009C738D" w:rsidRPr="009E0FCC" w:rsidRDefault="00D408BA" w:rsidP="00D408BA">
            <w:pPr>
              <w:pStyle w:val="CdcTesto"/>
              <w:spacing w:after="0" w:line="240" w:lineRule="auto"/>
              <w:jc w:val="left"/>
              <w:rPr>
                <w:b/>
                <w:bCs/>
                <w:color w:val="FFFFFF" w:themeColor="background1"/>
                <w:sz w:val="18"/>
                <w:szCs w:val="18"/>
              </w:rPr>
            </w:pPr>
            <w:r w:rsidRPr="009E0FCC">
              <w:rPr>
                <w:b/>
                <w:bCs/>
                <w:color w:val="FFFFFF" w:themeColor="background1"/>
                <w:sz w:val="18"/>
                <w:szCs w:val="18"/>
              </w:rPr>
              <w:t>TOTALE</w:t>
            </w:r>
          </w:p>
        </w:tc>
        <w:tc>
          <w:tcPr>
            <w:tcW w:w="2527" w:type="pct"/>
            <w:shd w:val="clear" w:color="auto" w:fill="FFFFFF" w:themeFill="background1"/>
            <w:vAlign w:val="center"/>
            <w:hideMark/>
          </w:tcPr>
          <w:p w:rsidR="009C738D" w:rsidRPr="009E0FCC" w:rsidRDefault="009C738D" w:rsidP="00A956C8">
            <w:pPr>
              <w:pStyle w:val="CdcTesto"/>
              <w:spacing w:after="0" w:line="240" w:lineRule="auto"/>
              <w:jc w:val="right"/>
              <w:rPr>
                <w:rFonts w:asciiTheme="minorHAnsi" w:hAnsiTheme="minorHAnsi" w:cstheme="minorHAnsi"/>
                <w:b/>
                <w:bCs/>
                <w:color w:val="auto"/>
                <w:sz w:val="18"/>
                <w:szCs w:val="18"/>
              </w:rPr>
            </w:pPr>
            <w:r w:rsidRPr="009E0FCC">
              <w:rPr>
                <w:rFonts w:asciiTheme="minorHAnsi" w:hAnsiTheme="minorHAnsi" w:cstheme="minorHAnsi"/>
                <w:b/>
                <w:bCs/>
                <w:color w:val="auto"/>
                <w:sz w:val="18"/>
                <w:szCs w:val="18"/>
              </w:rPr>
              <w:t>2.946.644.140,00</w:t>
            </w:r>
          </w:p>
        </w:tc>
      </w:tr>
    </w:tbl>
    <w:p w:rsidR="006964AE" w:rsidRDefault="009C738D" w:rsidP="002E3EC5">
      <w:pPr>
        <w:pStyle w:val="CdcTesto"/>
        <w:spacing w:before="360"/>
      </w:pPr>
      <w:r w:rsidRPr="009E0FCC">
        <w:t xml:space="preserve">Come si evince dalla Relazione sulla gestione, nel corso del 2016 sono state erogate mensilmente alle Aziende sanitarie le risorse necessarie a garantire l’erogazione dei LEA, tenendo conto dell’assegnazione teorica 2016 comunicata alle stesse aziende, dello stanziamento di bilancio iniziale e delle esigenze di liquidità rappresentate dalle medesime aziende. </w:t>
      </w:r>
    </w:p>
    <w:p w:rsidR="009C738D" w:rsidRPr="009E0FCC" w:rsidRDefault="009C738D" w:rsidP="006964AE">
      <w:pPr>
        <w:pStyle w:val="CdcTesto"/>
      </w:pPr>
      <w:r w:rsidRPr="009E0FCC">
        <w:t>Nel questionario e nelle note trasmesse in sede istruttoria</w:t>
      </w:r>
      <w:r w:rsidRPr="002E3EC5">
        <w:rPr>
          <w:rStyle w:val="Rimandonotaapidipagina"/>
        </w:rPr>
        <w:footnoteReference w:id="188"/>
      </w:r>
      <w:r w:rsidRPr="009E0FCC">
        <w:t xml:space="preserve"> si </w:t>
      </w:r>
      <w:r w:rsidR="006964AE">
        <w:t>dichiara</w:t>
      </w:r>
      <w:r w:rsidRPr="009E0FCC">
        <w:t xml:space="preserve"> che nel corso dell’esercizio 2016 la Regione ha impegnato a favore degli Enti del SSR tutte le risorse stanziate per il finanziamento indistinto della spesa sanitaria di parte corrente e il 94% delle rimanenti risorse stanziate nel bilancio regionale. Inoltre ha impegnato a favore del MEF tutto il saldo passivo della mobilità interregionale 2016. Nel questionario si </w:t>
      </w:r>
      <w:r w:rsidR="006964AE">
        <w:t>precisa</w:t>
      </w:r>
      <w:r w:rsidRPr="009E0FCC">
        <w:t xml:space="preserve"> ancora che la Regione non ha adempiuto all’obbligo di cui all’art. 3, comma 7, del D.L. n. 35/2013 di erogare per cassa agli Enti il 100% delle risorse incassate dallo Stato o autonomamente destinate al finanziamento del proprio SSR. </w:t>
      </w:r>
      <w:r w:rsidRPr="006964AE">
        <w:rPr>
          <w:b/>
        </w:rPr>
        <w:t>Ha erogato, invece, nel termine stabilito, il 100% del finanziamento indistinto di parte corrente e il 98% delle altre risorse stanziate nel Bilancio regionale</w:t>
      </w:r>
      <w:r w:rsidRPr="009E0FCC">
        <w:t>.</w:t>
      </w:r>
    </w:p>
    <w:p w:rsidR="009C738D" w:rsidRDefault="009C738D" w:rsidP="009E0FCC">
      <w:pPr>
        <w:pStyle w:val="CdcTesto"/>
      </w:pPr>
      <w:r w:rsidRPr="009E0FCC">
        <w:t>Con la DGR n. 63/47 del 25/11/2016 sono stati dettati i criteri per la ripartizione fra le aziende delle quote versate alla Regione dalle aziende farmaceutiche, derivanti dalle procedure di pay-back, come specificato nella stessa delibera, oltre a quelle dovute a seguito del superamento del limite massimo di spesa, fissato dall’AIFA, per medicinale in sede di contrattazione del prezzo</w:t>
      </w:r>
      <w:r w:rsidRPr="009E0FCC">
        <w:rPr>
          <w:vertAlign w:val="superscript"/>
        </w:rPr>
        <w:footnoteReference w:id="189"/>
      </w:r>
      <w:r w:rsidRPr="009E0FCC">
        <w:rPr>
          <w:vertAlign w:val="superscript"/>
        </w:rPr>
        <w:t xml:space="preserve">. </w:t>
      </w:r>
      <w:r w:rsidRPr="009E0FCC">
        <w:t xml:space="preserve">Le somme accertate e riscosse nel corso del 2016 sul cap. EC349.039, riferite alle </w:t>
      </w:r>
      <w:r w:rsidRPr="009E0FCC">
        <w:lastRenderedPageBreak/>
        <w:t>procedure di pay</w:t>
      </w:r>
      <w:r w:rsidR="006964AE">
        <w:noBreakHyphen/>
      </w:r>
      <w:r w:rsidRPr="00792F88">
        <w:t>back 2015, al netto di quelle già accertate in conto del bilancio p</w:t>
      </w:r>
      <w:r w:rsidR="006964AE">
        <w:t xml:space="preserve">revisionale 2015, ammontano a € </w:t>
      </w:r>
      <w:r w:rsidRPr="00792F88">
        <w:t>12.211.797,46</w:t>
      </w:r>
      <w:r>
        <w:t xml:space="preserve"> e sono state ripartite fra le Aziende sanitarie in base alla percentuale di accesso al FSR nel 2015.</w:t>
      </w:r>
      <w:r w:rsidRPr="00792F88">
        <w:t xml:space="preserve"> </w:t>
      </w:r>
      <w:r>
        <w:t xml:space="preserve">Nel corso del 2016 risultano erogati </w:t>
      </w:r>
      <w:r w:rsidR="006964AE">
        <w:t>€</w:t>
      </w:r>
      <w:r>
        <w:t xml:space="preserve"> 6.275.598,75.</w:t>
      </w:r>
      <w:r w:rsidRPr="00792F88">
        <w:t xml:space="preserve"> Al 31/12/20</w:t>
      </w:r>
      <w:r w:rsidR="002E3EC5">
        <w:t>1</w:t>
      </w:r>
      <w:r w:rsidRPr="00792F88">
        <w:t xml:space="preserve">6 le aziende vantano un credito complessivo verso la Regione pari a </w:t>
      </w:r>
      <w:r w:rsidR="006964AE">
        <w:t xml:space="preserve">€ </w:t>
      </w:r>
      <w:r w:rsidRPr="00792F88">
        <w:t>5.936.198,71</w:t>
      </w:r>
      <w:r w:rsidRPr="00792F88">
        <w:rPr>
          <w:rStyle w:val="Rimandonotaapidipagina"/>
          <w:color w:val="auto"/>
          <w:szCs w:val="21"/>
        </w:rPr>
        <w:footnoteReference w:id="190"/>
      </w:r>
      <w:r w:rsidRPr="00792F88">
        <w:t>.</w:t>
      </w:r>
    </w:p>
    <w:p w:rsidR="009C738D" w:rsidRPr="002E3EC5" w:rsidRDefault="002E3EC5" w:rsidP="002E3EC5">
      <w:pPr>
        <w:pStyle w:val="Didascalia"/>
        <w:keepNext/>
        <w:rPr>
          <w:color w:val="auto"/>
          <w:szCs w:val="21"/>
        </w:rPr>
      </w:pPr>
      <w:bookmarkStart w:id="312" w:name="_Toc507422546"/>
      <w:r>
        <w:t xml:space="preserve">Tabella </w:t>
      </w:r>
      <w:r w:rsidR="00B90472">
        <w:fldChar w:fldCharType="begin"/>
      </w:r>
      <w:r w:rsidR="00B90472">
        <w:instrText xml:space="preserve"> SEQ Tabella \* ARABIC </w:instrText>
      </w:r>
      <w:r w:rsidR="00B90472">
        <w:fldChar w:fldCharType="separate"/>
      </w:r>
      <w:r w:rsidR="008616B3">
        <w:rPr>
          <w:noProof/>
        </w:rPr>
        <w:t>78</w:t>
      </w:r>
      <w:r w:rsidR="00B90472">
        <w:rPr>
          <w:noProof/>
        </w:rPr>
        <w:fldChar w:fldCharType="end"/>
      </w:r>
      <w:r>
        <w:t xml:space="preserve"> - </w:t>
      </w:r>
      <w:r w:rsidR="009C738D" w:rsidRPr="002E3EC5">
        <w:rPr>
          <w:color w:val="auto"/>
          <w:szCs w:val="21"/>
        </w:rPr>
        <w:t>Ripartizione pay-back 2015</w:t>
      </w:r>
      <w:bookmarkEnd w:id="312"/>
    </w:p>
    <w:tbl>
      <w:tblPr>
        <w:tblW w:w="5000" w:type="pct"/>
        <w:jc w:val="center"/>
        <w:tblCellMar>
          <w:left w:w="70" w:type="dxa"/>
          <w:right w:w="70" w:type="dxa"/>
        </w:tblCellMar>
        <w:tblLook w:val="04A0" w:firstRow="1" w:lastRow="0" w:firstColumn="1" w:lastColumn="0" w:noHBand="0" w:noVBand="1"/>
      </w:tblPr>
      <w:tblGrid>
        <w:gridCol w:w="2478"/>
        <w:gridCol w:w="1412"/>
        <w:gridCol w:w="1971"/>
        <w:gridCol w:w="1971"/>
        <w:gridCol w:w="1946"/>
      </w:tblGrid>
      <w:tr w:rsidR="009C738D" w:rsidRPr="009E0FCC" w:rsidTr="00792B2D">
        <w:trPr>
          <w:trHeight w:val="240"/>
          <w:jc w:val="center"/>
        </w:trPr>
        <w:tc>
          <w:tcPr>
            <w:tcW w:w="1267"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jc w:val="center"/>
              <w:rPr>
                <w:rFonts w:ascii="Bodoni MT" w:eastAsia="Times New Roman" w:hAnsi="Bodoni MT" w:cs="Calibri"/>
                <w:b/>
                <w:bCs/>
                <w:color w:val="FFFFFF"/>
                <w:sz w:val="20"/>
                <w:szCs w:val="20"/>
                <w:lang w:eastAsia="it-IT"/>
              </w:rPr>
            </w:pPr>
            <w:r w:rsidRPr="009E0FCC">
              <w:rPr>
                <w:rFonts w:ascii="Bodoni MT" w:eastAsia="Times New Roman" w:hAnsi="Bodoni MT" w:cs="Calibri"/>
                <w:b/>
                <w:bCs/>
                <w:color w:val="FFFFFF"/>
                <w:sz w:val="20"/>
                <w:szCs w:val="20"/>
                <w:lang w:eastAsia="it-IT"/>
              </w:rPr>
              <w:t>Aziende sanitarie</w:t>
            </w:r>
          </w:p>
        </w:tc>
        <w:tc>
          <w:tcPr>
            <w:tcW w:w="722"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jc w:val="center"/>
              <w:rPr>
                <w:rFonts w:ascii="Bodoni MT" w:eastAsia="Times New Roman" w:hAnsi="Bodoni MT" w:cs="Calibri"/>
                <w:b/>
                <w:bCs/>
                <w:color w:val="FFFFFF"/>
                <w:sz w:val="20"/>
                <w:szCs w:val="20"/>
                <w:lang w:eastAsia="it-IT"/>
              </w:rPr>
            </w:pPr>
            <w:r w:rsidRPr="009E0FCC">
              <w:rPr>
                <w:rFonts w:ascii="Bodoni MT" w:eastAsia="Times New Roman" w:hAnsi="Bodoni MT" w:cs="Calibri"/>
                <w:b/>
                <w:bCs/>
                <w:color w:val="FFFFFF"/>
                <w:sz w:val="20"/>
                <w:szCs w:val="20"/>
                <w:lang w:eastAsia="it-IT"/>
              </w:rPr>
              <w:t>% accesso FSR 2015</w:t>
            </w:r>
          </w:p>
        </w:tc>
        <w:tc>
          <w:tcPr>
            <w:tcW w:w="1008"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jc w:val="center"/>
              <w:rPr>
                <w:rFonts w:ascii="Bodoni MT" w:eastAsia="Times New Roman" w:hAnsi="Bodoni MT" w:cs="Calibri"/>
                <w:b/>
                <w:bCs/>
                <w:color w:val="FFFFFF"/>
                <w:sz w:val="20"/>
                <w:szCs w:val="20"/>
                <w:lang w:eastAsia="it-IT"/>
              </w:rPr>
            </w:pPr>
            <w:r w:rsidRPr="009E0FCC">
              <w:rPr>
                <w:rFonts w:ascii="Bodoni MT" w:eastAsia="Times New Roman" w:hAnsi="Bodoni MT" w:cs="Calibri"/>
                <w:b/>
                <w:bCs/>
                <w:color w:val="FFFFFF"/>
                <w:sz w:val="20"/>
                <w:szCs w:val="20"/>
                <w:lang w:eastAsia="it-IT"/>
              </w:rPr>
              <w:t>Totale ricavi 2016</w:t>
            </w:r>
          </w:p>
        </w:tc>
        <w:tc>
          <w:tcPr>
            <w:tcW w:w="1008"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jc w:val="center"/>
              <w:rPr>
                <w:rFonts w:ascii="Bodoni MT" w:eastAsia="Times New Roman" w:hAnsi="Bodoni MT" w:cs="Calibri"/>
                <w:b/>
                <w:bCs/>
                <w:color w:val="FFFFFF"/>
                <w:sz w:val="20"/>
                <w:szCs w:val="20"/>
                <w:lang w:eastAsia="it-IT"/>
              </w:rPr>
            </w:pPr>
            <w:r w:rsidRPr="009E0FCC">
              <w:rPr>
                <w:rFonts w:ascii="Bodoni MT" w:eastAsia="Times New Roman" w:hAnsi="Bodoni MT" w:cs="Calibri"/>
                <w:b/>
                <w:bCs/>
                <w:color w:val="FFFFFF"/>
                <w:sz w:val="20"/>
                <w:szCs w:val="20"/>
                <w:lang w:eastAsia="it-IT"/>
              </w:rPr>
              <w:t>Prima tranche erogata 2016</w:t>
            </w:r>
          </w:p>
        </w:tc>
        <w:tc>
          <w:tcPr>
            <w:tcW w:w="995"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jc w:val="center"/>
              <w:rPr>
                <w:rFonts w:ascii="Bodoni MT" w:eastAsia="Times New Roman" w:hAnsi="Bodoni MT" w:cs="Calibri"/>
                <w:b/>
                <w:bCs/>
                <w:color w:val="FFFFFF"/>
                <w:sz w:val="20"/>
                <w:szCs w:val="20"/>
                <w:lang w:eastAsia="it-IT"/>
              </w:rPr>
            </w:pPr>
            <w:r w:rsidRPr="009E0FCC">
              <w:rPr>
                <w:rFonts w:ascii="Bodoni MT" w:eastAsia="Times New Roman" w:hAnsi="Bodoni MT" w:cs="Calibri"/>
                <w:b/>
                <w:bCs/>
                <w:color w:val="FFFFFF"/>
                <w:sz w:val="20"/>
                <w:szCs w:val="20"/>
                <w:lang w:eastAsia="it-IT"/>
              </w:rPr>
              <w:t>Crediti v/RAS al 31/12/2016</w:t>
            </w:r>
          </w:p>
        </w:tc>
      </w:tr>
      <w:tr w:rsidR="009C738D" w:rsidRPr="009E0FCC" w:rsidTr="00792B2D">
        <w:trPr>
          <w:trHeight w:val="509"/>
          <w:jc w:val="center"/>
        </w:trPr>
        <w:tc>
          <w:tcPr>
            <w:tcW w:w="1267" w:type="pct"/>
            <w:vMerge/>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rPr>
                <w:rFonts w:ascii="Bodoni MT" w:eastAsia="Times New Roman" w:hAnsi="Bodoni MT" w:cs="Calibri"/>
                <w:b/>
                <w:bCs/>
                <w:color w:val="FFFFFF"/>
                <w:sz w:val="20"/>
                <w:szCs w:val="20"/>
                <w:lang w:eastAsia="it-IT"/>
              </w:rPr>
            </w:pPr>
          </w:p>
        </w:tc>
        <w:tc>
          <w:tcPr>
            <w:tcW w:w="722" w:type="pct"/>
            <w:vMerge/>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rPr>
                <w:rFonts w:ascii="Bodoni MT" w:eastAsia="Times New Roman" w:hAnsi="Bodoni MT" w:cs="Calibri"/>
                <w:b/>
                <w:bCs/>
                <w:color w:val="FFFFFF"/>
                <w:sz w:val="20"/>
                <w:szCs w:val="20"/>
                <w:lang w:eastAsia="it-IT"/>
              </w:rPr>
            </w:pPr>
          </w:p>
        </w:tc>
        <w:tc>
          <w:tcPr>
            <w:tcW w:w="1008" w:type="pct"/>
            <w:vMerge/>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rPr>
                <w:rFonts w:ascii="Bodoni MT" w:eastAsia="Times New Roman" w:hAnsi="Bodoni MT" w:cs="Calibri"/>
                <w:b/>
                <w:bCs/>
                <w:color w:val="FFFFFF"/>
                <w:sz w:val="20"/>
                <w:szCs w:val="20"/>
                <w:lang w:eastAsia="it-IT"/>
              </w:rPr>
            </w:pPr>
          </w:p>
        </w:tc>
        <w:tc>
          <w:tcPr>
            <w:tcW w:w="1008" w:type="pct"/>
            <w:vMerge/>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rPr>
                <w:rFonts w:ascii="Bodoni MT" w:eastAsia="Times New Roman" w:hAnsi="Bodoni MT" w:cs="Calibri"/>
                <w:b/>
                <w:bCs/>
                <w:color w:val="FFFFFF"/>
                <w:sz w:val="20"/>
                <w:szCs w:val="20"/>
                <w:lang w:eastAsia="it-IT"/>
              </w:rPr>
            </w:pPr>
          </w:p>
        </w:tc>
        <w:tc>
          <w:tcPr>
            <w:tcW w:w="995" w:type="pct"/>
            <w:vMerge/>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9C738D" w:rsidRPr="009E0FCC" w:rsidRDefault="009C738D" w:rsidP="009C738D">
            <w:pPr>
              <w:spacing w:after="0" w:line="240" w:lineRule="auto"/>
              <w:rPr>
                <w:rFonts w:ascii="Bodoni MT" w:eastAsia="Times New Roman" w:hAnsi="Bodoni MT" w:cs="Calibri"/>
                <w:b/>
                <w:bCs/>
                <w:color w:val="FFFFFF"/>
                <w:sz w:val="20"/>
                <w:szCs w:val="20"/>
                <w:lang w:eastAsia="it-IT"/>
              </w:rPr>
            </w:pP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AOU Sassari</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16,31</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1.991.430,16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1.023.388,79</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968.041,37</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2 Olbia</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7,36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898.404,16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461.686,67</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436.717,49</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3 Nuoro</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9,87</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1.205.689,97</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619.599,74</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586.090,23</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4 Lanusei</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3,03</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369.769,05</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190.022,98</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179.746,07</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5 Oristano</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8,36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1.021.502,66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524.946,54</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496.556,12</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6 Sanluri</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4,3</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524.892,79</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269.740,51</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255.152,28</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7 Carbonia</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6,62</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808.551,97</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415.511,95</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393.040,02</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ASL 8 Cagliari</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27,27</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3.330.517,96</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1.711.541,19</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1.618.976,77</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AO Brotzu</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7,78</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950.465,73</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488.440,92</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462.024,81</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AOU CA</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4,89</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597.000,55</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306.796,43</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290.204,12</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Calibri"/>
                <w:color w:val="FFFFFF" w:themeColor="background1"/>
                <w:sz w:val="20"/>
                <w:szCs w:val="20"/>
                <w:lang w:eastAsia="it-IT"/>
              </w:rPr>
            </w:pPr>
            <w:r w:rsidRPr="009E0FCC">
              <w:rPr>
                <w:rFonts w:ascii="Bodoni MT" w:eastAsia="Times New Roman" w:hAnsi="Bodoni MT" w:cs="Calibri"/>
                <w:color w:val="FFFFFF" w:themeColor="background1"/>
                <w:sz w:val="20"/>
                <w:szCs w:val="20"/>
                <w:lang w:eastAsia="it-IT"/>
              </w:rPr>
              <w:t xml:space="preserve">AOU SS </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4,21</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513.572,45</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263.923,03</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color w:val="000000"/>
                <w:sz w:val="20"/>
                <w:szCs w:val="20"/>
                <w:lang w:eastAsia="it-IT"/>
              </w:rPr>
            </w:pPr>
            <w:r w:rsidRPr="009E0FCC">
              <w:rPr>
                <w:rFonts w:ascii="Calibri" w:eastAsia="Times New Roman" w:hAnsi="Calibri" w:cs="Calibri"/>
                <w:color w:val="000000"/>
                <w:sz w:val="20"/>
                <w:szCs w:val="20"/>
                <w:lang w:eastAsia="it-IT"/>
              </w:rPr>
              <w:t>249.649,42</w:t>
            </w:r>
          </w:p>
        </w:tc>
      </w:tr>
      <w:tr w:rsidR="009C738D" w:rsidRPr="009E0FCC" w:rsidTr="00792B2D">
        <w:trPr>
          <w:trHeight w:val="20"/>
          <w:jc w:val="center"/>
        </w:trPr>
        <w:tc>
          <w:tcPr>
            <w:tcW w:w="1267"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C738D" w:rsidRPr="009E0FCC" w:rsidRDefault="009C738D" w:rsidP="009E0FCC">
            <w:pPr>
              <w:spacing w:after="0" w:line="240" w:lineRule="auto"/>
              <w:rPr>
                <w:rFonts w:ascii="Bodoni MT" w:eastAsia="Times New Roman" w:hAnsi="Bodoni MT" w:cs="Arial"/>
                <w:b/>
                <w:bCs/>
                <w:color w:val="FFFFFF" w:themeColor="background1"/>
                <w:sz w:val="20"/>
                <w:szCs w:val="20"/>
                <w:lang w:eastAsia="it-IT"/>
              </w:rPr>
            </w:pPr>
            <w:r w:rsidRPr="009E0FCC">
              <w:rPr>
                <w:rFonts w:ascii="Bodoni MT" w:eastAsia="Times New Roman" w:hAnsi="Bodoni MT" w:cs="Arial"/>
                <w:b/>
                <w:bCs/>
                <w:color w:val="FFFFFF" w:themeColor="background1"/>
                <w:sz w:val="20"/>
                <w:szCs w:val="20"/>
                <w:lang w:eastAsia="it-IT"/>
              </w:rPr>
              <w:t>Totale</w:t>
            </w:r>
          </w:p>
        </w:tc>
        <w:tc>
          <w:tcPr>
            <w:tcW w:w="722"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b/>
                <w:bCs/>
                <w:color w:val="000000"/>
                <w:sz w:val="20"/>
                <w:szCs w:val="20"/>
                <w:lang w:eastAsia="it-IT"/>
              </w:rPr>
            </w:pPr>
            <w:r w:rsidRPr="009E0FCC">
              <w:rPr>
                <w:rFonts w:ascii="Calibri" w:eastAsia="Times New Roman" w:hAnsi="Calibri" w:cs="Calibri"/>
                <w:b/>
                <w:bCs/>
                <w:color w:val="000000"/>
                <w:sz w:val="20"/>
                <w:szCs w:val="20"/>
                <w:lang w:eastAsia="it-IT"/>
              </w:rPr>
              <w:t>100</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b/>
                <w:bCs/>
                <w:color w:val="000000"/>
                <w:sz w:val="20"/>
                <w:szCs w:val="20"/>
                <w:lang w:eastAsia="it-IT"/>
              </w:rPr>
            </w:pPr>
            <w:r w:rsidRPr="009E0FCC">
              <w:rPr>
                <w:rFonts w:ascii="Calibri" w:eastAsia="Times New Roman" w:hAnsi="Calibri" w:cs="Calibri"/>
                <w:b/>
                <w:bCs/>
                <w:color w:val="000000"/>
                <w:sz w:val="20"/>
                <w:szCs w:val="20"/>
                <w:lang w:eastAsia="it-IT"/>
              </w:rPr>
              <w:t>12.211.797,45</w:t>
            </w:r>
          </w:p>
        </w:tc>
        <w:tc>
          <w:tcPr>
            <w:tcW w:w="1008"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b/>
                <w:bCs/>
                <w:color w:val="000000"/>
                <w:sz w:val="20"/>
                <w:szCs w:val="20"/>
                <w:lang w:eastAsia="it-IT"/>
              </w:rPr>
            </w:pPr>
            <w:r w:rsidRPr="009E0FCC">
              <w:rPr>
                <w:rFonts w:ascii="Calibri" w:eastAsia="Times New Roman" w:hAnsi="Calibri" w:cs="Calibri"/>
                <w:b/>
                <w:bCs/>
                <w:color w:val="000000"/>
                <w:sz w:val="20"/>
                <w:szCs w:val="20"/>
                <w:lang w:eastAsia="it-IT"/>
              </w:rPr>
              <w:t>6.275.598,75</w:t>
            </w:r>
          </w:p>
        </w:tc>
        <w:tc>
          <w:tcPr>
            <w:tcW w:w="995" w:type="pct"/>
            <w:tcBorders>
              <w:top w:val="nil"/>
              <w:left w:val="nil"/>
              <w:bottom w:val="single" w:sz="4" w:space="0" w:color="auto"/>
              <w:right w:val="single" w:sz="4" w:space="0" w:color="auto"/>
            </w:tcBorders>
            <w:shd w:val="clear" w:color="auto" w:fill="auto"/>
            <w:noWrap/>
            <w:vAlign w:val="center"/>
            <w:hideMark/>
          </w:tcPr>
          <w:p w:rsidR="009C738D" w:rsidRPr="009E0FCC" w:rsidRDefault="009C738D" w:rsidP="009C738D">
            <w:pPr>
              <w:spacing w:after="0" w:line="240" w:lineRule="auto"/>
              <w:jc w:val="right"/>
              <w:rPr>
                <w:rFonts w:ascii="Calibri" w:eastAsia="Times New Roman" w:hAnsi="Calibri" w:cs="Calibri"/>
                <w:b/>
                <w:bCs/>
                <w:color w:val="000000"/>
                <w:sz w:val="20"/>
                <w:szCs w:val="20"/>
                <w:lang w:eastAsia="it-IT"/>
              </w:rPr>
            </w:pPr>
            <w:r w:rsidRPr="009E0FCC">
              <w:rPr>
                <w:rFonts w:ascii="Calibri" w:eastAsia="Times New Roman" w:hAnsi="Calibri" w:cs="Calibri"/>
                <w:b/>
                <w:bCs/>
                <w:color w:val="000000"/>
                <w:sz w:val="20"/>
                <w:szCs w:val="20"/>
                <w:lang w:eastAsia="it-IT"/>
              </w:rPr>
              <w:t>5.936.198,70</w:t>
            </w:r>
          </w:p>
        </w:tc>
      </w:tr>
    </w:tbl>
    <w:p w:rsidR="009C738D" w:rsidRPr="009E0FCC" w:rsidRDefault="009C738D" w:rsidP="009C738D">
      <w:pPr>
        <w:jc w:val="both"/>
        <w:rPr>
          <w:rFonts w:ascii="Bodoni MT" w:hAnsi="Bodoni MT"/>
          <w:sz w:val="18"/>
          <w:szCs w:val="18"/>
        </w:rPr>
      </w:pPr>
      <w:r w:rsidRPr="009E0FCC">
        <w:rPr>
          <w:rFonts w:ascii="Bodoni MT" w:hAnsi="Bodoni MT"/>
          <w:sz w:val="18"/>
          <w:szCs w:val="18"/>
        </w:rPr>
        <w:t>Fonte: elaborazione Cdc su dati forniti Assessorato regionale Sanità</w:t>
      </w:r>
    </w:p>
    <w:p w:rsidR="009C738D" w:rsidRPr="009E0FCC" w:rsidRDefault="009C738D" w:rsidP="006964AE">
      <w:pPr>
        <w:pStyle w:val="Titolo2"/>
      </w:pPr>
      <w:bookmarkStart w:id="313" w:name="_Toc503942564"/>
      <w:bookmarkStart w:id="314" w:name="_Toc507422677"/>
      <w:r w:rsidRPr="009E0FCC">
        <w:t>Azioni per il contenimento dei costi</w:t>
      </w:r>
      <w:bookmarkEnd w:id="313"/>
      <w:r w:rsidR="006964AE">
        <w:t xml:space="preserve"> (Piano di riorganizzazione e di riqualificazione del Servizio Sanitario Regionale 2016/2018)</w:t>
      </w:r>
      <w:bookmarkEnd w:id="314"/>
    </w:p>
    <w:p w:rsidR="009C738D" w:rsidRPr="00A46742" w:rsidRDefault="009C738D" w:rsidP="009C738D">
      <w:pPr>
        <w:spacing w:line="360" w:lineRule="auto"/>
        <w:jc w:val="both"/>
        <w:rPr>
          <w:rFonts w:ascii="Bodoni MT" w:hAnsi="Bodoni MT"/>
          <w:sz w:val="24"/>
          <w:szCs w:val="24"/>
        </w:rPr>
      </w:pPr>
      <w:r w:rsidRPr="00A46742">
        <w:rPr>
          <w:rFonts w:ascii="Bodoni MT" w:hAnsi="Bodoni MT"/>
          <w:sz w:val="24"/>
          <w:szCs w:val="24"/>
        </w:rPr>
        <w:t xml:space="preserve">Nella Relazione sulla gestione </w:t>
      </w:r>
      <w:r w:rsidR="00D45156">
        <w:rPr>
          <w:rFonts w:ascii="Bodoni MT" w:hAnsi="Bodoni MT"/>
          <w:sz w:val="24"/>
          <w:szCs w:val="24"/>
        </w:rPr>
        <w:t xml:space="preserve">al rendiconto 2016 </w:t>
      </w:r>
      <w:r w:rsidRPr="00A46742">
        <w:rPr>
          <w:rFonts w:ascii="Bodoni MT" w:hAnsi="Bodoni MT"/>
          <w:sz w:val="24"/>
          <w:szCs w:val="24"/>
        </w:rPr>
        <w:t>si riferisce che</w:t>
      </w:r>
      <w:r>
        <w:rPr>
          <w:rFonts w:ascii="Bodoni MT" w:hAnsi="Bodoni MT"/>
          <w:sz w:val="24"/>
          <w:szCs w:val="24"/>
        </w:rPr>
        <w:t>,</w:t>
      </w:r>
      <w:r w:rsidRPr="00A46742">
        <w:rPr>
          <w:rFonts w:ascii="Bodoni MT" w:hAnsi="Bodoni MT"/>
          <w:sz w:val="24"/>
          <w:szCs w:val="24"/>
        </w:rPr>
        <w:t xml:space="preserve"> in linea con le direttive impartite dalla DGR n. 63/24 del 2015 (Approvazione </w:t>
      </w:r>
      <w:r>
        <w:rPr>
          <w:rFonts w:ascii="Bodoni MT" w:hAnsi="Bodoni MT"/>
          <w:sz w:val="24"/>
          <w:szCs w:val="24"/>
        </w:rPr>
        <w:t xml:space="preserve">Piano di riorganizzazione e di </w:t>
      </w:r>
      <w:r w:rsidRPr="0055352D">
        <w:rPr>
          <w:rFonts w:ascii="Bodoni MT" w:hAnsi="Bodoni MT"/>
          <w:sz w:val="24"/>
          <w:szCs w:val="24"/>
        </w:rPr>
        <w:t>riqualificaz</w:t>
      </w:r>
      <w:r w:rsidR="006964AE">
        <w:rPr>
          <w:rFonts w:ascii="Bodoni MT" w:hAnsi="Bodoni MT"/>
          <w:sz w:val="24"/>
          <w:szCs w:val="24"/>
        </w:rPr>
        <w:t>ione</w:t>
      </w:r>
      <w:r w:rsidRPr="0055352D">
        <w:rPr>
          <w:rFonts w:ascii="Bodoni MT" w:hAnsi="Bodoni MT"/>
          <w:sz w:val="24"/>
          <w:szCs w:val="24"/>
        </w:rPr>
        <w:t xml:space="preserve"> del </w:t>
      </w:r>
      <w:r w:rsidR="006964AE">
        <w:rPr>
          <w:rFonts w:ascii="Bodoni MT" w:hAnsi="Bodoni MT"/>
          <w:sz w:val="24"/>
          <w:szCs w:val="24"/>
        </w:rPr>
        <w:t>Servizio Sanitario</w:t>
      </w:r>
      <w:r w:rsidR="006964AE" w:rsidRPr="0055352D">
        <w:rPr>
          <w:rFonts w:ascii="Bodoni MT" w:hAnsi="Bodoni MT"/>
          <w:sz w:val="24"/>
          <w:szCs w:val="24"/>
        </w:rPr>
        <w:t xml:space="preserve"> Regionale </w:t>
      </w:r>
      <w:r w:rsidRPr="00A46742">
        <w:rPr>
          <w:rFonts w:ascii="Bodoni MT" w:hAnsi="Bodoni MT"/>
          <w:sz w:val="24"/>
          <w:szCs w:val="24"/>
        </w:rPr>
        <w:t>2016/2018)</w:t>
      </w:r>
      <w:r>
        <w:rPr>
          <w:rFonts w:ascii="Bodoni MT" w:hAnsi="Bodoni MT"/>
          <w:sz w:val="24"/>
          <w:szCs w:val="24"/>
        </w:rPr>
        <w:t>,</w:t>
      </w:r>
      <w:r w:rsidRPr="00A46742">
        <w:rPr>
          <w:rFonts w:ascii="Bodoni MT" w:hAnsi="Bodoni MT"/>
          <w:sz w:val="24"/>
          <w:szCs w:val="24"/>
        </w:rPr>
        <w:t xml:space="preserve"> nel corso dell’esercizio 2016 sono state impartite alle Aziende linee di azione </w:t>
      </w:r>
      <w:r>
        <w:rPr>
          <w:rFonts w:ascii="Bodoni MT" w:hAnsi="Bodoni MT"/>
          <w:sz w:val="24"/>
          <w:szCs w:val="24"/>
        </w:rPr>
        <w:t xml:space="preserve">per la realizzazione dei risparmi di spesa previsti, </w:t>
      </w:r>
      <w:r w:rsidRPr="00A46742">
        <w:rPr>
          <w:rFonts w:ascii="Bodoni MT" w:hAnsi="Bodoni MT"/>
          <w:sz w:val="24"/>
          <w:szCs w:val="24"/>
        </w:rPr>
        <w:t xml:space="preserve">con </w:t>
      </w:r>
      <w:r w:rsidRPr="006964AE">
        <w:rPr>
          <w:rFonts w:ascii="Bodoni MT" w:hAnsi="Bodoni MT"/>
          <w:b/>
          <w:sz w:val="24"/>
          <w:szCs w:val="24"/>
        </w:rPr>
        <w:t>l’attribuzione ai Direttori Generali e ai Commissari Straordinari delle Aziende Sanitarie degli obiettivi di mandato 2016</w:t>
      </w:r>
      <w:r w:rsidRPr="00A46742">
        <w:rPr>
          <w:rFonts w:ascii="Bodoni MT" w:hAnsi="Bodoni MT"/>
          <w:sz w:val="24"/>
          <w:szCs w:val="24"/>
        </w:rPr>
        <w:t xml:space="preserve">; </w:t>
      </w:r>
      <w:r>
        <w:rPr>
          <w:rFonts w:ascii="Bodoni MT" w:hAnsi="Bodoni MT"/>
          <w:sz w:val="24"/>
          <w:szCs w:val="24"/>
        </w:rPr>
        <w:t xml:space="preserve">l’emanazione di </w:t>
      </w:r>
      <w:r w:rsidRPr="00A46742">
        <w:rPr>
          <w:rFonts w:ascii="Bodoni MT" w:hAnsi="Bodoni MT"/>
          <w:sz w:val="24"/>
          <w:szCs w:val="24"/>
        </w:rPr>
        <w:t>linee di indirizzo in materia di determina</w:t>
      </w:r>
      <w:r>
        <w:rPr>
          <w:rFonts w:ascii="Bodoni MT" w:hAnsi="Bodoni MT"/>
          <w:sz w:val="24"/>
          <w:szCs w:val="24"/>
        </w:rPr>
        <w:t>zione delle dotazioni organiche</w:t>
      </w:r>
      <w:r w:rsidRPr="00A46742">
        <w:rPr>
          <w:rFonts w:ascii="Bodoni MT" w:hAnsi="Bodoni MT"/>
          <w:sz w:val="24"/>
          <w:szCs w:val="24"/>
        </w:rPr>
        <w:t xml:space="preserve">, di stabilizzazione del personale precario, di definizione dei nuovi fondi contrattuali. Sempre in materia di contenimento della spesa per il personale, la Relazione sulla gestione cita la </w:t>
      </w:r>
      <w:r w:rsidR="00D45156">
        <w:rPr>
          <w:rFonts w:ascii="Bodoni MT" w:hAnsi="Bodoni MT"/>
          <w:b/>
          <w:sz w:val="24"/>
          <w:szCs w:val="24"/>
        </w:rPr>
        <w:t>DGR n. </w:t>
      </w:r>
      <w:r w:rsidRPr="00D45156">
        <w:rPr>
          <w:rFonts w:ascii="Bodoni MT" w:hAnsi="Bodoni MT"/>
          <w:b/>
          <w:sz w:val="24"/>
          <w:szCs w:val="24"/>
        </w:rPr>
        <w:t>11/16 del 28/</w:t>
      </w:r>
      <w:r w:rsidR="00A956C8" w:rsidRPr="00D45156">
        <w:rPr>
          <w:rFonts w:ascii="Bodoni MT" w:hAnsi="Bodoni MT"/>
          <w:b/>
          <w:sz w:val="24"/>
          <w:szCs w:val="24"/>
        </w:rPr>
        <w:t>0</w:t>
      </w:r>
      <w:r w:rsidRPr="00D45156">
        <w:rPr>
          <w:rFonts w:ascii="Bodoni MT" w:hAnsi="Bodoni MT"/>
          <w:b/>
          <w:sz w:val="24"/>
          <w:szCs w:val="24"/>
        </w:rPr>
        <w:t>2/2017 riguardante il blocco del turnover</w:t>
      </w:r>
      <w:r>
        <w:rPr>
          <w:rFonts w:ascii="Bodoni MT" w:hAnsi="Bodoni MT"/>
          <w:sz w:val="24"/>
          <w:szCs w:val="24"/>
        </w:rPr>
        <w:t>. Inoltre</w:t>
      </w:r>
      <w:r w:rsidRPr="00A46742">
        <w:rPr>
          <w:rFonts w:ascii="Bodoni MT" w:hAnsi="Bodoni MT"/>
          <w:sz w:val="24"/>
          <w:szCs w:val="24"/>
        </w:rPr>
        <w:t xml:space="preserve"> nel 2016</w:t>
      </w:r>
      <w:r>
        <w:rPr>
          <w:rFonts w:ascii="Bodoni MT" w:hAnsi="Bodoni MT"/>
          <w:sz w:val="24"/>
          <w:szCs w:val="24"/>
        </w:rPr>
        <w:t>,</w:t>
      </w:r>
      <w:r w:rsidRPr="00A46742">
        <w:rPr>
          <w:rFonts w:ascii="Bodoni MT" w:hAnsi="Bodoni MT"/>
          <w:sz w:val="24"/>
          <w:szCs w:val="24"/>
        </w:rPr>
        <w:t xml:space="preserve"> in attuazione della L.R n. 23/2014, con la DGR n. 6/15 del </w:t>
      </w:r>
      <w:r w:rsidR="00A956C8">
        <w:rPr>
          <w:rFonts w:ascii="Bodoni MT" w:hAnsi="Bodoni MT"/>
          <w:sz w:val="24"/>
          <w:szCs w:val="24"/>
        </w:rPr>
        <w:t>0</w:t>
      </w:r>
      <w:r w:rsidRPr="00A46742">
        <w:rPr>
          <w:rFonts w:ascii="Bodoni MT" w:hAnsi="Bodoni MT"/>
          <w:sz w:val="24"/>
          <w:szCs w:val="24"/>
        </w:rPr>
        <w:t>2/</w:t>
      </w:r>
      <w:r w:rsidR="00A956C8">
        <w:rPr>
          <w:rFonts w:ascii="Bodoni MT" w:hAnsi="Bodoni MT"/>
          <w:sz w:val="24"/>
          <w:szCs w:val="24"/>
        </w:rPr>
        <w:t>0</w:t>
      </w:r>
      <w:r w:rsidRPr="00A46742">
        <w:rPr>
          <w:rFonts w:ascii="Bodoni MT" w:hAnsi="Bodoni MT"/>
          <w:sz w:val="24"/>
          <w:szCs w:val="24"/>
        </w:rPr>
        <w:t xml:space="preserve">2/2016 </w:t>
      </w:r>
      <w:r w:rsidRPr="00D45156">
        <w:rPr>
          <w:rFonts w:ascii="Bodoni MT" w:hAnsi="Bodoni MT"/>
          <w:b/>
          <w:sz w:val="24"/>
          <w:szCs w:val="24"/>
        </w:rPr>
        <w:t>è stata proposta la ridefinizione della rete ospedaliera</w:t>
      </w:r>
      <w:r w:rsidRPr="00A46742">
        <w:rPr>
          <w:rFonts w:ascii="Bodoni MT" w:hAnsi="Bodoni MT"/>
          <w:sz w:val="24"/>
          <w:szCs w:val="24"/>
        </w:rPr>
        <w:t xml:space="preserve">, attualmente all’esame del </w:t>
      </w:r>
      <w:r>
        <w:rPr>
          <w:rFonts w:ascii="Bodoni MT" w:hAnsi="Bodoni MT"/>
          <w:sz w:val="24"/>
          <w:szCs w:val="24"/>
        </w:rPr>
        <w:t>C</w:t>
      </w:r>
      <w:r w:rsidRPr="00A46742">
        <w:rPr>
          <w:rFonts w:ascii="Bodoni MT" w:hAnsi="Bodoni MT"/>
          <w:sz w:val="24"/>
          <w:szCs w:val="24"/>
        </w:rPr>
        <w:t>onsiglio regionale, cui seguirà la proposta di ripartizione tendenziale dei posti letto tra i presidi ospedalieri. Con la DGR n. 23/4 del 20/</w:t>
      </w:r>
      <w:r w:rsidR="008B0C9C">
        <w:rPr>
          <w:rFonts w:ascii="Bodoni MT" w:hAnsi="Bodoni MT"/>
          <w:sz w:val="24"/>
          <w:szCs w:val="24"/>
        </w:rPr>
        <w:t>0</w:t>
      </w:r>
      <w:r w:rsidRPr="00A46742">
        <w:rPr>
          <w:rFonts w:ascii="Bodoni MT" w:hAnsi="Bodoni MT"/>
          <w:sz w:val="24"/>
          <w:szCs w:val="24"/>
        </w:rPr>
        <w:t xml:space="preserve">4/2016 </w:t>
      </w:r>
      <w:r>
        <w:rPr>
          <w:rFonts w:ascii="Bodoni MT" w:hAnsi="Bodoni MT"/>
          <w:sz w:val="24"/>
          <w:szCs w:val="24"/>
        </w:rPr>
        <w:t>sono state</w:t>
      </w:r>
      <w:r w:rsidRPr="00A46742">
        <w:rPr>
          <w:rFonts w:ascii="Bodoni MT" w:hAnsi="Bodoni MT"/>
          <w:sz w:val="24"/>
          <w:szCs w:val="24"/>
        </w:rPr>
        <w:t xml:space="preserve"> approvate linee di indirizzo per l’adozione del nuovo protocollo </w:t>
      </w:r>
      <w:r w:rsidRPr="00A46742">
        <w:rPr>
          <w:rFonts w:ascii="Bodoni MT" w:hAnsi="Bodoni MT"/>
          <w:sz w:val="24"/>
          <w:szCs w:val="24"/>
        </w:rPr>
        <w:lastRenderedPageBreak/>
        <w:t>d’intesa tra Regione e Università teso a rafforzare i processi di integrazione tra le Università e il SSR al fine di perseguire comuni obiettivi di qualità e efficienza.</w:t>
      </w:r>
    </w:p>
    <w:p w:rsidR="009C738D" w:rsidRDefault="009C738D" w:rsidP="009C738D">
      <w:pPr>
        <w:pStyle w:val="Titolo2"/>
      </w:pPr>
      <w:bookmarkStart w:id="315" w:name="_Toc507422678"/>
      <w:r>
        <w:t>I risultati di esercizio delle Aziende Sanitarie</w:t>
      </w:r>
      <w:bookmarkEnd w:id="315"/>
    </w:p>
    <w:p w:rsidR="009C738D" w:rsidRDefault="009C738D" w:rsidP="009C738D">
      <w:pPr>
        <w:spacing w:after="120" w:line="360" w:lineRule="auto"/>
        <w:jc w:val="both"/>
        <w:rPr>
          <w:rFonts w:ascii="Bodoni MT" w:hAnsi="Bodoni MT"/>
          <w:b/>
          <w:sz w:val="24"/>
          <w:szCs w:val="24"/>
        </w:rPr>
      </w:pPr>
      <w:r>
        <w:rPr>
          <w:rFonts w:ascii="Bodoni MT" w:hAnsi="Bodoni MT"/>
          <w:sz w:val="24"/>
          <w:szCs w:val="24"/>
        </w:rPr>
        <w:t>Premesso che dei risultati ottenuti in materia di contenimento dei costi a seguito dell’a</w:t>
      </w:r>
      <w:r w:rsidR="006964AE">
        <w:rPr>
          <w:rFonts w:ascii="Bodoni MT" w:hAnsi="Bodoni MT"/>
          <w:sz w:val="24"/>
          <w:szCs w:val="24"/>
        </w:rPr>
        <w:t>ttua</w:t>
      </w:r>
      <w:r>
        <w:rPr>
          <w:rFonts w:ascii="Bodoni MT" w:hAnsi="Bodoni MT"/>
          <w:sz w:val="24"/>
          <w:szCs w:val="24"/>
        </w:rPr>
        <w:t>zione del PdR (Piano di Rientro) si darà conto nel paragrafo dedicato, nell</w:t>
      </w:r>
      <w:r w:rsidRPr="00A94F08">
        <w:rPr>
          <w:rFonts w:ascii="Bodoni MT" w:hAnsi="Bodoni MT"/>
          <w:sz w:val="24"/>
          <w:szCs w:val="24"/>
        </w:rPr>
        <w:t xml:space="preserve">a tabella che segue </w:t>
      </w:r>
      <w:r>
        <w:rPr>
          <w:rFonts w:ascii="Bodoni MT" w:hAnsi="Bodoni MT"/>
          <w:sz w:val="24"/>
          <w:szCs w:val="24"/>
        </w:rPr>
        <w:t xml:space="preserve">si </w:t>
      </w:r>
      <w:r w:rsidRPr="00A94F08">
        <w:rPr>
          <w:rFonts w:ascii="Bodoni MT" w:hAnsi="Bodoni MT"/>
          <w:sz w:val="24"/>
          <w:szCs w:val="24"/>
        </w:rPr>
        <w:t>riassume l’evoluzione del valore della produzione e dei costi della produzione</w:t>
      </w:r>
      <w:r>
        <w:rPr>
          <w:rFonts w:ascii="Bodoni MT" w:hAnsi="Bodoni MT"/>
          <w:sz w:val="24"/>
          <w:szCs w:val="24"/>
        </w:rPr>
        <w:t xml:space="preserve"> </w:t>
      </w:r>
      <w:r w:rsidRPr="00A94F08">
        <w:rPr>
          <w:rFonts w:ascii="Bodoni MT" w:hAnsi="Bodoni MT"/>
          <w:sz w:val="24"/>
          <w:szCs w:val="24"/>
        </w:rPr>
        <w:t>del complesso delle Aziende del SSR negli ultimi esercizi</w:t>
      </w:r>
      <w:r>
        <w:rPr>
          <w:rFonts w:ascii="Bodoni MT" w:hAnsi="Bodoni MT"/>
          <w:sz w:val="24"/>
          <w:szCs w:val="24"/>
        </w:rPr>
        <w:t xml:space="preserve"> </w:t>
      </w:r>
      <w:r w:rsidRPr="00BC0202">
        <w:rPr>
          <w:rFonts w:ascii="Bodoni MT" w:hAnsi="Bodoni MT"/>
          <w:sz w:val="24"/>
          <w:szCs w:val="24"/>
        </w:rPr>
        <w:t xml:space="preserve">(per il 2016 si fa riferimento al CE consuntivo trasmesso dall’Assessorato alla Sanità il 23 novembre 2017), </w:t>
      </w:r>
      <w:r w:rsidRPr="00A94F08">
        <w:rPr>
          <w:rFonts w:ascii="Bodoni MT" w:hAnsi="Bodoni MT"/>
          <w:sz w:val="24"/>
          <w:szCs w:val="24"/>
        </w:rPr>
        <w:t>evidenziando l’andamento delle principali</w:t>
      </w:r>
      <w:r>
        <w:rPr>
          <w:rFonts w:ascii="Bodoni MT" w:hAnsi="Bodoni MT"/>
          <w:sz w:val="24"/>
          <w:szCs w:val="24"/>
        </w:rPr>
        <w:t xml:space="preserve"> </w:t>
      </w:r>
      <w:r w:rsidRPr="00A94F08">
        <w:rPr>
          <w:rFonts w:ascii="Bodoni MT" w:hAnsi="Bodoni MT"/>
          <w:sz w:val="24"/>
          <w:szCs w:val="24"/>
        </w:rPr>
        <w:t>voci di costo e del risultato complessivo della gestione operativa.</w:t>
      </w:r>
      <w:r>
        <w:rPr>
          <w:rFonts w:ascii="Bodoni MT" w:hAnsi="Bodoni MT"/>
          <w:sz w:val="24"/>
          <w:szCs w:val="24"/>
        </w:rPr>
        <w:t xml:space="preserve"> </w:t>
      </w:r>
    </w:p>
    <w:p w:rsidR="009C738D" w:rsidRPr="00A94F08" w:rsidRDefault="009E0FCC" w:rsidP="00792B2D">
      <w:pPr>
        <w:pStyle w:val="Didascalia"/>
        <w:keepNext/>
        <w:spacing w:before="120"/>
        <w:rPr>
          <w:b w:val="0"/>
          <w:sz w:val="24"/>
          <w:szCs w:val="24"/>
        </w:rPr>
      </w:pPr>
      <w:bookmarkStart w:id="316" w:name="_Toc507422547"/>
      <w:r>
        <w:t xml:space="preserve">Tabella </w:t>
      </w:r>
      <w:r w:rsidR="00B90472">
        <w:fldChar w:fldCharType="begin"/>
      </w:r>
      <w:r w:rsidR="00B90472">
        <w:instrText xml:space="preserve"> SEQ Tabella \* ARABIC </w:instrText>
      </w:r>
      <w:r w:rsidR="00B90472">
        <w:fldChar w:fldCharType="separate"/>
      </w:r>
      <w:r w:rsidR="008616B3">
        <w:rPr>
          <w:noProof/>
        </w:rPr>
        <w:t>79</w:t>
      </w:r>
      <w:r w:rsidR="00B90472">
        <w:rPr>
          <w:noProof/>
        </w:rPr>
        <w:fldChar w:fldCharType="end"/>
      </w:r>
      <w:r w:rsidR="009C738D">
        <w:rPr>
          <w:b w:val="0"/>
          <w:sz w:val="24"/>
          <w:szCs w:val="24"/>
        </w:rPr>
        <w:t xml:space="preserve"> </w:t>
      </w:r>
      <w:r w:rsidR="009C738D" w:rsidRPr="009E0FCC">
        <w:rPr>
          <w:sz w:val="24"/>
          <w:szCs w:val="24"/>
        </w:rPr>
        <w:t>- Valore e costi della produzione 2013 – 2016</w:t>
      </w:r>
      <w:bookmarkEnd w:id="316"/>
      <w:r w:rsidR="009C738D" w:rsidRPr="00A94F08">
        <w:rPr>
          <w:b w:val="0"/>
          <w:sz w:val="24"/>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6"/>
        <w:gridCol w:w="1494"/>
        <w:gridCol w:w="1494"/>
        <w:gridCol w:w="1494"/>
        <w:gridCol w:w="1490"/>
      </w:tblGrid>
      <w:tr w:rsidR="00D45156" w:rsidRPr="00DA06FB" w:rsidTr="00D45156">
        <w:trPr>
          <w:trHeight w:val="20"/>
          <w:jc w:val="center"/>
        </w:trPr>
        <w:tc>
          <w:tcPr>
            <w:tcW w:w="1946" w:type="pct"/>
            <w:tcBorders>
              <w:top w:val="nil"/>
            </w:tcBorders>
            <w:shd w:val="clear" w:color="000000" w:fill="1F3864"/>
            <w:vAlign w:val="center"/>
            <w:hideMark/>
          </w:tcPr>
          <w:p w:rsidR="00D45156" w:rsidRPr="00DA06FB" w:rsidRDefault="00D45156" w:rsidP="009E0FCC">
            <w:pPr>
              <w:spacing w:after="0" w:line="240" w:lineRule="auto"/>
              <w:jc w:val="center"/>
              <w:rPr>
                <w:rFonts w:ascii="Bodoni MT" w:eastAsia="Times New Roman" w:hAnsi="Bodoni MT" w:cs="Calibri"/>
                <w:b/>
                <w:bCs/>
                <w:color w:val="FFFFFF"/>
                <w:sz w:val="18"/>
                <w:szCs w:val="18"/>
                <w:lang w:eastAsia="it-IT"/>
              </w:rPr>
            </w:pPr>
            <w:bookmarkStart w:id="317" w:name="RANGE!B4:G31"/>
            <w:r w:rsidRPr="00DA06FB">
              <w:rPr>
                <w:rFonts w:ascii="Bodoni MT" w:eastAsia="Times New Roman" w:hAnsi="Bodoni MT" w:cs="Calibri"/>
                <w:b/>
                <w:bCs/>
                <w:color w:val="FFFFFF"/>
                <w:sz w:val="18"/>
                <w:szCs w:val="18"/>
                <w:lang w:eastAsia="it-IT"/>
              </w:rPr>
              <w:t>VOCE CE</w:t>
            </w:r>
            <w:bookmarkEnd w:id="317"/>
          </w:p>
        </w:tc>
        <w:tc>
          <w:tcPr>
            <w:tcW w:w="764" w:type="pct"/>
            <w:tcBorders>
              <w:top w:val="nil"/>
            </w:tcBorders>
            <w:shd w:val="clear" w:color="000000" w:fill="1F3864"/>
            <w:noWrap/>
            <w:vAlign w:val="center"/>
            <w:hideMark/>
          </w:tcPr>
          <w:p w:rsidR="00D45156" w:rsidRPr="00DA06FB" w:rsidRDefault="00D45156" w:rsidP="009E0FCC">
            <w:pPr>
              <w:spacing w:after="0" w:line="240" w:lineRule="auto"/>
              <w:jc w:val="center"/>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2013</w:t>
            </w:r>
          </w:p>
        </w:tc>
        <w:tc>
          <w:tcPr>
            <w:tcW w:w="764" w:type="pct"/>
            <w:tcBorders>
              <w:top w:val="nil"/>
            </w:tcBorders>
            <w:shd w:val="clear" w:color="000000" w:fill="1F3864"/>
            <w:vAlign w:val="center"/>
            <w:hideMark/>
          </w:tcPr>
          <w:p w:rsidR="00D45156" w:rsidRPr="00DA06FB" w:rsidRDefault="00D45156" w:rsidP="009E0FCC">
            <w:pPr>
              <w:spacing w:after="0" w:line="240" w:lineRule="auto"/>
              <w:jc w:val="center"/>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2014</w:t>
            </w:r>
          </w:p>
        </w:tc>
        <w:tc>
          <w:tcPr>
            <w:tcW w:w="764" w:type="pct"/>
            <w:tcBorders>
              <w:top w:val="nil"/>
            </w:tcBorders>
            <w:shd w:val="clear" w:color="000000" w:fill="1F3864"/>
            <w:vAlign w:val="center"/>
            <w:hideMark/>
          </w:tcPr>
          <w:p w:rsidR="00D45156" w:rsidRPr="00DA06FB" w:rsidRDefault="00D45156" w:rsidP="009E0FCC">
            <w:pPr>
              <w:spacing w:after="0" w:line="240" w:lineRule="auto"/>
              <w:jc w:val="center"/>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2015</w:t>
            </w:r>
          </w:p>
        </w:tc>
        <w:tc>
          <w:tcPr>
            <w:tcW w:w="763" w:type="pct"/>
            <w:tcBorders>
              <w:top w:val="nil"/>
            </w:tcBorders>
            <w:shd w:val="clear" w:color="000000" w:fill="1F3864"/>
            <w:vAlign w:val="center"/>
            <w:hideMark/>
          </w:tcPr>
          <w:p w:rsidR="00D45156" w:rsidRPr="00DA06FB" w:rsidRDefault="00D45156" w:rsidP="009E0FCC">
            <w:pPr>
              <w:spacing w:after="0" w:line="240" w:lineRule="auto"/>
              <w:jc w:val="center"/>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2016</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A.1) Contributi in conto esercizio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3.243.976</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3.090.420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2.954.205</w:t>
            </w:r>
          </w:p>
        </w:tc>
        <w:tc>
          <w:tcPr>
            <w:tcW w:w="763"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3.037.652</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A.2) Rettifica contributi c/esercizio per destinazione ad investimenti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-15.287</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-18.046</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A.3) Utilizzo fondi per quote inutilizzate contributi vincolati di esercizi precedenti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17.816</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22.134</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A.4) Ricavi per prestazioni sanitarie e sociosanitarie a rilevanza sanitaria</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29.958</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29.497</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28.128</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668.179</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A.5) Concorsi, recuperi e rimborsi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9.222</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8.179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58.050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47.242</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A.6) Compartecipazione alla spesa per prestazioni sanitarie (Ticket)</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28.958</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28.892</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28.380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26.549</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A.7) Quota contributi c/capitale imputata all'esercizio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19.422</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20.729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39.355</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45.410</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A.8) Incrementi delle immobilizzazioni per lavori interni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0</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A.9) Altri ricavi e proventi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7.922</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7.848</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8.670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6.571</w:t>
            </w:r>
          </w:p>
        </w:tc>
      </w:tr>
      <w:tr w:rsidR="00D45156" w:rsidRPr="00DA06FB" w:rsidTr="00D45156">
        <w:trPr>
          <w:trHeight w:val="20"/>
          <w:jc w:val="center"/>
        </w:trPr>
        <w:tc>
          <w:tcPr>
            <w:tcW w:w="1946" w:type="pct"/>
            <w:shd w:val="clear" w:color="000000" w:fill="17365D"/>
            <w:vAlign w:val="center"/>
            <w:hideMark/>
          </w:tcPr>
          <w:p w:rsidR="00D45156" w:rsidRPr="00E72AD5" w:rsidRDefault="00D45156" w:rsidP="009E0FCC">
            <w:pPr>
              <w:spacing w:after="0" w:line="240" w:lineRule="auto"/>
              <w:rPr>
                <w:rFonts w:ascii="Bodoni MT" w:eastAsia="Times New Roman" w:hAnsi="Bodoni MT" w:cs="Calibri"/>
                <w:b/>
                <w:bCs/>
                <w:color w:val="FFFFFF"/>
                <w:sz w:val="18"/>
                <w:szCs w:val="18"/>
                <w:lang w:eastAsia="it-IT"/>
              </w:rPr>
            </w:pPr>
            <w:r w:rsidRPr="00E72AD5">
              <w:rPr>
                <w:rFonts w:ascii="Bodoni MT" w:eastAsia="Times New Roman" w:hAnsi="Bodoni MT" w:cs="Calibri"/>
                <w:b/>
                <w:bCs/>
                <w:color w:val="FFFFFF"/>
                <w:sz w:val="18"/>
                <w:szCs w:val="18"/>
                <w:lang w:eastAsia="it-IT"/>
              </w:rPr>
              <w:t xml:space="preserve">Totale valore della produzione (A) </w:t>
            </w:r>
          </w:p>
        </w:tc>
        <w:tc>
          <w:tcPr>
            <w:tcW w:w="764" w:type="pct"/>
            <w:shd w:val="clear" w:color="000000" w:fill="17365D"/>
            <w:vAlign w:val="center"/>
            <w:hideMark/>
          </w:tcPr>
          <w:p w:rsidR="00D45156" w:rsidRPr="00DA06FB" w:rsidRDefault="00D45156" w:rsidP="009E0FCC">
            <w:pPr>
              <w:spacing w:after="0" w:line="240" w:lineRule="auto"/>
              <w:jc w:val="right"/>
              <w:rPr>
                <w:rFonts w:ascii="Calibri" w:eastAsia="Times New Roman" w:hAnsi="Calibri" w:cs="Calibri"/>
                <w:b/>
                <w:bCs/>
                <w:color w:val="FFFFFF"/>
                <w:sz w:val="18"/>
                <w:szCs w:val="18"/>
                <w:lang w:eastAsia="it-IT"/>
              </w:rPr>
            </w:pPr>
            <w:r w:rsidRPr="00DA06FB">
              <w:rPr>
                <w:rFonts w:ascii="Calibri" w:eastAsia="Times New Roman" w:hAnsi="Calibri" w:cs="Calibri"/>
                <w:b/>
                <w:bCs/>
                <w:color w:val="FFFFFF"/>
                <w:sz w:val="18"/>
                <w:szCs w:val="18"/>
                <w:lang w:eastAsia="it-IT"/>
              </w:rPr>
              <w:t xml:space="preserve">3.339.458 </w:t>
            </w:r>
          </w:p>
        </w:tc>
        <w:tc>
          <w:tcPr>
            <w:tcW w:w="764" w:type="pct"/>
            <w:shd w:val="clear" w:color="000000" w:fill="17365D"/>
            <w:vAlign w:val="center"/>
            <w:hideMark/>
          </w:tcPr>
          <w:p w:rsidR="00D45156" w:rsidRPr="00DA06FB" w:rsidRDefault="00D45156" w:rsidP="009E0FCC">
            <w:pPr>
              <w:spacing w:after="0" w:line="240" w:lineRule="auto"/>
              <w:jc w:val="right"/>
              <w:rPr>
                <w:rFonts w:ascii="Calibri" w:eastAsia="Times New Roman" w:hAnsi="Calibri" w:cs="Calibri"/>
                <w:b/>
                <w:bCs/>
                <w:color w:val="FFFFFF"/>
                <w:sz w:val="18"/>
                <w:szCs w:val="18"/>
                <w:lang w:eastAsia="it-IT"/>
              </w:rPr>
            </w:pPr>
            <w:r w:rsidRPr="00DA06FB">
              <w:rPr>
                <w:rFonts w:ascii="Calibri" w:eastAsia="Times New Roman" w:hAnsi="Calibri" w:cs="Calibri"/>
                <w:b/>
                <w:bCs/>
                <w:color w:val="FFFFFF"/>
                <w:sz w:val="18"/>
                <w:szCs w:val="18"/>
                <w:lang w:eastAsia="it-IT"/>
              </w:rPr>
              <w:t>3.185.56</w:t>
            </w:r>
            <w:r>
              <w:rPr>
                <w:rFonts w:ascii="Calibri" w:eastAsia="Times New Roman" w:hAnsi="Calibri" w:cs="Calibri"/>
                <w:b/>
                <w:bCs/>
                <w:color w:val="FFFFFF"/>
                <w:sz w:val="18"/>
                <w:szCs w:val="18"/>
                <w:lang w:eastAsia="it-IT"/>
              </w:rPr>
              <w:t>5</w:t>
            </w:r>
            <w:r w:rsidRPr="00DA06FB">
              <w:rPr>
                <w:rFonts w:ascii="Calibri" w:eastAsia="Times New Roman" w:hAnsi="Calibri" w:cs="Calibri"/>
                <w:b/>
                <w:bCs/>
                <w:color w:val="FFFFFF"/>
                <w:sz w:val="18"/>
                <w:szCs w:val="18"/>
                <w:lang w:eastAsia="it-IT"/>
              </w:rPr>
              <w:t xml:space="preserve"> </w:t>
            </w:r>
          </w:p>
        </w:tc>
        <w:tc>
          <w:tcPr>
            <w:tcW w:w="764" w:type="pct"/>
            <w:shd w:val="clear" w:color="000000" w:fill="17365D"/>
            <w:vAlign w:val="center"/>
            <w:hideMark/>
          </w:tcPr>
          <w:p w:rsidR="00D45156" w:rsidRPr="00DA06FB" w:rsidRDefault="00D45156" w:rsidP="009E0FCC">
            <w:pPr>
              <w:spacing w:after="0" w:line="240" w:lineRule="auto"/>
              <w:jc w:val="right"/>
              <w:rPr>
                <w:rFonts w:ascii="Calibri" w:eastAsia="Times New Roman" w:hAnsi="Calibri" w:cs="Calibri"/>
                <w:b/>
                <w:bCs/>
                <w:color w:val="FFFFFF"/>
                <w:sz w:val="18"/>
                <w:szCs w:val="18"/>
                <w:lang w:eastAsia="it-IT"/>
              </w:rPr>
            </w:pPr>
            <w:r w:rsidRPr="00DA06FB">
              <w:rPr>
                <w:rFonts w:ascii="Calibri" w:eastAsia="Times New Roman" w:hAnsi="Calibri" w:cs="Calibri"/>
                <w:b/>
                <w:bCs/>
                <w:color w:val="FFFFFF"/>
                <w:sz w:val="18"/>
                <w:szCs w:val="18"/>
                <w:lang w:eastAsia="it-IT"/>
              </w:rPr>
              <w:t xml:space="preserve">3.119.317 </w:t>
            </w:r>
          </w:p>
        </w:tc>
        <w:tc>
          <w:tcPr>
            <w:tcW w:w="763" w:type="pct"/>
            <w:shd w:val="clear" w:color="000000" w:fill="17365D"/>
            <w:vAlign w:val="center"/>
            <w:hideMark/>
          </w:tcPr>
          <w:p w:rsidR="00D45156" w:rsidRPr="00DA06FB" w:rsidRDefault="00D45156" w:rsidP="009E0FCC">
            <w:pPr>
              <w:spacing w:after="0" w:line="240" w:lineRule="auto"/>
              <w:jc w:val="right"/>
              <w:rPr>
                <w:rFonts w:ascii="Calibri" w:eastAsia="Times New Roman" w:hAnsi="Calibri" w:cs="Calibri"/>
                <w:b/>
                <w:bCs/>
                <w:color w:val="FFFFFF"/>
                <w:sz w:val="18"/>
                <w:szCs w:val="18"/>
                <w:lang w:eastAsia="it-IT"/>
              </w:rPr>
            </w:pPr>
            <w:r w:rsidRPr="00DA06FB">
              <w:rPr>
                <w:rFonts w:ascii="Calibri" w:eastAsia="Times New Roman" w:hAnsi="Calibri" w:cs="Calibri"/>
                <w:b/>
                <w:bCs/>
                <w:color w:val="FFFFFF"/>
                <w:sz w:val="18"/>
                <w:szCs w:val="18"/>
                <w:lang w:eastAsia="it-IT"/>
              </w:rPr>
              <w:t xml:space="preserve">3.835.691 </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 Acquisti di beni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520.901</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552.463</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602.872</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615.950</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B.2) Acquisti di servizi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1.390.531</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1.413.068</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1.377.258</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1.969.531</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B.3) Manutenzione e riparazione (ordinaria esternalizzata)</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70.853</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71.689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67.210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67.275</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B.4) Godimento di beni di terzi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36.399</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47.622</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37.565</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35.767</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B.5) Personale del ruolo sanitario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973.922</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979.511</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985.075</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982.768</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B.6) Personale del ruolo professionale</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3.667</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3.761</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3.934</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4.297</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B.7) Personale del ruolo tecnico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109.013</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114.419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113.236</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113.404</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B.8) Personale del ruolo amministrativo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74.054</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73.892</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74.036</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73.752</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B.9) Oneri diversi di gestione</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16.193</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16.034</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16.572</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16.109</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B.10) Ammortamenti delle immobilizzazioni immateriali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2.430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2.459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3.084</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3.621</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B.12) Ammortamento dei fabbricati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23.620</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24.914</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26.315</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25.687</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B.13) Ammortamenti altre immobilizzazioni materiali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27.875</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29.519</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35.179</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34.035</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B.14) Svalutazione immobilizzazioni e crediti</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378</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10.804</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114</w:t>
            </w:r>
          </w:p>
        </w:tc>
        <w:tc>
          <w:tcPr>
            <w:tcW w:w="763" w:type="pct"/>
            <w:shd w:val="clear" w:color="auto" w:fill="auto"/>
            <w:noWrap/>
            <w:vAlign w:val="center"/>
            <w:hideMark/>
          </w:tcPr>
          <w:p w:rsidR="00D45156" w:rsidRPr="00DA06FB" w:rsidRDefault="00D45156" w:rsidP="00792B2D">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 xml:space="preserve">1.661 </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B.15) Variazione delle rimanenze</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-13.175</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-13.822</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-5.248</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-10.506</w:t>
            </w:r>
          </w:p>
        </w:tc>
      </w:tr>
      <w:tr w:rsidR="00D45156" w:rsidRPr="00DA06FB" w:rsidTr="00D45156">
        <w:trPr>
          <w:trHeight w:val="20"/>
          <w:jc w:val="center"/>
        </w:trPr>
        <w:tc>
          <w:tcPr>
            <w:tcW w:w="1946" w:type="pct"/>
            <w:shd w:val="clear" w:color="auto" w:fill="95B3D7" w:themeFill="accent1" w:themeFillTint="99"/>
            <w:vAlign w:val="center"/>
            <w:hideMark/>
          </w:tcPr>
          <w:p w:rsidR="00D45156" w:rsidRPr="00B573F9" w:rsidRDefault="00D45156" w:rsidP="009E0FCC">
            <w:pPr>
              <w:spacing w:after="0" w:line="240" w:lineRule="auto"/>
              <w:rPr>
                <w:rFonts w:ascii="Bodoni MT" w:eastAsia="Times New Roman" w:hAnsi="Bodoni MT" w:cs="Calibri"/>
                <w:color w:val="FFFFFF" w:themeColor="background1"/>
                <w:sz w:val="18"/>
                <w:szCs w:val="18"/>
                <w:lang w:eastAsia="it-IT"/>
              </w:rPr>
            </w:pPr>
            <w:r w:rsidRPr="00B573F9">
              <w:rPr>
                <w:rFonts w:ascii="Bodoni MT" w:eastAsia="Times New Roman" w:hAnsi="Bodoni MT" w:cs="Calibri"/>
                <w:color w:val="FFFFFF" w:themeColor="background1"/>
                <w:sz w:val="18"/>
                <w:szCs w:val="18"/>
                <w:lang w:eastAsia="it-IT"/>
              </w:rPr>
              <w:t>B.16) Accantonamenti tipici dell'esercizio</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49.853</w:t>
            </w:r>
          </w:p>
        </w:tc>
        <w:tc>
          <w:tcPr>
            <w:tcW w:w="764" w:type="pct"/>
            <w:shd w:val="clear" w:color="000000" w:fill="FFFFFF"/>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39.290</w:t>
            </w:r>
          </w:p>
        </w:tc>
        <w:tc>
          <w:tcPr>
            <w:tcW w:w="764"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37.870</w:t>
            </w:r>
          </w:p>
        </w:tc>
        <w:tc>
          <w:tcPr>
            <w:tcW w:w="763" w:type="pct"/>
            <w:shd w:val="clear" w:color="auto" w:fill="auto"/>
            <w:noWrap/>
            <w:vAlign w:val="center"/>
            <w:hideMark/>
          </w:tcPr>
          <w:p w:rsidR="00D45156" w:rsidRPr="00DA06FB" w:rsidRDefault="00D45156" w:rsidP="009E0FCC">
            <w:pPr>
              <w:spacing w:after="0" w:line="240" w:lineRule="auto"/>
              <w:jc w:val="right"/>
              <w:rPr>
                <w:rFonts w:ascii="Calibri" w:eastAsia="Times New Roman" w:hAnsi="Calibri" w:cs="Calibri"/>
                <w:color w:val="000000"/>
                <w:sz w:val="18"/>
                <w:szCs w:val="18"/>
                <w:lang w:eastAsia="it-IT"/>
              </w:rPr>
            </w:pPr>
            <w:r w:rsidRPr="00DA06FB">
              <w:rPr>
                <w:rFonts w:ascii="Calibri" w:eastAsia="Times New Roman" w:hAnsi="Calibri" w:cs="Calibri"/>
                <w:color w:val="000000"/>
                <w:sz w:val="18"/>
                <w:szCs w:val="18"/>
                <w:lang w:eastAsia="it-IT"/>
              </w:rPr>
              <w:t>116.665</w:t>
            </w:r>
          </w:p>
        </w:tc>
      </w:tr>
      <w:tr w:rsidR="00D45156" w:rsidRPr="00DA06FB" w:rsidTr="00D45156">
        <w:trPr>
          <w:trHeight w:val="20"/>
          <w:jc w:val="center"/>
        </w:trPr>
        <w:tc>
          <w:tcPr>
            <w:tcW w:w="1946" w:type="pct"/>
            <w:shd w:val="clear" w:color="000000" w:fill="17365D"/>
            <w:vAlign w:val="center"/>
            <w:hideMark/>
          </w:tcPr>
          <w:p w:rsidR="00D45156" w:rsidRPr="00DA06FB" w:rsidRDefault="00D45156" w:rsidP="009E0FCC">
            <w:pPr>
              <w:spacing w:after="0" w:line="240" w:lineRule="auto"/>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Totale costi della produzione (B)</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3.286.514</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3.320.295</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3.375.072</w:t>
            </w:r>
          </w:p>
        </w:tc>
        <w:tc>
          <w:tcPr>
            <w:tcW w:w="763"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4.050.016</w:t>
            </w:r>
          </w:p>
        </w:tc>
      </w:tr>
      <w:tr w:rsidR="00D45156" w:rsidRPr="00DA06FB" w:rsidTr="00D45156">
        <w:trPr>
          <w:trHeight w:val="20"/>
          <w:jc w:val="center"/>
        </w:trPr>
        <w:tc>
          <w:tcPr>
            <w:tcW w:w="1946" w:type="pct"/>
            <w:shd w:val="clear" w:color="000000" w:fill="17365D"/>
            <w:vAlign w:val="center"/>
            <w:hideMark/>
          </w:tcPr>
          <w:p w:rsidR="00D45156" w:rsidRPr="00DA06FB" w:rsidRDefault="00D45156" w:rsidP="009E0FCC">
            <w:pPr>
              <w:spacing w:after="0" w:line="240" w:lineRule="auto"/>
              <w:rPr>
                <w:rFonts w:ascii="Bodoni MT" w:eastAsia="Times New Roman" w:hAnsi="Bodoni MT" w:cs="Calibri"/>
                <w:b/>
                <w:bCs/>
                <w:color w:val="FFFFFF"/>
                <w:sz w:val="18"/>
                <w:szCs w:val="18"/>
                <w:lang w:eastAsia="it-IT"/>
              </w:rPr>
            </w:pPr>
            <w:r w:rsidRPr="00DA06FB">
              <w:rPr>
                <w:rFonts w:ascii="Bodoni MT" w:eastAsia="Times New Roman" w:hAnsi="Bodoni MT" w:cs="Calibri"/>
                <w:b/>
                <w:bCs/>
                <w:color w:val="FFFFFF"/>
                <w:sz w:val="18"/>
                <w:szCs w:val="18"/>
                <w:lang w:eastAsia="it-IT"/>
              </w:rPr>
              <w:t>Differenza tra valore e costi della produzione</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52.944</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-167.633</w:t>
            </w:r>
          </w:p>
        </w:tc>
        <w:tc>
          <w:tcPr>
            <w:tcW w:w="764"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-255.755</w:t>
            </w:r>
          </w:p>
        </w:tc>
        <w:tc>
          <w:tcPr>
            <w:tcW w:w="763" w:type="pct"/>
            <w:shd w:val="clear" w:color="auto" w:fill="FFFFFF" w:themeFill="background1"/>
            <w:noWrap/>
            <w:vAlign w:val="center"/>
            <w:hideMark/>
          </w:tcPr>
          <w:p w:rsidR="00D45156" w:rsidRPr="00B573F9" w:rsidRDefault="00D45156" w:rsidP="009E0FCC">
            <w:pPr>
              <w:spacing w:after="0" w:line="240" w:lineRule="auto"/>
              <w:jc w:val="right"/>
              <w:rPr>
                <w:rFonts w:ascii="Calibri" w:eastAsia="Times New Roman" w:hAnsi="Calibri" w:cs="Calibri"/>
                <w:b/>
                <w:bCs/>
                <w:sz w:val="18"/>
                <w:szCs w:val="18"/>
                <w:lang w:eastAsia="it-IT"/>
              </w:rPr>
            </w:pPr>
            <w:r w:rsidRPr="00B573F9">
              <w:rPr>
                <w:rFonts w:ascii="Calibri" w:eastAsia="Times New Roman" w:hAnsi="Calibri" w:cs="Calibri"/>
                <w:b/>
                <w:bCs/>
                <w:sz w:val="18"/>
                <w:szCs w:val="18"/>
                <w:lang w:eastAsia="it-IT"/>
              </w:rPr>
              <w:t>-214.325</w:t>
            </w:r>
          </w:p>
        </w:tc>
      </w:tr>
    </w:tbl>
    <w:p w:rsidR="009C738D" w:rsidRPr="00DA06FB" w:rsidRDefault="009C738D" w:rsidP="009C738D">
      <w:pPr>
        <w:rPr>
          <w:rFonts w:ascii="Bodoni MT" w:hAnsi="Bodoni MT"/>
          <w:sz w:val="18"/>
          <w:szCs w:val="18"/>
        </w:rPr>
      </w:pPr>
      <w:r w:rsidRPr="00DA06FB">
        <w:rPr>
          <w:rFonts w:ascii="Bodoni MT" w:hAnsi="Bodoni MT"/>
          <w:sz w:val="18"/>
          <w:szCs w:val="18"/>
        </w:rPr>
        <w:t xml:space="preserve">Fonte: </w:t>
      </w:r>
      <w:r>
        <w:rPr>
          <w:rFonts w:ascii="Bodoni MT" w:hAnsi="Bodoni MT"/>
          <w:sz w:val="18"/>
          <w:szCs w:val="18"/>
        </w:rPr>
        <w:t>Dati da CE Aziende sanitarie forniti da RAS.</w:t>
      </w:r>
    </w:p>
    <w:p w:rsidR="009C738D" w:rsidRDefault="00D45156" w:rsidP="006964AE">
      <w:pPr>
        <w:pStyle w:val="CdcTesto"/>
      </w:pPr>
      <w:r>
        <w:lastRenderedPageBreak/>
        <w:t>S</w:t>
      </w:r>
      <w:r w:rsidR="009C738D" w:rsidRPr="006964AE">
        <w:t>i deve tener conto che nei modelli di rilevazione ministeriale CE delle Aziende, in applicazio</w:t>
      </w:r>
      <w:r w:rsidR="0057559F" w:rsidRPr="006964AE">
        <w:t>ne del titolo II del D</w:t>
      </w:r>
      <w:r w:rsidR="009F6EAB" w:rsidRPr="006964AE">
        <w:t>.</w:t>
      </w:r>
      <w:r w:rsidR="005B5A3C">
        <w:t xml:space="preserve">Lgs. n. </w:t>
      </w:r>
      <w:r w:rsidR="009C738D" w:rsidRPr="006964AE">
        <w:t>118/2011</w:t>
      </w:r>
      <w:r w:rsidR="005B5A3C" w:rsidRPr="005B5A3C">
        <w:t xml:space="preserve"> </w:t>
      </w:r>
      <w:r w:rsidR="005B5A3C" w:rsidRPr="00B31F14">
        <w:rPr>
          <w:b/>
        </w:rPr>
        <w:t>dal IV trimestre 2016</w:t>
      </w:r>
      <w:r w:rsidR="009C738D" w:rsidRPr="00B31F14">
        <w:rPr>
          <w:b/>
        </w:rPr>
        <w:t>, sono stati contabilizzati i costi e i ricavi riferiti alla mobilità sanitaria intra e ed extra regionale</w:t>
      </w:r>
      <w:r w:rsidR="009C738D" w:rsidRPr="006964AE">
        <w:t>, come si rileva dalla nota assessoriale n. 807 del 13/</w:t>
      </w:r>
      <w:r w:rsidR="00A956C8">
        <w:t>0</w:t>
      </w:r>
      <w:r w:rsidR="009C738D" w:rsidRPr="006964AE">
        <w:t xml:space="preserve">1/2017, pervenuta in sede </w:t>
      </w:r>
      <w:r>
        <w:t>istruttoria, riportati nella colonna 2016 della tabella 79.</w:t>
      </w:r>
    </w:p>
    <w:p w:rsidR="00D45156" w:rsidRPr="006964AE" w:rsidRDefault="00D45156" w:rsidP="006964AE">
      <w:pPr>
        <w:pStyle w:val="CdcTesto"/>
      </w:pPr>
      <w:r>
        <w:t>In sede finale di controdeduzioni</w:t>
      </w:r>
      <w:r w:rsidR="00806853">
        <w:rPr>
          <w:rStyle w:val="Rimandonotaapidipagina"/>
        </w:rPr>
        <w:footnoteReference w:id="191"/>
      </w:r>
      <w:r>
        <w:t xml:space="preserve"> la Regione ha fornito il CE 2016 consolidato nel quale sono evidenziate le voci che rappresentano le prestazioni infragruppo (fra cui la mobilità infra ed extra regionale) che devono essere elise per pervenire al risultato finale consolidato. Dal suddetto documento si rilevano incrementi del valore della produzione rispetto al 2015 pari al 2,2% e dei </w:t>
      </w:r>
      <w:r w:rsidRPr="00F34A67">
        <w:t>costi della produzione pari all’1,3%. I costi per l’acquisto di servizi si sono invece ridotti del 2,5%.</w:t>
      </w:r>
      <w:r w:rsidRPr="00B31F14">
        <w:rPr>
          <w:b/>
        </w:rPr>
        <w:t xml:space="preserve"> La RAS ha evidenziato che nel costo per l’acquisto di servizi è compresa la spesa sostenuta per l’acquisto di farmaci HCV, aggiuntiva rispetto a quella ordinaria, che è stata pari a €</w:t>
      </w:r>
      <w:r w:rsidR="00806853" w:rsidRPr="00B31F14">
        <w:rPr>
          <w:b/>
        </w:rPr>
        <w:t xml:space="preserve"> </w:t>
      </w:r>
      <w:r w:rsidRPr="00B31F14">
        <w:rPr>
          <w:b/>
        </w:rPr>
        <w:t>50.924.000</w:t>
      </w:r>
      <w:r w:rsidR="00806853" w:rsidRPr="00B31F14">
        <w:rPr>
          <w:b/>
        </w:rPr>
        <w:t xml:space="preserve"> nel 2015 e a € 70.585.000 nel </w:t>
      </w:r>
      <w:r w:rsidR="00806853" w:rsidRPr="00E57876">
        <w:rPr>
          <w:b/>
        </w:rPr>
        <w:t>2016</w:t>
      </w:r>
      <w:r w:rsidR="00806853">
        <w:t xml:space="preserve">. Per tale spesa, ricorda la RAS, la Sardegna non ha ricevuto alcun finanziamento specifico. </w:t>
      </w:r>
      <w:r w:rsidR="00806853" w:rsidRPr="00B31F14">
        <w:rPr>
          <w:b/>
        </w:rPr>
        <w:t>Pertanto, al netto di tali costi, la riduzione della spesa sarebbe stata dell’11%</w:t>
      </w:r>
      <w:r w:rsidR="00806853">
        <w:t>.</w:t>
      </w:r>
    </w:p>
    <w:p w:rsidR="009C738D" w:rsidRPr="009E0FCC" w:rsidRDefault="00B568E4" w:rsidP="009E0FCC">
      <w:pPr>
        <w:pStyle w:val="Titolo3"/>
      </w:pPr>
      <w:bookmarkStart w:id="318" w:name="_Toc503942566"/>
      <w:bookmarkStart w:id="319" w:name="_Toc507422679"/>
      <w:r w:rsidRPr="009E0FCC">
        <w:t>La spesa farmaceutica</w:t>
      </w:r>
      <w:bookmarkEnd w:id="318"/>
      <w:bookmarkEnd w:id="319"/>
    </w:p>
    <w:p w:rsidR="00B568E4" w:rsidRPr="00732A1B" w:rsidRDefault="00B568E4" w:rsidP="0057559F">
      <w:pPr>
        <w:spacing w:after="120" w:line="360" w:lineRule="auto"/>
        <w:jc w:val="both"/>
        <w:rPr>
          <w:rFonts w:ascii="Bodoni MT" w:hAnsi="Bodoni MT"/>
          <w:sz w:val="24"/>
          <w:szCs w:val="24"/>
        </w:rPr>
      </w:pPr>
      <w:r w:rsidRPr="00732A1B">
        <w:rPr>
          <w:rFonts w:ascii="Bodoni MT" w:hAnsi="Bodoni MT"/>
          <w:sz w:val="24"/>
          <w:szCs w:val="24"/>
        </w:rPr>
        <w:t>La Direzione Generale della Sanità ha riferito</w:t>
      </w:r>
      <w:r w:rsidRPr="00732A1B">
        <w:rPr>
          <w:rStyle w:val="Rimandonotaapidipagina"/>
          <w:rFonts w:ascii="Bodoni MT" w:hAnsi="Bodoni MT"/>
          <w:sz w:val="24"/>
          <w:szCs w:val="24"/>
        </w:rPr>
        <w:footnoteReference w:id="192"/>
      </w:r>
      <w:r w:rsidRPr="00732A1B">
        <w:rPr>
          <w:rFonts w:ascii="Bodoni MT" w:hAnsi="Bodoni MT"/>
          <w:sz w:val="24"/>
          <w:szCs w:val="24"/>
        </w:rPr>
        <w:t xml:space="preserve"> sull’andamento della spesa dei farmaci (erogati in convenzione, in distribuzione per conto, in distribuzione diretta e ospedaliera) in rapporto agli obiettivi di razionalizzazione e contenimento individuati dalla DGR n. 54/11 del 10/11/2015</w:t>
      </w:r>
      <w:r>
        <w:rPr>
          <w:rStyle w:val="Rimandonotaapidipagina"/>
          <w:rFonts w:ascii="Bodoni MT" w:hAnsi="Bodoni MT"/>
          <w:sz w:val="24"/>
          <w:szCs w:val="24"/>
        </w:rPr>
        <w:footnoteReference w:id="193"/>
      </w:r>
      <w:r w:rsidRPr="00732A1B">
        <w:rPr>
          <w:rFonts w:ascii="Bodoni MT" w:hAnsi="Bodoni MT"/>
          <w:sz w:val="24"/>
          <w:szCs w:val="24"/>
        </w:rPr>
        <w:t>, nonché in relazione ai correlati risparmi quantificati dalla Giun</w:t>
      </w:r>
      <w:r w:rsidR="00B42FB1">
        <w:rPr>
          <w:rFonts w:ascii="Bodoni MT" w:hAnsi="Bodoni MT"/>
          <w:sz w:val="24"/>
          <w:szCs w:val="24"/>
        </w:rPr>
        <w:t>ta Regionale con la delibera n. </w:t>
      </w:r>
      <w:r w:rsidRPr="00732A1B">
        <w:rPr>
          <w:rFonts w:ascii="Bodoni MT" w:hAnsi="Bodoni MT"/>
          <w:sz w:val="24"/>
          <w:szCs w:val="24"/>
        </w:rPr>
        <w:t>63/24 di approvazione de</w:t>
      </w:r>
      <w:r w:rsidR="00BD7188">
        <w:rPr>
          <w:rFonts w:ascii="Bodoni MT" w:hAnsi="Bodoni MT"/>
          <w:sz w:val="24"/>
          <w:szCs w:val="24"/>
        </w:rPr>
        <w:t>l Piano di Rientro (PdR) 2016-</w:t>
      </w:r>
      <w:r w:rsidRPr="00732A1B">
        <w:rPr>
          <w:rFonts w:ascii="Bodoni MT" w:hAnsi="Bodoni MT"/>
          <w:sz w:val="24"/>
          <w:szCs w:val="24"/>
        </w:rPr>
        <w:t xml:space="preserve">2018. Quanto riferito dalla Direzione Generale della Sanità riassume ciò che è emerso in occasione dell’incontro della Commissione tecnica per l’assistenza farmaceutica tenutosi il 3 febbraio 2017. </w:t>
      </w:r>
    </w:p>
    <w:p w:rsidR="00B568E4" w:rsidRPr="00732A1B" w:rsidRDefault="00B568E4" w:rsidP="0057559F">
      <w:pPr>
        <w:pStyle w:val="CdcTesto"/>
      </w:pPr>
      <w:r w:rsidRPr="00732A1B">
        <w:t xml:space="preserve">Il PdR 2016-2018 ha posto a carico della spesa farmaceutica risparmi complessivi di 36 milioni di euro (57,6% dei risparmi totali) da conseguire nell’esercizio 2016, di cui 24 </w:t>
      </w:r>
      <w:r w:rsidR="00F00CC9">
        <w:t>milioni</w:t>
      </w:r>
      <w:r w:rsidRPr="00732A1B">
        <w:t xml:space="preserve"> riferiti alla farmaceutica territoriale e 12 milioni ai farmaci ospedalieri.</w:t>
      </w:r>
    </w:p>
    <w:p w:rsidR="00B568E4" w:rsidRPr="00354210" w:rsidRDefault="00B568E4" w:rsidP="0057559F">
      <w:pPr>
        <w:pStyle w:val="CdcTesto"/>
      </w:pPr>
      <w:r w:rsidRPr="00354210">
        <w:t xml:space="preserve">Per quanto riguarda l’assistenza farmaceutica territoriale, i cui risparmi </w:t>
      </w:r>
      <w:r>
        <w:t>riguardano</w:t>
      </w:r>
      <w:r w:rsidRPr="00354210">
        <w:t xml:space="preserve"> interamente la componente “</w:t>
      </w:r>
      <w:r w:rsidRPr="00954D3B">
        <w:rPr>
          <w:b/>
        </w:rPr>
        <w:t>farmaceutica convenzionata</w:t>
      </w:r>
      <w:r w:rsidRPr="00354210">
        <w:t xml:space="preserve">”, gli obiettivi da conseguire sono stati declinati per ciascuna Azienda dal tavolo di monitoraggio della spesa sanitaria, come evidenziato nella </w:t>
      </w:r>
      <w:r w:rsidRPr="00354210">
        <w:lastRenderedPageBreak/>
        <w:t>tabella seguente, che mostra i risultati conseguiti in termini di differenza con l’esercizio 2015, sia al netto che al lordo degli sconti (riduzioni) operati sui farmaci dalle case farmaceutiche.</w:t>
      </w:r>
    </w:p>
    <w:p w:rsidR="00B568E4" w:rsidRPr="00354210" w:rsidRDefault="009E0FCC" w:rsidP="0057559F">
      <w:pPr>
        <w:pStyle w:val="Didascalia"/>
        <w:keepNext/>
        <w:spacing w:before="120"/>
        <w:rPr>
          <w:sz w:val="24"/>
          <w:szCs w:val="24"/>
        </w:rPr>
      </w:pPr>
      <w:bookmarkStart w:id="320" w:name="_Toc507422548"/>
      <w:r>
        <w:t xml:space="preserve">Tabella </w:t>
      </w:r>
      <w:r w:rsidR="00B90472">
        <w:fldChar w:fldCharType="begin"/>
      </w:r>
      <w:r w:rsidR="00B90472">
        <w:instrText xml:space="preserve"> SEQ Tabella \* ARABIC </w:instrText>
      </w:r>
      <w:r w:rsidR="00B90472">
        <w:fldChar w:fldCharType="separate"/>
      </w:r>
      <w:r w:rsidR="008616B3">
        <w:rPr>
          <w:noProof/>
        </w:rPr>
        <w:t>80</w:t>
      </w:r>
      <w:r w:rsidR="00B90472">
        <w:rPr>
          <w:noProof/>
        </w:rPr>
        <w:fldChar w:fldCharType="end"/>
      </w:r>
      <w:r>
        <w:t xml:space="preserve"> - </w:t>
      </w:r>
      <w:r w:rsidR="00B568E4" w:rsidRPr="00354210">
        <w:rPr>
          <w:sz w:val="24"/>
          <w:szCs w:val="24"/>
        </w:rPr>
        <w:t>Risparmi su farmaceutica convenzionata</w:t>
      </w:r>
      <w:bookmarkEnd w:id="320"/>
    </w:p>
    <w:tbl>
      <w:tblPr>
        <w:tblW w:w="5000" w:type="pct"/>
        <w:jc w:val="center"/>
        <w:tblCellMar>
          <w:left w:w="70" w:type="dxa"/>
          <w:right w:w="70" w:type="dxa"/>
        </w:tblCellMar>
        <w:tblLook w:val="04A0" w:firstRow="1" w:lastRow="0" w:firstColumn="1" w:lastColumn="0" w:noHBand="0" w:noVBand="1"/>
      </w:tblPr>
      <w:tblGrid>
        <w:gridCol w:w="2502"/>
        <w:gridCol w:w="2426"/>
        <w:gridCol w:w="2425"/>
        <w:gridCol w:w="2425"/>
      </w:tblGrid>
      <w:tr w:rsidR="00B568E4" w:rsidRPr="009E0FCC" w:rsidTr="0057559F">
        <w:trPr>
          <w:trHeight w:val="244"/>
          <w:jc w:val="center"/>
        </w:trPr>
        <w:tc>
          <w:tcPr>
            <w:tcW w:w="1279" w:type="pct"/>
            <w:tcBorders>
              <w:top w:val="single" w:sz="4" w:space="0" w:color="auto"/>
              <w:left w:val="single" w:sz="4" w:space="0" w:color="auto"/>
              <w:bottom w:val="single" w:sz="4" w:space="0" w:color="auto"/>
              <w:right w:val="single" w:sz="4" w:space="0" w:color="auto"/>
            </w:tcBorders>
            <w:shd w:val="clear" w:color="000000" w:fill="1F3864"/>
            <w:vAlign w:val="center"/>
            <w:hideMark/>
          </w:tcPr>
          <w:p w:rsidR="00B568E4" w:rsidRPr="009E0FCC" w:rsidRDefault="00B568E4" w:rsidP="00B568E4">
            <w:pPr>
              <w:spacing w:after="0" w:line="240" w:lineRule="auto"/>
              <w:jc w:val="center"/>
              <w:rPr>
                <w:rFonts w:ascii="Bodoni MT" w:eastAsia="Times New Roman" w:hAnsi="Bodoni MT" w:cs="Arial"/>
                <w:b/>
                <w:bCs/>
                <w:color w:val="FFFFFF"/>
                <w:sz w:val="18"/>
                <w:szCs w:val="18"/>
                <w:lang w:eastAsia="it-IT"/>
              </w:rPr>
            </w:pPr>
            <w:r w:rsidRPr="009E0FCC">
              <w:rPr>
                <w:rFonts w:ascii="Bodoni MT" w:eastAsia="Times New Roman" w:hAnsi="Bodoni MT" w:cs="Arial"/>
                <w:b/>
                <w:bCs/>
                <w:color w:val="FFFFFF"/>
                <w:sz w:val="18"/>
                <w:szCs w:val="18"/>
                <w:lang w:eastAsia="it-IT"/>
              </w:rPr>
              <w:t>Aziende Sanitarie</w:t>
            </w:r>
          </w:p>
        </w:tc>
        <w:tc>
          <w:tcPr>
            <w:tcW w:w="1240" w:type="pct"/>
            <w:tcBorders>
              <w:top w:val="single" w:sz="4" w:space="0" w:color="auto"/>
              <w:left w:val="nil"/>
              <w:bottom w:val="single" w:sz="4" w:space="0" w:color="auto"/>
              <w:right w:val="single" w:sz="4" w:space="0" w:color="auto"/>
            </w:tcBorders>
            <w:shd w:val="clear" w:color="000000" w:fill="1F3864"/>
            <w:vAlign w:val="center"/>
            <w:hideMark/>
          </w:tcPr>
          <w:p w:rsidR="00B568E4" w:rsidRPr="009E0FCC" w:rsidRDefault="00B568E4" w:rsidP="00B568E4">
            <w:pPr>
              <w:spacing w:after="0" w:line="240" w:lineRule="auto"/>
              <w:jc w:val="center"/>
              <w:rPr>
                <w:rFonts w:ascii="Bodoni MT" w:eastAsia="Times New Roman" w:hAnsi="Bodoni MT" w:cs="Arial"/>
                <w:b/>
                <w:bCs/>
                <w:color w:val="FFFFFF"/>
                <w:sz w:val="18"/>
                <w:szCs w:val="18"/>
                <w:lang w:eastAsia="it-IT"/>
              </w:rPr>
            </w:pPr>
            <w:r w:rsidRPr="009E0FCC">
              <w:rPr>
                <w:rFonts w:ascii="Bodoni MT" w:eastAsia="Times New Roman" w:hAnsi="Bodoni MT" w:cs="Arial"/>
                <w:b/>
                <w:bCs/>
                <w:color w:val="FFFFFF"/>
                <w:sz w:val="18"/>
                <w:szCs w:val="18"/>
                <w:lang w:eastAsia="it-IT"/>
              </w:rPr>
              <w:t>Risparmi da conseguire 2016</w:t>
            </w:r>
          </w:p>
        </w:tc>
        <w:tc>
          <w:tcPr>
            <w:tcW w:w="1240" w:type="pct"/>
            <w:tcBorders>
              <w:top w:val="single" w:sz="4" w:space="0" w:color="auto"/>
              <w:left w:val="nil"/>
              <w:bottom w:val="single" w:sz="4" w:space="0" w:color="auto"/>
              <w:right w:val="single" w:sz="4" w:space="0" w:color="auto"/>
            </w:tcBorders>
            <w:shd w:val="clear" w:color="000000" w:fill="1F3864"/>
            <w:vAlign w:val="center"/>
            <w:hideMark/>
          </w:tcPr>
          <w:p w:rsidR="00B568E4" w:rsidRPr="009E0FCC" w:rsidRDefault="00B568E4" w:rsidP="00B568E4">
            <w:pPr>
              <w:spacing w:after="0" w:line="240" w:lineRule="auto"/>
              <w:jc w:val="center"/>
              <w:rPr>
                <w:rFonts w:ascii="Bodoni MT" w:eastAsia="Times New Roman" w:hAnsi="Bodoni MT" w:cs="Arial"/>
                <w:b/>
                <w:bCs/>
                <w:color w:val="FFFFFF"/>
                <w:sz w:val="18"/>
                <w:szCs w:val="18"/>
                <w:lang w:eastAsia="it-IT"/>
              </w:rPr>
            </w:pPr>
            <w:r w:rsidRPr="009E0FCC">
              <w:rPr>
                <w:rFonts w:ascii="Bodoni MT" w:eastAsia="Times New Roman" w:hAnsi="Bodoni MT" w:cs="Arial"/>
                <w:b/>
                <w:bCs/>
                <w:color w:val="FFFFFF"/>
                <w:sz w:val="18"/>
                <w:szCs w:val="18"/>
                <w:lang w:eastAsia="it-IT"/>
              </w:rPr>
              <w:t xml:space="preserve">Differenza netta </w:t>
            </w:r>
            <w:r w:rsidRPr="009E0FCC">
              <w:rPr>
                <w:rFonts w:ascii="Bodoni MT" w:eastAsia="Times New Roman" w:hAnsi="Bodoni MT" w:cs="Arial"/>
                <w:b/>
                <w:bCs/>
                <w:color w:val="FFFFFF"/>
                <w:sz w:val="18"/>
                <w:szCs w:val="18"/>
                <w:lang w:eastAsia="it-IT"/>
              </w:rPr>
              <w:br/>
              <w:t>2015 - 2016</w:t>
            </w:r>
          </w:p>
        </w:tc>
        <w:tc>
          <w:tcPr>
            <w:tcW w:w="1240" w:type="pct"/>
            <w:tcBorders>
              <w:top w:val="single" w:sz="4" w:space="0" w:color="auto"/>
              <w:left w:val="nil"/>
              <w:bottom w:val="single" w:sz="4" w:space="0" w:color="auto"/>
              <w:right w:val="single" w:sz="4" w:space="0" w:color="auto"/>
            </w:tcBorders>
            <w:shd w:val="clear" w:color="000000" w:fill="1F3864"/>
            <w:vAlign w:val="center"/>
            <w:hideMark/>
          </w:tcPr>
          <w:p w:rsidR="00B568E4" w:rsidRPr="009E0FCC" w:rsidRDefault="00B568E4" w:rsidP="00B568E4">
            <w:pPr>
              <w:spacing w:after="0" w:line="240" w:lineRule="auto"/>
              <w:jc w:val="center"/>
              <w:rPr>
                <w:rFonts w:ascii="Bodoni MT" w:eastAsia="Times New Roman" w:hAnsi="Bodoni MT" w:cs="Arial"/>
                <w:b/>
                <w:bCs/>
                <w:color w:val="FFFFFF"/>
                <w:sz w:val="18"/>
                <w:szCs w:val="18"/>
                <w:lang w:eastAsia="it-IT"/>
              </w:rPr>
            </w:pPr>
            <w:r w:rsidRPr="009E0FCC">
              <w:rPr>
                <w:rFonts w:ascii="Bodoni MT" w:eastAsia="Times New Roman" w:hAnsi="Bodoni MT" w:cs="Arial"/>
                <w:b/>
                <w:bCs/>
                <w:color w:val="FFFFFF"/>
                <w:sz w:val="18"/>
                <w:szCs w:val="18"/>
                <w:lang w:eastAsia="it-IT"/>
              </w:rPr>
              <w:t xml:space="preserve">Differenza lorda </w:t>
            </w:r>
            <w:r w:rsidRPr="009E0FCC">
              <w:rPr>
                <w:rFonts w:ascii="Bodoni MT" w:eastAsia="Times New Roman" w:hAnsi="Bodoni MT" w:cs="Arial"/>
                <w:b/>
                <w:bCs/>
                <w:color w:val="FFFFFF"/>
                <w:sz w:val="18"/>
                <w:szCs w:val="18"/>
                <w:lang w:eastAsia="it-IT"/>
              </w:rPr>
              <w:br/>
              <w:t>2015 - 2016</w:t>
            </w:r>
          </w:p>
        </w:tc>
      </w:tr>
      <w:tr w:rsidR="00B568E4" w:rsidRPr="009E0FCC" w:rsidTr="009E0FCC">
        <w:trPr>
          <w:trHeight w:val="166"/>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1 - Sassari</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3.810.674</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3.104.272,77</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3.868.656,80</w:t>
            </w:r>
          </w:p>
        </w:tc>
      </w:tr>
      <w:tr w:rsidR="00B568E4" w:rsidRPr="009E0FCC" w:rsidTr="009E0FCC">
        <w:trPr>
          <w:trHeight w:val="202"/>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2 - Olbia</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877.537</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3.221.796,43</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3.347.120,46</w:t>
            </w:r>
          </w:p>
        </w:tc>
      </w:tr>
      <w:tr w:rsidR="00B568E4" w:rsidRPr="009E0FCC" w:rsidTr="009E0FCC">
        <w:trPr>
          <w:trHeight w:val="106"/>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3 - Nuoro</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2.541.740</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2.176.754,52</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2.186.531,48</w:t>
            </w:r>
          </w:p>
        </w:tc>
      </w:tr>
      <w:tr w:rsidR="00B568E4" w:rsidRPr="009E0FCC" w:rsidTr="009E0FCC">
        <w:trPr>
          <w:trHeight w:val="138"/>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4 - Lanusei</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1.346.074</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1.258.158,91</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1.342.226,77</w:t>
            </w:r>
          </w:p>
        </w:tc>
      </w:tr>
      <w:tr w:rsidR="00B568E4" w:rsidRPr="009E0FCC" w:rsidTr="009E0FCC">
        <w:trPr>
          <w:trHeight w:val="199"/>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5 - Oristano</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1.429.853</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2.087.857,29</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1.927.748,65</w:t>
            </w:r>
          </w:p>
        </w:tc>
      </w:tr>
      <w:tr w:rsidR="00B568E4" w:rsidRPr="009E0FCC" w:rsidTr="009E0FCC">
        <w:trPr>
          <w:trHeight w:val="230"/>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6 - Sanluri</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2.189.547</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2.149.215,90</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2.394.038,50</w:t>
            </w:r>
          </w:p>
        </w:tc>
      </w:tr>
      <w:tr w:rsidR="00B568E4" w:rsidRPr="009E0FCC" w:rsidTr="0057559F">
        <w:trPr>
          <w:trHeight w:val="62"/>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7 - Carbonia</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1.557.982</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1.947.665,51</w:t>
            </w:r>
          </w:p>
        </w:tc>
        <w:tc>
          <w:tcPr>
            <w:tcW w:w="1240" w:type="pct"/>
            <w:tcBorders>
              <w:top w:val="nil"/>
              <w:left w:val="nil"/>
              <w:bottom w:val="single" w:sz="8"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1.987.285,02</w:t>
            </w:r>
          </w:p>
        </w:tc>
      </w:tr>
      <w:tr w:rsidR="00B568E4" w:rsidRPr="009E0FCC" w:rsidTr="0057559F">
        <w:trPr>
          <w:trHeight w:val="110"/>
          <w:jc w:val="center"/>
        </w:trPr>
        <w:tc>
          <w:tcPr>
            <w:tcW w:w="1279" w:type="pct"/>
            <w:tcBorders>
              <w:top w:val="nil"/>
              <w:left w:val="single" w:sz="4" w:space="0" w:color="auto"/>
              <w:bottom w:val="single" w:sz="4" w:space="0" w:color="auto"/>
              <w:right w:val="single" w:sz="4" w:space="0" w:color="auto"/>
            </w:tcBorders>
            <w:shd w:val="clear" w:color="000000" w:fill="8EAADB"/>
            <w:vAlign w:val="center"/>
            <w:hideMark/>
          </w:tcPr>
          <w:p w:rsidR="00B568E4" w:rsidRPr="009E0FCC" w:rsidRDefault="00B568E4" w:rsidP="00B568E4">
            <w:pPr>
              <w:spacing w:after="0" w:line="240" w:lineRule="auto"/>
              <w:rPr>
                <w:rFonts w:ascii="Bodoni MT" w:eastAsia="Times New Roman" w:hAnsi="Bodoni MT" w:cs="Arial"/>
                <w:color w:val="FFFFFF"/>
                <w:sz w:val="18"/>
                <w:szCs w:val="18"/>
                <w:lang w:eastAsia="it-IT"/>
              </w:rPr>
            </w:pPr>
            <w:r w:rsidRPr="009E0FCC">
              <w:rPr>
                <w:rFonts w:ascii="Bodoni MT" w:eastAsia="Times New Roman" w:hAnsi="Bodoni MT" w:cs="Arial"/>
                <w:color w:val="FFFFFF"/>
                <w:sz w:val="18"/>
                <w:szCs w:val="18"/>
                <w:lang w:eastAsia="it-IT"/>
              </w:rPr>
              <w:t>ASL 8 - Cagliari</w:t>
            </w:r>
          </w:p>
        </w:tc>
        <w:tc>
          <w:tcPr>
            <w:tcW w:w="1240" w:type="pct"/>
            <w:tcBorders>
              <w:top w:val="nil"/>
              <w:left w:val="nil"/>
              <w:bottom w:val="single" w:sz="4"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10.246.594</w:t>
            </w:r>
          </w:p>
        </w:tc>
        <w:tc>
          <w:tcPr>
            <w:tcW w:w="1240" w:type="pct"/>
            <w:tcBorders>
              <w:top w:val="nil"/>
              <w:left w:val="nil"/>
              <w:bottom w:val="single" w:sz="4"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6.385.377,85</w:t>
            </w:r>
          </w:p>
        </w:tc>
        <w:tc>
          <w:tcPr>
            <w:tcW w:w="1240" w:type="pct"/>
            <w:tcBorders>
              <w:top w:val="nil"/>
              <w:left w:val="nil"/>
              <w:bottom w:val="single" w:sz="4" w:space="0" w:color="auto"/>
              <w:right w:val="single" w:sz="8"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sz w:val="18"/>
                <w:szCs w:val="18"/>
                <w:lang w:eastAsia="it-IT"/>
              </w:rPr>
            </w:pPr>
            <w:r w:rsidRPr="009E0FCC">
              <w:rPr>
                <w:rFonts w:ascii="Calibri" w:eastAsia="Times New Roman" w:hAnsi="Calibri" w:cstheme="minorHAnsi"/>
                <w:sz w:val="18"/>
                <w:szCs w:val="18"/>
                <w:lang w:eastAsia="it-IT"/>
              </w:rPr>
              <w:t>6.150.622,73</w:t>
            </w:r>
          </w:p>
        </w:tc>
      </w:tr>
      <w:tr w:rsidR="00B568E4" w:rsidRPr="009E0FCC" w:rsidTr="0057559F">
        <w:trPr>
          <w:trHeight w:val="64"/>
          <w:jc w:val="center"/>
        </w:trPr>
        <w:tc>
          <w:tcPr>
            <w:tcW w:w="1279" w:type="pct"/>
            <w:tcBorders>
              <w:top w:val="single" w:sz="4" w:space="0" w:color="auto"/>
              <w:left w:val="single" w:sz="4" w:space="0" w:color="auto"/>
              <w:bottom w:val="single" w:sz="4" w:space="0" w:color="auto"/>
              <w:right w:val="single" w:sz="4" w:space="0" w:color="auto"/>
            </w:tcBorders>
            <w:shd w:val="clear" w:color="000000" w:fill="1F3864"/>
            <w:vAlign w:val="center"/>
            <w:hideMark/>
          </w:tcPr>
          <w:p w:rsidR="00B568E4" w:rsidRPr="009E0FCC" w:rsidRDefault="00B568E4" w:rsidP="0057559F">
            <w:pPr>
              <w:spacing w:after="0" w:line="240" w:lineRule="auto"/>
              <w:rPr>
                <w:rFonts w:ascii="Bodoni MT" w:eastAsia="Times New Roman" w:hAnsi="Bodoni MT" w:cs="Arial"/>
                <w:b/>
                <w:bCs/>
                <w:color w:val="FFFFFF"/>
                <w:sz w:val="18"/>
                <w:szCs w:val="18"/>
                <w:lang w:eastAsia="it-IT"/>
              </w:rPr>
            </w:pPr>
            <w:r w:rsidRPr="009E0FCC">
              <w:rPr>
                <w:rFonts w:ascii="Bodoni MT" w:eastAsia="Times New Roman" w:hAnsi="Bodoni MT" w:cs="Arial"/>
                <w:b/>
                <w:bCs/>
                <w:color w:val="FFFFFF"/>
                <w:sz w:val="18"/>
                <w:szCs w:val="18"/>
                <w:lang w:eastAsia="it-IT"/>
              </w:rPr>
              <w:t>Totale</w:t>
            </w:r>
          </w:p>
        </w:tc>
        <w:tc>
          <w:tcPr>
            <w:tcW w:w="12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b/>
                <w:bCs/>
                <w:sz w:val="18"/>
                <w:szCs w:val="18"/>
                <w:lang w:eastAsia="it-IT"/>
              </w:rPr>
            </w:pPr>
            <w:r w:rsidRPr="009E0FCC">
              <w:rPr>
                <w:rFonts w:ascii="Calibri" w:eastAsia="Times New Roman" w:hAnsi="Calibri" w:cstheme="minorHAnsi"/>
                <w:b/>
                <w:bCs/>
                <w:sz w:val="18"/>
                <w:szCs w:val="18"/>
                <w:lang w:eastAsia="it-IT"/>
              </w:rPr>
              <w:t>24.000.001</w:t>
            </w:r>
          </w:p>
        </w:tc>
        <w:tc>
          <w:tcPr>
            <w:tcW w:w="12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b/>
                <w:bCs/>
                <w:sz w:val="18"/>
                <w:szCs w:val="18"/>
                <w:lang w:eastAsia="it-IT"/>
              </w:rPr>
            </w:pPr>
            <w:r w:rsidRPr="009E0FCC">
              <w:rPr>
                <w:rFonts w:ascii="Calibri" w:eastAsia="Times New Roman" w:hAnsi="Calibri" w:cstheme="minorHAnsi"/>
                <w:b/>
                <w:bCs/>
                <w:sz w:val="18"/>
                <w:szCs w:val="18"/>
                <w:lang w:eastAsia="it-IT"/>
              </w:rPr>
              <w:t>22.331.099,18</w:t>
            </w:r>
          </w:p>
        </w:tc>
        <w:tc>
          <w:tcPr>
            <w:tcW w:w="12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68E4" w:rsidRPr="009E0FCC" w:rsidRDefault="00B568E4" w:rsidP="00B568E4">
            <w:pPr>
              <w:spacing w:after="0" w:line="240" w:lineRule="auto"/>
              <w:jc w:val="right"/>
              <w:rPr>
                <w:rFonts w:ascii="Calibri" w:eastAsia="Times New Roman" w:hAnsi="Calibri" w:cs="Calibri"/>
                <w:b/>
                <w:bCs/>
                <w:sz w:val="18"/>
                <w:szCs w:val="18"/>
                <w:lang w:eastAsia="it-IT"/>
              </w:rPr>
            </w:pPr>
            <w:r w:rsidRPr="009E0FCC">
              <w:rPr>
                <w:rFonts w:ascii="Calibri" w:eastAsia="Times New Roman" w:hAnsi="Calibri" w:cstheme="minorHAnsi"/>
                <w:b/>
                <w:bCs/>
                <w:sz w:val="18"/>
                <w:szCs w:val="18"/>
                <w:lang w:eastAsia="it-IT"/>
              </w:rPr>
              <w:t>23.204.230,41</w:t>
            </w:r>
          </w:p>
        </w:tc>
      </w:tr>
    </w:tbl>
    <w:p w:rsidR="00B568E4" w:rsidRPr="009E0FCC" w:rsidRDefault="00B568E4" w:rsidP="00B568E4">
      <w:pPr>
        <w:spacing w:line="360" w:lineRule="auto"/>
        <w:jc w:val="both"/>
        <w:rPr>
          <w:rFonts w:ascii="Bodoni MT" w:hAnsi="Bodoni MT"/>
          <w:sz w:val="18"/>
          <w:szCs w:val="18"/>
        </w:rPr>
      </w:pPr>
      <w:r w:rsidRPr="009E0FCC">
        <w:rPr>
          <w:rFonts w:ascii="Bodoni MT" w:hAnsi="Bodoni MT"/>
          <w:sz w:val="18"/>
          <w:szCs w:val="18"/>
        </w:rPr>
        <w:t xml:space="preserve">Fonte: </w:t>
      </w:r>
      <w:r w:rsidR="009E0FCC" w:rsidRPr="009E0FCC">
        <w:rPr>
          <w:rFonts w:ascii="Bodoni MT" w:hAnsi="Bodoni MT"/>
          <w:sz w:val="18"/>
          <w:szCs w:val="18"/>
        </w:rPr>
        <w:t xml:space="preserve">Elaborazione </w:t>
      </w:r>
      <w:r w:rsidRPr="009E0FCC">
        <w:rPr>
          <w:rFonts w:ascii="Bodoni MT" w:hAnsi="Bodoni MT"/>
          <w:sz w:val="18"/>
          <w:szCs w:val="18"/>
        </w:rPr>
        <w:t>Cdc su</w:t>
      </w:r>
      <w:r w:rsidR="009E0FCC">
        <w:rPr>
          <w:rFonts w:ascii="Bodoni MT" w:hAnsi="Bodoni MT"/>
          <w:sz w:val="18"/>
          <w:szCs w:val="18"/>
        </w:rPr>
        <w:t xml:space="preserve"> dati Direzione Generale Sanità</w:t>
      </w:r>
    </w:p>
    <w:p w:rsidR="00B568E4" w:rsidRPr="00203FCB" w:rsidRDefault="00B568E4" w:rsidP="0057559F">
      <w:pPr>
        <w:pStyle w:val="CdcTesto"/>
      </w:pPr>
      <w:r w:rsidRPr="00203FCB">
        <w:t xml:space="preserve">Dall’esame dei dati forniti emerge che complessivamente </w:t>
      </w:r>
      <w:r w:rsidRPr="00B31F14">
        <w:rPr>
          <w:b/>
        </w:rPr>
        <w:t xml:space="preserve">l’obiettivo di risparmio definito nel PdR è stato </w:t>
      </w:r>
      <w:r w:rsidR="00806853" w:rsidRPr="00B31F14">
        <w:rPr>
          <w:b/>
        </w:rPr>
        <w:t xml:space="preserve">quasi </w:t>
      </w:r>
      <w:r w:rsidRPr="00B31F14">
        <w:rPr>
          <w:b/>
        </w:rPr>
        <w:t>raggiunto</w:t>
      </w:r>
      <w:r w:rsidRPr="00203FCB">
        <w:t>. Infatti, osserva l’Assessorato, le azioni previste nei PPOO del PdR, poste in essere dalle Asl nell’esercizio 2016 (interventi sull’appropriatezza prescrittiva con obiettivi di prescrizione di farmaci a brevetto scaduto e rivolti a categorie terapeutiche che incidono sulla spesa, e azioni sistematiche ed uniformi in tutte le Asl sul profilo prescrittivo dei medici)</w:t>
      </w:r>
      <w:r>
        <w:t>,</w:t>
      </w:r>
      <w:r w:rsidRPr="00203FCB">
        <w:t xml:space="preserve"> hanno conseguito risultati apprezzabili, determinando risparmi quantificabili in € 22.3</w:t>
      </w:r>
      <w:r>
        <w:t>3</w:t>
      </w:r>
      <w:r w:rsidRPr="00203FCB">
        <w:t xml:space="preserve">1.099,18 sulla spesa netta e in € 23.204.230,41 sulla spesa lorda, rispetto al target di 24 milioni di euro. </w:t>
      </w:r>
      <w:r w:rsidRPr="00806853">
        <w:rPr>
          <w:b/>
        </w:rPr>
        <w:t>L’assessorato dichiara di aver raggiunto risultati complessivamente apprezzabili sul contenimento dei costi delle sei categorie di farmaci</w:t>
      </w:r>
      <w:r w:rsidRPr="00806853">
        <w:rPr>
          <w:rStyle w:val="Rimandonotaapidipagina"/>
          <w:b/>
        </w:rPr>
        <w:footnoteReference w:id="194"/>
      </w:r>
      <w:r w:rsidRPr="00806853">
        <w:rPr>
          <w:b/>
        </w:rPr>
        <w:t xml:space="preserve"> in osservazione, anche se gli obiettivi assegnati non sono stati </w:t>
      </w:r>
      <w:r w:rsidR="00B31F14">
        <w:rPr>
          <w:b/>
        </w:rPr>
        <w:t xml:space="preserve">pienamente </w:t>
      </w:r>
      <w:r w:rsidRPr="00806853">
        <w:rPr>
          <w:b/>
        </w:rPr>
        <w:t>raggiunti.</w:t>
      </w:r>
    </w:p>
    <w:p w:rsidR="00B568E4" w:rsidRPr="00866215" w:rsidRDefault="00B568E4" w:rsidP="0057559F">
      <w:pPr>
        <w:pStyle w:val="CdcTesto"/>
      </w:pPr>
      <w:r>
        <w:t>C</w:t>
      </w:r>
      <w:r w:rsidRPr="00866215">
        <w:t>ome riferito in sede istruttoria</w:t>
      </w:r>
      <w:r w:rsidRPr="00866215">
        <w:rPr>
          <w:rStyle w:val="Rimandonotaapidipagina"/>
        </w:rPr>
        <w:footnoteReference w:id="195"/>
      </w:r>
      <w:r>
        <w:t>,</w:t>
      </w:r>
      <w:r w:rsidRPr="00866215">
        <w:t xml:space="preserve"> </w:t>
      </w:r>
      <w:r>
        <w:t>l</w:t>
      </w:r>
      <w:r w:rsidRPr="00866215">
        <w:t xml:space="preserve">a spesa per i </w:t>
      </w:r>
      <w:r w:rsidRPr="00954D3B">
        <w:rPr>
          <w:b/>
        </w:rPr>
        <w:t>farmaci dispensati in distribuzione diretta e per conto</w:t>
      </w:r>
      <w:r w:rsidRPr="00866215">
        <w:t xml:space="preserve"> (di cui alla L. 405/2001)</w:t>
      </w:r>
      <w:r>
        <w:t xml:space="preserve"> </w:t>
      </w:r>
      <w:r w:rsidRPr="00806853">
        <w:rPr>
          <w:b/>
        </w:rPr>
        <w:t xml:space="preserve">ha registrato, invece, incrementi in quasi tutte le Aziende, imputabili in gran parte all’acquisto dei nuovi farmaci per la terapia dell’epatite C </w:t>
      </w:r>
      <w:r w:rsidR="00806853">
        <w:t xml:space="preserve">(70,6 milioni di euro con un </w:t>
      </w:r>
      <w:r w:rsidRPr="00806853">
        <w:t xml:space="preserve">aumento di circa 20 milioni rispetto al 2015), per le terapie oncologiche </w:t>
      </w:r>
      <w:r w:rsidRPr="00866215">
        <w:t>ed immunologiche ad alto costo</w:t>
      </w:r>
      <w:r>
        <w:t xml:space="preserve"> e all’inserimento di nuovi trattamenti per la terapia della sclerosi multipla (36 milioni circa a fronte dei 33 milioni del 2015)</w:t>
      </w:r>
      <w:r w:rsidRPr="00866215">
        <w:t xml:space="preserve">. La Regione evidenzia che </w:t>
      </w:r>
      <w:r w:rsidRPr="00B31F14">
        <w:rPr>
          <w:b/>
        </w:rPr>
        <w:t>la riduzione della spesa ascrivibile alla ASL 8 di Cagliari e alla ASL 1 di Sassari è conseguente esclusivamente agli scorpori dei presidi ospedalieri disposti dalla L.R. n. 23/2014</w:t>
      </w:r>
      <w:r w:rsidRPr="00866215">
        <w:t xml:space="preserve">. </w:t>
      </w:r>
    </w:p>
    <w:p w:rsidR="00792B2D" w:rsidRDefault="00792B2D" w:rsidP="0057559F">
      <w:pPr>
        <w:pStyle w:val="Didascalia"/>
        <w:keepNext/>
      </w:pPr>
      <w:r>
        <w:br w:type="page"/>
      </w:r>
    </w:p>
    <w:p w:rsidR="00B568E4" w:rsidRPr="000C60D6" w:rsidRDefault="0057559F" w:rsidP="0057559F">
      <w:pPr>
        <w:pStyle w:val="Didascalia"/>
        <w:keepNext/>
        <w:rPr>
          <w:sz w:val="24"/>
          <w:szCs w:val="24"/>
        </w:rPr>
      </w:pPr>
      <w:bookmarkStart w:id="321" w:name="_Toc507422549"/>
      <w:r>
        <w:lastRenderedPageBreak/>
        <w:t xml:space="preserve">Tabella </w:t>
      </w:r>
      <w:r w:rsidR="00B90472">
        <w:fldChar w:fldCharType="begin"/>
      </w:r>
      <w:r w:rsidR="00B90472">
        <w:instrText xml:space="preserve"> SEQ Tabella \* ARABIC </w:instrText>
      </w:r>
      <w:r w:rsidR="00B90472">
        <w:fldChar w:fldCharType="separate"/>
      </w:r>
      <w:r w:rsidR="008616B3">
        <w:rPr>
          <w:noProof/>
        </w:rPr>
        <w:t>81</w:t>
      </w:r>
      <w:r w:rsidR="00B90472">
        <w:rPr>
          <w:noProof/>
        </w:rPr>
        <w:fldChar w:fldCharType="end"/>
      </w:r>
      <w:r>
        <w:t xml:space="preserve"> </w:t>
      </w:r>
      <w:r w:rsidR="00B568E4" w:rsidRPr="000C60D6">
        <w:rPr>
          <w:sz w:val="24"/>
          <w:szCs w:val="24"/>
        </w:rPr>
        <w:t>– Spesa da flusso distribuzione diretta (DD)</w:t>
      </w:r>
      <w:bookmarkEnd w:id="321"/>
    </w:p>
    <w:tbl>
      <w:tblPr>
        <w:tblW w:w="5000" w:type="pct"/>
        <w:jc w:val="center"/>
        <w:tblCellMar>
          <w:left w:w="70" w:type="dxa"/>
          <w:right w:w="70" w:type="dxa"/>
        </w:tblCellMar>
        <w:tblLook w:val="04A0" w:firstRow="1" w:lastRow="0" w:firstColumn="1" w:lastColumn="0" w:noHBand="0" w:noVBand="1"/>
      </w:tblPr>
      <w:tblGrid>
        <w:gridCol w:w="4045"/>
        <w:gridCol w:w="1924"/>
        <w:gridCol w:w="1924"/>
        <w:gridCol w:w="1885"/>
      </w:tblGrid>
      <w:tr w:rsidR="00B568E4" w:rsidRPr="0057559F" w:rsidTr="0057559F">
        <w:trPr>
          <w:trHeight w:val="424"/>
          <w:jc w:val="center"/>
        </w:trPr>
        <w:tc>
          <w:tcPr>
            <w:tcW w:w="2068" w:type="pct"/>
            <w:tcBorders>
              <w:top w:val="single" w:sz="4" w:space="0" w:color="auto"/>
              <w:left w:val="single" w:sz="4" w:space="0" w:color="auto"/>
              <w:bottom w:val="single" w:sz="4" w:space="0" w:color="auto"/>
              <w:right w:val="single" w:sz="4" w:space="0" w:color="auto"/>
            </w:tcBorders>
            <w:shd w:val="clear" w:color="000000" w:fill="17365D"/>
            <w:vAlign w:val="center"/>
            <w:hideMark/>
          </w:tcPr>
          <w:p w:rsidR="00B568E4" w:rsidRPr="0057559F" w:rsidRDefault="00B568E4" w:rsidP="0057559F">
            <w:pPr>
              <w:spacing w:after="0" w:line="240" w:lineRule="auto"/>
              <w:jc w:val="center"/>
              <w:rPr>
                <w:rFonts w:ascii="Bodoni MT" w:eastAsia="Times New Roman" w:hAnsi="Bodoni MT" w:cs="Calibri"/>
                <w:b/>
                <w:bCs/>
                <w:color w:val="FFFFFF"/>
                <w:sz w:val="18"/>
                <w:szCs w:val="18"/>
                <w:lang w:eastAsia="it-IT"/>
              </w:rPr>
            </w:pPr>
            <w:r w:rsidRPr="0057559F">
              <w:rPr>
                <w:rFonts w:ascii="Bodoni MT" w:eastAsia="Times New Roman" w:hAnsi="Bodoni MT" w:cs="Calibri"/>
                <w:b/>
                <w:bCs/>
                <w:color w:val="FFFFFF"/>
                <w:sz w:val="18"/>
                <w:szCs w:val="18"/>
                <w:lang w:eastAsia="it-IT"/>
              </w:rPr>
              <w:t>AZIENDE</w:t>
            </w:r>
          </w:p>
        </w:tc>
        <w:tc>
          <w:tcPr>
            <w:tcW w:w="984" w:type="pct"/>
            <w:tcBorders>
              <w:top w:val="single" w:sz="4" w:space="0" w:color="auto"/>
              <w:left w:val="nil"/>
              <w:bottom w:val="single" w:sz="4" w:space="0" w:color="auto"/>
              <w:right w:val="single" w:sz="4" w:space="0" w:color="auto"/>
            </w:tcBorders>
            <w:shd w:val="clear" w:color="000000" w:fill="17365D"/>
            <w:vAlign w:val="center"/>
            <w:hideMark/>
          </w:tcPr>
          <w:p w:rsidR="00B568E4" w:rsidRPr="0057559F" w:rsidRDefault="00B568E4" w:rsidP="0057559F">
            <w:pPr>
              <w:spacing w:after="0" w:line="240" w:lineRule="auto"/>
              <w:jc w:val="center"/>
              <w:rPr>
                <w:rFonts w:ascii="Bodoni MT" w:eastAsia="Times New Roman" w:hAnsi="Bodoni MT" w:cs="Calibri"/>
                <w:b/>
                <w:bCs/>
                <w:color w:val="FFFFFF"/>
                <w:sz w:val="18"/>
                <w:szCs w:val="18"/>
                <w:lang w:eastAsia="it-IT"/>
              </w:rPr>
            </w:pPr>
            <w:r w:rsidRPr="0057559F">
              <w:rPr>
                <w:rFonts w:ascii="Bodoni MT" w:eastAsia="Times New Roman" w:hAnsi="Bodoni MT" w:cs="Calibri"/>
                <w:b/>
                <w:bCs/>
                <w:color w:val="FFFFFF"/>
                <w:sz w:val="18"/>
                <w:szCs w:val="18"/>
                <w:lang w:eastAsia="it-IT"/>
              </w:rPr>
              <w:t>2016</w:t>
            </w:r>
          </w:p>
        </w:tc>
        <w:tc>
          <w:tcPr>
            <w:tcW w:w="984" w:type="pct"/>
            <w:tcBorders>
              <w:top w:val="single" w:sz="4" w:space="0" w:color="auto"/>
              <w:left w:val="nil"/>
              <w:bottom w:val="single" w:sz="4" w:space="0" w:color="auto"/>
              <w:right w:val="single" w:sz="4" w:space="0" w:color="auto"/>
            </w:tcBorders>
            <w:shd w:val="clear" w:color="000000" w:fill="17365D"/>
            <w:vAlign w:val="center"/>
            <w:hideMark/>
          </w:tcPr>
          <w:p w:rsidR="00B568E4" w:rsidRPr="0057559F" w:rsidRDefault="00B568E4" w:rsidP="0057559F">
            <w:pPr>
              <w:spacing w:after="0" w:line="240" w:lineRule="auto"/>
              <w:jc w:val="center"/>
              <w:rPr>
                <w:rFonts w:ascii="Bodoni MT" w:eastAsia="Times New Roman" w:hAnsi="Bodoni MT" w:cs="Calibri"/>
                <w:b/>
                <w:bCs/>
                <w:color w:val="FFFFFF"/>
                <w:sz w:val="18"/>
                <w:szCs w:val="18"/>
                <w:lang w:eastAsia="it-IT"/>
              </w:rPr>
            </w:pPr>
            <w:r w:rsidRPr="0057559F">
              <w:rPr>
                <w:rFonts w:ascii="Bodoni MT" w:eastAsia="Times New Roman" w:hAnsi="Bodoni MT" w:cs="Calibri"/>
                <w:b/>
                <w:bCs/>
                <w:color w:val="FFFFFF"/>
                <w:sz w:val="18"/>
                <w:szCs w:val="18"/>
                <w:lang w:eastAsia="it-IT"/>
              </w:rPr>
              <w:t>2015</w:t>
            </w:r>
          </w:p>
        </w:tc>
        <w:tc>
          <w:tcPr>
            <w:tcW w:w="964" w:type="pct"/>
            <w:tcBorders>
              <w:top w:val="single" w:sz="4" w:space="0" w:color="auto"/>
              <w:left w:val="nil"/>
              <w:bottom w:val="single" w:sz="4" w:space="0" w:color="auto"/>
              <w:right w:val="single" w:sz="4" w:space="0" w:color="auto"/>
            </w:tcBorders>
            <w:shd w:val="clear" w:color="000000" w:fill="17365D"/>
            <w:vAlign w:val="center"/>
            <w:hideMark/>
          </w:tcPr>
          <w:p w:rsidR="00B568E4" w:rsidRPr="0057559F" w:rsidRDefault="00B568E4" w:rsidP="0057559F">
            <w:pPr>
              <w:spacing w:after="0" w:line="240" w:lineRule="auto"/>
              <w:jc w:val="center"/>
              <w:rPr>
                <w:rFonts w:ascii="Bodoni MT" w:eastAsia="Times New Roman" w:hAnsi="Bodoni MT" w:cs="Calibri"/>
                <w:b/>
                <w:bCs/>
                <w:color w:val="FFFFFF"/>
                <w:sz w:val="18"/>
                <w:szCs w:val="18"/>
                <w:lang w:eastAsia="it-IT"/>
              </w:rPr>
            </w:pPr>
            <w:r w:rsidRPr="0057559F">
              <w:rPr>
                <w:rFonts w:ascii="Bodoni MT" w:eastAsia="Times New Roman" w:hAnsi="Bodoni MT" w:cs="Calibri"/>
                <w:b/>
                <w:bCs/>
                <w:color w:val="FFFFFF"/>
                <w:sz w:val="18"/>
                <w:szCs w:val="18"/>
                <w:lang w:eastAsia="it-IT"/>
              </w:rPr>
              <w:t>∆ 2016/2015</w:t>
            </w:r>
          </w:p>
        </w:tc>
      </w:tr>
      <w:tr w:rsidR="00B568E4" w:rsidRPr="00A16E18" w:rsidTr="0057559F">
        <w:trPr>
          <w:trHeight w:val="226"/>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200108 - CAGLIARI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60.931.301,51</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72.349.231,98</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- 11.417.930,47</w:t>
            </w:r>
          </w:p>
        </w:tc>
      </w:tr>
      <w:tr w:rsidR="00B568E4" w:rsidRPr="00A16E18" w:rsidTr="0057559F">
        <w:trPr>
          <w:trHeight w:val="428"/>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200905 - AZIENDA OSPED. UNIVERSITARIA DI SASSARI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56.851.492,21</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31.036.784,12</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25.814.708,09</w:t>
            </w:r>
          </w:p>
        </w:tc>
      </w:tr>
      <w:tr w:rsidR="00B568E4" w:rsidRPr="00A16E18" w:rsidTr="0057559F">
        <w:trPr>
          <w:trHeight w:val="264"/>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200904 - OSPEDALE BROTZU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43.216.755,54</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31.763.090,54</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11.453.665,00</w:t>
            </w:r>
          </w:p>
        </w:tc>
      </w:tr>
      <w:tr w:rsidR="00B568E4" w:rsidRPr="00A16E18" w:rsidTr="00792B2D">
        <w:trPr>
          <w:trHeight w:val="322"/>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200906 - AZIENDA OSPED. UNIVERSITARIA DI CAGLIARI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42.302.708,19</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31.901.007,35</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10.401.700,84</w:t>
            </w:r>
          </w:p>
        </w:tc>
      </w:tr>
      <w:tr w:rsidR="00B568E4" w:rsidRPr="00A16E18" w:rsidTr="0057559F">
        <w:trPr>
          <w:trHeight w:val="275"/>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200101 - SASSARI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26.710.930,01</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40.387.825,19</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- 3.676.895,18</w:t>
            </w:r>
          </w:p>
        </w:tc>
      </w:tr>
      <w:tr w:rsidR="00B568E4" w:rsidRPr="00A16E18" w:rsidTr="00792B2D">
        <w:trPr>
          <w:trHeight w:val="176"/>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200103 - NUORO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30.424.949,62</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27.815.457,21</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2.609.492,41</w:t>
            </w:r>
          </w:p>
        </w:tc>
      </w:tr>
      <w:tr w:rsidR="00B568E4" w:rsidRPr="00A16E18" w:rsidTr="0057559F">
        <w:trPr>
          <w:trHeight w:val="132"/>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200105 - ORISTANO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18.083.815,53</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14.135.562,23</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3.948.253,30</w:t>
            </w:r>
          </w:p>
        </w:tc>
      </w:tr>
      <w:tr w:rsidR="00B568E4" w:rsidRPr="00A16E18" w:rsidTr="0057559F">
        <w:trPr>
          <w:trHeight w:val="153"/>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200102 - OLBIA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15.913.566,58</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13.474.285,96</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2.439.280,62</w:t>
            </w:r>
          </w:p>
        </w:tc>
      </w:tr>
      <w:tr w:rsidR="00B568E4" w:rsidRPr="00A16E18" w:rsidTr="0057559F">
        <w:trPr>
          <w:trHeight w:val="287"/>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200107 - CARBONIA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15.380.716,85</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12.896.013,24</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2.484.703,61</w:t>
            </w:r>
          </w:p>
        </w:tc>
      </w:tr>
      <w:tr w:rsidR="00B568E4" w:rsidRPr="00A16E18" w:rsidTr="0057559F">
        <w:trPr>
          <w:trHeight w:val="86"/>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B568E4" w:rsidP="00B568E4">
            <w:pPr>
              <w:spacing w:after="0" w:line="240" w:lineRule="auto"/>
              <w:rPr>
                <w:rFonts w:ascii="Bodoni MT" w:eastAsia="Times New Roman" w:hAnsi="Bodoni MT" w:cs="Calibri"/>
                <w:color w:val="FFFFFF" w:themeColor="background1"/>
                <w:sz w:val="18"/>
                <w:szCs w:val="18"/>
                <w:lang w:eastAsia="it-IT"/>
              </w:rPr>
            </w:pPr>
            <w:r w:rsidRPr="0057559F">
              <w:rPr>
                <w:rFonts w:ascii="Bodoni MT" w:eastAsia="Times New Roman" w:hAnsi="Bodoni MT" w:cs="Calibri"/>
                <w:color w:val="FFFFFF" w:themeColor="background1"/>
                <w:sz w:val="18"/>
                <w:lang w:eastAsia="it-IT"/>
              </w:rPr>
              <w:t xml:space="preserve">200106 - SANLURI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10.579.070,17</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8.065.650,92</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2.513.419,25</w:t>
            </w:r>
          </w:p>
        </w:tc>
      </w:tr>
      <w:tr w:rsidR="00B568E4" w:rsidRPr="00A16E18" w:rsidTr="00792B2D">
        <w:trPr>
          <w:trHeight w:val="280"/>
          <w:jc w:val="center"/>
        </w:trPr>
        <w:tc>
          <w:tcPr>
            <w:tcW w:w="2068" w:type="pct"/>
            <w:tcBorders>
              <w:top w:val="nil"/>
              <w:left w:val="single" w:sz="4" w:space="0" w:color="auto"/>
              <w:bottom w:val="single" w:sz="4" w:space="0" w:color="auto"/>
              <w:right w:val="single" w:sz="4" w:space="0" w:color="auto"/>
            </w:tcBorders>
            <w:shd w:val="clear" w:color="000000" w:fill="95B3D7"/>
            <w:vAlign w:val="center"/>
            <w:hideMark/>
          </w:tcPr>
          <w:p w:rsidR="00B568E4" w:rsidRPr="00A16E18" w:rsidRDefault="00B568E4" w:rsidP="00B568E4">
            <w:pPr>
              <w:spacing w:after="0" w:line="240" w:lineRule="auto"/>
              <w:rPr>
                <w:rFonts w:ascii="Bodoni MT" w:eastAsia="Times New Roman" w:hAnsi="Bodoni MT" w:cs="Calibri"/>
                <w:color w:val="000000"/>
                <w:sz w:val="18"/>
                <w:szCs w:val="18"/>
                <w:lang w:eastAsia="it-IT"/>
              </w:rPr>
            </w:pPr>
            <w:r w:rsidRPr="0057559F">
              <w:rPr>
                <w:rFonts w:ascii="Bodoni MT" w:eastAsia="Times New Roman" w:hAnsi="Bodoni MT" w:cs="Calibri"/>
                <w:color w:val="FFFFFF" w:themeColor="background1"/>
                <w:sz w:val="18"/>
                <w:lang w:eastAsia="it-IT"/>
              </w:rPr>
              <w:t xml:space="preserve">200104 - LANUSEI </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7.214.827,24</w:t>
            </w:r>
          </w:p>
        </w:tc>
        <w:tc>
          <w:tcPr>
            <w:tcW w:w="98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6.406.538,80</w:t>
            </w:r>
          </w:p>
        </w:tc>
        <w:tc>
          <w:tcPr>
            <w:tcW w:w="964" w:type="pct"/>
            <w:tcBorders>
              <w:top w:val="nil"/>
              <w:left w:val="nil"/>
              <w:bottom w:val="single" w:sz="4" w:space="0" w:color="auto"/>
              <w:right w:val="single" w:sz="4" w:space="0" w:color="auto"/>
            </w:tcBorders>
            <w:shd w:val="clear" w:color="auto" w:fill="auto"/>
            <w:vAlign w:val="center"/>
            <w:hideMark/>
          </w:tcPr>
          <w:p w:rsidR="00B568E4" w:rsidRPr="00A16E18" w:rsidRDefault="00B568E4" w:rsidP="0057559F">
            <w:pPr>
              <w:spacing w:after="0" w:line="240" w:lineRule="auto"/>
              <w:jc w:val="right"/>
              <w:rPr>
                <w:rFonts w:ascii="Calibri" w:eastAsia="Times New Roman" w:hAnsi="Calibri" w:cs="Calibri"/>
                <w:color w:val="000000"/>
                <w:sz w:val="18"/>
                <w:szCs w:val="18"/>
                <w:lang w:eastAsia="it-IT"/>
              </w:rPr>
            </w:pPr>
            <w:r w:rsidRPr="00A16E18">
              <w:rPr>
                <w:rFonts w:ascii="Calibri" w:eastAsia="Times New Roman" w:hAnsi="Calibri" w:cs="Calibri"/>
                <w:color w:val="000000"/>
                <w:sz w:val="18"/>
                <w:lang w:eastAsia="it-IT"/>
              </w:rPr>
              <w:t>808.288,44</w:t>
            </w:r>
          </w:p>
        </w:tc>
      </w:tr>
      <w:tr w:rsidR="00B568E4" w:rsidRPr="0057559F" w:rsidTr="00792B2D">
        <w:trPr>
          <w:trHeight w:val="245"/>
          <w:jc w:val="center"/>
        </w:trPr>
        <w:tc>
          <w:tcPr>
            <w:tcW w:w="2068"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57559F" w:rsidRDefault="00792B2D" w:rsidP="0057559F">
            <w:pPr>
              <w:spacing w:after="0" w:line="240" w:lineRule="auto"/>
              <w:rPr>
                <w:rFonts w:ascii="Bodoni MT" w:eastAsia="Times New Roman" w:hAnsi="Bodoni MT" w:cs="Calibri"/>
                <w:b/>
                <w:bCs/>
                <w:color w:val="FFFFFF"/>
                <w:sz w:val="18"/>
                <w:szCs w:val="18"/>
                <w:lang w:eastAsia="it-IT"/>
              </w:rPr>
            </w:pPr>
            <w:r w:rsidRPr="0057559F">
              <w:rPr>
                <w:rFonts w:ascii="Bodoni MT" w:eastAsia="Times New Roman" w:hAnsi="Bodoni MT" w:cs="Calibri"/>
                <w:b/>
                <w:bCs/>
                <w:color w:val="FFFFFF"/>
                <w:sz w:val="18"/>
                <w:szCs w:val="18"/>
                <w:lang w:eastAsia="it-IT"/>
              </w:rPr>
              <w:t>TOTALE</w:t>
            </w:r>
          </w:p>
        </w:tc>
        <w:tc>
          <w:tcPr>
            <w:tcW w:w="984" w:type="pct"/>
            <w:tcBorders>
              <w:top w:val="nil"/>
              <w:left w:val="nil"/>
              <w:bottom w:val="single" w:sz="4" w:space="0" w:color="auto"/>
              <w:right w:val="single" w:sz="4" w:space="0" w:color="auto"/>
            </w:tcBorders>
            <w:shd w:val="clear" w:color="auto" w:fill="FFFFFF" w:themeFill="background1"/>
            <w:vAlign w:val="center"/>
            <w:hideMark/>
          </w:tcPr>
          <w:p w:rsidR="00B568E4" w:rsidRPr="0057559F" w:rsidRDefault="00B568E4" w:rsidP="0057559F">
            <w:pPr>
              <w:spacing w:after="0" w:line="240" w:lineRule="auto"/>
              <w:jc w:val="right"/>
              <w:rPr>
                <w:rFonts w:ascii="Calibri" w:eastAsia="Times New Roman" w:hAnsi="Calibri" w:cs="Calibri"/>
                <w:b/>
                <w:bCs/>
                <w:sz w:val="18"/>
                <w:szCs w:val="18"/>
                <w:lang w:eastAsia="it-IT"/>
              </w:rPr>
            </w:pPr>
            <w:r w:rsidRPr="0057559F">
              <w:rPr>
                <w:rFonts w:ascii="Calibri" w:eastAsia="Times New Roman" w:hAnsi="Calibri" w:cs="Calibri"/>
                <w:b/>
                <w:bCs/>
                <w:sz w:val="18"/>
                <w:szCs w:val="18"/>
                <w:lang w:eastAsia="it-IT"/>
              </w:rPr>
              <w:t>327.610.133,45</w:t>
            </w:r>
          </w:p>
        </w:tc>
        <w:tc>
          <w:tcPr>
            <w:tcW w:w="984" w:type="pct"/>
            <w:tcBorders>
              <w:top w:val="nil"/>
              <w:left w:val="nil"/>
              <w:bottom w:val="single" w:sz="4" w:space="0" w:color="auto"/>
              <w:right w:val="single" w:sz="4" w:space="0" w:color="auto"/>
            </w:tcBorders>
            <w:shd w:val="clear" w:color="auto" w:fill="FFFFFF" w:themeFill="background1"/>
            <w:vAlign w:val="center"/>
            <w:hideMark/>
          </w:tcPr>
          <w:p w:rsidR="00B568E4" w:rsidRPr="0057559F" w:rsidRDefault="00B568E4" w:rsidP="0057559F">
            <w:pPr>
              <w:spacing w:after="0" w:line="240" w:lineRule="auto"/>
              <w:jc w:val="right"/>
              <w:rPr>
                <w:rFonts w:ascii="Calibri" w:eastAsia="Times New Roman" w:hAnsi="Calibri" w:cs="Calibri"/>
                <w:b/>
                <w:bCs/>
                <w:sz w:val="18"/>
                <w:szCs w:val="18"/>
                <w:lang w:eastAsia="it-IT"/>
              </w:rPr>
            </w:pPr>
            <w:r w:rsidRPr="0057559F">
              <w:rPr>
                <w:rFonts w:ascii="Calibri" w:eastAsia="Times New Roman" w:hAnsi="Calibri" w:cs="Calibri"/>
                <w:b/>
                <w:bCs/>
                <w:sz w:val="18"/>
                <w:szCs w:val="18"/>
                <w:lang w:eastAsia="it-IT"/>
              </w:rPr>
              <w:t>290.231.447,54</w:t>
            </w:r>
          </w:p>
        </w:tc>
        <w:tc>
          <w:tcPr>
            <w:tcW w:w="964" w:type="pct"/>
            <w:tcBorders>
              <w:top w:val="nil"/>
              <w:left w:val="nil"/>
              <w:bottom w:val="single" w:sz="4" w:space="0" w:color="auto"/>
              <w:right w:val="single" w:sz="4" w:space="0" w:color="auto"/>
            </w:tcBorders>
            <w:shd w:val="clear" w:color="auto" w:fill="FFFFFF" w:themeFill="background1"/>
            <w:vAlign w:val="center"/>
            <w:hideMark/>
          </w:tcPr>
          <w:p w:rsidR="00B568E4" w:rsidRPr="0057559F" w:rsidRDefault="00B568E4" w:rsidP="0057559F">
            <w:pPr>
              <w:spacing w:after="0" w:line="240" w:lineRule="auto"/>
              <w:jc w:val="right"/>
              <w:rPr>
                <w:rFonts w:ascii="Calibri" w:eastAsia="Times New Roman" w:hAnsi="Calibri" w:cs="Calibri"/>
                <w:b/>
                <w:bCs/>
                <w:sz w:val="18"/>
                <w:szCs w:val="18"/>
                <w:lang w:eastAsia="it-IT"/>
              </w:rPr>
            </w:pPr>
            <w:r w:rsidRPr="0057559F">
              <w:rPr>
                <w:rFonts w:ascii="Calibri" w:eastAsia="Times New Roman" w:hAnsi="Calibri" w:cs="Calibri"/>
                <w:b/>
                <w:bCs/>
                <w:sz w:val="18"/>
                <w:szCs w:val="18"/>
                <w:lang w:eastAsia="it-IT"/>
              </w:rPr>
              <w:t>37.378.685,91</w:t>
            </w:r>
          </w:p>
        </w:tc>
      </w:tr>
    </w:tbl>
    <w:p w:rsidR="00B568E4" w:rsidRPr="006871DF" w:rsidRDefault="00B568E4" w:rsidP="00B568E4">
      <w:pPr>
        <w:spacing w:line="360" w:lineRule="auto"/>
        <w:jc w:val="both"/>
        <w:rPr>
          <w:rFonts w:ascii="Bodoni MT" w:hAnsi="Bodoni MT"/>
          <w:sz w:val="16"/>
          <w:szCs w:val="16"/>
        </w:rPr>
      </w:pPr>
      <w:r w:rsidRPr="006871DF">
        <w:rPr>
          <w:rFonts w:ascii="Bodoni MT" w:hAnsi="Bodoni MT"/>
          <w:sz w:val="16"/>
          <w:szCs w:val="16"/>
        </w:rPr>
        <w:t>Fonte dati NSIS</w:t>
      </w:r>
    </w:p>
    <w:p w:rsidR="00B568E4" w:rsidRPr="006871DF" w:rsidRDefault="00B568E4" w:rsidP="00B568E4">
      <w:pPr>
        <w:spacing w:line="360" w:lineRule="auto"/>
        <w:jc w:val="both"/>
        <w:rPr>
          <w:rFonts w:ascii="Bodoni MT" w:hAnsi="Bodoni MT"/>
          <w:sz w:val="24"/>
          <w:szCs w:val="24"/>
        </w:rPr>
      </w:pPr>
      <w:r w:rsidRPr="00806853">
        <w:rPr>
          <w:rFonts w:ascii="Bodoni MT" w:hAnsi="Bodoni MT"/>
          <w:b/>
          <w:sz w:val="24"/>
          <w:szCs w:val="24"/>
        </w:rPr>
        <w:t>Relativamente alla farmaceutica ospedaliera, è stato rilevato un decremento della stessa</w:t>
      </w:r>
      <w:r w:rsidRPr="006871DF">
        <w:rPr>
          <w:rFonts w:ascii="Bodoni MT" w:hAnsi="Bodoni MT"/>
          <w:sz w:val="24"/>
          <w:szCs w:val="24"/>
        </w:rPr>
        <w:t xml:space="preserve"> grazie alle azioni previste dal PdR, nonostante l’immissione in commercio, nell’anno 2016, di numerosi farmaci ad alto costo (oncologici, per il trattamento di patologie immunologiche e rare). Nella tabella sottostante si riportano i risultati raggiunti per ciascuna Azienda.</w:t>
      </w:r>
    </w:p>
    <w:p w:rsidR="00B568E4" w:rsidRPr="006871DF" w:rsidRDefault="0057559F" w:rsidP="0057559F">
      <w:pPr>
        <w:pStyle w:val="Didascalia"/>
        <w:keepNext/>
        <w:rPr>
          <w:sz w:val="24"/>
          <w:szCs w:val="24"/>
        </w:rPr>
      </w:pPr>
      <w:bookmarkStart w:id="322" w:name="_Toc507422550"/>
      <w:r>
        <w:t xml:space="preserve">Tabella </w:t>
      </w:r>
      <w:r w:rsidR="00B90472">
        <w:fldChar w:fldCharType="begin"/>
      </w:r>
      <w:r w:rsidR="00B90472">
        <w:instrText xml:space="preserve"> SEQ Tabella \* ARABIC </w:instrText>
      </w:r>
      <w:r w:rsidR="00B90472">
        <w:fldChar w:fldCharType="separate"/>
      </w:r>
      <w:r w:rsidR="008616B3">
        <w:rPr>
          <w:noProof/>
        </w:rPr>
        <w:t>82</w:t>
      </w:r>
      <w:r w:rsidR="00B90472">
        <w:rPr>
          <w:noProof/>
        </w:rPr>
        <w:fldChar w:fldCharType="end"/>
      </w:r>
      <w:r>
        <w:t xml:space="preserve"> -</w:t>
      </w:r>
      <w:r w:rsidR="00B568E4" w:rsidRPr="006871DF">
        <w:rPr>
          <w:sz w:val="24"/>
          <w:szCs w:val="24"/>
        </w:rPr>
        <w:t xml:space="preserve"> Spesa Ospedaliera da flusso CMO</w:t>
      </w:r>
      <w:bookmarkEnd w:id="322"/>
    </w:p>
    <w:tbl>
      <w:tblPr>
        <w:tblW w:w="5000" w:type="pct"/>
        <w:jc w:val="center"/>
        <w:tblCellMar>
          <w:left w:w="70" w:type="dxa"/>
          <w:right w:w="70" w:type="dxa"/>
        </w:tblCellMar>
        <w:tblLook w:val="04A0" w:firstRow="1" w:lastRow="0" w:firstColumn="1" w:lastColumn="0" w:noHBand="0" w:noVBand="1"/>
      </w:tblPr>
      <w:tblGrid>
        <w:gridCol w:w="5524"/>
        <w:gridCol w:w="1431"/>
        <w:gridCol w:w="1431"/>
        <w:gridCol w:w="1392"/>
      </w:tblGrid>
      <w:tr w:rsidR="00B568E4" w:rsidRPr="007D485B" w:rsidTr="00792B2D">
        <w:trPr>
          <w:trHeight w:val="398"/>
          <w:jc w:val="center"/>
        </w:trPr>
        <w:tc>
          <w:tcPr>
            <w:tcW w:w="2824" w:type="pct"/>
            <w:tcBorders>
              <w:top w:val="single" w:sz="4" w:space="0" w:color="auto"/>
              <w:left w:val="single" w:sz="4" w:space="0" w:color="auto"/>
              <w:bottom w:val="single" w:sz="4" w:space="0" w:color="auto"/>
              <w:right w:val="single" w:sz="4" w:space="0" w:color="auto"/>
            </w:tcBorders>
            <w:shd w:val="clear" w:color="000000" w:fill="17365D"/>
            <w:vAlign w:val="center"/>
            <w:hideMark/>
          </w:tcPr>
          <w:p w:rsidR="00B568E4" w:rsidRPr="007D485B" w:rsidRDefault="0057559F" w:rsidP="00B568E4">
            <w:pPr>
              <w:spacing w:after="0" w:line="240" w:lineRule="auto"/>
              <w:jc w:val="center"/>
              <w:rPr>
                <w:rFonts w:ascii="Bodoni MT" w:eastAsia="Times New Roman" w:hAnsi="Bodoni MT" w:cs="Calibri"/>
                <w:b/>
                <w:bCs/>
                <w:color w:val="FFFFFF"/>
                <w:sz w:val="18"/>
                <w:szCs w:val="18"/>
                <w:lang w:eastAsia="it-IT"/>
              </w:rPr>
            </w:pPr>
            <w:r w:rsidRPr="007D485B">
              <w:rPr>
                <w:rFonts w:ascii="Bodoni MT" w:eastAsia="Times New Roman" w:hAnsi="Bodoni MT" w:cs="Calibri"/>
                <w:b/>
                <w:bCs/>
                <w:color w:val="FFFFFF"/>
                <w:sz w:val="18"/>
                <w:szCs w:val="18"/>
                <w:lang w:eastAsia="it-IT"/>
              </w:rPr>
              <w:t>AZIENDE</w:t>
            </w:r>
          </w:p>
        </w:tc>
        <w:tc>
          <w:tcPr>
            <w:tcW w:w="732" w:type="pct"/>
            <w:tcBorders>
              <w:top w:val="single" w:sz="4" w:space="0" w:color="auto"/>
              <w:left w:val="nil"/>
              <w:bottom w:val="single" w:sz="4" w:space="0" w:color="auto"/>
              <w:right w:val="single" w:sz="4" w:space="0" w:color="auto"/>
            </w:tcBorders>
            <w:shd w:val="clear" w:color="000000" w:fill="17365D"/>
            <w:vAlign w:val="center"/>
            <w:hideMark/>
          </w:tcPr>
          <w:p w:rsidR="00B568E4" w:rsidRPr="007D485B" w:rsidRDefault="00B568E4" w:rsidP="00B568E4">
            <w:pPr>
              <w:spacing w:after="0" w:line="240" w:lineRule="auto"/>
              <w:jc w:val="center"/>
              <w:rPr>
                <w:rFonts w:ascii="Bodoni MT" w:eastAsia="Times New Roman" w:hAnsi="Bodoni MT" w:cs="Calibri"/>
                <w:b/>
                <w:bCs/>
                <w:color w:val="FFFFFF"/>
                <w:sz w:val="18"/>
                <w:szCs w:val="18"/>
                <w:lang w:eastAsia="it-IT"/>
              </w:rPr>
            </w:pPr>
            <w:r w:rsidRPr="007D485B">
              <w:rPr>
                <w:rFonts w:ascii="Bodoni MT" w:eastAsia="Times New Roman" w:hAnsi="Bodoni MT" w:cs="Calibri"/>
                <w:b/>
                <w:bCs/>
                <w:color w:val="FFFFFF"/>
                <w:sz w:val="18"/>
                <w:szCs w:val="18"/>
                <w:lang w:eastAsia="it-IT"/>
              </w:rPr>
              <w:t>2016</w:t>
            </w:r>
          </w:p>
        </w:tc>
        <w:tc>
          <w:tcPr>
            <w:tcW w:w="732" w:type="pct"/>
            <w:tcBorders>
              <w:top w:val="single" w:sz="4" w:space="0" w:color="auto"/>
              <w:left w:val="nil"/>
              <w:bottom w:val="single" w:sz="4" w:space="0" w:color="auto"/>
              <w:right w:val="single" w:sz="4" w:space="0" w:color="auto"/>
            </w:tcBorders>
            <w:shd w:val="clear" w:color="000000" w:fill="17365D"/>
            <w:vAlign w:val="center"/>
            <w:hideMark/>
          </w:tcPr>
          <w:p w:rsidR="00B568E4" w:rsidRPr="007D485B" w:rsidRDefault="00B568E4" w:rsidP="00B568E4">
            <w:pPr>
              <w:spacing w:after="0" w:line="240" w:lineRule="auto"/>
              <w:jc w:val="center"/>
              <w:rPr>
                <w:rFonts w:ascii="Bodoni MT" w:eastAsia="Times New Roman" w:hAnsi="Bodoni MT" w:cs="Calibri"/>
                <w:b/>
                <w:bCs/>
                <w:color w:val="FFFFFF"/>
                <w:sz w:val="18"/>
                <w:szCs w:val="18"/>
                <w:lang w:eastAsia="it-IT"/>
              </w:rPr>
            </w:pPr>
            <w:r w:rsidRPr="007D485B">
              <w:rPr>
                <w:rFonts w:ascii="Bodoni MT" w:eastAsia="Times New Roman" w:hAnsi="Bodoni MT" w:cs="Calibri"/>
                <w:b/>
                <w:bCs/>
                <w:color w:val="FFFFFF"/>
                <w:sz w:val="18"/>
                <w:szCs w:val="18"/>
                <w:lang w:eastAsia="it-IT"/>
              </w:rPr>
              <w:t>2015</w:t>
            </w:r>
          </w:p>
        </w:tc>
        <w:tc>
          <w:tcPr>
            <w:tcW w:w="712" w:type="pct"/>
            <w:tcBorders>
              <w:top w:val="single" w:sz="4" w:space="0" w:color="auto"/>
              <w:left w:val="nil"/>
              <w:bottom w:val="single" w:sz="4" w:space="0" w:color="auto"/>
              <w:right w:val="single" w:sz="4" w:space="0" w:color="auto"/>
            </w:tcBorders>
            <w:shd w:val="clear" w:color="000000" w:fill="17365D"/>
            <w:vAlign w:val="center"/>
            <w:hideMark/>
          </w:tcPr>
          <w:p w:rsidR="00B568E4" w:rsidRPr="007D485B" w:rsidRDefault="00B568E4" w:rsidP="00B568E4">
            <w:pPr>
              <w:spacing w:after="0" w:line="240" w:lineRule="auto"/>
              <w:jc w:val="center"/>
              <w:rPr>
                <w:rFonts w:ascii="Bodoni MT" w:eastAsia="Times New Roman" w:hAnsi="Bodoni MT" w:cs="Calibri"/>
                <w:b/>
                <w:bCs/>
                <w:color w:val="FFFFFF"/>
                <w:sz w:val="18"/>
                <w:szCs w:val="18"/>
                <w:lang w:eastAsia="it-IT"/>
              </w:rPr>
            </w:pPr>
            <w:r w:rsidRPr="007D485B">
              <w:rPr>
                <w:rFonts w:ascii="Bodoni MT" w:eastAsia="Times New Roman" w:hAnsi="Bodoni MT" w:cs="Calibri"/>
                <w:b/>
                <w:bCs/>
                <w:color w:val="FFFFFF"/>
                <w:sz w:val="18"/>
                <w:szCs w:val="18"/>
                <w:lang w:eastAsia="it-IT"/>
              </w:rPr>
              <w:t xml:space="preserve">∆ 2016/2015 </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200108 - CAGLIARI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7.439.522,81</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16.606.256,15</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-9.166.733,34</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200905 - AZIENDA OSPED. UNIVERSITARIA DI SASSARI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14.200.074,58</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7.174.143,32</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7.025.931,26</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200904 - OSPEDALE BROTZU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14.164.237,27</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10.737.773,84</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3.426.463,43</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200906 - AZIENDA OSPED. UNIVERSITARIA DI CAGLIARI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6.168.585,49</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6.249.960,77</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-81.375,28</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200101 - SASSARI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4.887.151,15</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10.794.815,33</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-5.907.664,19</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200103 - NUORO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5.689.609,99</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5.625.592,77</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64.017,21</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200105 - ORISTANO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6.949.558,96</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6.185.144,30</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764.414,66</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200102 - OLBIA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6.581.384,66</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6.470.589,16</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110.795,51</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200107 - CARBONIA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3.332.078,54</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3.668.354,93</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-336.276,38</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000000" w:fill="95B3D7"/>
            <w:vAlign w:val="center"/>
            <w:hideMark/>
          </w:tcPr>
          <w:p w:rsidR="00B568E4" w:rsidRPr="007D485B" w:rsidRDefault="00B568E4" w:rsidP="00B568E4">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200106 - SANLURI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1.972.517,91</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1.670.833,74</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301.684,18</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7D485B" w:rsidRDefault="00B568E4" w:rsidP="0057559F">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200104 - LANUSEI </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1.215.580,02</w:t>
            </w:r>
          </w:p>
        </w:tc>
        <w:tc>
          <w:tcPr>
            <w:tcW w:w="73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B568E4">
            <w:pPr>
              <w:spacing w:after="0" w:line="240" w:lineRule="auto"/>
              <w:jc w:val="right"/>
              <w:rPr>
                <w:rFonts w:ascii="Calibri" w:eastAsia="Times New Roman" w:hAnsi="Calibri" w:cs="Calibri"/>
                <w:color w:val="000000"/>
                <w:sz w:val="18"/>
                <w:szCs w:val="18"/>
                <w:lang w:eastAsia="it-IT"/>
              </w:rPr>
            </w:pPr>
            <w:r w:rsidRPr="007D485B">
              <w:rPr>
                <w:rFonts w:ascii="Calibri" w:eastAsia="Times New Roman" w:hAnsi="Calibri" w:cs="Calibri"/>
                <w:color w:val="000000"/>
                <w:sz w:val="18"/>
                <w:szCs w:val="18"/>
                <w:lang w:eastAsia="it-IT"/>
              </w:rPr>
              <w:t>1.290.609,53</w:t>
            </w:r>
          </w:p>
        </w:tc>
        <w:tc>
          <w:tcPr>
            <w:tcW w:w="712" w:type="pct"/>
            <w:tcBorders>
              <w:top w:val="nil"/>
              <w:left w:val="nil"/>
              <w:bottom w:val="single" w:sz="4" w:space="0" w:color="auto"/>
              <w:right w:val="single" w:sz="4" w:space="0" w:color="auto"/>
            </w:tcBorders>
            <w:shd w:val="clear" w:color="auto" w:fill="auto"/>
            <w:vAlign w:val="center"/>
            <w:hideMark/>
          </w:tcPr>
          <w:p w:rsidR="00B568E4" w:rsidRPr="007D485B" w:rsidRDefault="00B568E4" w:rsidP="007D485B">
            <w:pPr>
              <w:spacing w:after="0" w:line="240" w:lineRule="auto"/>
              <w:jc w:val="right"/>
              <w:rPr>
                <w:rFonts w:ascii="Calibri" w:eastAsia="Times New Roman" w:hAnsi="Calibri" w:cs="Calibri"/>
                <w:sz w:val="18"/>
                <w:szCs w:val="18"/>
                <w:lang w:eastAsia="it-IT"/>
              </w:rPr>
            </w:pPr>
            <w:r w:rsidRPr="007D485B">
              <w:rPr>
                <w:rFonts w:ascii="Calibri" w:eastAsia="Times New Roman" w:hAnsi="Calibri" w:cs="Calibri"/>
                <w:sz w:val="18"/>
                <w:szCs w:val="18"/>
                <w:lang w:eastAsia="it-IT"/>
              </w:rPr>
              <w:t>-75.029,51</w:t>
            </w:r>
          </w:p>
        </w:tc>
      </w:tr>
      <w:tr w:rsidR="007D485B" w:rsidRPr="007D485B" w:rsidTr="00792B2D">
        <w:trPr>
          <w:trHeight w:val="398"/>
          <w:jc w:val="center"/>
        </w:trPr>
        <w:tc>
          <w:tcPr>
            <w:tcW w:w="2824"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568E4" w:rsidRPr="007D485B" w:rsidRDefault="00B568E4" w:rsidP="0057559F">
            <w:pPr>
              <w:spacing w:after="0" w:line="240" w:lineRule="auto"/>
              <w:rPr>
                <w:rFonts w:ascii="Bodoni MT" w:eastAsia="Times New Roman" w:hAnsi="Bodoni MT" w:cs="Calibri"/>
                <w:b/>
                <w:bCs/>
                <w:color w:val="FFFFFF" w:themeColor="background1"/>
                <w:sz w:val="18"/>
                <w:szCs w:val="18"/>
                <w:lang w:eastAsia="it-IT"/>
              </w:rPr>
            </w:pPr>
            <w:r w:rsidRPr="007D485B">
              <w:rPr>
                <w:rFonts w:ascii="Bodoni MT" w:eastAsia="Times New Roman" w:hAnsi="Bodoni MT" w:cs="Calibri"/>
                <w:b/>
                <w:bCs/>
                <w:color w:val="FFFFFF" w:themeColor="background1"/>
                <w:sz w:val="18"/>
                <w:szCs w:val="18"/>
                <w:lang w:eastAsia="it-IT"/>
              </w:rPr>
              <w:t xml:space="preserve">Totale  </w:t>
            </w:r>
          </w:p>
        </w:tc>
        <w:tc>
          <w:tcPr>
            <w:tcW w:w="732" w:type="pct"/>
            <w:tcBorders>
              <w:top w:val="nil"/>
              <w:left w:val="nil"/>
              <w:bottom w:val="single" w:sz="4" w:space="0" w:color="auto"/>
              <w:right w:val="single" w:sz="4" w:space="0" w:color="auto"/>
            </w:tcBorders>
            <w:shd w:val="clear" w:color="auto" w:fill="FFFFFF" w:themeFill="background1"/>
            <w:vAlign w:val="center"/>
            <w:hideMark/>
          </w:tcPr>
          <w:p w:rsidR="00B568E4" w:rsidRPr="007D485B" w:rsidRDefault="00B568E4" w:rsidP="00B568E4">
            <w:pPr>
              <w:spacing w:after="0" w:line="240" w:lineRule="auto"/>
              <w:jc w:val="center"/>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 xml:space="preserve">72.600.301,40 </w:t>
            </w:r>
          </w:p>
        </w:tc>
        <w:tc>
          <w:tcPr>
            <w:tcW w:w="732" w:type="pct"/>
            <w:tcBorders>
              <w:top w:val="nil"/>
              <w:left w:val="nil"/>
              <w:bottom w:val="single" w:sz="4" w:space="0" w:color="auto"/>
              <w:right w:val="single" w:sz="4" w:space="0" w:color="auto"/>
            </w:tcBorders>
            <w:shd w:val="clear" w:color="auto" w:fill="FFFFFF" w:themeFill="background1"/>
            <w:vAlign w:val="center"/>
            <w:hideMark/>
          </w:tcPr>
          <w:p w:rsidR="00B568E4" w:rsidRPr="007D485B" w:rsidRDefault="00B568E4" w:rsidP="00B568E4">
            <w:pPr>
              <w:spacing w:after="0" w:line="240" w:lineRule="auto"/>
              <w:jc w:val="center"/>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 xml:space="preserve">76.474.073,84 </w:t>
            </w:r>
          </w:p>
        </w:tc>
        <w:tc>
          <w:tcPr>
            <w:tcW w:w="712" w:type="pct"/>
            <w:tcBorders>
              <w:top w:val="nil"/>
              <w:left w:val="nil"/>
              <w:bottom w:val="single" w:sz="4" w:space="0" w:color="auto"/>
              <w:right w:val="single" w:sz="4" w:space="0" w:color="auto"/>
            </w:tcBorders>
            <w:shd w:val="clear" w:color="auto" w:fill="FFFFFF" w:themeFill="background1"/>
            <w:vAlign w:val="center"/>
            <w:hideMark/>
          </w:tcPr>
          <w:p w:rsidR="00B568E4" w:rsidRPr="007D485B" w:rsidRDefault="007D485B"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w:t>
            </w:r>
            <w:r w:rsidR="00B568E4" w:rsidRPr="007D485B">
              <w:rPr>
                <w:rFonts w:ascii="Bodoni MT" w:eastAsia="Times New Roman" w:hAnsi="Bodoni MT" w:cs="Calibri"/>
                <w:b/>
                <w:bCs/>
                <w:sz w:val="18"/>
                <w:szCs w:val="18"/>
                <w:lang w:eastAsia="it-IT"/>
              </w:rPr>
              <w:t xml:space="preserve">3.873.772,45 </w:t>
            </w:r>
          </w:p>
        </w:tc>
      </w:tr>
    </w:tbl>
    <w:p w:rsidR="00B568E4" w:rsidRPr="007D485B" w:rsidRDefault="00B568E4" w:rsidP="00B568E4">
      <w:pPr>
        <w:spacing w:line="360" w:lineRule="auto"/>
        <w:jc w:val="both"/>
        <w:rPr>
          <w:rFonts w:ascii="Bodoni MT" w:hAnsi="Bodoni MT"/>
          <w:sz w:val="16"/>
          <w:szCs w:val="16"/>
        </w:rPr>
      </w:pPr>
      <w:r w:rsidRPr="007D485B">
        <w:rPr>
          <w:rFonts w:ascii="Bodoni MT" w:hAnsi="Bodoni MT"/>
          <w:sz w:val="16"/>
          <w:szCs w:val="16"/>
        </w:rPr>
        <w:t>Fonte dati NSIS</w:t>
      </w:r>
    </w:p>
    <w:p w:rsidR="009C738D" w:rsidRDefault="00B568E4" w:rsidP="00B568E4">
      <w:pPr>
        <w:pStyle w:val="Titolo2"/>
      </w:pPr>
      <w:bookmarkStart w:id="323" w:name="_Toc507422680"/>
      <w:r>
        <w:lastRenderedPageBreak/>
        <w:t>Il disavanzo sanitario e la relativa copertura</w:t>
      </w:r>
      <w:bookmarkEnd w:id="323"/>
    </w:p>
    <w:p w:rsidR="00B568E4" w:rsidRPr="007A7B8E" w:rsidRDefault="00B568E4" w:rsidP="00B568E4">
      <w:pPr>
        <w:pStyle w:val="CdcTesto"/>
        <w:rPr>
          <w:color w:val="auto"/>
          <w:szCs w:val="21"/>
        </w:rPr>
      </w:pPr>
      <w:r w:rsidRPr="007A7B8E">
        <w:rPr>
          <w:color w:val="auto"/>
          <w:szCs w:val="21"/>
        </w:rPr>
        <w:t>La tabella sotto riportata indica l’ammontare dei disavanzi registrati dalle Aziend</w:t>
      </w:r>
      <w:r w:rsidR="00A41FCD">
        <w:rPr>
          <w:color w:val="auto"/>
          <w:szCs w:val="21"/>
        </w:rPr>
        <w:t>e sanitarie nel triennio 2014-</w:t>
      </w:r>
      <w:r w:rsidRPr="007A7B8E">
        <w:rPr>
          <w:color w:val="auto"/>
          <w:szCs w:val="21"/>
        </w:rPr>
        <w:t xml:space="preserve">2016 e la relativa incidenza percentuale. </w:t>
      </w:r>
    </w:p>
    <w:p w:rsidR="00B568E4" w:rsidRDefault="007D485B" w:rsidP="007D485B">
      <w:pPr>
        <w:pStyle w:val="Didascalia"/>
        <w:keepNext/>
        <w:spacing w:before="120"/>
        <w:rPr>
          <w:sz w:val="24"/>
          <w:szCs w:val="24"/>
        </w:rPr>
      </w:pPr>
      <w:bookmarkStart w:id="324" w:name="_Toc507422551"/>
      <w:r>
        <w:t xml:space="preserve">Tabella </w:t>
      </w:r>
      <w:r w:rsidR="00B90472">
        <w:fldChar w:fldCharType="begin"/>
      </w:r>
      <w:r w:rsidR="00B90472">
        <w:instrText xml:space="preserve"> SEQ Tabella \* ARABIC </w:instrText>
      </w:r>
      <w:r w:rsidR="00B90472">
        <w:fldChar w:fldCharType="separate"/>
      </w:r>
      <w:r w:rsidR="008616B3">
        <w:rPr>
          <w:noProof/>
        </w:rPr>
        <w:t>83</w:t>
      </w:r>
      <w:r w:rsidR="00B90472">
        <w:rPr>
          <w:noProof/>
        </w:rPr>
        <w:fldChar w:fldCharType="end"/>
      </w:r>
      <w:r>
        <w:t xml:space="preserve"> </w:t>
      </w:r>
      <w:r w:rsidR="00B568E4">
        <w:rPr>
          <w:sz w:val="24"/>
          <w:szCs w:val="24"/>
        </w:rPr>
        <w:t>– Perdite di esercizio Aziende 2014 - 2016</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1"/>
        <w:gridCol w:w="1659"/>
        <w:gridCol w:w="991"/>
        <w:gridCol w:w="1658"/>
        <w:gridCol w:w="991"/>
        <w:gridCol w:w="1658"/>
        <w:gridCol w:w="990"/>
      </w:tblGrid>
      <w:tr w:rsidR="00B568E4" w:rsidRPr="005D5EF6" w:rsidTr="007D485B">
        <w:trPr>
          <w:trHeight w:val="20"/>
        </w:trPr>
        <w:tc>
          <w:tcPr>
            <w:tcW w:w="936" w:type="pct"/>
            <w:vMerge w:val="restar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Aziende sanitarie</w:t>
            </w:r>
          </w:p>
        </w:tc>
        <w:tc>
          <w:tcPr>
            <w:tcW w:w="4064" w:type="pct"/>
            <w:gridSpan w:val="6"/>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Perdite di esercizo</w:t>
            </w:r>
          </w:p>
        </w:tc>
      </w:tr>
      <w:tr w:rsidR="00B568E4" w:rsidRPr="005D5EF6" w:rsidTr="007D485B">
        <w:trPr>
          <w:trHeight w:val="20"/>
        </w:trPr>
        <w:tc>
          <w:tcPr>
            <w:tcW w:w="936" w:type="pct"/>
            <w:vMerge/>
            <w:vAlign w:val="center"/>
            <w:hideMark/>
          </w:tcPr>
          <w:p w:rsidR="00B568E4" w:rsidRPr="005D5EF6" w:rsidRDefault="00B568E4" w:rsidP="00B568E4">
            <w:pPr>
              <w:spacing w:after="0" w:line="240" w:lineRule="auto"/>
              <w:rPr>
                <w:rFonts w:ascii="Bodoni MT" w:eastAsia="Times New Roman" w:hAnsi="Bodoni MT" w:cs="Calibri"/>
                <w:b/>
                <w:bCs/>
                <w:color w:val="FFFFFF"/>
                <w:sz w:val="18"/>
                <w:szCs w:val="18"/>
                <w:lang w:eastAsia="it-IT"/>
              </w:rPr>
            </w:pPr>
          </w:p>
        </w:tc>
        <w:tc>
          <w:tcPr>
            <w:tcW w:w="848" w:type="pct"/>
            <w:shd w:val="clear" w:color="000000" w:fill="1F3864"/>
            <w:vAlign w:val="center"/>
            <w:hideMark/>
          </w:tcPr>
          <w:p w:rsidR="00B568E4" w:rsidRPr="005D5EF6" w:rsidRDefault="007D485B" w:rsidP="00B568E4">
            <w:pPr>
              <w:spacing w:after="0" w:line="240" w:lineRule="auto"/>
              <w:jc w:val="center"/>
              <w:rPr>
                <w:rFonts w:ascii="Bodoni MT" w:eastAsia="Times New Roman" w:hAnsi="Bodoni MT" w:cs="Calibri"/>
                <w:b/>
                <w:bCs/>
                <w:color w:val="FFFFFF"/>
                <w:sz w:val="18"/>
                <w:szCs w:val="18"/>
                <w:lang w:eastAsia="it-IT"/>
              </w:rPr>
            </w:pPr>
            <w:r>
              <w:rPr>
                <w:rFonts w:ascii="Bodoni MT" w:eastAsia="Times New Roman" w:hAnsi="Bodoni MT" w:cs="Calibri"/>
                <w:b/>
                <w:bCs/>
                <w:color w:val="FFFFFF"/>
                <w:sz w:val="18"/>
                <w:szCs w:val="18"/>
                <w:lang w:eastAsia="it-IT"/>
              </w:rPr>
              <w:t xml:space="preserve">Esercizo </w:t>
            </w:r>
            <w:r w:rsidR="00B568E4" w:rsidRPr="005D5EF6">
              <w:rPr>
                <w:rFonts w:ascii="Bodoni MT" w:eastAsia="Times New Roman" w:hAnsi="Bodoni MT" w:cs="Calibri"/>
                <w:b/>
                <w:bCs/>
                <w:color w:val="FFFFFF"/>
                <w:sz w:val="18"/>
                <w:szCs w:val="18"/>
                <w:lang w:eastAsia="it-IT"/>
              </w:rPr>
              <w:t xml:space="preserve">2014 </w:t>
            </w:r>
          </w:p>
        </w:tc>
        <w:tc>
          <w:tcPr>
            <w:tcW w:w="507" w:type="pc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incidenza %</w:t>
            </w:r>
          </w:p>
        </w:tc>
        <w:tc>
          <w:tcPr>
            <w:tcW w:w="848" w:type="pc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 xml:space="preserve">Esercizio 2015 </w:t>
            </w:r>
          </w:p>
        </w:tc>
        <w:tc>
          <w:tcPr>
            <w:tcW w:w="507" w:type="pc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incidenza %</w:t>
            </w:r>
          </w:p>
        </w:tc>
        <w:tc>
          <w:tcPr>
            <w:tcW w:w="848" w:type="pc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Esercizio 2016</w:t>
            </w:r>
            <w:r>
              <w:rPr>
                <w:rFonts w:ascii="Bodoni MT" w:eastAsia="Times New Roman" w:hAnsi="Bodoni MT" w:cs="Calibri"/>
                <w:b/>
                <w:bCs/>
                <w:color w:val="FFFFFF"/>
                <w:sz w:val="18"/>
                <w:szCs w:val="18"/>
                <w:lang w:eastAsia="it-IT"/>
              </w:rPr>
              <w:t>*</w:t>
            </w:r>
          </w:p>
        </w:tc>
        <w:tc>
          <w:tcPr>
            <w:tcW w:w="507" w:type="pct"/>
            <w:shd w:val="clear" w:color="000000" w:fill="1F3864"/>
            <w:vAlign w:val="center"/>
            <w:hideMark/>
          </w:tcPr>
          <w:p w:rsidR="00B568E4" w:rsidRPr="005D5EF6" w:rsidRDefault="00B568E4" w:rsidP="00B568E4">
            <w:pPr>
              <w:spacing w:after="0" w:line="240" w:lineRule="auto"/>
              <w:jc w:val="center"/>
              <w:rPr>
                <w:rFonts w:ascii="Bodoni MT" w:eastAsia="Times New Roman" w:hAnsi="Bodoni MT" w:cs="Calibri"/>
                <w:b/>
                <w:bCs/>
                <w:color w:val="FFFFFF"/>
                <w:sz w:val="18"/>
                <w:szCs w:val="18"/>
                <w:lang w:eastAsia="it-IT"/>
              </w:rPr>
            </w:pPr>
            <w:r w:rsidRPr="005D5EF6">
              <w:rPr>
                <w:rFonts w:ascii="Bodoni MT" w:eastAsia="Times New Roman" w:hAnsi="Bodoni MT" w:cs="Calibri"/>
                <w:b/>
                <w:bCs/>
                <w:color w:val="FFFFFF"/>
                <w:sz w:val="18"/>
                <w:szCs w:val="18"/>
                <w:lang w:eastAsia="it-IT"/>
              </w:rPr>
              <w:t>incidenza %</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1 Sassari</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21.014.554,00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9,57</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56.264.018,00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17,13</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63.910.000,00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21,33</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2 Olbia</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14.612.755,00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6,65</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16.190.815,00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4,93</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18.166.000,00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6,06</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3 Nuoro</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38.288.765,00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17,43</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35.133.406,00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10,70</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33.481.000,00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11,17</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4 Lanusei</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7.128.966,00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3,25</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12.422.414,00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3,78</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7.217.000,00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2,41</w:t>
            </w:r>
          </w:p>
        </w:tc>
      </w:tr>
      <w:tr w:rsidR="00B568E4" w:rsidRPr="005D5EF6" w:rsidTr="00A41FCD">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5 Oristano</w:t>
            </w:r>
          </w:p>
        </w:tc>
        <w:tc>
          <w:tcPr>
            <w:tcW w:w="848" w:type="pct"/>
            <w:shd w:val="clear" w:color="auto" w:fill="auto"/>
            <w:noWrap/>
            <w:vAlign w:val="center"/>
          </w:tcPr>
          <w:p w:rsidR="00B568E4" w:rsidRPr="005D5EF6" w:rsidRDefault="00B568E4" w:rsidP="00A41FCD">
            <w:pPr>
              <w:spacing w:after="0" w:line="240" w:lineRule="auto"/>
              <w:jc w:val="right"/>
              <w:rPr>
                <w:rFonts w:ascii="Bodoni MT" w:eastAsia="Times New Roman" w:hAnsi="Bodoni MT" w:cs="Calibri"/>
                <w:color w:val="000000"/>
                <w:sz w:val="18"/>
                <w:szCs w:val="18"/>
                <w:lang w:eastAsia="it-IT"/>
              </w:rPr>
            </w:pPr>
          </w:p>
        </w:tc>
        <w:tc>
          <w:tcPr>
            <w:tcW w:w="507" w:type="pct"/>
            <w:shd w:val="clear" w:color="auto" w:fill="auto"/>
            <w:noWrap/>
            <w:vAlign w:val="center"/>
          </w:tcPr>
          <w:p w:rsidR="00B568E4" w:rsidRPr="005D5EF6" w:rsidRDefault="00B568E4" w:rsidP="00A41FCD">
            <w:pPr>
              <w:spacing w:after="0" w:line="240" w:lineRule="auto"/>
              <w:jc w:val="right"/>
              <w:rPr>
                <w:rFonts w:ascii="Bodoni MT" w:eastAsia="Times New Roman" w:hAnsi="Bodoni MT" w:cs="Calibri"/>
                <w:color w:val="000000"/>
                <w:sz w:val="18"/>
                <w:szCs w:val="18"/>
                <w:lang w:eastAsia="it-IT"/>
              </w:rPr>
            </w:pP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9.129.248,00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2,78</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23.957.000,00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7,99</w:t>
            </w:r>
          </w:p>
        </w:tc>
      </w:tr>
      <w:tr w:rsidR="00B568E4" w:rsidRPr="005D5EF6" w:rsidTr="00A41FCD">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6 Sanluri</w:t>
            </w:r>
          </w:p>
        </w:tc>
        <w:tc>
          <w:tcPr>
            <w:tcW w:w="848" w:type="pct"/>
            <w:shd w:val="clear" w:color="auto" w:fill="auto"/>
            <w:noWrap/>
            <w:vAlign w:val="center"/>
          </w:tcPr>
          <w:p w:rsidR="00B568E4" w:rsidRPr="005D5EF6" w:rsidRDefault="00B568E4" w:rsidP="00A41FCD">
            <w:pPr>
              <w:spacing w:after="0" w:line="240" w:lineRule="auto"/>
              <w:jc w:val="right"/>
              <w:rPr>
                <w:rFonts w:ascii="Bodoni MT" w:eastAsia="Times New Roman" w:hAnsi="Bodoni MT" w:cs="Calibri"/>
                <w:color w:val="000000"/>
                <w:sz w:val="18"/>
                <w:szCs w:val="18"/>
                <w:lang w:eastAsia="it-IT"/>
              </w:rPr>
            </w:pPr>
          </w:p>
        </w:tc>
        <w:tc>
          <w:tcPr>
            <w:tcW w:w="507" w:type="pct"/>
            <w:shd w:val="clear" w:color="auto" w:fill="auto"/>
            <w:noWrap/>
            <w:vAlign w:val="center"/>
          </w:tcPr>
          <w:p w:rsidR="00B568E4" w:rsidRPr="005D5EF6" w:rsidRDefault="00B568E4" w:rsidP="00A41FCD">
            <w:pPr>
              <w:spacing w:after="0" w:line="240" w:lineRule="auto"/>
              <w:jc w:val="right"/>
              <w:rPr>
                <w:rFonts w:ascii="Bodoni MT" w:eastAsia="Times New Roman" w:hAnsi="Bodoni MT" w:cs="Calibri"/>
                <w:color w:val="000000"/>
                <w:sz w:val="18"/>
                <w:szCs w:val="18"/>
                <w:lang w:eastAsia="it-IT"/>
              </w:rPr>
            </w:pP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6.274.954,00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1,91</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6.067.000,00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2,02</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7 Carbonia</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16.040.100,00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7,30</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28.115.776,00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8,56</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31.382.000,00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10,47</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ASL 8 Cagliari</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66.101.065,00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30,09</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87.749.113,00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26,72</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58.381.000,00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19,48</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AO Brotzu</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19.117.761,00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8,70</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40.987.593,00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12,48</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18.680.000,00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6,23</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AOU CA</w:t>
            </w:r>
          </w:p>
        </w:tc>
        <w:tc>
          <w:tcPr>
            <w:tcW w:w="848"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17.193.662,00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7,83</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27.145.313,00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8,27</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10.406.000,00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3,47</w:t>
            </w:r>
          </w:p>
        </w:tc>
      </w:tr>
      <w:tr w:rsidR="00B568E4" w:rsidRPr="005D5EF6" w:rsidTr="007D485B">
        <w:trPr>
          <w:trHeight w:val="20"/>
        </w:trPr>
        <w:tc>
          <w:tcPr>
            <w:tcW w:w="936" w:type="pct"/>
            <w:shd w:val="clear" w:color="auto" w:fill="95B3D7" w:themeFill="accent1" w:themeFillTint="99"/>
            <w:vAlign w:val="center"/>
            <w:hideMark/>
          </w:tcPr>
          <w:p w:rsidR="00B568E4" w:rsidRPr="007D485B" w:rsidRDefault="00B568E4" w:rsidP="007D485B">
            <w:pPr>
              <w:spacing w:after="0" w:line="240" w:lineRule="auto"/>
              <w:rPr>
                <w:rFonts w:ascii="Bodoni MT" w:eastAsia="Times New Roman" w:hAnsi="Bodoni MT" w:cs="Calibri"/>
                <w:color w:val="FFFFFF" w:themeColor="background1"/>
                <w:sz w:val="18"/>
                <w:szCs w:val="18"/>
                <w:lang w:eastAsia="it-IT"/>
              </w:rPr>
            </w:pPr>
            <w:r w:rsidRPr="007D485B">
              <w:rPr>
                <w:rFonts w:ascii="Bodoni MT" w:eastAsia="Times New Roman" w:hAnsi="Bodoni MT" w:cs="Calibri"/>
                <w:color w:val="FFFFFF" w:themeColor="background1"/>
                <w:sz w:val="18"/>
                <w:szCs w:val="18"/>
                <w:lang w:eastAsia="it-IT"/>
              </w:rPr>
              <w:t xml:space="preserve">AOU SS </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20.164.066,00</w:t>
            </w:r>
          </w:p>
        </w:tc>
        <w:tc>
          <w:tcPr>
            <w:tcW w:w="507"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9,18</w:t>
            </w:r>
          </w:p>
        </w:tc>
        <w:tc>
          <w:tcPr>
            <w:tcW w:w="848" w:type="pct"/>
            <w:shd w:val="clear" w:color="auto" w:fill="auto"/>
            <w:noWrap/>
            <w:vAlign w:val="bottom"/>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8.959.338,00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2,73</w:t>
            </w:r>
          </w:p>
        </w:tc>
        <w:tc>
          <w:tcPr>
            <w:tcW w:w="848" w:type="pct"/>
            <w:shd w:val="clear" w:color="auto" w:fill="auto"/>
            <w:noWrap/>
            <w:vAlign w:val="center"/>
            <w:hideMark/>
          </w:tcPr>
          <w:p w:rsidR="00B568E4" w:rsidRPr="005D5EF6" w:rsidRDefault="00B568E4" w:rsidP="007D485B">
            <w:pPr>
              <w:spacing w:after="0" w:line="240" w:lineRule="auto"/>
              <w:jc w:val="right"/>
              <w:rPr>
                <w:rFonts w:ascii="Bodoni MT" w:eastAsia="Times New Roman" w:hAnsi="Bodoni MT" w:cs="Calibri"/>
                <w:sz w:val="18"/>
                <w:szCs w:val="18"/>
                <w:lang w:eastAsia="it-IT"/>
              </w:rPr>
            </w:pPr>
            <w:r w:rsidRPr="005D5EF6">
              <w:rPr>
                <w:rFonts w:ascii="Bodoni MT" w:eastAsia="Times New Roman" w:hAnsi="Bodoni MT" w:cs="Calibri"/>
                <w:sz w:val="18"/>
                <w:szCs w:val="18"/>
                <w:lang w:eastAsia="it-IT"/>
              </w:rPr>
              <w:t>28.018.000,00</w:t>
            </w:r>
          </w:p>
        </w:tc>
        <w:tc>
          <w:tcPr>
            <w:tcW w:w="507" w:type="pct"/>
            <w:shd w:val="clear" w:color="auto" w:fill="auto"/>
            <w:noWrap/>
            <w:vAlign w:val="center"/>
            <w:hideMark/>
          </w:tcPr>
          <w:p w:rsidR="00B568E4" w:rsidRPr="005D5EF6" w:rsidRDefault="00B568E4" w:rsidP="00B568E4">
            <w:pPr>
              <w:spacing w:after="0" w:line="240" w:lineRule="auto"/>
              <w:jc w:val="right"/>
              <w:rPr>
                <w:rFonts w:ascii="Bodoni MT" w:eastAsia="Times New Roman" w:hAnsi="Bodoni MT" w:cs="Calibri"/>
                <w:color w:val="000000"/>
                <w:sz w:val="18"/>
                <w:szCs w:val="18"/>
                <w:lang w:eastAsia="it-IT"/>
              </w:rPr>
            </w:pPr>
            <w:r w:rsidRPr="005D5EF6">
              <w:rPr>
                <w:rFonts w:ascii="Bodoni MT" w:eastAsia="Times New Roman" w:hAnsi="Bodoni MT" w:cs="Calibri"/>
                <w:color w:val="000000"/>
                <w:sz w:val="18"/>
                <w:szCs w:val="18"/>
                <w:lang w:eastAsia="it-IT"/>
              </w:rPr>
              <w:t>9,35</w:t>
            </w:r>
          </w:p>
        </w:tc>
      </w:tr>
      <w:tr w:rsidR="00B568E4" w:rsidRPr="005D5EF6" w:rsidTr="007D485B">
        <w:trPr>
          <w:trHeight w:val="20"/>
        </w:trPr>
        <w:tc>
          <w:tcPr>
            <w:tcW w:w="936" w:type="pct"/>
            <w:shd w:val="clear" w:color="auto" w:fill="95B3D7" w:themeFill="accent1" w:themeFillTint="99"/>
            <w:vAlign w:val="center"/>
            <w:hideMark/>
          </w:tcPr>
          <w:p w:rsidR="00B568E4" w:rsidRPr="005D5EF6" w:rsidRDefault="00B568E4" w:rsidP="007D485B">
            <w:pPr>
              <w:spacing w:after="0" w:line="240" w:lineRule="auto"/>
              <w:rPr>
                <w:rFonts w:ascii="Bodoni MT" w:eastAsia="Times New Roman" w:hAnsi="Bodoni MT" w:cs="Calibri"/>
                <w:color w:val="FFFFFF"/>
                <w:sz w:val="18"/>
                <w:szCs w:val="18"/>
                <w:lang w:eastAsia="it-IT"/>
              </w:rPr>
            </w:pPr>
            <w:r w:rsidRPr="005D5EF6">
              <w:rPr>
                <w:rFonts w:ascii="Bodoni MT" w:eastAsia="Times New Roman" w:hAnsi="Bodoni MT" w:cs="Calibri"/>
                <w:color w:val="FFFFFF"/>
                <w:sz w:val="18"/>
                <w:szCs w:val="18"/>
                <w:lang w:eastAsia="it-IT"/>
              </w:rPr>
              <w:t>Totale</w:t>
            </w:r>
          </w:p>
        </w:tc>
        <w:tc>
          <w:tcPr>
            <w:tcW w:w="848"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219.661.694,00</w:t>
            </w:r>
          </w:p>
        </w:tc>
        <w:tc>
          <w:tcPr>
            <w:tcW w:w="507"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100,00</w:t>
            </w:r>
          </w:p>
        </w:tc>
        <w:tc>
          <w:tcPr>
            <w:tcW w:w="848"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328.371.988,00</w:t>
            </w:r>
          </w:p>
        </w:tc>
        <w:tc>
          <w:tcPr>
            <w:tcW w:w="507"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100,00</w:t>
            </w:r>
          </w:p>
        </w:tc>
        <w:tc>
          <w:tcPr>
            <w:tcW w:w="848"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299.665.000,00</w:t>
            </w:r>
          </w:p>
        </w:tc>
        <w:tc>
          <w:tcPr>
            <w:tcW w:w="507" w:type="pct"/>
            <w:shd w:val="clear" w:color="auto" w:fill="FFFFFF" w:themeFill="background1"/>
            <w:noWrap/>
            <w:vAlign w:val="center"/>
            <w:hideMark/>
          </w:tcPr>
          <w:p w:rsidR="00B568E4" w:rsidRPr="007D485B" w:rsidRDefault="00B568E4" w:rsidP="007D485B">
            <w:pPr>
              <w:spacing w:after="0" w:line="240" w:lineRule="auto"/>
              <w:jc w:val="right"/>
              <w:rPr>
                <w:rFonts w:ascii="Bodoni MT" w:eastAsia="Times New Roman" w:hAnsi="Bodoni MT" w:cs="Calibri"/>
                <w:b/>
                <w:bCs/>
                <w:sz w:val="18"/>
                <w:szCs w:val="18"/>
                <w:lang w:eastAsia="it-IT"/>
              </w:rPr>
            </w:pPr>
            <w:r w:rsidRPr="007D485B">
              <w:rPr>
                <w:rFonts w:ascii="Bodoni MT" w:eastAsia="Times New Roman" w:hAnsi="Bodoni MT" w:cs="Calibri"/>
                <w:b/>
                <w:bCs/>
                <w:sz w:val="18"/>
                <w:szCs w:val="18"/>
                <w:lang w:eastAsia="it-IT"/>
              </w:rPr>
              <w:t>100,00</w:t>
            </w:r>
          </w:p>
        </w:tc>
      </w:tr>
    </w:tbl>
    <w:p w:rsidR="00B568E4" w:rsidRDefault="00B568E4" w:rsidP="00B568E4">
      <w:pPr>
        <w:spacing w:after="0"/>
        <w:jc w:val="both"/>
        <w:rPr>
          <w:rFonts w:ascii="Bodoni MT" w:hAnsi="Bodoni MT"/>
          <w:sz w:val="16"/>
          <w:szCs w:val="16"/>
        </w:rPr>
      </w:pPr>
      <w:r w:rsidRPr="00E71C7B">
        <w:rPr>
          <w:rFonts w:ascii="Bodoni MT" w:hAnsi="Bodoni MT"/>
          <w:sz w:val="16"/>
          <w:szCs w:val="16"/>
        </w:rPr>
        <w:t xml:space="preserve">Fonte: elaborazione Cdc sui dati CE </w:t>
      </w:r>
      <w:r>
        <w:rPr>
          <w:rFonts w:ascii="Bodoni MT" w:hAnsi="Bodoni MT"/>
          <w:sz w:val="16"/>
          <w:szCs w:val="16"/>
        </w:rPr>
        <w:t>forniti dalla Ras</w:t>
      </w:r>
    </w:p>
    <w:p w:rsidR="00B568E4" w:rsidRDefault="00B568E4" w:rsidP="00B568E4">
      <w:pPr>
        <w:spacing w:after="0"/>
        <w:jc w:val="both"/>
        <w:rPr>
          <w:rFonts w:ascii="Bodoni MT" w:hAnsi="Bodoni MT"/>
          <w:sz w:val="16"/>
          <w:szCs w:val="16"/>
        </w:rPr>
      </w:pPr>
      <w:r>
        <w:rPr>
          <w:rFonts w:ascii="Bodoni MT" w:hAnsi="Bodoni MT"/>
          <w:sz w:val="16"/>
          <w:szCs w:val="16"/>
        </w:rPr>
        <w:t>*Perdita presunta 2016 - Dati del CE consuntivo 2016 depositato nel NSIS a novembre 2017.</w:t>
      </w:r>
    </w:p>
    <w:p w:rsidR="00B568E4" w:rsidRPr="001F7077" w:rsidRDefault="00B568E4" w:rsidP="00792B2D">
      <w:pPr>
        <w:spacing w:before="360" w:after="120" w:line="360" w:lineRule="auto"/>
        <w:jc w:val="both"/>
        <w:rPr>
          <w:rFonts w:ascii="Bodoni MT" w:hAnsi="Bodoni MT"/>
          <w:sz w:val="24"/>
          <w:szCs w:val="24"/>
        </w:rPr>
      </w:pPr>
      <w:r w:rsidRPr="006964AE">
        <w:rPr>
          <w:rFonts w:ascii="Bodoni MT" w:hAnsi="Bodoni MT"/>
          <w:b/>
          <w:sz w:val="24"/>
          <w:szCs w:val="24"/>
        </w:rPr>
        <w:t>I dati esposti in tabella evidenziano un miglioramento della gestione sanitaria regionale</w:t>
      </w:r>
      <w:r w:rsidRPr="001F7077">
        <w:rPr>
          <w:rFonts w:ascii="Bodoni MT" w:hAnsi="Bodoni MT"/>
          <w:sz w:val="24"/>
          <w:szCs w:val="24"/>
        </w:rPr>
        <w:t xml:space="preserve">. Infatti, per quanto in perdita, </w:t>
      </w:r>
      <w:r>
        <w:rPr>
          <w:rFonts w:ascii="Bodoni MT" w:hAnsi="Bodoni MT"/>
          <w:sz w:val="24"/>
          <w:szCs w:val="24"/>
        </w:rPr>
        <w:t>quest’ultima</w:t>
      </w:r>
      <w:r w:rsidRPr="001F7077">
        <w:rPr>
          <w:rFonts w:ascii="Bodoni MT" w:hAnsi="Bodoni MT"/>
          <w:sz w:val="24"/>
          <w:szCs w:val="24"/>
        </w:rPr>
        <w:t xml:space="preserve"> risulta inferiore a quella registrata nell’esercizio precedente. Dall’analisi del valore della produzione e dei costi nei due esercizi emerge che il </w:t>
      </w:r>
      <w:r w:rsidRPr="006964AE">
        <w:rPr>
          <w:rFonts w:ascii="Bodoni MT" w:hAnsi="Bodoni MT"/>
          <w:b/>
          <w:sz w:val="24"/>
          <w:szCs w:val="24"/>
        </w:rPr>
        <w:t xml:space="preserve">miglioramento è </w:t>
      </w:r>
      <w:r w:rsidR="00B31F14">
        <w:rPr>
          <w:rFonts w:ascii="Bodoni MT" w:hAnsi="Bodoni MT"/>
          <w:b/>
          <w:sz w:val="24"/>
          <w:szCs w:val="24"/>
        </w:rPr>
        <w:t>in parte</w:t>
      </w:r>
      <w:r w:rsidRPr="006964AE">
        <w:rPr>
          <w:rFonts w:ascii="Bodoni MT" w:hAnsi="Bodoni MT"/>
          <w:b/>
          <w:sz w:val="24"/>
          <w:szCs w:val="24"/>
        </w:rPr>
        <w:t xml:space="preserve"> ascrivibile ai maggiori finanziamenti erogati dalla Regione</w:t>
      </w:r>
      <w:r w:rsidR="00245071">
        <w:rPr>
          <w:rFonts w:ascii="Bodoni MT" w:hAnsi="Bodoni MT"/>
          <w:b/>
          <w:sz w:val="24"/>
          <w:szCs w:val="24"/>
        </w:rPr>
        <w:t xml:space="preserve"> destinati a parziale copertura delle perdite pregresse</w:t>
      </w:r>
      <w:r w:rsidRPr="001F7077">
        <w:rPr>
          <w:rFonts w:ascii="Bodoni MT" w:hAnsi="Bodoni MT"/>
          <w:sz w:val="24"/>
          <w:szCs w:val="24"/>
        </w:rPr>
        <w:t>.</w:t>
      </w:r>
    </w:p>
    <w:p w:rsidR="00B568E4" w:rsidRPr="00EE6893" w:rsidRDefault="00B568E4" w:rsidP="00B568E4">
      <w:pPr>
        <w:spacing w:after="120" w:line="360" w:lineRule="auto"/>
        <w:jc w:val="both"/>
        <w:rPr>
          <w:rStyle w:val="CdcTestoCarattere"/>
          <w:color w:val="auto"/>
        </w:rPr>
      </w:pPr>
      <w:r w:rsidRPr="00EE6893">
        <w:rPr>
          <w:rFonts w:ascii="Bodoni MT" w:hAnsi="Bodoni MT"/>
          <w:sz w:val="24"/>
          <w:szCs w:val="24"/>
        </w:rPr>
        <w:t xml:space="preserve">Nel </w:t>
      </w:r>
      <w:r w:rsidRPr="00EE6893">
        <w:rPr>
          <w:rStyle w:val="CdcTestoCarattere"/>
          <w:color w:val="auto"/>
        </w:rPr>
        <w:t xml:space="preserve">corso del 2016, in relazione alla copertura dei disavanzi sopra indicati </w:t>
      </w:r>
      <w:r w:rsidR="006964AE">
        <w:rPr>
          <w:rStyle w:val="CdcTestoCarattere"/>
          <w:color w:val="auto"/>
        </w:rPr>
        <w:t>(</w:t>
      </w:r>
      <w:r w:rsidRPr="00EE6893">
        <w:rPr>
          <w:rStyle w:val="CdcTestoCarattere"/>
          <w:color w:val="auto"/>
        </w:rPr>
        <w:t>deliberazione della G.R. n. 42/1 del 14/7/2016</w:t>
      </w:r>
      <w:r w:rsidR="006964AE">
        <w:rPr>
          <w:rStyle w:val="CdcTestoCarattere"/>
          <w:color w:val="auto"/>
        </w:rPr>
        <w:t>)</w:t>
      </w:r>
      <w:r w:rsidRPr="00EE6893">
        <w:rPr>
          <w:rStyle w:val="CdcTestoCarattere"/>
          <w:color w:val="auto"/>
        </w:rPr>
        <w:t xml:space="preserve"> </w:t>
      </w:r>
      <w:r w:rsidRPr="00806853">
        <w:rPr>
          <w:rStyle w:val="CdcTestoCarattere"/>
          <w:b/>
          <w:color w:val="auto"/>
        </w:rPr>
        <w:t>sono state assegnate alle Aziende le risorse a totale copertura del disavanzo 2014</w:t>
      </w:r>
      <w:r w:rsidRPr="00EE6893">
        <w:rPr>
          <w:rStyle w:val="CdcTestoCarattere"/>
          <w:color w:val="auto"/>
        </w:rPr>
        <w:t xml:space="preserve"> (missione 13, programma 4, capitolo SC05.0010) in applicazione delle disposizioni della L.R. 11 aprile 2016, n. 5 (legge di stabilità</w:t>
      </w:r>
      <w:r w:rsidR="00B31F14">
        <w:rPr>
          <w:rFonts w:ascii="Bodoni MT" w:hAnsi="Bodoni MT"/>
          <w:sz w:val="24"/>
          <w:szCs w:val="24"/>
        </w:rPr>
        <w:t xml:space="preserve"> 2016) e</w:t>
      </w:r>
      <w:r w:rsidR="006964AE">
        <w:rPr>
          <w:rFonts w:ascii="Bodoni MT" w:hAnsi="Bodoni MT"/>
          <w:sz w:val="24"/>
          <w:szCs w:val="24"/>
        </w:rPr>
        <w:t xml:space="preserve"> </w:t>
      </w:r>
      <w:r w:rsidRPr="00EE6893">
        <w:rPr>
          <w:rStyle w:val="CdcTestoCarattere"/>
          <w:color w:val="auto"/>
        </w:rPr>
        <w:t>sono state attribuite in acconto le risorse stanziate dalla medesima legge per il parziale ripiano del disavanzo 2015</w:t>
      </w:r>
      <w:r w:rsidR="00B31F14">
        <w:rPr>
          <w:rStyle w:val="CdcTestoCarattere"/>
          <w:color w:val="auto"/>
        </w:rPr>
        <w:t xml:space="preserve"> </w:t>
      </w:r>
      <w:r w:rsidR="00B31F14">
        <w:rPr>
          <w:rFonts w:ascii="Bodoni MT" w:hAnsi="Bodoni MT"/>
          <w:sz w:val="24"/>
          <w:szCs w:val="24"/>
        </w:rPr>
        <w:t>(</w:t>
      </w:r>
      <w:r w:rsidR="00B31F14" w:rsidRPr="00EE6893">
        <w:rPr>
          <w:rStyle w:val="CdcTestoCarattere"/>
          <w:color w:val="auto"/>
        </w:rPr>
        <w:t>delibera n. 46/14 del 10/</w:t>
      </w:r>
      <w:r w:rsidR="00B31F14">
        <w:rPr>
          <w:rStyle w:val="CdcTestoCarattere"/>
          <w:color w:val="auto"/>
        </w:rPr>
        <w:t>0</w:t>
      </w:r>
      <w:r w:rsidR="00B31F14" w:rsidRPr="00EE6893">
        <w:rPr>
          <w:rStyle w:val="CdcTestoCarattere"/>
          <w:color w:val="auto"/>
        </w:rPr>
        <w:t>8/2016</w:t>
      </w:r>
      <w:r w:rsidR="00B31F14">
        <w:rPr>
          <w:rStyle w:val="CdcTestoCarattere"/>
          <w:color w:val="auto"/>
        </w:rPr>
        <w:t>)</w:t>
      </w:r>
      <w:r w:rsidRPr="00EE6893">
        <w:rPr>
          <w:rStyle w:val="CdcTestoCarattere"/>
          <w:color w:val="auto"/>
        </w:rPr>
        <w:t xml:space="preserve">, nelle more dell’approvazione dei relativi bilanci d’esercizio 2015. Con la successiva deliberazione della G.R. n. 65/37 del </w:t>
      </w:r>
      <w:r w:rsidR="00A41FCD">
        <w:rPr>
          <w:rStyle w:val="CdcTestoCarattere"/>
          <w:color w:val="auto"/>
        </w:rPr>
        <w:t>0</w:t>
      </w:r>
      <w:r w:rsidRPr="00EE6893">
        <w:rPr>
          <w:rStyle w:val="CdcTestoCarattere"/>
          <w:color w:val="auto"/>
        </w:rPr>
        <w:t xml:space="preserve">6/12/2016, sono state ripartite tra le aziende sanitarie le risorse stanziate dall’art. 1, comma 5, lettera a), della L.R. n. 32 del 5 dicembre 2016, pari a </w:t>
      </w:r>
      <w:r w:rsidRPr="00EE6893">
        <w:rPr>
          <w:rFonts w:ascii="Bodoni MT" w:eastAsiaTheme="minorEastAsia" w:hAnsi="Bodoni MT" w:cs="Bodoni MT"/>
          <w:sz w:val="24"/>
          <w:szCs w:val="24"/>
        </w:rPr>
        <w:t xml:space="preserve">euro 95.000.000 e </w:t>
      </w:r>
      <w:r w:rsidRPr="00806853">
        <w:rPr>
          <w:rFonts w:ascii="Bodoni MT" w:eastAsiaTheme="minorEastAsia" w:hAnsi="Bodoni MT" w:cs="Bodoni MT"/>
          <w:b/>
          <w:sz w:val="24"/>
          <w:szCs w:val="24"/>
        </w:rPr>
        <w:t>finalizzate al ripiano del disavanzo 2015 e a sopperire alle esigenze di liquidità dei medesimi enti nel rispetto dei tempi medi di pagamento dei debiti</w:t>
      </w:r>
      <w:r w:rsidRPr="00EE6893">
        <w:rPr>
          <w:rFonts w:ascii="Bodoni MT" w:eastAsiaTheme="minorEastAsia" w:hAnsi="Bodoni MT" w:cs="Bodoni MT"/>
          <w:sz w:val="24"/>
          <w:szCs w:val="24"/>
        </w:rPr>
        <w:t xml:space="preserve"> (</w:t>
      </w:r>
      <w:r w:rsidR="00D408BA" w:rsidRPr="00EE6893">
        <w:rPr>
          <w:rFonts w:ascii="Bodoni MT" w:eastAsiaTheme="minorEastAsia" w:hAnsi="Bodoni MT" w:cs="Bodoni MT"/>
          <w:sz w:val="24"/>
          <w:szCs w:val="24"/>
        </w:rPr>
        <w:t xml:space="preserve">Missione </w:t>
      </w:r>
      <w:r w:rsidRPr="00EE6893">
        <w:rPr>
          <w:rFonts w:ascii="Bodoni MT" w:eastAsiaTheme="minorEastAsia" w:hAnsi="Bodoni MT" w:cs="Bodoni MT"/>
          <w:sz w:val="24"/>
          <w:szCs w:val="24"/>
        </w:rPr>
        <w:t xml:space="preserve">13 - programma 04 - </w:t>
      </w:r>
      <w:r w:rsidR="00D408BA" w:rsidRPr="00EE6893">
        <w:rPr>
          <w:rFonts w:ascii="Bodoni MT" w:eastAsiaTheme="minorEastAsia" w:hAnsi="Bodoni MT" w:cs="Bodoni MT"/>
          <w:sz w:val="24"/>
          <w:szCs w:val="24"/>
        </w:rPr>
        <w:t xml:space="preserve">Titolo </w:t>
      </w:r>
      <w:r w:rsidRPr="00EE6893">
        <w:rPr>
          <w:rFonts w:ascii="Bodoni MT" w:eastAsiaTheme="minorEastAsia" w:hAnsi="Bodoni MT" w:cs="Bodoni MT"/>
          <w:sz w:val="24"/>
          <w:szCs w:val="24"/>
        </w:rPr>
        <w:t>2 - capitolo SC05.0010).</w:t>
      </w:r>
      <w:r w:rsidRPr="00EE6893">
        <w:rPr>
          <w:rStyle w:val="CdcTestoCarattere"/>
          <w:color w:val="auto"/>
        </w:rPr>
        <w:t xml:space="preserve"> </w:t>
      </w:r>
    </w:p>
    <w:p w:rsidR="00B568E4" w:rsidRPr="00EE6893" w:rsidRDefault="00B568E4" w:rsidP="00B568E4">
      <w:pPr>
        <w:spacing w:after="120" w:line="360" w:lineRule="auto"/>
        <w:jc w:val="both"/>
        <w:rPr>
          <w:rStyle w:val="CdcTestoCarattere"/>
          <w:color w:val="auto"/>
        </w:rPr>
      </w:pPr>
      <w:r w:rsidRPr="00EE6893">
        <w:rPr>
          <w:rStyle w:val="CdcTestoCarattere"/>
          <w:color w:val="auto"/>
        </w:rPr>
        <w:t xml:space="preserve">Nel sottostante prospetto si </w:t>
      </w:r>
      <w:r w:rsidRPr="00EE6893">
        <w:rPr>
          <w:rFonts w:ascii="Bodoni MT" w:hAnsi="Bodoni MT"/>
          <w:sz w:val="24"/>
          <w:szCs w:val="24"/>
        </w:rPr>
        <w:t xml:space="preserve">riportano gli </w:t>
      </w:r>
      <w:r w:rsidRPr="006964AE">
        <w:rPr>
          <w:rFonts w:ascii="Bodoni MT" w:hAnsi="Bodoni MT"/>
          <w:b/>
          <w:sz w:val="24"/>
          <w:szCs w:val="24"/>
        </w:rPr>
        <w:t>interventi finanziari a copertura delle perdite di gestione</w:t>
      </w:r>
      <w:r w:rsidRPr="00EE6893">
        <w:rPr>
          <w:rFonts w:ascii="Bodoni MT" w:hAnsi="Bodoni MT"/>
          <w:sz w:val="24"/>
          <w:szCs w:val="24"/>
        </w:rPr>
        <w:t xml:space="preserve"> delle aziende, assunti al 31/12/2016</w:t>
      </w:r>
      <w:r w:rsidRPr="00EE6893">
        <w:rPr>
          <w:rStyle w:val="CdcTestoCarattere"/>
          <w:color w:val="auto"/>
        </w:rPr>
        <w:t xml:space="preserve">. In relazione al disavanzo 2015, come comunicato in sede </w:t>
      </w:r>
      <w:r w:rsidRPr="00EE6893">
        <w:rPr>
          <w:rStyle w:val="CdcTestoCarattere"/>
          <w:color w:val="auto"/>
        </w:rPr>
        <w:lastRenderedPageBreak/>
        <w:t>istruttoria</w:t>
      </w:r>
      <w:r w:rsidRPr="007D485B">
        <w:rPr>
          <w:rStyle w:val="Rimandonotaapidipagina"/>
          <w:rFonts w:ascii="Bodoni MT" w:hAnsi="Bodoni MT"/>
          <w:sz w:val="24"/>
          <w:szCs w:val="24"/>
        </w:rPr>
        <w:footnoteReference w:id="196"/>
      </w:r>
      <w:r w:rsidRPr="00EE6893">
        <w:rPr>
          <w:rStyle w:val="CdcTestoCarattere"/>
          <w:color w:val="auto"/>
        </w:rPr>
        <w:t>, nella tabella sono state riportate le perdite registrate nei bilanci di esercizio delle aziende sanitarie, mentre nelle deliberazioni regionali gli acconti erogati sono stati commisurati alle perdite riportate nei modelli CE consuntivo 2015.</w:t>
      </w:r>
    </w:p>
    <w:p w:rsidR="00B568E4" w:rsidRDefault="007D485B" w:rsidP="007D485B">
      <w:pPr>
        <w:pStyle w:val="Didascalia"/>
        <w:keepNext/>
        <w:rPr>
          <w:sz w:val="24"/>
          <w:szCs w:val="24"/>
        </w:rPr>
      </w:pPr>
      <w:bookmarkStart w:id="325" w:name="_Toc507422552"/>
      <w:r>
        <w:t xml:space="preserve">Tabella </w:t>
      </w:r>
      <w:r w:rsidR="00B90472">
        <w:fldChar w:fldCharType="begin"/>
      </w:r>
      <w:r w:rsidR="00B90472">
        <w:instrText xml:space="preserve"> SEQ Tabella \* ARABIC </w:instrText>
      </w:r>
      <w:r w:rsidR="00B90472">
        <w:fldChar w:fldCharType="separate"/>
      </w:r>
      <w:r w:rsidR="008616B3">
        <w:rPr>
          <w:noProof/>
        </w:rPr>
        <w:t>84</w:t>
      </w:r>
      <w:r w:rsidR="00B90472">
        <w:rPr>
          <w:noProof/>
        </w:rPr>
        <w:fldChar w:fldCharType="end"/>
      </w:r>
      <w:r w:rsidR="00B568E4">
        <w:rPr>
          <w:sz w:val="24"/>
          <w:szCs w:val="24"/>
        </w:rPr>
        <w:t xml:space="preserve"> – Ripiano perdite esercizio 2015</w:t>
      </w:r>
      <w:bookmarkEnd w:id="325"/>
    </w:p>
    <w:tbl>
      <w:tblPr>
        <w:tblW w:w="5000" w:type="pct"/>
        <w:jc w:val="center"/>
        <w:tblCellMar>
          <w:left w:w="70" w:type="dxa"/>
          <w:right w:w="70" w:type="dxa"/>
        </w:tblCellMar>
        <w:tblLook w:val="04A0" w:firstRow="1" w:lastRow="0" w:firstColumn="1" w:lastColumn="0" w:noHBand="0" w:noVBand="1"/>
      </w:tblPr>
      <w:tblGrid>
        <w:gridCol w:w="1939"/>
        <w:gridCol w:w="2001"/>
        <w:gridCol w:w="2001"/>
        <w:gridCol w:w="1836"/>
        <w:gridCol w:w="2001"/>
      </w:tblGrid>
      <w:tr w:rsidR="007D485B" w:rsidRPr="007D485B" w:rsidTr="007D485B">
        <w:trPr>
          <w:trHeight w:val="673"/>
          <w:jc w:val="center"/>
        </w:trPr>
        <w:tc>
          <w:tcPr>
            <w:tcW w:w="992"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B568E4" w:rsidRPr="007D485B" w:rsidRDefault="00B568E4" w:rsidP="00B568E4">
            <w:pPr>
              <w:spacing w:after="0" w:line="240" w:lineRule="auto"/>
              <w:jc w:val="center"/>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Aziende Sanitarie</w:t>
            </w:r>
          </w:p>
        </w:tc>
        <w:tc>
          <w:tcPr>
            <w:tcW w:w="1023"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B568E4" w:rsidRPr="007D485B" w:rsidRDefault="00B568E4" w:rsidP="00B568E4">
            <w:pPr>
              <w:spacing w:after="0" w:line="240" w:lineRule="auto"/>
              <w:jc w:val="center"/>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 xml:space="preserve">Perdita 2015 </w:t>
            </w:r>
          </w:p>
        </w:tc>
        <w:tc>
          <w:tcPr>
            <w:tcW w:w="1023"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B568E4" w:rsidRPr="007D485B" w:rsidRDefault="00B568E4" w:rsidP="00B568E4">
            <w:pPr>
              <w:spacing w:after="0" w:line="240" w:lineRule="auto"/>
              <w:jc w:val="center"/>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Quota assegnata in acconto dalla DGR 46/14 del 10.08.2016</w:t>
            </w:r>
          </w:p>
        </w:tc>
        <w:tc>
          <w:tcPr>
            <w:tcW w:w="939"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B568E4" w:rsidRPr="007D485B" w:rsidRDefault="00B568E4" w:rsidP="00B568E4">
            <w:pPr>
              <w:spacing w:after="0" w:line="240" w:lineRule="auto"/>
              <w:jc w:val="center"/>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Ulteriore quota assegnata in acconto dalla DGR 65/37 del 06.12.2016</w:t>
            </w:r>
          </w:p>
        </w:tc>
        <w:tc>
          <w:tcPr>
            <w:tcW w:w="1023"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B568E4" w:rsidRPr="007D485B" w:rsidRDefault="00B568E4" w:rsidP="00B568E4">
            <w:pPr>
              <w:spacing w:after="0" w:line="240" w:lineRule="auto"/>
              <w:jc w:val="center"/>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Differenza da ripianare</w:t>
            </w:r>
          </w:p>
        </w:tc>
      </w:tr>
      <w:tr w:rsidR="00B568E4" w:rsidRPr="00AE494D" w:rsidTr="007D485B">
        <w:trPr>
          <w:trHeight w:val="232"/>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1 - Sassari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56.264.018,00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15.650.813,81</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15.524.168,81</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25.089.035,38</w:t>
            </w:r>
          </w:p>
        </w:tc>
      </w:tr>
      <w:tr w:rsidR="00B568E4" w:rsidRPr="00AE494D" w:rsidTr="007D485B">
        <w:trPr>
          <w:trHeight w:val="208"/>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2 - Olbia</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16.190.815,00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6.413.150,73</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6.361.256,10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3.416.408,17</w:t>
            </w:r>
          </w:p>
        </w:tc>
      </w:tr>
      <w:tr w:rsidR="00B568E4" w:rsidRPr="00AE494D" w:rsidTr="007D485B">
        <w:trPr>
          <w:trHeight w:val="170"/>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3 - Nuoro</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35.133.406,00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10.789.559,33</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10.702.251,19</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13.641.595,48</w:t>
            </w:r>
          </w:p>
        </w:tc>
      </w:tr>
      <w:tr w:rsidR="00B568E4" w:rsidRPr="00AE494D" w:rsidTr="007D485B">
        <w:trPr>
          <w:trHeight w:val="146"/>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4 - Lanusei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12.422.414,00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3.359.706,54</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3.332.520,11</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5.730.187,35</w:t>
            </w:r>
          </w:p>
        </w:tc>
      </w:tr>
      <w:tr w:rsidR="00B568E4" w:rsidRPr="00AE494D" w:rsidTr="007D485B">
        <w:trPr>
          <w:trHeight w:val="123"/>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5 - Oristano</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9.129.248,00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2.539.390,72</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2.518.842,20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4.071.015,08</w:t>
            </w:r>
          </w:p>
        </w:tc>
      </w:tr>
      <w:tr w:rsidR="00B568E4" w:rsidRPr="00AE494D" w:rsidTr="007D485B">
        <w:trPr>
          <w:trHeight w:val="240"/>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6 - Sanluri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6.274.954,00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3.153.028,13</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3.127.514,11</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-5.588,24</w:t>
            </w:r>
          </w:p>
        </w:tc>
      </w:tr>
      <w:tr w:rsidR="00B568E4" w:rsidRPr="00AE494D" w:rsidTr="007D485B">
        <w:trPr>
          <w:trHeight w:val="217"/>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7 - Carbonia</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28.115.776,00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8.015.951,62</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7.951.087,26</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12.148.737,12</w:t>
            </w:r>
          </w:p>
        </w:tc>
      </w:tr>
      <w:tr w:rsidR="00B568E4" w:rsidRPr="00AE494D" w:rsidTr="007D485B">
        <w:trPr>
          <w:trHeight w:val="192"/>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ASL 8 - Cagliari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87.749.113,00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24.409.194,37</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24.211.677,37</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39.128.241,26</w:t>
            </w:r>
          </w:p>
        </w:tc>
      </w:tr>
      <w:tr w:rsidR="00B568E4" w:rsidRPr="00AE494D" w:rsidTr="007D485B">
        <w:trPr>
          <w:trHeight w:val="155"/>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AO Brotzu</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40.987.593,00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11.401.527,74</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11.309.267,60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18.276.797,66</w:t>
            </w:r>
          </w:p>
        </w:tc>
      </w:tr>
      <w:tr w:rsidR="00B568E4" w:rsidRPr="00AE494D" w:rsidTr="007D485B">
        <w:trPr>
          <w:trHeight w:val="300"/>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AOU Sassari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27.145.313,00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7.550.855,63</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7.489.754,78</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12.104.702,59</w:t>
            </w:r>
          </w:p>
        </w:tc>
      </w:tr>
      <w:tr w:rsidR="00B568E4" w:rsidRPr="00AE494D" w:rsidTr="007D485B">
        <w:trPr>
          <w:trHeight w:val="141"/>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AOU Cagliari</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8.959.338,00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2.491.824,08</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2.471.660,47</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color w:val="000000"/>
                <w:sz w:val="18"/>
                <w:szCs w:val="18"/>
                <w:lang w:eastAsia="it-IT"/>
              </w:rPr>
            </w:pPr>
            <w:r w:rsidRPr="00245E70">
              <w:rPr>
                <w:rFonts w:ascii="Bodoni MT" w:eastAsia="Times New Roman" w:hAnsi="Bodoni MT" w:cs="Calibri"/>
                <w:color w:val="000000"/>
                <w:sz w:val="18"/>
                <w:szCs w:val="18"/>
                <w:lang w:eastAsia="it-IT"/>
              </w:rPr>
              <w:t>3.995.853,45</w:t>
            </w:r>
          </w:p>
        </w:tc>
      </w:tr>
      <w:tr w:rsidR="00B568E4" w:rsidRPr="00AE494D" w:rsidTr="007D485B">
        <w:trPr>
          <w:trHeight w:val="118"/>
          <w:jc w:val="center"/>
        </w:trPr>
        <w:tc>
          <w:tcPr>
            <w:tcW w:w="992"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7D485B" w:rsidRDefault="00B568E4" w:rsidP="00B568E4">
            <w:pPr>
              <w:spacing w:after="0" w:line="240" w:lineRule="auto"/>
              <w:rPr>
                <w:rFonts w:ascii="Bodoni MT" w:eastAsia="Times New Roman" w:hAnsi="Bodoni MT" w:cs="Calibri"/>
                <w:b/>
                <w:color w:val="FFFFFF" w:themeColor="background1"/>
                <w:sz w:val="18"/>
                <w:szCs w:val="18"/>
                <w:lang w:eastAsia="it-IT"/>
              </w:rPr>
            </w:pPr>
            <w:r w:rsidRPr="007D485B">
              <w:rPr>
                <w:rFonts w:ascii="Bodoni MT" w:eastAsia="Times New Roman" w:hAnsi="Bodoni MT" w:cs="Calibri"/>
                <w:b/>
                <w:color w:val="FFFFFF" w:themeColor="background1"/>
                <w:sz w:val="18"/>
                <w:szCs w:val="18"/>
                <w:lang w:eastAsia="it-IT"/>
              </w:rPr>
              <w:t>TOTALE</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b/>
                <w:color w:val="000000"/>
                <w:sz w:val="18"/>
                <w:szCs w:val="18"/>
                <w:lang w:eastAsia="it-IT"/>
              </w:rPr>
            </w:pPr>
            <w:r w:rsidRPr="00245E70">
              <w:rPr>
                <w:rFonts w:ascii="Bodoni MT" w:eastAsia="Times New Roman" w:hAnsi="Bodoni MT" w:cs="Calibri"/>
                <w:b/>
                <w:color w:val="000000"/>
                <w:sz w:val="18"/>
                <w:szCs w:val="18"/>
                <w:lang w:eastAsia="it-IT"/>
              </w:rPr>
              <w:t>328.371.988,00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b/>
                <w:color w:val="000000"/>
                <w:sz w:val="18"/>
                <w:szCs w:val="18"/>
                <w:lang w:eastAsia="it-IT"/>
              </w:rPr>
            </w:pPr>
            <w:r w:rsidRPr="00245E70">
              <w:rPr>
                <w:rFonts w:ascii="Bodoni MT" w:eastAsia="Times New Roman" w:hAnsi="Bodoni MT" w:cs="Calibri"/>
                <w:b/>
                <w:color w:val="000000"/>
                <w:sz w:val="18"/>
                <w:szCs w:val="18"/>
                <w:lang w:eastAsia="it-IT"/>
              </w:rPr>
              <w:t>95.775.002,70</w:t>
            </w:r>
          </w:p>
        </w:tc>
        <w:tc>
          <w:tcPr>
            <w:tcW w:w="939"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b/>
                <w:color w:val="000000"/>
                <w:sz w:val="18"/>
                <w:szCs w:val="18"/>
                <w:lang w:eastAsia="it-IT"/>
              </w:rPr>
            </w:pPr>
            <w:r w:rsidRPr="00245E70">
              <w:rPr>
                <w:rFonts w:ascii="Bodoni MT" w:eastAsia="Times New Roman" w:hAnsi="Bodoni MT" w:cs="Calibri"/>
                <w:b/>
                <w:color w:val="000000"/>
                <w:sz w:val="18"/>
                <w:szCs w:val="18"/>
                <w:lang w:eastAsia="it-IT"/>
              </w:rPr>
              <w:t>95.000.000,00</w:t>
            </w:r>
          </w:p>
        </w:tc>
        <w:tc>
          <w:tcPr>
            <w:tcW w:w="1023" w:type="pct"/>
            <w:tcBorders>
              <w:top w:val="nil"/>
              <w:left w:val="nil"/>
              <w:bottom w:val="single" w:sz="4" w:space="0" w:color="auto"/>
              <w:right w:val="single" w:sz="4" w:space="0" w:color="auto"/>
            </w:tcBorders>
            <w:shd w:val="clear" w:color="auto" w:fill="auto"/>
            <w:noWrap/>
            <w:vAlign w:val="center"/>
            <w:hideMark/>
          </w:tcPr>
          <w:p w:rsidR="00B568E4" w:rsidRPr="00245E70" w:rsidRDefault="00B568E4" w:rsidP="00B568E4">
            <w:pPr>
              <w:spacing w:after="0" w:line="240" w:lineRule="auto"/>
              <w:jc w:val="right"/>
              <w:rPr>
                <w:rFonts w:ascii="Bodoni MT" w:eastAsia="Times New Roman" w:hAnsi="Bodoni MT" w:cs="Calibri"/>
                <w:b/>
                <w:color w:val="000000"/>
                <w:sz w:val="18"/>
                <w:szCs w:val="18"/>
                <w:lang w:eastAsia="it-IT"/>
              </w:rPr>
            </w:pPr>
            <w:r w:rsidRPr="00245E70">
              <w:rPr>
                <w:rFonts w:ascii="Bodoni MT" w:eastAsia="Times New Roman" w:hAnsi="Bodoni MT" w:cs="Calibri"/>
                <w:b/>
                <w:color w:val="000000"/>
                <w:sz w:val="18"/>
                <w:szCs w:val="18"/>
                <w:lang w:eastAsia="it-IT"/>
              </w:rPr>
              <w:t>137.596.985,30</w:t>
            </w:r>
          </w:p>
        </w:tc>
      </w:tr>
    </w:tbl>
    <w:p w:rsidR="00B568E4" w:rsidRPr="00EE6893" w:rsidRDefault="00B568E4" w:rsidP="00B568E4">
      <w:pPr>
        <w:jc w:val="both"/>
        <w:rPr>
          <w:rFonts w:ascii="Bodoni MT" w:hAnsi="Bodoni MT"/>
          <w:sz w:val="16"/>
          <w:szCs w:val="16"/>
        </w:rPr>
      </w:pPr>
      <w:r w:rsidRPr="00EE6893">
        <w:rPr>
          <w:rFonts w:ascii="Bodoni MT" w:hAnsi="Bodoni MT"/>
          <w:sz w:val="16"/>
          <w:szCs w:val="16"/>
        </w:rPr>
        <w:t>Fonte: dati RAS</w:t>
      </w:r>
    </w:p>
    <w:p w:rsidR="00B568E4" w:rsidRPr="00EE6893" w:rsidRDefault="00B568E4" w:rsidP="007D485B">
      <w:pPr>
        <w:pStyle w:val="CdcTesto"/>
      </w:pPr>
      <w:r w:rsidRPr="00EE6893">
        <w:t>Nel questionario sul rendiconto 2016 e in sede istruttoria</w:t>
      </w:r>
      <w:r w:rsidRPr="00EE6893">
        <w:rPr>
          <w:rStyle w:val="Rimandonotaapidipagina"/>
        </w:rPr>
        <w:footnoteReference w:id="197"/>
      </w:r>
      <w:r w:rsidRPr="00EE6893">
        <w:t xml:space="preserve"> si riferisce che è stato accertato ed impegnato nel corso dell’esercizio 2016 l’intero importo corrispondente al finanziamento regionale del disavanzo sanitario pregresso. Al riguardo è stato fornito un prospetto di conciliazione fra pagamenti effettuati nell’esercizio 2016 per ripiano disavanzi pregressi che gravano, come già detto sulla Missione 13, programma 4, e i provvedimenti di assegnazione alle Aziende delle risorse per le stesse finalità</w:t>
      </w:r>
      <w:r w:rsidRPr="00EE6893">
        <w:rPr>
          <w:rStyle w:val="Rimandonotaapidipagina"/>
        </w:rPr>
        <w:footnoteReference w:id="198"/>
      </w:r>
      <w:r w:rsidRPr="00EE6893">
        <w:t>.</w:t>
      </w:r>
    </w:p>
    <w:p w:rsidR="00B568E4" w:rsidRPr="00EE6893" w:rsidRDefault="00B568E4" w:rsidP="007D485B">
      <w:pPr>
        <w:pStyle w:val="CdcTesto"/>
      </w:pPr>
      <w:r w:rsidRPr="00EE6893">
        <w:t xml:space="preserve">Nell’esercizio 2017, con la DGR n. 23/23 del </w:t>
      </w:r>
      <w:r w:rsidR="008B0C9C">
        <w:t>0</w:t>
      </w:r>
      <w:r w:rsidRPr="00EE6893">
        <w:t>9/</w:t>
      </w:r>
      <w:r w:rsidR="008B0C9C">
        <w:t>0</w:t>
      </w:r>
      <w:r w:rsidRPr="00EE6893">
        <w:t>5/2017 la Ras ha provveduto a destinare alle Aziende complessivamente risorse pari a €</w:t>
      </w:r>
      <w:r w:rsidR="008B0C9C">
        <w:t xml:space="preserve"> </w:t>
      </w:r>
      <w:r w:rsidRPr="00EE6893">
        <w:t>130.000.000, sussistenti sul capitolo SC05.0010 del Bilancio regionale 2017, a copertura di un’ulteriore quota del disavanzo 2015.</w:t>
      </w:r>
    </w:p>
    <w:p w:rsidR="00B568E4" w:rsidRDefault="00B568E4" w:rsidP="007D485B">
      <w:pPr>
        <w:pStyle w:val="CdcTesto"/>
      </w:pPr>
      <w:r w:rsidRPr="00EE6893">
        <w:t xml:space="preserve">In relazione ai disavanzi registrati dalle Aziende nell’esercizio 2016, i dati indicati nella su esposta tabella </w:t>
      </w:r>
      <w:r w:rsidR="00B573F9" w:rsidRPr="00B573F9">
        <w:t xml:space="preserve">n. </w:t>
      </w:r>
      <w:r w:rsidR="00891BAD">
        <w:t>83</w:t>
      </w:r>
      <w:r w:rsidR="00B573F9">
        <w:t xml:space="preserve">, </w:t>
      </w:r>
      <w:r w:rsidRPr="00EE6893">
        <w:t>forniti in sede istruttoria dall’Assessorato alla Sanità</w:t>
      </w:r>
      <w:r w:rsidRPr="00EE6893">
        <w:rPr>
          <w:rStyle w:val="Rimandonotaapidipagina"/>
        </w:rPr>
        <w:footnoteReference w:id="199"/>
      </w:r>
      <w:r w:rsidRPr="00EE6893">
        <w:t>, sono desunti dal CE consuntivo 2016 e divergono da quelli riportati nella Relazione sulla gestione nella quale si fa riferimento, invece, a risultati provvisori estrapolati dal CE IV trimestre 2016. Tali dati, come comunicato, potrebbero subire variazioni a seguito dell’approvazione dei bilanci 2016 delle Aziende a tutt’oggi ancora in corso.</w:t>
      </w:r>
    </w:p>
    <w:p w:rsidR="00B568E4" w:rsidRPr="006964AE" w:rsidRDefault="008B0C9C" w:rsidP="00A1675C">
      <w:pPr>
        <w:pStyle w:val="Titolo2"/>
        <w:jc w:val="both"/>
      </w:pPr>
      <w:bookmarkStart w:id="326" w:name="_Toc507422681"/>
      <w:r w:rsidRPr="006964AE">
        <w:lastRenderedPageBreak/>
        <w:t xml:space="preserve">Il Piano di </w:t>
      </w:r>
      <w:r w:rsidR="006964AE" w:rsidRPr="006964AE">
        <w:t>riorganizzazione e di riqualificazione del Servizio Sanitario Regionale</w:t>
      </w:r>
      <w:r w:rsidR="00392A48">
        <w:t xml:space="preserve"> 2016/</w:t>
      </w:r>
      <w:r w:rsidR="00B568E4" w:rsidRPr="006964AE">
        <w:t>2018</w:t>
      </w:r>
      <w:r w:rsidR="00A1675C">
        <w:t xml:space="preserve"> </w:t>
      </w:r>
      <w:r w:rsidR="002E6CA8">
        <w:t xml:space="preserve">- </w:t>
      </w:r>
      <w:r w:rsidR="00A1675C">
        <w:t>(PdR)</w:t>
      </w:r>
      <w:bookmarkEnd w:id="326"/>
    </w:p>
    <w:p w:rsidR="00B568E4" w:rsidRDefault="00B568E4" w:rsidP="00B568E4">
      <w:pPr>
        <w:pStyle w:val="CdcTesto"/>
        <w:rPr>
          <w:szCs w:val="21"/>
        </w:rPr>
      </w:pPr>
      <w:r>
        <w:rPr>
          <w:szCs w:val="21"/>
        </w:rPr>
        <w:t xml:space="preserve">Negli ultimi esercizi i </w:t>
      </w:r>
      <w:r w:rsidRPr="00A20EAB">
        <w:rPr>
          <w:szCs w:val="21"/>
        </w:rPr>
        <w:t>costi della produzione delle Aziende sanitarie della Sardegna risulta</w:t>
      </w:r>
      <w:r w:rsidR="00B31F14">
        <w:rPr>
          <w:szCs w:val="21"/>
        </w:rPr>
        <w:t>va</w:t>
      </w:r>
      <w:r w:rsidRPr="00A20EAB">
        <w:rPr>
          <w:szCs w:val="21"/>
        </w:rPr>
        <w:t>no aumentati in misura maggiore rispetto al tasso di crescita del fabbisogno standard quantificato dal CIPE. L’applicazione dell’art. 3, comma 1 della legge finanziaria regionale per l’esercizio 2012, (in cui si prevedeva che a partire da tale anno il servizio sanitario regionale non potesse essere finanziato in deficit) ha comportato un progressivo innalzamento dell’assegnazione regionale a cui non ha fatto seguito un utile complessivo a livello di sistema ma una crescita della spesa del servizio sanitario stesso, superiore all’incremento del livello di finanziamento. In conseguenza</w:t>
      </w:r>
      <w:r>
        <w:rPr>
          <w:szCs w:val="21"/>
        </w:rPr>
        <w:t>, nell’ottica del contenimento dei costi</w:t>
      </w:r>
      <w:r w:rsidR="00A1675C">
        <w:rPr>
          <w:szCs w:val="21"/>
        </w:rPr>
        <w:t>,</w:t>
      </w:r>
      <w:r w:rsidR="00A1675C" w:rsidRPr="00A1675C">
        <w:rPr>
          <w:szCs w:val="21"/>
        </w:rPr>
        <w:t xml:space="preserve"> </w:t>
      </w:r>
      <w:r w:rsidR="00A1675C">
        <w:rPr>
          <w:szCs w:val="21"/>
        </w:rPr>
        <w:t>la Regione</w:t>
      </w:r>
      <w:r>
        <w:rPr>
          <w:szCs w:val="21"/>
        </w:rPr>
        <w:t xml:space="preserve"> ha avviato un programma di riforma, delineato con la L.R. n. 23/2014 che ha previsto l’accorpamento di alcune strutture ospedaliere,</w:t>
      </w:r>
      <w:r w:rsidRPr="00A20EAB">
        <w:rPr>
          <w:szCs w:val="21"/>
        </w:rPr>
        <w:t xml:space="preserve"> </w:t>
      </w:r>
      <w:r w:rsidR="00A1675C">
        <w:rPr>
          <w:szCs w:val="21"/>
        </w:rPr>
        <w:t>ed è</w:t>
      </w:r>
      <w:r>
        <w:rPr>
          <w:szCs w:val="21"/>
        </w:rPr>
        <w:t xml:space="preserve"> proseguito nel 2016 con la L.R. n. 17/2016 </w:t>
      </w:r>
      <w:r w:rsidR="00A1675C">
        <w:rPr>
          <w:szCs w:val="21"/>
        </w:rPr>
        <w:t>attraverso</w:t>
      </w:r>
      <w:r>
        <w:rPr>
          <w:szCs w:val="21"/>
        </w:rPr>
        <w:t xml:space="preserve"> l’istituzione dell’Azienda per la tutela della salute (ATS) e </w:t>
      </w:r>
      <w:r w:rsidR="00B31F14">
        <w:rPr>
          <w:szCs w:val="21"/>
        </w:rPr>
        <w:t xml:space="preserve">ha </w:t>
      </w:r>
      <w:r>
        <w:rPr>
          <w:szCs w:val="21"/>
        </w:rPr>
        <w:t>dettato disposizioni di adeguamento dell’assetto istituzionale organizzativo del SSR.</w:t>
      </w:r>
    </w:p>
    <w:p w:rsidR="00B568E4" w:rsidRPr="00A20EAB" w:rsidRDefault="00B568E4" w:rsidP="00B568E4">
      <w:pPr>
        <w:pStyle w:val="CdcTesto"/>
        <w:rPr>
          <w:szCs w:val="21"/>
        </w:rPr>
      </w:pPr>
      <w:r>
        <w:rPr>
          <w:szCs w:val="21"/>
        </w:rPr>
        <w:t xml:space="preserve">Nel corso del 2015 e 2016 sono state poste in essere azioni di razionalizzazione dei costi. In particolare con </w:t>
      </w:r>
      <w:r w:rsidRPr="00A20EAB">
        <w:rPr>
          <w:szCs w:val="21"/>
        </w:rPr>
        <w:t xml:space="preserve">l’art. 29 </w:t>
      </w:r>
      <w:r w:rsidR="00A1675C" w:rsidRPr="00A20EAB">
        <w:rPr>
          <w:szCs w:val="21"/>
        </w:rPr>
        <w:t>comma 3</w:t>
      </w:r>
      <w:r w:rsidR="00A1675C">
        <w:rPr>
          <w:szCs w:val="21"/>
        </w:rPr>
        <w:t xml:space="preserve"> </w:t>
      </w:r>
      <w:r w:rsidRPr="00A20EAB">
        <w:rPr>
          <w:szCs w:val="21"/>
        </w:rPr>
        <w:t xml:space="preserve">della L.R. n. 5 del </w:t>
      </w:r>
      <w:r>
        <w:rPr>
          <w:szCs w:val="21"/>
        </w:rPr>
        <w:t>0</w:t>
      </w:r>
      <w:r w:rsidRPr="00A20EAB">
        <w:rPr>
          <w:szCs w:val="21"/>
        </w:rPr>
        <w:t>9/</w:t>
      </w:r>
      <w:r>
        <w:rPr>
          <w:szCs w:val="21"/>
        </w:rPr>
        <w:t>0</w:t>
      </w:r>
      <w:r w:rsidRPr="00A20EAB">
        <w:rPr>
          <w:szCs w:val="21"/>
        </w:rPr>
        <w:t xml:space="preserve">3/2015 (legge finanziaria 2015), è stato disposto che a decorrere dal </w:t>
      </w:r>
      <w:r w:rsidRPr="00A20EAB">
        <w:rPr>
          <w:b/>
          <w:szCs w:val="21"/>
        </w:rPr>
        <w:t>1</w:t>
      </w:r>
      <w:r>
        <w:rPr>
          <w:b/>
          <w:szCs w:val="21"/>
        </w:rPr>
        <w:t>°</w:t>
      </w:r>
      <w:r w:rsidRPr="00A20EAB">
        <w:rPr>
          <w:b/>
          <w:szCs w:val="21"/>
        </w:rPr>
        <w:t xml:space="preserve"> gennaio 2015 il finanziamento del servizio sanitario regionale dovesse essere assicurato dal fondo sanitario regionale, determinato in sede di bilancio di previsione, alla luce del fabbisogno stabilito a livello nazionale</w:t>
      </w:r>
      <w:r w:rsidRPr="00A20EAB">
        <w:rPr>
          <w:szCs w:val="21"/>
        </w:rPr>
        <w:t xml:space="preserve">, dell’eventuale finanziamento di livelli assistenziali integrativi, dei costi standard di cui alle norme nazionali in materia, pur tenendo conto dei maggiori costi derivanti dalle particolari condizioni territoriali insulari. </w:t>
      </w:r>
    </w:p>
    <w:p w:rsidR="00B568E4" w:rsidRPr="00A20EAB" w:rsidRDefault="00B568E4" w:rsidP="00B568E4">
      <w:pPr>
        <w:pStyle w:val="CdcTesto"/>
        <w:rPr>
          <w:szCs w:val="21"/>
        </w:rPr>
      </w:pPr>
      <w:r w:rsidRPr="00A20EAB">
        <w:rPr>
          <w:szCs w:val="21"/>
        </w:rPr>
        <w:t xml:space="preserve">In presenza di costi sensibilmente superiori a tale </w:t>
      </w:r>
      <w:r>
        <w:rPr>
          <w:szCs w:val="21"/>
        </w:rPr>
        <w:t xml:space="preserve">ultima </w:t>
      </w:r>
      <w:r w:rsidRPr="00A20EAB">
        <w:rPr>
          <w:szCs w:val="21"/>
        </w:rPr>
        <w:t xml:space="preserve">maggiorazione, </w:t>
      </w:r>
      <w:r>
        <w:rPr>
          <w:szCs w:val="21"/>
        </w:rPr>
        <w:t>la citata legge impone</w:t>
      </w:r>
      <w:r w:rsidRPr="00A20EAB">
        <w:rPr>
          <w:szCs w:val="21"/>
        </w:rPr>
        <w:t xml:space="preserve"> alla Giunta regionale di predisporre un piano di riorganizzazione, riqualificazione e rafforzamento del servizio sanitario regionale idoneo a garantire sostenibilità del servizio stesso, della durata di un triennio. </w:t>
      </w:r>
    </w:p>
    <w:p w:rsidR="00B568E4" w:rsidRPr="00A20EAB" w:rsidRDefault="00B568E4" w:rsidP="00B568E4">
      <w:pPr>
        <w:pStyle w:val="CdcTesto"/>
        <w:rPr>
          <w:szCs w:val="21"/>
        </w:rPr>
      </w:pPr>
      <w:r w:rsidRPr="00A20EAB">
        <w:rPr>
          <w:szCs w:val="21"/>
        </w:rPr>
        <w:t xml:space="preserve">La legge regionale di stabilità 2016 (L.R. n. 5/2016, all’art. 6 comma 5 </w:t>
      </w:r>
      <w:r w:rsidRPr="00A20EAB">
        <w:rPr>
          <w:i/>
          <w:szCs w:val="21"/>
        </w:rPr>
        <w:t>Disposizioni in materia di sanità e politiche sociali</w:t>
      </w:r>
      <w:r w:rsidRPr="00A20EAB">
        <w:rPr>
          <w:szCs w:val="21"/>
        </w:rPr>
        <w:t>), in conformità a tali disposizioni, ha rivisitato le norme che dettano le modalità di finanziamento del SSR</w:t>
      </w:r>
      <w:r w:rsidRPr="00A20EAB">
        <w:rPr>
          <w:szCs w:val="21"/>
          <w:vertAlign w:val="superscript"/>
        </w:rPr>
        <w:footnoteReference w:id="200"/>
      </w:r>
      <w:r w:rsidRPr="00A20EAB">
        <w:rPr>
          <w:szCs w:val="21"/>
        </w:rPr>
        <w:t xml:space="preserve">. </w:t>
      </w:r>
    </w:p>
    <w:p w:rsidR="00B568E4" w:rsidRPr="00A20EAB" w:rsidRDefault="00B568E4" w:rsidP="00B568E4">
      <w:pPr>
        <w:pStyle w:val="CdcTesto"/>
        <w:rPr>
          <w:szCs w:val="21"/>
        </w:rPr>
      </w:pPr>
      <w:r>
        <w:rPr>
          <w:szCs w:val="21"/>
        </w:rPr>
        <w:lastRenderedPageBreak/>
        <w:t>Già n</w:t>
      </w:r>
      <w:r w:rsidRPr="00A20EAB">
        <w:rPr>
          <w:szCs w:val="21"/>
        </w:rPr>
        <w:t xml:space="preserve">el bilancio 2015 il Fondo sanitario regionale </w:t>
      </w:r>
      <w:r>
        <w:rPr>
          <w:szCs w:val="21"/>
        </w:rPr>
        <w:t>era</w:t>
      </w:r>
      <w:r w:rsidRPr="00A20EAB">
        <w:rPr>
          <w:szCs w:val="21"/>
        </w:rPr>
        <w:t xml:space="preserve"> stato riportato al livello del fabbisogno standard CIPE, facendo emergere il reale disavanzo del settore e rendendo esplicita la necessità di dotare il SSR del piano di cui sopra. Con la Delibera n. 63/24 del 15/12/2015, infatti, la Giunta regionale, anticipando quanto disposto dall’art. 1, commi 524-526, della L. n. 208 del 28/12/2015, a</w:t>
      </w:r>
      <w:r>
        <w:rPr>
          <w:szCs w:val="21"/>
        </w:rPr>
        <w:t>veva</w:t>
      </w:r>
      <w:r w:rsidRPr="00A20EAB">
        <w:rPr>
          <w:szCs w:val="21"/>
        </w:rPr>
        <w:t xml:space="preserve"> approvato “</w:t>
      </w:r>
      <w:r w:rsidRPr="00A20EAB">
        <w:rPr>
          <w:i/>
          <w:szCs w:val="21"/>
        </w:rPr>
        <w:t xml:space="preserve">Il Piano di Riorganizzazione e di Riqualificazione del Servizio Sanitario Regionale – Anni 2016 – 2018”, </w:t>
      </w:r>
      <w:r w:rsidRPr="00A20EAB">
        <w:rPr>
          <w:szCs w:val="21"/>
        </w:rPr>
        <w:t xml:space="preserve">affidandone la governance al </w:t>
      </w:r>
      <w:r w:rsidRPr="00A20EAB">
        <w:rPr>
          <w:i/>
          <w:szCs w:val="21"/>
        </w:rPr>
        <w:t>Comitato</w:t>
      </w:r>
      <w:r w:rsidRPr="00A20EAB">
        <w:rPr>
          <w:i/>
          <w:szCs w:val="21"/>
          <w:vertAlign w:val="superscript"/>
        </w:rPr>
        <w:footnoteReference w:id="201"/>
      </w:r>
      <w:r w:rsidRPr="00A20EAB">
        <w:rPr>
          <w:i/>
          <w:szCs w:val="21"/>
        </w:rPr>
        <w:t xml:space="preserve"> permanente di monitoraggio dell’andamento della gestione delle aziende sanitarie e della qualità dei livelli essenziali di assistenza erogati</w:t>
      </w:r>
      <w:r w:rsidRPr="00A20EAB">
        <w:rPr>
          <w:szCs w:val="21"/>
        </w:rPr>
        <w:t xml:space="preserve"> (integrato con i responsabili dei programmi operativi), le cui attività di verifica, effettuate con cadenza almeno trimestrale, comport</w:t>
      </w:r>
      <w:r>
        <w:rPr>
          <w:szCs w:val="21"/>
        </w:rPr>
        <w:t>a</w:t>
      </w:r>
      <w:r w:rsidRPr="00A20EAB">
        <w:rPr>
          <w:szCs w:val="21"/>
        </w:rPr>
        <w:t xml:space="preserve">no l’adozione di eventuali interventi correttivi volti a riportare in equilibrio la spesa del SSR. </w:t>
      </w:r>
    </w:p>
    <w:p w:rsidR="00B568E4" w:rsidRPr="00A20EAB" w:rsidRDefault="00B568E4" w:rsidP="00B568E4">
      <w:pPr>
        <w:pStyle w:val="CdcTesto"/>
        <w:rPr>
          <w:szCs w:val="21"/>
        </w:rPr>
      </w:pPr>
      <w:r w:rsidRPr="00A20EAB">
        <w:rPr>
          <w:szCs w:val="21"/>
        </w:rPr>
        <w:t xml:space="preserve">Si riassumono nella tabella seguente </w:t>
      </w:r>
      <w:r>
        <w:rPr>
          <w:szCs w:val="21"/>
        </w:rPr>
        <w:t>i dati correlati al</w:t>
      </w:r>
      <w:r w:rsidRPr="00A20EAB">
        <w:rPr>
          <w:szCs w:val="21"/>
        </w:rPr>
        <w:t xml:space="preserve">l’entità dei disavanzi </w:t>
      </w:r>
      <w:r>
        <w:rPr>
          <w:szCs w:val="21"/>
        </w:rPr>
        <w:t xml:space="preserve">tendenziali 2016/2018 del SSR </w:t>
      </w:r>
      <w:r w:rsidRPr="00A20EAB">
        <w:rPr>
          <w:szCs w:val="21"/>
        </w:rPr>
        <w:t xml:space="preserve">al netto dei risparmi, così come </w:t>
      </w:r>
      <w:r>
        <w:rPr>
          <w:szCs w:val="21"/>
        </w:rPr>
        <w:t>previsti nel</w:t>
      </w:r>
      <w:r w:rsidRPr="00A20EAB">
        <w:rPr>
          <w:szCs w:val="21"/>
        </w:rPr>
        <w:t xml:space="preserve"> documento </w:t>
      </w:r>
      <w:r>
        <w:rPr>
          <w:szCs w:val="21"/>
        </w:rPr>
        <w:t>in parola</w:t>
      </w:r>
      <w:r w:rsidR="005B5A3C">
        <w:rPr>
          <w:szCs w:val="21"/>
        </w:rPr>
        <w:t>.</w:t>
      </w:r>
    </w:p>
    <w:p w:rsidR="00B568E4" w:rsidRPr="00A20EAB" w:rsidRDefault="005566B6" w:rsidP="005566B6">
      <w:pPr>
        <w:pStyle w:val="Didascalia"/>
        <w:keepNext/>
        <w:rPr>
          <w:szCs w:val="21"/>
        </w:rPr>
      </w:pPr>
      <w:bookmarkStart w:id="327" w:name="_Toc481056491"/>
      <w:bookmarkStart w:id="328" w:name="_Toc507422553"/>
      <w:r>
        <w:t xml:space="preserve">Tabella </w:t>
      </w:r>
      <w:r w:rsidR="00B90472">
        <w:fldChar w:fldCharType="begin"/>
      </w:r>
      <w:r w:rsidR="00B90472">
        <w:instrText xml:space="preserve"> SEQ Tabella \* ARABIC </w:instrText>
      </w:r>
      <w:r w:rsidR="00B90472">
        <w:fldChar w:fldCharType="separate"/>
      </w:r>
      <w:r w:rsidR="008616B3">
        <w:rPr>
          <w:noProof/>
        </w:rPr>
        <w:t>85</w:t>
      </w:r>
      <w:r w:rsidR="00B90472">
        <w:rPr>
          <w:noProof/>
        </w:rPr>
        <w:fldChar w:fldCharType="end"/>
      </w:r>
      <w:r>
        <w:t xml:space="preserve"> </w:t>
      </w:r>
      <w:r w:rsidR="00B568E4">
        <w:t>- Piano di rientro</w:t>
      </w:r>
      <w:bookmarkEnd w:id="327"/>
      <w:r w:rsidR="00B568E4">
        <w:t xml:space="preserve"> 2016 - 2018</w:t>
      </w:r>
      <w:bookmarkEnd w:id="328"/>
    </w:p>
    <w:tbl>
      <w:tblPr>
        <w:tblW w:w="5000" w:type="pct"/>
        <w:jc w:val="center"/>
        <w:tblCellMar>
          <w:left w:w="70" w:type="dxa"/>
          <w:right w:w="70" w:type="dxa"/>
        </w:tblCellMar>
        <w:tblLook w:val="04A0" w:firstRow="1" w:lastRow="0" w:firstColumn="1" w:lastColumn="0" w:noHBand="0" w:noVBand="1"/>
      </w:tblPr>
      <w:tblGrid>
        <w:gridCol w:w="5377"/>
        <w:gridCol w:w="1467"/>
        <w:gridCol w:w="1467"/>
        <w:gridCol w:w="1467"/>
      </w:tblGrid>
      <w:tr w:rsidR="00B568E4" w:rsidRPr="000D2DFC" w:rsidTr="00A566A2">
        <w:trPr>
          <w:trHeight w:val="585"/>
          <w:jc w:val="center"/>
        </w:trPr>
        <w:tc>
          <w:tcPr>
            <w:tcW w:w="2750"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B568E4" w:rsidRPr="000D2DFC" w:rsidRDefault="00B568E4" w:rsidP="00B568E4">
            <w:pPr>
              <w:pStyle w:val="CdcTesto"/>
              <w:spacing w:after="0" w:line="240" w:lineRule="auto"/>
              <w:jc w:val="center"/>
              <w:rPr>
                <w:b/>
                <w:bCs/>
                <w:color w:val="FFFFFF" w:themeColor="background1"/>
                <w:sz w:val="18"/>
                <w:szCs w:val="18"/>
              </w:rPr>
            </w:pPr>
            <w:r w:rsidRPr="000D2DFC">
              <w:rPr>
                <w:b/>
                <w:bCs/>
                <w:color w:val="FFFFFF" w:themeColor="background1"/>
                <w:sz w:val="18"/>
                <w:szCs w:val="18"/>
              </w:rPr>
              <w:t>Sintesi finanziaria Piano di rientro</w:t>
            </w:r>
          </w:p>
        </w:tc>
        <w:tc>
          <w:tcPr>
            <w:tcW w:w="75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B568E4" w:rsidRPr="000D2DFC" w:rsidRDefault="00B568E4" w:rsidP="00B568E4">
            <w:pPr>
              <w:pStyle w:val="CdcTesto"/>
              <w:spacing w:after="0" w:line="240" w:lineRule="auto"/>
              <w:jc w:val="center"/>
              <w:rPr>
                <w:b/>
                <w:bCs/>
                <w:color w:val="FFFFFF" w:themeColor="background1"/>
                <w:sz w:val="18"/>
                <w:szCs w:val="18"/>
              </w:rPr>
            </w:pPr>
            <w:r w:rsidRPr="000D2DFC">
              <w:rPr>
                <w:b/>
                <w:bCs/>
                <w:color w:val="FFFFFF" w:themeColor="background1"/>
                <w:sz w:val="18"/>
                <w:szCs w:val="18"/>
              </w:rPr>
              <w:t>2016</w:t>
            </w:r>
          </w:p>
        </w:tc>
        <w:tc>
          <w:tcPr>
            <w:tcW w:w="75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B568E4" w:rsidRPr="000D2DFC" w:rsidRDefault="00B568E4" w:rsidP="00B568E4">
            <w:pPr>
              <w:pStyle w:val="CdcTesto"/>
              <w:spacing w:after="0" w:line="240" w:lineRule="auto"/>
              <w:jc w:val="center"/>
              <w:rPr>
                <w:b/>
                <w:bCs/>
                <w:color w:val="FFFFFF" w:themeColor="background1"/>
                <w:sz w:val="18"/>
                <w:szCs w:val="18"/>
              </w:rPr>
            </w:pPr>
            <w:r w:rsidRPr="000D2DFC">
              <w:rPr>
                <w:b/>
                <w:bCs/>
                <w:color w:val="FFFFFF" w:themeColor="background1"/>
                <w:sz w:val="18"/>
                <w:szCs w:val="18"/>
              </w:rPr>
              <w:t>2017</w:t>
            </w:r>
          </w:p>
        </w:tc>
        <w:tc>
          <w:tcPr>
            <w:tcW w:w="75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B568E4" w:rsidRPr="000D2DFC" w:rsidRDefault="00B568E4" w:rsidP="00B568E4">
            <w:pPr>
              <w:pStyle w:val="CdcTesto"/>
              <w:spacing w:after="0" w:line="240" w:lineRule="auto"/>
              <w:jc w:val="center"/>
              <w:rPr>
                <w:b/>
                <w:bCs/>
                <w:color w:val="FFFFFF" w:themeColor="background1"/>
                <w:sz w:val="18"/>
                <w:szCs w:val="18"/>
              </w:rPr>
            </w:pPr>
            <w:r w:rsidRPr="000D2DFC">
              <w:rPr>
                <w:b/>
                <w:bCs/>
                <w:color w:val="FFFFFF" w:themeColor="background1"/>
                <w:sz w:val="18"/>
                <w:szCs w:val="18"/>
              </w:rPr>
              <w:t>2018</w:t>
            </w:r>
          </w:p>
        </w:tc>
      </w:tr>
      <w:tr w:rsidR="00B568E4" w:rsidRPr="00C02C12" w:rsidTr="00A566A2">
        <w:trPr>
          <w:trHeight w:val="300"/>
          <w:jc w:val="center"/>
        </w:trPr>
        <w:tc>
          <w:tcPr>
            <w:tcW w:w="27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A566A2" w:rsidRDefault="00B568E4" w:rsidP="00B568E4">
            <w:pPr>
              <w:pStyle w:val="CdcTesto"/>
              <w:spacing w:line="240" w:lineRule="auto"/>
              <w:jc w:val="left"/>
              <w:rPr>
                <w:color w:val="FFFFFF" w:themeColor="background1"/>
                <w:sz w:val="20"/>
                <w:szCs w:val="20"/>
              </w:rPr>
            </w:pPr>
            <w:r w:rsidRPr="00A566A2">
              <w:rPr>
                <w:color w:val="FFFFFF" w:themeColor="background1"/>
                <w:sz w:val="20"/>
                <w:szCs w:val="20"/>
              </w:rPr>
              <w:t>Disavanzo tendenziale</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-317.000</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-312.000</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-278.000</w:t>
            </w:r>
          </w:p>
        </w:tc>
      </w:tr>
      <w:tr w:rsidR="00B568E4" w:rsidRPr="00C02C12" w:rsidTr="00A566A2">
        <w:trPr>
          <w:trHeight w:val="300"/>
          <w:jc w:val="center"/>
        </w:trPr>
        <w:tc>
          <w:tcPr>
            <w:tcW w:w="27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A566A2" w:rsidRDefault="00B568E4" w:rsidP="00B568E4">
            <w:pPr>
              <w:pStyle w:val="CdcTesto"/>
              <w:spacing w:line="240" w:lineRule="auto"/>
              <w:jc w:val="left"/>
              <w:rPr>
                <w:color w:val="FFFFFF" w:themeColor="background1"/>
                <w:sz w:val="20"/>
                <w:szCs w:val="20"/>
              </w:rPr>
            </w:pPr>
            <w:r w:rsidRPr="00A566A2">
              <w:rPr>
                <w:color w:val="FFFFFF" w:themeColor="background1"/>
                <w:sz w:val="20"/>
                <w:szCs w:val="20"/>
              </w:rPr>
              <w:t>Manovra sui costi per anno</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62.603</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126.700</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138.800</w:t>
            </w:r>
          </w:p>
        </w:tc>
      </w:tr>
      <w:tr w:rsidR="00B568E4" w:rsidRPr="00C02C12" w:rsidTr="00A566A2">
        <w:trPr>
          <w:trHeight w:val="300"/>
          <w:jc w:val="center"/>
        </w:trPr>
        <w:tc>
          <w:tcPr>
            <w:tcW w:w="27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A566A2" w:rsidRDefault="00B568E4" w:rsidP="00B568E4">
            <w:pPr>
              <w:pStyle w:val="CdcTesto"/>
              <w:spacing w:line="240" w:lineRule="auto"/>
              <w:jc w:val="left"/>
              <w:rPr>
                <w:color w:val="FFFFFF" w:themeColor="background1"/>
                <w:sz w:val="20"/>
                <w:szCs w:val="20"/>
              </w:rPr>
            </w:pPr>
            <w:r w:rsidRPr="00A566A2">
              <w:rPr>
                <w:color w:val="FFFFFF" w:themeColor="background1"/>
                <w:sz w:val="20"/>
                <w:szCs w:val="20"/>
              </w:rPr>
              <w:t>Totale risparmi cumulati</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62.603</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189.303</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328.103</w:t>
            </w:r>
          </w:p>
        </w:tc>
      </w:tr>
      <w:tr w:rsidR="00B568E4" w:rsidRPr="00C02C12" w:rsidTr="00A566A2">
        <w:trPr>
          <w:trHeight w:val="300"/>
          <w:jc w:val="center"/>
        </w:trPr>
        <w:tc>
          <w:tcPr>
            <w:tcW w:w="275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A566A2" w:rsidRDefault="00B568E4" w:rsidP="00B568E4">
            <w:pPr>
              <w:pStyle w:val="CdcTesto"/>
              <w:spacing w:line="240" w:lineRule="auto"/>
              <w:jc w:val="left"/>
              <w:rPr>
                <w:color w:val="FFFFFF" w:themeColor="background1"/>
                <w:sz w:val="20"/>
                <w:szCs w:val="20"/>
              </w:rPr>
            </w:pPr>
            <w:r w:rsidRPr="00A566A2">
              <w:rPr>
                <w:color w:val="FFFFFF" w:themeColor="background1"/>
                <w:sz w:val="20"/>
                <w:szCs w:val="20"/>
              </w:rPr>
              <w:t>Disavanzo residuo dell'anno</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-254.397</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-122.697</w:t>
            </w:r>
          </w:p>
        </w:tc>
        <w:tc>
          <w:tcPr>
            <w:tcW w:w="750" w:type="pct"/>
            <w:tcBorders>
              <w:top w:val="nil"/>
              <w:left w:val="nil"/>
              <w:bottom w:val="single" w:sz="4" w:space="0" w:color="auto"/>
              <w:right w:val="single" w:sz="4" w:space="0" w:color="auto"/>
            </w:tcBorders>
            <w:shd w:val="clear" w:color="auto" w:fill="auto"/>
            <w:noWrap/>
            <w:vAlign w:val="center"/>
            <w:hideMark/>
          </w:tcPr>
          <w:p w:rsidR="00B568E4" w:rsidRPr="00A566A2" w:rsidRDefault="00B568E4" w:rsidP="00A566A2">
            <w:pPr>
              <w:pStyle w:val="CdcTesto"/>
              <w:spacing w:line="240" w:lineRule="auto"/>
              <w:jc w:val="center"/>
              <w:rPr>
                <w:rFonts w:asciiTheme="minorHAnsi" w:hAnsiTheme="minorHAnsi"/>
                <w:sz w:val="18"/>
                <w:szCs w:val="18"/>
              </w:rPr>
            </w:pPr>
            <w:r w:rsidRPr="00A566A2">
              <w:rPr>
                <w:rFonts w:asciiTheme="minorHAnsi" w:hAnsiTheme="minorHAnsi"/>
                <w:sz w:val="18"/>
                <w:szCs w:val="18"/>
              </w:rPr>
              <w:t>50.103</w:t>
            </w:r>
          </w:p>
        </w:tc>
      </w:tr>
    </w:tbl>
    <w:p w:rsidR="00B568E4" w:rsidRDefault="00B568E4" w:rsidP="00B568E4">
      <w:pPr>
        <w:pStyle w:val="CdcTesto"/>
        <w:rPr>
          <w:sz w:val="18"/>
          <w:szCs w:val="18"/>
        </w:rPr>
      </w:pPr>
      <w:r>
        <w:rPr>
          <w:sz w:val="18"/>
          <w:szCs w:val="18"/>
        </w:rPr>
        <w:t>Valori in migliaia di euro</w:t>
      </w:r>
    </w:p>
    <w:p w:rsidR="00B568E4" w:rsidRDefault="00B568E4" w:rsidP="00B568E4">
      <w:pPr>
        <w:pStyle w:val="CdcTesto"/>
      </w:pPr>
      <w:r>
        <w:t xml:space="preserve">La Delibera della Giunta regionale n. 63/24 </w:t>
      </w:r>
      <w:r w:rsidR="00A1675C">
        <w:t>del 2016 prevedeva</w:t>
      </w:r>
      <w:r>
        <w:t xml:space="preserve"> per i</w:t>
      </w:r>
      <w:r w:rsidR="00D408BA">
        <w:t>l 2016 la realizzazione di 62,6 </w:t>
      </w:r>
      <w:r>
        <w:t>milioni di euro di risparmi, come di seguito ripartiti.</w:t>
      </w:r>
    </w:p>
    <w:p w:rsidR="00B568E4" w:rsidRDefault="005566B6" w:rsidP="00B568E4">
      <w:pPr>
        <w:pStyle w:val="Didascalia"/>
        <w:keepNext/>
      </w:pPr>
      <w:bookmarkStart w:id="329" w:name="_Toc481056492"/>
      <w:bookmarkStart w:id="330" w:name="_Toc507422554"/>
      <w:r>
        <w:t xml:space="preserve">Tabella </w:t>
      </w:r>
      <w:r w:rsidR="00B90472">
        <w:fldChar w:fldCharType="begin"/>
      </w:r>
      <w:r w:rsidR="00B90472">
        <w:instrText xml:space="preserve"> SEQ Tabella \* ARABIC </w:instrText>
      </w:r>
      <w:r w:rsidR="00B90472">
        <w:fldChar w:fldCharType="separate"/>
      </w:r>
      <w:r w:rsidR="008616B3">
        <w:rPr>
          <w:noProof/>
        </w:rPr>
        <w:t>86</w:t>
      </w:r>
      <w:r w:rsidR="00B90472">
        <w:rPr>
          <w:noProof/>
        </w:rPr>
        <w:fldChar w:fldCharType="end"/>
      </w:r>
      <w:r w:rsidR="00B568E4">
        <w:t xml:space="preserve"> - Risparmi previsti dal Piano di rientro</w:t>
      </w:r>
      <w:bookmarkEnd w:id="329"/>
      <w:bookmarkEnd w:id="330"/>
    </w:p>
    <w:tbl>
      <w:tblPr>
        <w:tblW w:w="5000" w:type="pct"/>
        <w:jc w:val="center"/>
        <w:tblCellMar>
          <w:left w:w="70" w:type="dxa"/>
          <w:right w:w="70" w:type="dxa"/>
        </w:tblCellMar>
        <w:tblLook w:val="04A0" w:firstRow="1" w:lastRow="0" w:firstColumn="1" w:lastColumn="0" w:noHBand="0" w:noVBand="1"/>
      </w:tblPr>
      <w:tblGrid>
        <w:gridCol w:w="5198"/>
        <w:gridCol w:w="2707"/>
        <w:gridCol w:w="1873"/>
      </w:tblGrid>
      <w:tr w:rsidR="00B568E4" w:rsidRPr="00822F81" w:rsidTr="005566B6">
        <w:trPr>
          <w:trHeight w:val="450"/>
          <w:jc w:val="center"/>
        </w:trPr>
        <w:tc>
          <w:tcPr>
            <w:tcW w:w="2658"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B568E4" w:rsidRPr="00822F81" w:rsidRDefault="00B568E4" w:rsidP="00B568E4">
            <w:pPr>
              <w:spacing w:after="0" w:line="240" w:lineRule="auto"/>
              <w:jc w:val="center"/>
              <w:rPr>
                <w:rFonts w:ascii="Bodoni MT" w:eastAsia="Times New Roman" w:hAnsi="Bodoni MT" w:cs="Times New Roman"/>
                <w:b/>
                <w:bCs/>
                <w:color w:val="FFFFFF" w:themeColor="background1"/>
                <w:sz w:val="18"/>
                <w:szCs w:val="18"/>
                <w:lang w:eastAsia="it-IT"/>
              </w:rPr>
            </w:pPr>
            <w:r w:rsidRPr="00822F81">
              <w:rPr>
                <w:rFonts w:ascii="Bodoni MT" w:eastAsia="Times New Roman" w:hAnsi="Bodoni MT" w:cs="Times New Roman"/>
                <w:b/>
                <w:bCs/>
                <w:color w:val="FFFFFF" w:themeColor="background1"/>
                <w:sz w:val="18"/>
                <w:szCs w:val="18"/>
                <w:lang w:eastAsia="it-IT"/>
              </w:rPr>
              <w:t>Azioni</w:t>
            </w:r>
          </w:p>
        </w:tc>
        <w:tc>
          <w:tcPr>
            <w:tcW w:w="1384"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B568E4" w:rsidRPr="00822F81" w:rsidRDefault="00B568E4" w:rsidP="00B568E4">
            <w:pPr>
              <w:spacing w:after="0" w:line="240" w:lineRule="auto"/>
              <w:jc w:val="center"/>
              <w:rPr>
                <w:rFonts w:ascii="Bodoni MT" w:eastAsia="Times New Roman" w:hAnsi="Bodoni MT" w:cs="Times New Roman"/>
                <w:b/>
                <w:bCs/>
                <w:color w:val="FFFFFF" w:themeColor="background1"/>
                <w:sz w:val="18"/>
                <w:szCs w:val="18"/>
                <w:lang w:eastAsia="it-IT"/>
              </w:rPr>
            </w:pPr>
            <w:r w:rsidRPr="00822F81">
              <w:rPr>
                <w:rFonts w:ascii="Bodoni MT" w:eastAsia="Times New Roman" w:hAnsi="Bodoni MT" w:cs="Times New Roman"/>
                <w:b/>
                <w:bCs/>
                <w:color w:val="FFFFFF" w:themeColor="background1"/>
                <w:sz w:val="18"/>
                <w:szCs w:val="18"/>
                <w:lang w:eastAsia="it-IT"/>
              </w:rPr>
              <w:t>Risparmi previsti</w:t>
            </w:r>
            <w:r>
              <w:rPr>
                <w:rFonts w:ascii="Bodoni MT" w:eastAsia="Times New Roman" w:hAnsi="Bodoni MT" w:cs="Times New Roman"/>
                <w:b/>
                <w:bCs/>
                <w:color w:val="FFFFFF" w:themeColor="background1"/>
                <w:sz w:val="18"/>
                <w:szCs w:val="18"/>
                <w:lang w:eastAsia="it-IT"/>
              </w:rPr>
              <w:t xml:space="preserve"> 2016</w:t>
            </w:r>
          </w:p>
        </w:tc>
        <w:tc>
          <w:tcPr>
            <w:tcW w:w="958"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B568E4" w:rsidRPr="00822F81" w:rsidRDefault="00B568E4" w:rsidP="00B568E4">
            <w:pPr>
              <w:spacing w:after="0" w:line="240" w:lineRule="auto"/>
              <w:jc w:val="center"/>
              <w:rPr>
                <w:rFonts w:ascii="Bodoni MT" w:eastAsia="Times New Roman" w:hAnsi="Bodoni MT" w:cs="Times New Roman"/>
                <w:b/>
                <w:bCs/>
                <w:color w:val="FFFFFF" w:themeColor="background1"/>
                <w:sz w:val="18"/>
                <w:szCs w:val="18"/>
                <w:lang w:eastAsia="it-IT"/>
              </w:rPr>
            </w:pPr>
            <w:r w:rsidRPr="00822F81">
              <w:rPr>
                <w:rFonts w:ascii="Bodoni MT" w:eastAsia="Times New Roman" w:hAnsi="Bodoni MT" w:cs="Times New Roman"/>
                <w:b/>
                <w:bCs/>
                <w:color w:val="FFFFFF" w:themeColor="background1"/>
                <w:sz w:val="18"/>
                <w:szCs w:val="18"/>
                <w:lang w:eastAsia="it-IT"/>
              </w:rPr>
              <w:t>Incid. %</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color w:val="FFFFFF" w:themeColor="background1"/>
                <w:sz w:val="18"/>
                <w:szCs w:val="18"/>
                <w:lang w:eastAsia="it-IT"/>
              </w:rPr>
            </w:pPr>
            <w:r w:rsidRPr="005566B6">
              <w:rPr>
                <w:rFonts w:ascii="Bodoni MT" w:eastAsia="Times New Roman" w:hAnsi="Bodoni MT" w:cs="Times New Roman"/>
                <w:color w:val="FFFFFF" w:themeColor="background1"/>
                <w:sz w:val="18"/>
                <w:szCs w:val="18"/>
                <w:lang w:eastAsia="it-IT"/>
              </w:rPr>
              <w:t>Azioni su farmaci territoriali</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24.000</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38,34</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color w:val="FFFFFF" w:themeColor="background1"/>
                <w:sz w:val="18"/>
                <w:szCs w:val="18"/>
                <w:lang w:eastAsia="it-IT"/>
              </w:rPr>
            </w:pPr>
            <w:r w:rsidRPr="005566B6">
              <w:rPr>
                <w:rFonts w:ascii="Bodoni MT" w:eastAsia="Times New Roman" w:hAnsi="Bodoni MT" w:cs="Times New Roman"/>
                <w:color w:val="FFFFFF" w:themeColor="background1"/>
                <w:sz w:val="18"/>
                <w:szCs w:val="18"/>
                <w:lang w:eastAsia="it-IT"/>
              </w:rPr>
              <w:t>Azioni su farmaci ospedalieri</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12.053</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19,25</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color w:val="FFFFFF" w:themeColor="background1"/>
                <w:sz w:val="18"/>
                <w:szCs w:val="18"/>
                <w:lang w:eastAsia="it-IT"/>
              </w:rPr>
            </w:pPr>
            <w:r w:rsidRPr="005566B6">
              <w:rPr>
                <w:rFonts w:ascii="Bodoni MT" w:eastAsia="Times New Roman" w:hAnsi="Bodoni MT" w:cs="Times New Roman"/>
                <w:color w:val="FFFFFF" w:themeColor="background1"/>
                <w:sz w:val="18"/>
                <w:szCs w:val="18"/>
                <w:lang w:eastAsia="it-IT"/>
              </w:rPr>
              <w:lastRenderedPageBreak/>
              <w:t>Azioni di efficientamento degli ospedali</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17.300</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27,63</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color w:val="FFFFFF" w:themeColor="background1"/>
                <w:sz w:val="18"/>
                <w:szCs w:val="18"/>
                <w:lang w:eastAsia="it-IT"/>
              </w:rPr>
            </w:pPr>
            <w:r w:rsidRPr="005566B6">
              <w:rPr>
                <w:rFonts w:ascii="Bodoni MT" w:eastAsia="Times New Roman" w:hAnsi="Bodoni MT" w:cs="Times New Roman"/>
                <w:color w:val="FFFFFF" w:themeColor="background1"/>
                <w:sz w:val="18"/>
                <w:szCs w:val="18"/>
                <w:lang w:eastAsia="it-IT"/>
              </w:rPr>
              <w:t>Azioni di efficientamento del territorio</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3.000</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4,79</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color w:val="FFFFFF" w:themeColor="background1"/>
                <w:sz w:val="18"/>
                <w:szCs w:val="18"/>
                <w:lang w:eastAsia="it-IT"/>
              </w:rPr>
            </w:pPr>
            <w:r w:rsidRPr="005566B6">
              <w:rPr>
                <w:rFonts w:ascii="Bodoni MT" w:eastAsia="Times New Roman" w:hAnsi="Bodoni MT" w:cs="Times New Roman"/>
                <w:color w:val="FFFFFF" w:themeColor="background1"/>
                <w:sz w:val="18"/>
                <w:szCs w:val="18"/>
                <w:lang w:eastAsia="it-IT"/>
              </w:rPr>
              <w:t>Azioni su integrativa e protesica</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3.000</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4,79</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b/>
                <w:bCs/>
                <w:color w:val="FFFFFF" w:themeColor="background1"/>
                <w:sz w:val="18"/>
                <w:szCs w:val="18"/>
                <w:lang w:eastAsia="it-IT"/>
              </w:rPr>
            </w:pPr>
            <w:r w:rsidRPr="005566B6">
              <w:rPr>
                <w:rFonts w:ascii="Bodoni MT" w:eastAsia="Times New Roman" w:hAnsi="Bodoni MT" w:cs="Times New Roman"/>
                <w:b/>
                <w:bCs/>
                <w:color w:val="FFFFFF" w:themeColor="background1"/>
                <w:sz w:val="18"/>
                <w:szCs w:val="18"/>
                <w:lang w:eastAsia="it-IT"/>
              </w:rPr>
              <w:t>Totale azioni Aziende</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b/>
                <w:bCs/>
                <w:color w:val="000000"/>
                <w:sz w:val="18"/>
                <w:szCs w:val="18"/>
                <w:lang w:eastAsia="it-IT"/>
              </w:rPr>
            </w:pPr>
            <w:r w:rsidRPr="005566B6">
              <w:rPr>
                <w:rFonts w:eastAsia="Times New Roman" w:cstheme="minorHAnsi"/>
                <w:b/>
                <w:bCs/>
                <w:color w:val="000000"/>
                <w:sz w:val="18"/>
                <w:szCs w:val="18"/>
                <w:lang w:eastAsia="it-IT"/>
              </w:rPr>
              <w:t>59.353</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 </w:t>
            </w:r>
          </w:p>
        </w:tc>
      </w:tr>
      <w:tr w:rsidR="00B568E4" w:rsidRPr="00822F81" w:rsidTr="005566B6">
        <w:trPr>
          <w:trHeight w:val="30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b/>
                <w:bCs/>
                <w:color w:val="FFFFFF" w:themeColor="background1"/>
                <w:sz w:val="18"/>
                <w:szCs w:val="18"/>
                <w:lang w:eastAsia="it-IT"/>
              </w:rPr>
            </w:pPr>
            <w:r w:rsidRPr="005566B6">
              <w:rPr>
                <w:rFonts w:ascii="Bodoni MT" w:eastAsia="Times New Roman" w:hAnsi="Bodoni MT" w:cs="Times New Roman"/>
                <w:b/>
                <w:bCs/>
                <w:color w:val="FFFFFF" w:themeColor="background1"/>
                <w:sz w:val="18"/>
                <w:szCs w:val="18"/>
                <w:lang w:eastAsia="it-IT"/>
              </w:rPr>
              <w:t>Azioni in capo all'Assessorato della Sanità</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b/>
                <w:bCs/>
                <w:color w:val="000000"/>
                <w:sz w:val="18"/>
                <w:szCs w:val="18"/>
                <w:lang w:eastAsia="it-IT"/>
              </w:rPr>
            </w:pPr>
            <w:r w:rsidRPr="005566B6">
              <w:rPr>
                <w:rFonts w:eastAsia="Times New Roman" w:cstheme="minorHAnsi"/>
                <w:b/>
                <w:bCs/>
                <w:color w:val="000000"/>
                <w:sz w:val="18"/>
                <w:szCs w:val="18"/>
                <w:lang w:eastAsia="it-IT"/>
              </w:rPr>
              <w:t>3.250</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5,19</w:t>
            </w:r>
          </w:p>
        </w:tc>
      </w:tr>
      <w:tr w:rsidR="00B568E4" w:rsidRPr="00822F81" w:rsidTr="005566B6">
        <w:trPr>
          <w:trHeight w:val="450"/>
          <w:jc w:val="center"/>
        </w:trPr>
        <w:tc>
          <w:tcPr>
            <w:tcW w:w="265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B568E4" w:rsidRPr="005566B6" w:rsidRDefault="00B568E4" w:rsidP="00B568E4">
            <w:pPr>
              <w:spacing w:after="0" w:line="240" w:lineRule="auto"/>
              <w:rPr>
                <w:rFonts w:ascii="Bodoni MT" w:eastAsia="Times New Roman" w:hAnsi="Bodoni MT" w:cs="Times New Roman"/>
                <w:b/>
                <w:bCs/>
                <w:color w:val="FFFFFF" w:themeColor="background1"/>
                <w:sz w:val="18"/>
                <w:szCs w:val="18"/>
                <w:lang w:eastAsia="it-IT"/>
              </w:rPr>
            </w:pPr>
            <w:r w:rsidRPr="005566B6">
              <w:rPr>
                <w:rFonts w:ascii="Bodoni MT" w:eastAsia="Times New Roman" w:hAnsi="Bodoni MT" w:cs="Times New Roman"/>
                <w:b/>
                <w:bCs/>
                <w:color w:val="FFFFFF" w:themeColor="background1"/>
                <w:sz w:val="18"/>
                <w:szCs w:val="18"/>
                <w:lang w:eastAsia="it-IT"/>
              </w:rPr>
              <w:t>Totale</w:t>
            </w:r>
          </w:p>
        </w:tc>
        <w:tc>
          <w:tcPr>
            <w:tcW w:w="1384"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b/>
                <w:bCs/>
                <w:color w:val="000000"/>
                <w:sz w:val="18"/>
                <w:szCs w:val="18"/>
                <w:lang w:eastAsia="it-IT"/>
              </w:rPr>
            </w:pPr>
            <w:r w:rsidRPr="005566B6">
              <w:rPr>
                <w:rFonts w:eastAsia="Times New Roman" w:cstheme="minorHAnsi"/>
                <w:b/>
                <w:bCs/>
                <w:color w:val="000000"/>
                <w:sz w:val="18"/>
                <w:szCs w:val="18"/>
                <w:lang w:eastAsia="it-IT"/>
              </w:rPr>
              <w:t>62.603</w:t>
            </w:r>
          </w:p>
        </w:tc>
        <w:tc>
          <w:tcPr>
            <w:tcW w:w="958" w:type="pct"/>
            <w:tcBorders>
              <w:top w:val="nil"/>
              <w:left w:val="nil"/>
              <w:bottom w:val="single" w:sz="4" w:space="0" w:color="auto"/>
              <w:right w:val="single" w:sz="4" w:space="0" w:color="auto"/>
            </w:tcBorders>
            <w:shd w:val="clear" w:color="auto" w:fill="auto"/>
            <w:noWrap/>
            <w:vAlign w:val="center"/>
            <w:hideMark/>
          </w:tcPr>
          <w:p w:rsidR="00B568E4" w:rsidRPr="005566B6" w:rsidRDefault="00B568E4" w:rsidP="005566B6">
            <w:pPr>
              <w:spacing w:after="0" w:line="240" w:lineRule="auto"/>
              <w:jc w:val="right"/>
              <w:rPr>
                <w:rFonts w:eastAsia="Times New Roman" w:cstheme="minorHAnsi"/>
                <w:color w:val="000000"/>
                <w:sz w:val="18"/>
                <w:szCs w:val="18"/>
                <w:lang w:eastAsia="it-IT"/>
              </w:rPr>
            </w:pPr>
            <w:r w:rsidRPr="005566B6">
              <w:rPr>
                <w:rFonts w:eastAsia="Times New Roman" w:cstheme="minorHAnsi"/>
                <w:color w:val="000000"/>
                <w:sz w:val="18"/>
                <w:szCs w:val="18"/>
                <w:lang w:eastAsia="it-IT"/>
              </w:rPr>
              <w:t>100</w:t>
            </w:r>
          </w:p>
        </w:tc>
      </w:tr>
    </w:tbl>
    <w:p w:rsidR="00B568E4" w:rsidRDefault="00B568E4" w:rsidP="00B568E4">
      <w:pPr>
        <w:spacing w:after="120" w:line="360" w:lineRule="auto"/>
        <w:jc w:val="both"/>
        <w:rPr>
          <w:rFonts w:ascii="Bodoni MT" w:eastAsia="Calibri" w:hAnsi="Bodoni MT" w:cs="Times New Roman"/>
          <w:sz w:val="18"/>
          <w:szCs w:val="18"/>
        </w:rPr>
      </w:pPr>
      <w:r w:rsidRPr="00822F81">
        <w:rPr>
          <w:rFonts w:ascii="Bodoni MT" w:eastAsia="Calibri" w:hAnsi="Bodoni MT" w:cs="Times New Roman"/>
          <w:sz w:val="18"/>
          <w:szCs w:val="18"/>
        </w:rPr>
        <w:t>Valori in migliaia di euro – Fonte: Piano di rientro 2016 – 2018.</w:t>
      </w:r>
    </w:p>
    <w:p w:rsidR="00B568E4" w:rsidRDefault="00B568E4" w:rsidP="00D408BA">
      <w:pPr>
        <w:pStyle w:val="CdcTesto"/>
        <w:spacing w:before="360"/>
      </w:pPr>
      <w:r>
        <w:t xml:space="preserve">Nel corso del 2016 sono stati comunicati alle Aziende i target di risparmio 2016 e sono stati svolti monitoraggi trimestrali dell’andamento della gestione delle Aziende sanitarie e della qualità dei LEA erogati. I risultati conseguiti saranno valutati definitivamente alla chiusura dei bilanci 2016 delle Aziende. </w:t>
      </w:r>
    </w:p>
    <w:p w:rsidR="00B568E4" w:rsidRDefault="00B568E4" w:rsidP="005566B6">
      <w:pPr>
        <w:pStyle w:val="CdcTesto"/>
      </w:pPr>
      <w:r>
        <w:t xml:space="preserve">In tema di contenimento della spesa sanitaria la Legge n. 208 del 28/12/2015 (legge di stabilità 2016) all’art. 1, comma 524 stabilisce che a partire dal 2016 le regioni, entro il 30 giugno di ciascun anno e </w:t>
      </w:r>
      <w:r w:rsidR="00A1675C">
        <w:t>con proprio provvedimento, debbo</w:t>
      </w:r>
      <w:r>
        <w:t xml:space="preserve">no individuare le </w:t>
      </w:r>
      <w:r w:rsidRPr="00653F42">
        <w:rPr>
          <w:i/>
        </w:rPr>
        <w:t>aziende ospedaliere</w:t>
      </w:r>
      <w:r>
        <w:t xml:space="preserve"> e </w:t>
      </w:r>
      <w:r w:rsidRPr="00653F42">
        <w:rPr>
          <w:i/>
        </w:rPr>
        <w:t>ospedaliere-universitarie</w:t>
      </w:r>
      <w:r>
        <w:t xml:space="preserve"> che presentano uno scostamento tra costi e ricavi, rilevati dal modello CE, maggiore o uguale al </w:t>
      </w:r>
      <w:r w:rsidRPr="00B267FA">
        <w:t xml:space="preserve">7% dei ricavi o a 7 milioni di euro </w:t>
      </w:r>
      <w:r>
        <w:t>(lettera a)), e/o il mancato rispetto dei parametri relativi a volumi, qualità ed esiti delle cure (lettera b)). Le stesse disposizioni si applicheranno alle aziende sanitarie territoriali a decorrere dal 2017 (comma 535). Gli enti così individuati devono presentare alla regione un piano di rientro (comma 528),</w:t>
      </w:r>
      <w:r w:rsidRPr="006D39B1">
        <w:t xml:space="preserve"> </w:t>
      </w:r>
      <w:r>
        <w:t>di durata non superiore al triennio, contenente le misure atte al raggiungimento dell’equilibrio economico-finanziario e patrimoniale e al miglioramento della qualità delle cure o all’adeguamento dell’offerta, al fine di superare ciascuno dei disallineamenti rilevati. Le modalità di predisposizione e di valutazione degli stessi sono s</w:t>
      </w:r>
      <w:r w:rsidR="00A1675C">
        <w:t>t</w:t>
      </w:r>
      <w:r>
        <w:t>ati definiti nel Decreto del Ministero della Salute del 21/</w:t>
      </w:r>
      <w:r w:rsidR="008B0C9C">
        <w:t>0</w:t>
      </w:r>
      <w:r>
        <w:t xml:space="preserve">6/2016. </w:t>
      </w:r>
    </w:p>
    <w:p w:rsidR="00B568E4" w:rsidRDefault="00B568E4" w:rsidP="00792B2D">
      <w:pPr>
        <w:pStyle w:val="CdcTesto"/>
      </w:pPr>
      <w:r>
        <w:t>Per l’esercizio 2015, la Giunta regionale, a seguito delle risultanze dell’istruttoria avviata di concerto con il Ministero della Salute e con il MEF, ha formalizzato</w:t>
      </w:r>
      <w:r w:rsidR="00A1675C">
        <w:t xml:space="preserve"> (</w:t>
      </w:r>
      <w:r>
        <w:t>Delibe</w:t>
      </w:r>
      <w:r w:rsidR="00A1675C">
        <w:t>razione n. 63/44 del 25/11/2016)</w:t>
      </w:r>
      <w:r>
        <w:t xml:space="preserve"> la valutazione dei risultati conseguiti dalle Aziende Ospedaliere, qualificando quale </w:t>
      </w:r>
      <w:r w:rsidRPr="00442E8C">
        <w:rPr>
          <w:i/>
        </w:rPr>
        <w:t>Ente da sottoporre a piano di rientro l’Azienda Ospedaliera Universitaria di Sassari</w:t>
      </w:r>
      <w:r>
        <w:t>, con riferimento alla lettera b) del c. 524 citato. Il Piano di rientro</w:t>
      </w:r>
      <w:r>
        <w:rPr>
          <w:rStyle w:val="Rimandonotaapidipagina"/>
        </w:rPr>
        <w:footnoteReference w:id="202"/>
      </w:r>
      <w:r>
        <w:t xml:space="preserve"> riguarda due aree cliniche (Chirurgia generale e Gravidanza e parto). Detta Delibera ha precisato che restano invariate le </w:t>
      </w:r>
      <w:r>
        <w:lastRenderedPageBreak/>
        <w:t xml:space="preserve">previsioni di razionalizzazione e risparmio previste in applicazione della DGR 63/24 del 15/12/2015 concernente il Piano di rientro regionale. </w:t>
      </w:r>
    </w:p>
    <w:p w:rsidR="00B568E4" w:rsidRDefault="00B568E4" w:rsidP="00792B2D">
      <w:pPr>
        <w:pStyle w:val="CdcTesto"/>
      </w:pPr>
      <w:r>
        <w:t>Nella Relazione sulla gestione si riferisce che è in corso da parte della Regione la valutazione dei risultati conseguiti dalle Aziende Ospedaliere nel 2016. Viene riferito, inoltre, che in linea con le direttive impartite dalla DGR n. 63/24 del 2015 sono state poste in essere azioni per il contenimento della spesa sanitaria già comunque previste dalla programmazione regionale.</w:t>
      </w:r>
    </w:p>
    <w:p w:rsidR="00A1675C" w:rsidRDefault="00806853" w:rsidP="00792B2D">
      <w:pPr>
        <w:pStyle w:val="CdcTesto"/>
      </w:pPr>
      <w:r>
        <w:t xml:space="preserve">Premesso che, come precisato dalla RAS in sede di controdeduzioni finali, </w:t>
      </w:r>
      <w:r w:rsidRPr="00806853">
        <w:rPr>
          <w:i/>
        </w:rPr>
        <w:t>i report di monitoraggio sono degli strumenti utilizzati dal Comitato per verificare l’andamento della gestione e che sono stati oggetti di svariati adattamenti per consentire al decisore politico una lettura immediata dei fenomeni più rilevanti, non analitica e che il report e i risultati in essi contenuti devono essere considerati provvisori fino alla approvazione dei bilanci di esercizio</w:t>
      </w:r>
      <w:r>
        <w:t xml:space="preserve">, nella tabella </w:t>
      </w:r>
      <w:r w:rsidR="00B568E4" w:rsidRPr="00261C3A">
        <w:t>che segue</w:t>
      </w:r>
      <w:r w:rsidR="00A55241">
        <w:t>,</w:t>
      </w:r>
      <w:r w:rsidR="00B568E4" w:rsidRPr="00261C3A">
        <w:t xml:space="preserve"> si riportano i risultati complessiv</w:t>
      </w:r>
      <w:r w:rsidR="00B568E4">
        <w:t>i</w:t>
      </w:r>
      <w:r w:rsidR="00B568E4" w:rsidRPr="00261C3A">
        <w:t xml:space="preserve"> raggiunti dalle Aziende acquisiti in sede istruttoria</w:t>
      </w:r>
      <w:r w:rsidR="00B568E4" w:rsidRPr="00261C3A">
        <w:rPr>
          <w:rStyle w:val="Rimandonotaapidipagina"/>
        </w:rPr>
        <w:footnoteReference w:id="203"/>
      </w:r>
      <w:r w:rsidR="00B568E4" w:rsidRPr="00261C3A">
        <w:t>, posti a confronto con i target di risparmio richiesti, come desumibili dalla nota a firma del Direttore Generale della Sanità, contenente la “</w:t>
      </w:r>
      <w:r w:rsidR="00B568E4" w:rsidRPr="00261C3A">
        <w:rPr>
          <w:i/>
        </w:rPr>
        <w:t>Sintesi dell’incontro del Comitato permanente di monitoraggio dell’andamento della gestione delle aziende sanitarie dell’11 luglio 2017 e successivi aggiornamenti”</w:t>
      </w:r>
      <w:r w:rsidR="00B568E4" w:rsidRPr="00261C3A">
        <w:t xml:space="preserve">. </w:t>
      </w:r>
    </w:p>
    <w:p w:rsidR="00B568E4" w:rsidRPr="00261C3A" w:rsidRDefault="00B568E4" w:rsidP="00792B2D">
      <w:pPr>
        <w:pStyle w:val="CdcTesto"/>
      </w:pPr>
      <w:r w:rsidRPr="00261C3A">
        <w:t>In tale documento</w:t>
      </w:r>
      <w:r>
        <w:t xml:space="preserve"> </w:t>
      </w:r>
      <w:r w:rsidRPr="00261C3A">
        <w:t>vengono richiamate le criticità riscontrate dalle Aziende</w:t>
      </w:r>
      <w:r>
        <w:t>,</w:t>
      </w:r>
      <w:r w:rsidRPr="00261C3A">
        <w:t xml:space="preserve"> nella chiusura dei bilanci 2016, che hanno affrontato incorporazioni, scorpori, costi eccezionali</w:t>
      </w:r>
      <w:r>
        <w:t>, con particolare riferimento alla AOU di Sassari che ha dovuto far fronte all’incertezza nella quantificazione dei costi riferiti alle annualità precedenti alla sua costituzione e alla mancata certificazione dei fondi contrattuali da parte del Collegio Sindacale della stessa Azienda.</w:t>
      </w:r>
    </w:p>
    <w:p w:rsidR="00792B2D" w:rsidRDefault="00792B2D" w:rsidP="005566B6">
      <w:pPr>
        <w:pStyle w:val="Didascalia"/>
        <w:keepNext/>
      </w:pPr>
      <w:r>
        <w:br w:type="page"/>
      </w:r>
    </w:p>
    <w:p w:rsidR="00B568E4" w:rsidRDefault="005566B6" w:rsidP="005566B6">
      <w:pPr>
        <w:pStyle w:val="Didascalia"/>
        <w:keepNext/>
        <w:rPr>
          <w:sz w:val="24"/>
          <w:szCs w:val="24"/>
        </w:rPr>
      </w:pPr>
      <w:bookmarkStart w:id="331" w:name="_Toc507422555"/>
      <w:r>
        <w:lastRenderedPageBreak/>
        <w:t xml:space="preserve">Tabella </w:t>
      </w:r>
      <w:r w:rsidR="00B90472">
        <w:fldChar w:fldCharType="begin"/>
      </w:r>
      <w:r w:rsidR="00B90472">
        <w:instrText xml:space="preserve"> SEQ Tabella \* ARABIC </w:instrText>
      </w:r>
      <w:r w:rsidR="00B90472">
        <w:fldChar w:fldCharType="separate"/>
      </w:r>
      <w:r w:rsidR="008616B3">
        <w:rPr>
          <w:noProof/>
        </w:rPr>
        <w:t>87</w:t>
      </w:r>
      <w:r w:rsidR="00B90472">
        <w:rPr>
          <w:noProof/>
        </w:rPr>
        <w:fldChar w:fldCharType="end"/>
      </w:r>
      <w:r>
        <w:t xml:space="preserve"> -</w:t>
      </w:r>
      <w:r w:rsidR="00B568E4" w:rsidRPr="00261C3A">
        <w:rPr>
          <w:sz w:val="24"/>
          <w:szCs w:val="24"/>
        </w:rPr>
        <w:t xml:space="preserve"> Piano di rientro – Risultati monitoraggio all’11/07/2017</w:t>
      </w:r>
      <w:bookmarkEnd w:id="3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7"/>
        <w:gridCol w:w="786"/>
        <w:gridCol w:w="982"/>
        <w:gridCol w:w="1244"/>
        <w:gridCol w:w="1459"/>
        <w:gridCol w:w="1750"/>
      </w:tblGrid>
      <w:tr w:rsidR="008E220D" w:rsidRPr="00B573F9" w:rsidTr="00515701">
        <w:trPr>
          <w:trHeight w:val="20"/>
        </w:trPr>
        <w:tc>
          <w:tcPr>
            <w:tcW w:w="5000" w:type="pct"/>
            <w:gridSpan w:val="6"/>
            <w:tcBorders>
              <w:top w:val="nil"/>
              <w:left w:val="nil"/>
              <w:bottom w:val="single" w:sz="4" w:space="0" w:color="auto"/>
              <w:right w:val="nil"/>
            </w:tcBorders>
            <w:shd w:val="clear" w:color="auto" w:fill="auto"/>
            <w:noWrap/>
            <w:vAlign w:val="center"/>
            <w:hideMark/>
          </w:tcPr>
          <w:p w:rsidR="008E220D" w:rsidRPr="00B573F9" w:rsidRDefault="008E220D" w:rsidP="00515701">
            <w:pPr>
              <w:spacing w:after="0" w:line="240" w:lineRule="auto"/>
              <w:jc w:val="right"/>
              <w:rPr>
                <w:rFonts w:ascii="Bodoni MT" w:eastAsia="Times New Roman" w:hAnsi="Bodoni MT" w:cs="Arial"/>
                <w:sz w:val="18"/>
                <w:szCs w:val="18"/>
                <w:lang w:eastAsia="it-IT"/>
              </w:rPr>
            </w:pPr>
            <w:r w:rsidRPr="00B573F9">
              <w:rPr>
                <w:rFonts w:ascii="Bodoni MT" w:eastAsia="Times New Roman" w:hAnsi="Bodoni MT" w:cs="Arial"/>
                <w:sz w:val="18"/>
                <w:szCs w:val="18"/>
                <w:lang w:eastAsia="it-IT"/>
              </w:rPr>
              <w:t>(Importi in migliaia di euro)</w:t>
            </w:r>
          </w:p>
        </w:tc>
      </w:tr>
      <w:tr w:rsidR="008E220D" w:rsidRPr="004671E6" w:rsidTr="00515701">
        <w:trPr>
          <w:trHeight w:val="20"/>
        </w:trPr>
        <w:tc>
          <w:tcPr>
            <w:tcW w:w="2221" w:type="pct"/>
            <w:gridSpan w:val="2"/>
            <w:vMerge w:val="restart"/>
            <w:tcBorders>
              <w:top w:val="single" w:sz="4" w:space="0" w:color="auto"/>
            </w:tcBorders>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Target 2016 </w:t>
            </w:r>
          </w:p>
        </w:tc>
        <w:tc>
          <w:tcPr>
            <w:tcW w:w="2779" w:type="pct"/>
            <w:gridSpan w:val="4"/>
            <w:tcBorders>
              <w:top w:val="single" w:sz="4" w:space="0" w:color="auto"/>
            </w:tcBorders>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Risultati 2016</w:t>
            </w:r>
          </w:p>
        </w:tc>
      </w:tr>
      <w:tr w:rsidR="008E220D" w:rsidRPr="004671E6" w:rsidTr="00515701">
        <w:trPr>
          <w:trHeight w:val="586"/>
        </w:trPr>
        <w:tc>
          <w:tcPr>
            <w:tcW w:w="2221" w:type="pct"/>
            <w:gridSpan w:val="2"/>
            <w:vMerge/>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p>
        </w:tc>
        <w:tc>
          <w:tcPr>
            <w:tcW w:w="502" w:type="pct"/>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Differenza</w:t>
            </w:r>
            <w:r w:rsidRPr="004671E6">
              <w:rPr>
                <w:rFonts w:ascii="Bodoni MT" w:eastAsia="Times New Roman" w:hAnsi="Bodoni MT" w:cs="Arial"/>
                <w:b/>
                <w:bCs/>
                <w:sz w:val="16"/>
                <w:szCs w:val="16"/>
                <w:lang w:eastAsia="it-IT"/>
              </w:rPr>
              <w:br/>
              <w:t>CE 2016-2015</w:t>
            </w:r>
          </w:p>
        </w:tc>
        <w:tc>
          <w:tcPr>
            <w:tcW w:w="636" w:type="pct"/>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Flussi Farmaceutica</w:t>
            </w:r>
          </w:p>
        </w:tc>
        <w:tc>
          <w:tcPr>
            <w:tcW w:w="746" w:type="pct"/>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 xml:space="preserve">Differenza </w:t>
            </w:r>
            <w:r w:rsidRPr="004671E6">
              <w:rPr>
                <w:rFonts w:ascii="Bodoni MT" w:eastAsia="Times New Roman" w:hAnsi="Bodoni MT" w:cs="Arial"/>
                <w:b/>
                <w:bCs/>
                <w:sz w:val="16"/>
                <w:szCs w:val="16"/>
                <w:lang w:eastAsia="it-IT"/>
              </w:rPr>
              <w:br/>
              <w:t>CE - Target</w:t>
            </w:r>
          </w:p>
        </w:tc>
        <w:tc>
          <w:tcPr>
            <w:tcW w:w="895" w:type="pct"/>
            <w:shd w:val="clear" w:color="000000" w:fill="1F3864"/>
            <w:vAlign w:val="center"/>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Differenza Flussi - Target</w:t>
            </w:r>
          </w:p>
        </w:tc>
      </w:tr>
      <w:tr w:rsidR="008E220D" w:rsidRPr="004671E6" w:rsidTr="00515701">
        <w:trPr>
          <w:trHeight w:val="20"/>
        </w:trPr>
        <w:tc>
          <w:tcPr>
            <w:tcW w:w="1819" w:type="pct"/>
            <w:shd w:val="clear" w:color="auto" w:fill="95B3D7" w:themeFill="accent1" w:themeFillTint="99"/>
            <w:vAlign w:val="center"/>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p>
        </w:tc>
        <w:tc>
          <w:tcPr>
            <w:tcW w:w="402" w:type="pct"/>
            <w:shd w:val="clear" w:color="auto" w:fill="95B3D7" w:themeFill="accent1" w:themeFillTint="99"/>
            <w:noWrap/>
            <w:vAlign w:val="center"/>
          </w:tcPr>
          <w:p w:rsidR="008E220D" w:rsidRPr="00BA2416" w:rsidRDefault="008E220D" w:rsidP="00515701">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A</w:t>
            </w:r>
          </w:p>
        </w:tc>
        <w:tc>
          <w:tcPr>
            <w:tcW w:w="502" w:type="pct"/>
            <w:shd w:val="clear" w:color="auto" w:fill="95B3D7" w:themeFill="accent1" w:themeFillTint="99"/>
            <w:noWrap/>
            <w:vAlign w:val="center"/>
          </w:tcPr>
          <w:p w:rsidR="008E220D" w:rsidRPr="00BA2416" w:rsidRDefault="008E220D" w:rsidP="00515701">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B</w:t>
            </w:r>
          </w:p>
        </w:tc>
        <w:tc>
          <w:tcPr>
            <w:tcW w:w="636" w:type="pct"/>
            <w:shd w:val="clear" w:color="auto" w:fill="95B3D7" w:themeFill="accent1" w:themeFillTint="99"/>
            <w:noWrap/>
            <w:vAlign w:val="center"/>
          </w:tcPr>
          <w:p w:rsidR="008E220D" w:rsidRPr="00BA2416" w:rsidRDefault="008E220D" w:rsidP="00515701">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C</w:t>
            </w:r>
          </w:p>
        </w:tc>
        <w:tc>
          <w:tcPr>
            <w:tcW w:w="746" w:type="pct"/>
            <w:shd w:val="clear" w:color="auto" w:fill="95B3D7" w:themeFill="accent1" w:themeFillTint="99"/>
            <w:noWrap/>
            <w:vAlign w:val="center"/>
          </w:tcPr>
          <w:p w:rsidR="008E220D" w:rsidRPr="00BA2416" w:rsidRDefault="008E220D" w:rsidP="00515701">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B-A</w:t>
            </w:r>
          </w:p>
        </w:tc>
        <w:tc>
          <w:tcPr>
            <w:tcW w:w="895" w:type="pct"/>
            <w:shd w:val="clear" w:color="auto" w:fill="95B3D7" w:themeFill="accent1" w:themeFillTint="99"/>
            <w:noWrap/>
            <w:vAlign w:val="center"/>
          </w:tcPr>
          <w:p w:rsidR="008E220D" w:rsidRPr="00BA2416" w:rsidRDefault="008E220D" w:rsidP="00515701">
            <w:pPr>
              <w:spacing w:after="0" w:line="240" w:lineRule="auto"/>
              <w:jc w:val="center"/>
              <w:rPr>
                <w:rFonts w:ascii="Bodoni MT" w:eastAsia="Times New Roman" w:hAnsi="Bodoni MT" w:cs="Arial"/>
                <w:b/>
                <w:bCs/>
                <w:color w:val="FFFFFF" w:themeColor="background1"/>
                <w:sz w:val="16"/>
                <w:szCs w:val="16"/>
                <w:lang w:eastAsia="it-IT"/>
              </w:rPr>
            </w:pPr>
            <w:r w:rsidRPr="00BA2416">
              <w:rPr>
                <w:rFonts w:ascii="Bodoni MT" w:eastAsia="Times New Roman" w:hAnsi="Bodoni MT" w:cs="Arial"/>
                <w:b/>
                <w:bCs/>
                <w:color w:val="FFFFFF" w:themeColor="background1"/>
                <w:sz w:val="16"/>
                <w:szCs w:val="16"/>
                <w:lang w:eastAsia="it-IT"/>
              </w:rPr>
              <w:t>C-A</w:t>
            </w: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su farmaci territoriali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-24.000</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-21.997</w:t>
            </w:r>
          </w:p>
        </w:tc>
        <w:tc>
          <w:tcPr>
            <w:tcW w:w="63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-22.331</w:t>
            </w: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2.003</w:t>
            </w:r>
          </w:p>
        </w:tc>
        <w:tc>
          <w:tcPr>
            <w:tcW w:w="895"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1.669</w:t>
            </w: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su farmaci ospedalieri (al netto dei farmaci HCV)</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-12.053</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-18.017</w:t>
            </w:r>
          </w:p>
        </w:tc>
        <w:tc>
          <w:tcPr>
            <w:tcW w:w="63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6.583</w:t>
            </w: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-5.964</w:t>
            </w:r>
          </w:p>
        </w:tc>
        <w:tc>
          <w:tcPr>
            <w:tcW w:w="895"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18.636</w:t>
            </w: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dei costi su assistenza integrativa e protesica</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-3.000</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-3.768</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-768</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Variazione di costi da azioni di efficientamento ospedale e del territorio, di cui: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-20.300</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74.266</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94.566</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Personale</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-8.227</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-8.227</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Servizi non sanitari</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14.085</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14.085</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Dispositivi medici</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12.850</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12.850</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Acquisto di altri beni e prodotti sanitari e canoni di noleggio sanitari</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-728</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-728</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Acquisti di servizi sanitari territoriali e oneri diversi di gestione</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514</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514</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Altro</w:t>
            </w:r>
          </w:p>
        </w:tc>
        <w:tc>
          <w:tcPr>
            <w:tcW w:w="402"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55.772</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55.772</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000000" w:fill="1F3864"/>
            <w:vAlign w:val="center"/>
            <w:hideMark/>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Totale variazioni di costi della produzione</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-59.353</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30.484</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89.837</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Altre variazioni richieste in seguito a peggioramento consuntivo 2015</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-18.299</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Variaz. costi da incorporazioni, scorpori e nuove strutture</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2.551</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Accantonamenti dell'esercizio per rischi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47.108</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Costi coperti da contributi vincolati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29.447</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Maggiori costi fondazione SGB Ploaghe coperti da contributi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3.470</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auto" w:fill="95B3D7" w:themeFill="accent1" w:themeFillTint="99"/>
            <w:vAlign w:val="center"/>
            <w:hideMark/>
          </w:tcPr>
          <w:p w:rsidR="008E220D" w:rsidRPr="005566B6" w:rsidRDefault="008E220D" w:rsidP="00515701">
            <w:pPr>
              <w:spacing w:after="0" w:line="240" w:lineRule="auto"/>
              <w:rPr>
                <w:rFonts w:ascii="Bodoni MT" w:eastAsia="Times New Roman" w:hAnsi="Bodoni MT" w:cs="Arial"/>
                <w:color w:val="FFFFFF" w:themeColor="background1"/>
                <w:sz w:val="16"/>
                <w:szCs w:val="16"/>
                <w:lang w:eastAsia="it-IT"/>
              </w:rPr>
            </w:pPr>
            <w:r w:rsidRPr="005566B6">
              <w:rPr>
                <w:rFonts w:ascii="Bodoni MT" w:eastAsia="Times New Roman" w:hAnsi="Bodoni MT" w:cs="Arial"/>
                <w:color w:val="FFFFFF" w:themeColor="background1"/>
                <w:sz w:val="16"/>
                <w:szCs w:val="16"/>
                <w:lang w:eastAsia="it-IT"/>
              </w:rPr>
              <w:t>Costi per beni fatturati alla AOU di Sassari</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22.700</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sz w:val="18"/>
                <w:szCs w:val="18"/>
                <w:lang w:eastAsia="it-IT"/>
              </w:rPr>
            </w:pPr>
            <w:r w:rsidRPr="005566B6">
              <w:rPr>
                <w:rFonts w:ascii="Calibri" w:eastAsia="Times New Roman" w:hAnsi="Calibri" w:cs="Calibri"/>
                <w:sz w:val="18"/>
                <w:szCs w:val="18"/>
                <w:lang w:eastAsia="it-IT"/>
              </w:rPr>
              <w:t> </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r w:rsidR="008E220D" w:rsidRPr="004671E6" w:rsidTr="00515701">
        <w:trPr>
          <w:trHeight w:val="20"/>
        </w:trPr>
        <w:tc>
          <w:tcPr>
            <w:tcW w:w="1819" w:type="pct"/>
            <w:shd w:val="clear" w:color="000000" w:fill="1F3864"/>
            <w:vAlign w:val="center"/>
            <w:hideMark/>
          </w:tcPr>
          <w:p w:rsidR="008E220D" w:rsidRPr="004671E6" w:rsidRDefault="008E220D" w:rsidP="00515701">
            <w:pPr>
              <w:spacing w:after="0" w:line="240" w:lineRule="auto"/>
              <w:jc w:val="center"/>
              <w:rPr>
                <w:rFonts w:ascii="Bodoni MT" w:eastAsia="Times New Roman" w:hAnsi="Bodoni MT" w:cs="Arial"/>
                <w:b/>
                <w:bCs/>
                <w:sz w:val="16"/>
                <w:szCs w:val="16"/>
                <w:lang w:eastAsia="it-IT"/>
              </w:rPr>
            </w:pPr>
            <w:r w:rsidRPr="004671E6">
              <w:rPr>
                <w:rFonts w:ascii="Bodoni MT" w:eastAsia="Times New Roman" w:hAnsi="Bodoni MT" w:cs="Arial"/>
                <w:b/>
                <w:bCs/>
                <w:sz w:val="16"/>
                <w:szCs w:val="16"/>
                <w:lang w:eastAsia="it-IT"/>
              </w:rPr>
              <w:t>Totale variazioni di costi richieste</w:t>
            </w:r>
          </w:p>
        </w:tc>
        <w:tc>
          <w:tcPr>
            <w:tcW w:w="4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-75.101</w:t>
            </w:r>
          </w:p>
        </w:tc>
        <w:tc>
          <w:tcPr>
            <w:tcW w:w="502"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-72.241</w:t>
            </w:r>
          </w:p>
        </w:tc>
        <w:tc>
          <w:tcPr>
            <w:tcW w:w="636"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c>
          <w:tcPr>
            <w:tcW w:w="746" w:type="pct"/>
            <w:shd w:val="clear" w:color="auto" w:fill="auto"/>
            <w:noWrap/>
            <w:vAlign w:val="center"/>
            <w:hideMark/>
          </w:tcPr>
          <w:p w:rsidR="008E220D" w:rsidRPr="005566B6" w:rsidRDefault="008E220D" w:rsidP="00515701">
            <w:pPr>
              <w:spacing w:after="0" w:line="240" w:lineRule="auto"/>
              <w:jc w:val="right"/>
              <w:rPr>
                <w:rFonts w:ascii="Calibri" w:eastAsia="Times New Roman" w:hAnsi="Calibri" w:cs="Calibri"/>
                <w:b/>
                <w:bCs/>
                <w:sz w:val="18"/>
                <w:szCs w:val="18"/>
                <w:lang w:eastAsia="it-IT"/>
              </w:rPr>
            </w:pPr>
            <w:r w:rsidRPr="005566B6">
              <w:rPr>
                <w:rFonts w:ascii="Calibri" w:eastAsia="Times New Roman" w:hAnsi="Calibri" w:cs="Calibri"/>
                <w:b/>
                <w:bCs/>
                <w:sz w:val="18"/>
                <w:szCs w:val="18"/>
                <w:lang w:eastAsia="it-IT"/>
              </w:rPr>
              <w:t>-2.860</w:t>
            </w:r>
          </w:p>
        </w:tc>
        <w:tc>
          <w:tcPr>
            <w:tcW w:w="895" w:type="pct"/>
            <w:shd w:val="clear" w:color="auto" w:fill="auto"/>
            <w:noWrap/>
            <w:vAlign w:val="center"/>
          </w:tcPr>
          <w:p w:rsidR="008E220D" w:rsidRPr="005566B6" w:rsidRDefault="008E220D" w:rsidP="00515701">
            <w:pPr>
              <w:spacing w:after="0" w:line="240" w:lineRule="auto"/>
              <w:jc w:val="right"/>
              <w:rPr>
                <w:rFonts w:ascii="Calibri" w:eastAsia="Times New Roman" w:hAnsi="Calibri" w:cs="Calibri"/>
                <w:sz w:val="18"/>
                <w:szCs w:val="18"/>
                <w:lang w:eastAsia="it-IT"/>
              </w:rPr>
            </w:pPr>
          </w:p>
        </w:tc>
      </w:tr>
    </w:tbl>
    <w:p w:rsidR="008E220D" w:rsidRPr="00165B7A" w:rsidRDefault="008E220D" w:rsidP="008E220D">
      <w:pPr>
        <w:spacing w:after="0" w:line="240" w:lineRule="auto"/>
        <w:jc w:val="both"/>
        <w:rPr>
          <w:rFonts w:ascii="Bodoni MT" w:hAnsi="Bodoni MT"/>
          <w:sz w:val="16"/>
          <w:szCs w:val="16"/>
        </w:rPr>
      </w:pPr>
      <w:r w:rsidRPr="00165B7A">
        <w:rPr>
          <w:rFonts w:ascii="Bodoni MT" w:hAnsi="Bodoni MT"/>
          <w:sz w:val="16"/>
          <w:szCs w:val="16"/>
        </w:rPr>
        <w:t>Fonte: Dati forniti dalla RAS - Direzione Generale della Sanità.</w:t>
      </w:r>
    </w:p>
    <w:p w:rsidR="008E220D" w:rsidRPr="00165B7A" w:rsidRDefault="008E220D" w:rsidP="008E220D">
      <w:pPr>
        <w:spacing w:after="0" w:line="240" w:lineRule="auto"/>
        <w:jc w:val="both"/>
        <w:rPr>
          <w:rFonts w:ascii="Bodoni MT" w:hAnsi="Bodoni MT"/>
          <w:sz w:val="16"/>
          <w:szCs w:val="16"/>
        </w:rPr>
      </w:pPr>
      <w:r w:rsidRPr="00165B7A">
        <w:rPr>
          <w:rFonts w:ascii="Bodoni MT" w:hAnsi="Bodoni MT"/>
          <w:sz w:val="16"/>
          <w:szCs w:val="16"/>
        </w:rPr>
        <w:t>*Fonte dati farmaci territoriali: ASL, distinte contabili e riepilogative, al netto degli sconti obb</w:t>
      </w:r>
      <w:r>
        <w:rPr>
          <w:rFonts w:ascii="Bodoni MT" w:hAnsi="Bodoni MT"/>
          <w:sz w:val="16"/>
          <w:szCs w:val="16"/>
        </w:rPr>
        <w:t>ligatori a carico della filiera</w:t>
      </w:r>
    </w:p>
    <w:p w:rsidR="008E220D" w:rsidRPr="00165B7A" w:rsidRDefault="008E220D" w:rsidP="008E220D">
      <w:pPr>
        <w:spacing w:after="0" w:line="240" w:lineRule="auto"/>
        <w:jc w:val="both"/>
        <w:rPr>
          <w:rFonts w:ascii="Bodoni MT" w:hAnsi="Bodoni MT"/>
          <w:sz w:val="16"/>
          <w:szCs w:val="16"/>
        </w:rPr>
      </w:pPr>
      <w:r w:rsidRPr="00165B7A">
        <w:rPr>
          <w:rFonts w:ascii="Bodoni MT" w:hAnsi="Bodoni MT"/>
          <w:sz w:val="16"/>
          <w:szCs w:val="16"/>
        </w:rPr>
        <w:t>*Fonte dati farmaci ospedalieri: Consumo medicinali ospedalieri (CMO) + Distribuzione diretta – Farmaci Epatite C</w:t>
      </w:r>
    </w:p>
    <w:p w:rsidR="00B568E4" w:rsidRPr="006E279A" w:rsidRDefault="00B568E4" w:rsidP="008E220D">
      <w:pPr>
        <w:pStyle w:val="CdcTesto"/>
        <w:spacing w:before="360"/>
      </w:pPr>
      <w:r w:rsidRPr="006E279A">
        <w:t>I dati riportati mostrano che la manovra di contenimento dei costi della produzione delle Aziende per il 2016</w:t>
      </w:r>
      <w:r w:rsidR="00B31F14">
        <w:t>,</w:t>
      </w:r>
      <w:r w:rsidRPr="006E279A">
        <w:t xml:space="preserve"> </w:t>
      </w:r>
      <w:r w:rsidR="00A55241">
        <w:t>pur non avendo</w:t>
      </w:r>
      <w:r w:rsidRPr="006E279A">
        <w:t xml:space="preserve"> conseguito i risultati attesi</w:t>
      </w:r>
      <w:r w:rsidR="00B31F14">
        <w:t xml:space="preserve">, </w:t>
      </w:r>
      <w:r w:rsidR="00B31F14" w:rsidRPr="00B31F14">
        <w:rPr>
          <w:b/>
        </w:rPr>
        <w:t>tuttavia evidenzia</w:t>
      </w:r>
      <w:r w:rsidR="00A55241" w:rsidRPr="00B31F14">
        <w:rPr>
          <w:b/>
        </w:rPr>
        <w:t xml:space="preserve"> un risparmio pari a 72 milioni di euro</w:t>
      </w:r>
      <w:r w:rsidR="00A55241">
        <w:t>.</w:t>
      </w:r>
      <w:r w:rsidRPr="006E279A">
        <w:t xml:space="preserve"> Dall’analisi effettuata dal Comitato permanente di monitoraggio</w:t>
      </w:r>
      <w:r w:rsidR="00A55241">
        <w:t xml:space="preserve"> sui dati provvisori</w:t>
      </w:r>
      <w:r w:rsidRPr="006E279A">
        <w:t xml:space="preserve">, emerge che tutte le Aziende hanno contribuito al perseguimento dei target in misura inferiore rispetto a quella richiesta. La performance migliore è stata resa dalla ASL 8, mentre la ASL 1 ha reso la performance peggiore. </w:t>
      </w:r>
    </w:p>
    <w:p w:rsidR="00B568E4" w:rsidRPr="001C4827" w:rsidRDefault="00B568E4" w:rsidP="00B568E4">
      <w:pPr>
        <w:pStyle w:val="CdcTesto"/>
      </w:pPr>
      <w:r w:rsidRPr="001C4827">
        <w:t xml:space="preserve">Con riferimento agli incrementi dei costi, in sede di monitoraggio è stata rilevato l’elevato valore degli “accantonamenti per rischi” legati a eventi straordinari della gestione, pari a 47 </w:t>
      </w:r>
      <w:r w:rsidR="00A55241">
        <w:t>milioni</w:t>
      </w:r>
      <w:r w:rsidRPr="001C4827">
        <w:t xml:space="preserve"> di euro, non previsto o prevedibile in sede di redazione del Piano di rientro, riferiti, in particolare, alla AOU di Sassari</w:t>
      </w:r>
      <w:r w:rsidR="00A55241">
        <w:rPr>
          <w:rStyle w:val="Rimandonotaapidipagina"/>
        </w:rPr>
        <w:footnoteReference w:id="204"/>
      </w:r>
      <w:r w:rsidRPr="001C4827">
        <w:t xml:space="preserve">. A consuntivo è stato quantificato in via definitiva anche il costo dei beni trasferiti dalla ASL 1 alla AOU di Sassari per effetto dell’incorporazione del PO SS Annunziata che ha comportato la doppia registrazione del costo delle rimanenze (€ 16.000.000). Tale costo </w:t>
      </w:r>
      <w:r w:rsidRPr="001C4827">
        <w:lastRenderedPageBreak/>
        <w:t>grava infatti sui bilanci di entrambe le aziende, sebbene nella ASL 1 venga neutralizzato dal relativo ricavo.</w:t>
      </w:r>
    </w:p>
    <w:p w:rsidR="00B568E4" w:rsidRPr="001C4827" w:rsidRDefault="00B568E4" w:rsidP="00B568E4">
      <w:pPr>
        <w:pStyle w:val="CdcTesto"/>
      </w:pPr>
      <w:r w:rsidRPr="001C4827">
        <w:t xml:space="preserve">Nel documento all’esame vengono esposte sinteticamente le motivazioni dell’incremento di alcune voci di costo, tra cui quelle per servizi non sanitari e dispositivi medici, in assenza delle quali, viene riferito, ci sarebbe stata una riduzione dei costi. </w:t>
      </w:r>
    </w:p>
    <w:p w:rsidR="009C738D" w:rsidRDefault="00B568E4" w:rsidP="00B568E4">
      <w:pPr>
        <w:pStyle w:val="CdcTesto"/>
      </w:pPr>
      <w:r w:rsidRPr="001C4827">
        <w:t>Inoltre si riferisce che è in cor</w:t>
      </w:r>
      <w:r>
        <w:t>s</w:t>
      </w:r>
      <w:r w:rsidRPr="001C4827">
        <w:t>o l’istruttoria congiunta fra il Ministero della Salute e il MEF, volta a definire i differenziali fra costi e ricavi relativi all’anno 2016, sulla base dei quali le Aziende verranno poste in Piano di rientro dal 2017</w:t>
      </w:r>
      <w:r w:rsidR="00A55241">
        <w:rPr>
          <w:rStyle w:val="Rimandonotaapidipagina"/>
        </w:rPr>
        <w:footnoteReference w:id="205"/>
      </w:r>
      <w:r w:rsidRPr="001C4827">
        <w:t>. Le elaborazioni provvisorie dell’Assessorato evidenziano uno scostamento complessi</w:t>
      </w:r>
      <w:r w:rsidR="00D34F13">
        <w:t>vo da CE consuntivo 2016 pari a</w:t>
      </w:r>
      <w:r w:rsidRPr="001C4827">
        <w:t xml:space="preserve"> -21.591.940 euro per la AOU di Sassari e -20.532.470</w:t>
      </w:r>
      <w:r w:rsidR="008B0C9C">
        <w:t xml:space="preserve"> euro</w:t>
      </w:r>
      <w:r w:rsidRPr="001C4827">
        <w:t xml:space="preserve"> per l’AO Brotzu. Nella nota si precisa che i suddetti dati sono provvisori in quanto il Ministero della Salute non ha ancora comunicato la metodologia per la normalizzazione tariffaria.</w:t>
      </w:r>
    </w:p>
    <w:p w:rsidR="00B568E4" w:rsidRDefault="00B568E4" w:rsidP="00B568E4">
      <w:pPr>
        <w:pStyle w:val="Titolo2"/>
      </w:pPr>
      <w:bookmarkStart w:id="332" w:name="_Toc507422682"/>
      <w:r>
        <w:t>I debiti delle Aziende del SSR</w:t>
      </w:r>
      <w:bookmarkEnd w:id="332"/>
    </w:p>
    <w:p w:rsidR="00FE5BE4" w:rsidRDefault="00FE5BE4" w:rsidP="00FE5BE4">
      <w:pPr>
        <w:spacing w:line="360" w:lineRule="auto"/>
        <w:jc w:val="both"/>
        <w:rPr>
          <w:rFonts w:ascii="Bodoni MT" w:hAnsi="Bodoni MT"/>
          <w:sz w:val="24"/>
          <w:szCs w:val="24"/>
        </w:rPr>
      </w:pPr>
      <w:r w:rsidRPr="006333A8">
        <w:rPr>
          <w:rFonts w:ascii="Bodoni MT" w:hAnsi="Bodoni MT"/>
          <w:sz w:val="24"/>
          <w:szCs w:val="24"/>
        </w:rPr>
        <w:t xml:space="preserve">Nel questionario sul </w:t>
      </w:r>
      <w:r>
        <w:rPr>
          <w:rFonts w:ascii="Bodoni MT" w:hAnsi="Bodoni MT"/>
          <w:sz w:val="24"/>
          <w:szCs w:val="24"/>
        </w:rPr>
        <w:t xml:space="preserve">Bilancio </w:t>
      </w:r>
      <w:r w:rsidRPr="006333A8">
        <w:rPr>
          <w:rFonts w:ascii="Bodoni MT" w:hAnsi="Bodoni MT"/>
          <w:sz w:val="24"/>
          <w:szCs w:val="24"/>
        </w:rPr>
        <w:t>preventivo 2016</w:t>
      </w:r>
      <w:r>
        <w:rPr>
          <w:rFonts w:ascii="Bodoni MT" w:hAnsi="Bodoni MT"/>
          <w:sz w:val="24"/>
          <w:szCs w:val="24"/>
        </w:rPr>
        <w:t xml:space="preserve">, compilato dal Responsabile dei Servizi Finanziari della Regione, si dichiarava (Sezione VII – Servizio Sanitario Regionale) di </w:t>
      </w:r>
      <w:r w:rsidRPr="006333A8">
        <w:rPr>
          <w:rFonts w:ascii="Bodoni MT" w:hAnsi="Bodoni MT"/>
          <w:sz w:val="24"/>
          <w:szCs w:val="24"/>
        </w:rPr>
        <w:t xml:space="preserve">aver effettuato una ricognizione dei </w:t>
      </w:r>
      <w:r w:rsidRPr="00A1675C">
        <w:rPr>
          <w:rFonts w:ascii="Bodoni MT" w:hAnsi="Bodoni MT"/>
          <w:b/>
          <w:sz w:val="24"/>
          <w:szCs w:val="24"/>
        </w:rPr>
        <w:t>debiti verso i fornitori del SSR scaduti al 31/12/2015, il cui ammontare risultava pari a € 47.788.038,00</w:t>
      </w:r>
      <w:r w:rsidRPr="006333A8">
        <w:rPr>
          <w:rFonts w:ascii="Bodoni MT" w:hAnsi="Bodoni MT"/>
          <w:sz w:val="24"/>
          <w:szCs w:val="24"/>
        </w:rPr>
        <w:t xml:space="preserve"> e che la Direzione Generale della Sanità aveva fornito alle aziende sanitarie indicazioni per la quantificazione degli accantonamenti per gli interessi moratori dovuti ai fornitori per il ritardato pagamento delle forniture di beni e servizi, e l’inserimento degli stessi nei “fondi rischi”</w:t>
      </w:r>
      <w:r>
        <w:rPr>
          <w:rFonts w:ascii="Bodoni MT" w:hAnsi="Bodoni MT"/>
          <w:sz w:val="24"/>
          <w:szCs w:val="24"/>
        </w:rPr>
        <w:t xml:space="preserve"> dei rispettivi bilanci</w:t>
      </w:r>
      <w:r w:rsidRPr="006333A8">
        <w:rPr>
          <w:rFonts w:ascii="Bodoni MT" w:hAnsi="Bodoni MT"/>
          <w:sz w:val="24"/>
          <w:szCs w:val="24"/>
        </w:rPr>
        <w:t>.</w:t>
      </w:r>
      <w:r>
        <w:rPr>
          <w:rFonts w:ascii="Bodoni MT" w:hAnsi="Bodoni MT"/>
          <w:sz w:val="24"/>
          <w:szCs w:val="24"/>
        </w:rPr>
        <w:t xml:space="preserve"> Nel questionario sul preconsuntivo 2016 (prot. Cdc n. 7831 del 16/11/2017) si fa cenno all’indebitamento degli Enti del SSR unicamente nel prospetto 8.12, della Sezione quesiti del medesimo documento, che contiene i dati complessivi, aggregati per categorie di creditori, per cias</w:t>
      </w:r>
      <w:r w:rsidR="00D34F13">
        <w:rPr>
          <w:rFonts w:ascii="Bodoni MT" w:hAnsi="Bodoni MT"/>
          <w:sz w:val="24"/>
          <w:szCs w:val="24"/>
        </w:rPr>
        <w:t>cun esercizio del triennio 2014/</w:t>
      </w:r>
      <w:r>
        <w:rPr>
          <w:rFonts w:ascii="Bodoni MT" w:hAnsi="Bodoni MT"/>
          <w:sz w:val="24"/>
          <w:szCs w:val="24"/>
        </w:rPr>
        <w:t>2016 ascrivibili alle ASL, all’AO Brotzu e alle AOU di Sassari e Cagliari, desumibili dai propri bilanci, che si riportano nella tabella seguente.</w:t>
      </w:r>
    </w:p>
    <w:p w:rsidR="004D15FA" w:rsidRDefault="004D15FA" w:rsidP="00FE5BE4">
      <w:pPr>
        <w:spacing w:line="360" w:lineRule="auto"/>
        <w:jc w:val="both"/>
        <w:rPr>
          <w:rFonts w:ascii="Bodoni MT" w:hAnsi="Bodoni MT"/>
          <w:sz w:val="24"/>
          <w:szCs w:val="24"/>
        </w:rPr>
      </w:pPr>
    </w:p>
    <w:p w:rsidR="001C32B6" w:rsidRDefault="001C32B6" w:rsidP="00FE5BE4">
      <w:pPr>
        <w:spacing w:line="360" w:lineRule="auto"/>
        <w:jc w:val="both"/>
        <w:rPr>
          <w:rFonts w:ascii="Bodoni MT" w:hAnsi="Bodoni MT"/>
          <w:sz w:val="24"/>
          <w:szCs w:val="24"/>
        </w:rPr>
        <w:sectPr w:rsidR="001C32B6" w:rsidSect="00CD34A0">
          <w:headerReference w:type="default" r:id="rId74"/>
          <w:type w:val="oddPage"/>
          <w:pgSz w:w="11906" w:h="16838"/>
          <w:pgMar w:top="1417" w:right="1134" w:bottom="1134" w:left="1134" w:header="708" w:footer="708" w:gutter="0"/>
          <w:cols w:space="708"/>
          <w:docGrid w:linePitch="360"/>
        </w:sectPr>
      </w:pPr>
    </w:p>
    <w:p w:rsidR="001C32B6" w:rsidRDefault="001C32B6" w:rsidP="001C32B6">
      <w:pPr>
        <w:pStyle w:val="Didascalia"/>
        <w:rPr>
          <w:sz w:val="24"/>
          <w:szCs w:val="24"/>
        </w:rPr>
      </w:pPr>
      <w:bookmarkStart w:id="333" w:name="_Toc507422556"/>
      <w:r>
        <w:lastRenderedPageBreak/>
        <w:t xml:space="preserve">Tabella </w:t>
      </w:r>
      <w:r w:rsidR="00B90472">
        <w:fldChar w:fldCharType="begin"/>
      </w:r>
      <w:r w:rsidR="00B90472">
        <w:instrText xml:space="preserve"> SEQ Tabella \* ARABIC </w:instrText>
      </w:r>
      <w:r w:rsidR="00B90472">
        <w:fldChar w:fldCharType="separate"/>
      </w:r>
      <w:r w:rsidR="008616B3">
        <w:rPr>
          <w:noProof/>
        </w:rPr>
        <w:t>88</w:t>
      </w:r>
      <w:r w:rsidR="00B90472">
        <w:rPr>
          <w:noProof/>
        </w:rPr>
        <w:fldChar w:fldCharType="end"/>
      </w:r>
      <w:r w:rsidR="00D34F13">
        <w:rPr>
          <w:noProof/>
        </w:rPr>
        <w:t xml:space="preserve"> – Debiti delle Aziende Sanitarie – Stato Patrimoniale consolidato</w:t>
      </w:r>
      <w:bookmarkEnd w:id="333"/>
    </w:p>
    <w:tbl>
      <w:tblPr>
        <w:tblW w:w="5039" w:type="pct"/>
        <w:jc w:val="center"/>
        <w:tblCellMar>
          <w:left w:w="70" w:type="dxa"/>
          <w:right w:w="70" w:type="dxa"/>
        </w:tblCellMar>
        <w:tblLook w:val="04A0" w:firstRow="1" w:lastRow="0" w:firstColumn="1" w:lastColumn="0" w:noHBand="0" w:noVBand="1"/>
      </w:tblPr>
      <w:tblGrid>
        <w:gridCol w:w="1935"/>
        <w:gridCol w:w="1159"/>
        <w:gridCol w:w="1159"/>
        <w:gridCol w:w="1159"/>
        <w:gridCol w:w="11"/>
        <w:gridCol w:w="1068"/>
        <w:gridCol w:w="1159"/>
        <w:gridCol w:w="1159"/>
        <w:gridCol w:w="11"/>
        <w:gridCol w:w="1149"/>
        <w:gridCol w:w="1159"/>
        <w:gridCol w:w="1159"/>
        <w:gridCol w:w="11"/>
        <w:gridCol w:w="1273"/>
        <w:gridCol w:w="1283"/>
        <w:gridCol w:w="1283"/>
      </w:tblGrid>
      <w:tr w:rsidR="001C32B6" w:rsidRPr="001C32B6" w:rsidTr="001C32B6">
        <w:trPr>
          <w:trHeight w:val="284"/>
          <w:jc w:val="center"/>
        </w:trPr>
        <w:tc>
          <w:tcPr>
            <w:tcW w:w="591" w:type="pct"/>
            <w:vMerge w:val="restar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Stato Patrimoniale Bilancio di esercizio Passivo - Debiti</w:t>
            </w:r>
          </w:p>
        </w:tc>
        <w:tc>
          <w:tcPr>
            <w:tcW w:w="1109" w:type="pct"/>
            <w:gridSpan w:val="4"/>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 xml:space="preserve">Totale ASL </w:t>
            </w:r>
          </w:p>
        </w:tc>
        <w:tc>
          <w:tcPr>
            <w:tcW w:w="1046" w:type="pct"/>
            <w:gridSpan w:val="4"/>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 xml:space="preserve">Totale Aziende Ospedaliere </w:t>
            </w:r>
          </w:p>
        </w:tc>
        <w:tc>
          <w:tcPr>
            <w:tcW w:w="1071" w:type="pct"/>
            <w:gridSpan w:val="4"/>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 xml:space="preserve">Aziende Ospedaliere Universitarie </w:t>
            </w:r>
          </w:p>
        </w:tc>
        <w:tc>
          <w:tcPr>
            <w:tcW w:w="1183" w:type="pct"/>
            <w:gridSpan w:val="3"/>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 xml:space="preserve">Totale </w:t>
            </w:r>
          </w:p>
        </w:tc>
      </w:tr>
      <w:tr w:rsidR="001C32B6" w:rsidRPr="001C32B6" w:rsidTr="001C32B6">
        <w:trPr>
          <w:trHeight w:val="284"/>
          <w:jc w:val="center"/>
        </w:trPr>
        <w:tc>
          <w:tcPr>
            <w:tcW w:w="591" w:type="pct"/>
            <w:vMerge/>
            <w:tcBorders>
              <w:top w:val="single" w:sz="4" w:space="0" w:color="auto"/>
              <w:left w:val="single" w:sz="4" w:space="0" w:color="auto"/>
              <w:bottom w:val="single" w:sz="4" w:space="0" w:color="auto"/>
              <w:right w:val="single" w:sz="4" w:space="0" w:color="auto"/>
            </w:tcBorders>
            <w:vAlign w:val="center"/>
            <w:hideMark/>
          </w:tcPr>
          <w:p w:rsidR="001C32B6" w:rsidRPr="001C32B6" w:rsidRDefault="001C32B6" w:rsidP="001C32B6">
            <w:pPr>
              <w:spacing w:after="0" w:line="240" w:lineRule="auto"/>
              <w:rPr>
                <w:rFonts w:ascii="Bodoni MT" w:eastAsia="Times New Roman" w:hAnsi="Bodoni MT" w:cs="Calibri"/>
                <w:b/>
                <w:bCs/>
                <w:color w:val="000000"/>
                <w:sz w:val="16"/>
                <w:szCs w:val="16"/>
                <w:lang w:eastAsia="it-IT"/>
              </w:rPr>
            </w:pPr>
          </w:p>
        </w:tc>
        <w:tc>
          <w:tcPr>
            <w:tcW w:w="392"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2014</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2015</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2016</w:t>
            </w:r>
          </w:p>
        </w:tc>
        <w:tc>
          <w:tcPr>
            <w:tcW w:w="332" w:type="pct"/>
            <w:gridSpan w:val="2"/>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2014</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2015</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2016</w:t>
            </w:r>
          </w:p>
        </w:tc>
        <w:tc>
          <w:tcPr>
            <w:tcW w:w="357" w:type="pct"/>
            <w:gridSpan w:val="2"/>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2014</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2015</w:t>
            </w:r>
          </w:p>
        </w:tc>
        <w:tc>
          <w:tcPr>
            <w:tcW w:w="357"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2016</w:t>
            </w:r>
          </w:p>
        </w:tc>
        <w:tc>
          <w:tcPr>
            <w:tcW w:w="394" w:type="pct"/>
            <w:gridSpan w:val="2"/>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2014</w:t>
            </w:r>
          </w:p>
        </w:tc>
        <w:tc>
          <w:tcPr>
            <w:tcW w:w="394"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2015</w:t>
            </w:r>
          </w:p>
        </w:tc>
        <w:tc>
          <w:tcPr>
            <w:tcW w:w="394" w:type="pct"/>
            <w:tcBorders>
              <w:top w:val="nil"/>
              <w:left w:val="nil"/>
              <w:bottom w:val="single" w:sz="4" w:space="0" w:color="000000"/>
              <w:right w:val="single" w:sz="4" w:space="0" w:color="000000"/>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sz w:val="16"/>
                <w:szCs w:val="16"/>
                <w:lang w:eastAsia="it-IT"/>
              </w:rPr>
            </w:pPr>
            <w:r w:rsidRPr="001C32B6">
              <w:rPr>
                <w:rFonts w:ascii="Bodoni MT" w:eastAsia="Times New Roman" w:hAnsi="Bodoni MT" w:cs="Calibri"/>
                <w:b/>
                <w:bCs/>
                <w:sz w:val="16"/>
                <w:szCs w:val="16"/>
                <w:lang w:eastAsia="it-IT"/>
              </w:rPr>
              <w:t>2016</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1 Mutui e altre forme d'indebitamento a lungo termine</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15.521.000,00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13.189.000,00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4.581.000,00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7.064.000,00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15.521.000,00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13.189.000,00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11.645.000,00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2 Verso Regione</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107.847.000,00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98.763.000,00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28.967.000,00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201.000,00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3.220.000,00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5.228.000,00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205.000,00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111.067.000,00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104.192.000,00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29.172.000,00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3 Verso Agenzia Regionale</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1.073.000,00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223.000,00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1.073.000,00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441.000,00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223.000,00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4 Verso aziende sanitarie della Regione</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27.460.000,00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31.866.000,00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45.663.000,00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1.461.000,00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37.370.000,00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13.210.000,00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29.308.000,00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49.074.000,00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44.883.000,00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58.229.000,00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118.310.000,00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103.756.000,00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5 Verso aziende sanitarie extraregionali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2.153.000,00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1.349.000,00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1.823.000,00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308.000,00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213.000,00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266.000,00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94.000,00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204.000,00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2.461.000,00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1.656.000,00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2.293.000,00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6 Verso Stato, comuni e altri enti pubblici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1.867.000,00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1.999.000,00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2.618.000,00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546.000,00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552.000,00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615.000,00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5.866.000,00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4.412.000,00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6.768.000,00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8.279.000,00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6.963.000,00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10.001.000,00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7 Verso fornitori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447.407.000,00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540.515.000,00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478.062.000,00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50.463.000,00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52.092.000,00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84.977.000,00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44.349.000,00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45.489.000,00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105.209.000,00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542.219.000,00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638.096.000,00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668.248.000,00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8 Verso tesoriere o altri istituti di credito</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9.443.000,00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1.517.000,00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9.443.000,00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1.517.000,00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9 Verso dipendenti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81.377.000,00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48.368.000,00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51.682.000,00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3.359.000,00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4.425.000,00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5.441.000,00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15.861.000,00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6.368.000,00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12.856.000,00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100.597.000,00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59.161.000,00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69.979.000,00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10 Debiti tributari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28.465.000,00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44.330.000,00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4.696.000,00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2.536.000,00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8.459.000,00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8.663.000,00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3.364.000,00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6.455.000,00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8.288.000,00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34.365.000,00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59.244.000,00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21.647.000,00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11 Verso istituti di prev. e di sicurezza sociale</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37.799.000,00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38.418.000,00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18.024.000,00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4.502.000,00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6.130.000,00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7.001.000,00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5.998.000,00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6.461.000,00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8.811.000,00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48.299.000,00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51.009.000,00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33.836.000,00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12 Altri debiti</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91.557.000,00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60.951.000,00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38.297.000,00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482.000,00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812.000,00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824.000,00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2.026.000,00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12.720.000,00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sz w:val="16"/>
                <w:szCs w:val="16"/>
                <w:lang w:eastAsia="it-IT"/>
              </w:rPr>
            </w:pPr>
            <w:r w:rsidRPr="001C32B6">
              <w:rPr>
                <w:rFonts w:ascii="Calibri" w:eastAsia="Times New Roman" w:hAnsi="Calibri" w:cs="Calibri"/>
                <w:sz w:val="16"/>
                <w:szCs w:val="16"/>
                <w:lang w:eastAsia="it-IT"/>
              </w:rPr>
              <w:t>11.371.000,00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94.065.000,00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74.483.000,00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50.492.000,00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Totale debiti Enti SSR</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842.526.000,00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889.632.000,00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676.153.000,00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63.657.000,00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110.254.000,00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128.061.000,00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109.992.000,00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136.301.000,00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198.595.000,00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1.016.175.000,00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1.136.187.000,00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1.002.809.000,00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 xml:space="preserve">Totale debiti (da consolidato regionale) 1+5+6+7+8+9+10+11+12 </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706.146.000,00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758.562.000,00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601.300.000,00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62.196.000,00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72.683.000,00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114.851.000,00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77.464.000,00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81.999.000,00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153.507.000,00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845.806.000,00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913.244.000,00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869.658.000,00</w:t>
            </w:r>
          </w:p>
        </w:tc>
      </w:tr>
      <w:tr w:rsidR="001C32B6" w:rsidRPr="001C32B6" w:rsidTr="001C32B6">
        <w:trPr>
          <w:trHeight w:val="284"/>
          <w:jc w:val="center"/>
        </w:trPr>
        <w:tc>
          <w:tcPr>
            <w:tcW w:w="591"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16"/>
                <w:szCs w:val="16"/>
                <w:lang w:eastAsia="it-IT"/>
              </w:rPr>
            </w:pPr>
            <w:r w:rsidRPr="001C32B6">
              <w:rPr>
                <w:rFonts w:ascii="Bodoni MT" w:eastAsia="Times New Roman" w:hAnsi="Bodoni MT" w:cs="Calibri"/>
                <w:b/>
                <w:bCs/>
                <w:color w:val="FFFFFF" w:themeColor="background1"/>
                <w:sz w:val="16"/>
                <w:szCs w:val="16"/>
                <w:lang w:eastAsia="it-IT"/>
              </w:rPr>
              <w:t>Altre tipologie di indebitamento SSN 5+6+8+9+10+11+12</w:t>
            </w:r>
          </w:p>
        </w:tc>
        <w:tc>
          <w:tcPr>
            <w:tcW w:w="392"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243.218.000,00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204.858.000,00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118.657.000,00</w:t>
            </w:r>
          </w:p>
        </w:tc>
        <w:tc>
          <w:tcPr>
            <w:tcW w:w="332"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11.733.000,00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20.591.000,00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22.810.000,00</w:t>
            </w:r>
          </w:p>
        </w:tc>
        <w:tc>
          <w:tcPr>
            <w:tcW w:w="357"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33.115.000,00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36.510.000,00</w:t>
            </w:r>
          </w:p>
        </w:tc>
        <w:tc>
          <w:tcPr>
            <w:tcW w:w="357"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48.298.000,00</w:t>
            </w:r>
          </w:p>
        </w:tc>
        <w:tc>
          <w:tcPr>
            <w:tcW w:w="394" w:type="pct"/>
            <w:gridSpan w:val="2"/>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288.066.000,00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261.959.000,00</w:t>
            </w:r>
          </w:p>
        </w:tc>
        <w:tc>
          <w:tcPr>
            <w:tcW w:w="394" w:type="pct"/>
            <w:tcBorders>
              <w:top w:val="nil"/>
              <w:left w:val="nil"/>
              <w:bottom w:val="single" w:sz="4" w:space="0" w:color="000000"/>
              <w:right w:val="single" w:sz="4" w:space="0" w:color="000000"/>
            </w:tcBorders>
            <w:shd w:val="clear" w:color="000000" w:fill="FFFFFF"/>
            <w:vAlign w:val="center"/>
            <w:hideMark/>
          </w:tcPr>
          <w:p w:rsidR="001C32B6" w:rsidRPr="001C32B6" w:rsidRDefault="001C32B6" w:rsidP="001C32B6">
            <w:pPr>
              <w:spacing w:after="0" w:line="240" w:lineRule="auto"/>
              <w:jc w:val="right"/>
              <w:rPr>
                <w:rFonts w:ascii="Calibri" w:eastAsia="Times New Roman" w:hAnsi="Calibri" w:cs="Calibri"/>
                <w:b/>
                <w:bCs/>
                <w:sz w:val="16"/>
                <w:szCs w:val="16"/>
                <w:lang w:eastAsia="it-IT"/>
              </w:rPr>
            </w:pPr>
            <w:r w:rsidRPr="001C32B6">
              <w:rPr>
                <w:rFonts w:ascii="Calibri" w:eastAsia="Times New Roman" w:hAnsi="Calibri" w:cs="Calibri"/>
                <w:b/>
                <w:bCs/>
                <w:sz w:val="16"/>
                <w:szCs w:val="16"/>
                <w:lang w:eastAsia="it-IT"/>
              </w:rPr>
              <w:t>189.765.000,00</w:t>
            </w:r>
          </w:p>
        </w:tc>
      </w:tr>
    </w:tbl>
    <w:p w:rsidR="001C32B6" w:rsidRDefault="001C32B6" w:rsidP="001C32B6">
      <w:pPr>
        <w:spacing w:line="360" w:lineRule="auto"/>
        <w:jc w:val="center"/>
        <w:rPr>
          <w:rFonts w:ascii="Bodoni MT" w:hAnsi="Bodoni MT"/>
          <w:sz w:val="24"/>
          <w:szCs w:val="24"/>
        </w:rPr>
      </w:pPr>
    </w:p>
    <w:p w:rsidR="001C32B6" w:rsidRDefault="001C32B6" w:rsidP="00FE5BE4">
      <w:pPr>
        <w:spacing w:line="360" w:lineRule="auto"/>
        <w:jc w:val="both"/>
        <w:rPr>
          <w:rFonts w:ascii="Bodoni MT" w:hAnsi="Bodoni MT"/>
          <w:sz w:val="24"/>
          <w:szCs w:val="24"/>
        </w:rPr>
      </w:pPr>
    </w:p>
    <w:p w:rsidR="001C32B6" w:rsidRDefault="001C32B6" w:rsidP="00FE5BE4">
      <w:pPr>
        <w:spacing w:line="360" w:lineRule="auto"/>
        <w:jc w:val="both"/>
        <w:rPr>
          <w:rFonts w:ascii="Bodoni MT" w:hAnsi="Bodoni MT"/>
          <w:sz w:val="24"/>
          <w:szCs w:val="24"/>
        </w:rPr>
      </w:pPr>
    </w:p>
    <w:p w:rsidR="001C32B6" w:rsidRDefault="001C32B6" w:rsidP="00FE5BE4">
      <w:pPr>
        <w:spacing w:line="360" w:lineRule="auto"/>
        <w:jc w:val="both"/>
        <w:rPr>
          <w:rFonts w:ascii="Bodoni MT" w:hAnsi="Bodoni MT"/>
          <w:sz w:val="24"/>
          <w:szCs w:val="24"/>
        </w:rPr>
      </w:pPr>
    </w:p>
    <w:p w:rsidR="001C32B6" w:rsidRDefault="001C32B6" w:rsidP="00FE5BE4">
      <w:pPr>
        <w:spacing w:line="360" w:lineRule="auto"/>
        <w:jc w:val="both"/>
        <w:rPr>
          <w:rFonts w:ascii="Bodoni MT" w:hAnsi="Bodoni MT"/>
          <w:sz w:val="24"/>
          <w:szCs w:val="24"/>
        </w:rPr>
        <w:sectPr w:rsidR="001C32B6" w:rsidSect="001C32B6">
          <w:pgSz w:w="16838" w:h="11906" w:orient="landscape"/>
          <w:pgMar w:top="1134" w:right="1417" w:bottom="1134" w:left="1134" w:header="708" w:footer="708" w:gutter="0"/>
          <w:cols w:space="708"/>
          <w:docGrid w:linePitch="360"/>
        </w:sectPr>
      </w:pPr>
    </w:p>
    <w:p w:rsidR="001C32B6" w:rsidRPr="001C32B6" w:rsidRDefault="00A1675C" w:rsidP="001C32B6">
      <w:pPr>
        <w:spacing w:line="360" w:lineRule="auto"/>
        <w:jc w:val="both"/>
        <w:rPr>
          <w:rFonts w:ascii="Bodoni MT" w:hAnsi="Bodoni MT"/>
          <w:sz w:val="24"/>
          <w:szCs w:val="24"/>
        </w:rPr>
      </w:pPr>
      <w:r>
        <w:rPr>
          <w:rFonts w:ascii="Bodoni MT" w:hAnsi="Bodoni MT"/>
          <w:sz w:val="24"/>
          <w:szCs w:val="24"/>
        </w:rPr>
        <w:lastRenderedPageBreak/>
        <w:t xml:space="preserve">Anche nella presente </w:t>
      </w:r>
      <w:r w:rsidR="001C32B6" w:rsidRPr="001C32B6">
        <w:rPr>
          <w:rFonts w:ascii="Bodoni MT" w:hAnsi="Bodoni MT"/>
          <w:sz w:val="24"/>
          <w:szCs w:val="24"/>
        </w:rPr>
        <w:t>istruttoria sono state chieste</w:t>
      </w:r>
      <w:r w:rsidR="001C32B6" w:rsidRPr="001C32B6">
        <w:rPr>
          <w:rFonts w:ascii="Bodoni MT" w:hAnsi="Bodoni MT"/>
          <w:sz w:val="24"/>
          <w:szCs w:val="24"/>
          <w:vertAlign w:val="superscript"/>
        </w:rPr>
        <w:footnoteReference w:id="206"/>
      </w:r>
      <w:r w:rsidR="001C32B6" w:rsidRPr="001C32B6">
        <w:rPr>
          <w:rFonts w:ascii="Bodoni MT" w:hAnsi="Bodoni MT"/>
          <w:sz w:val="24"/>
          <w:szCs w:val="24"/>
        </w:rPr>
        <w:t xml:space="preserve"> all’Assessorato alla Sanità informazioni sulla situazione debitoria delle Aziende sanitarie per l’esercizio all’esame e per il biennio precedente. Preliminarmente, la Direzione Generale della Sanità ha riferito</w:t>
      </w:r>
      <w:r w:rsidR="001C32B6" w:rsidRPr="001C32B6">
        <w:rPr>
          <w:rFonts w:ascii="Bodoni MT" w:hAnsi="Bodoni MT"/>
          <w:sz w:val="24"/>
          <w:szCs w:val="24"/>
          <w:vertAlign w:val="superscript"/>
        </w:rPr>
        <w:footnoteReference w:id="207"/>
      </w:r>
      <w:r w:rsidR="001C32B6" w:rsidRPr="001C32B6">
        <w:rPr>
          <w:rFonts w:ascii="Bodoni MT" w:hAnsi="Bodoni MT"/>
          <w:sz w:val="24"/>
          <w:szCs w:val="24"/>
        </w:rPr>
        <w:t xml:space="preserve"> che annualmente vengono chiesti alle aziende i dati concernenti i </w:t>
      </w:r>
      <w:r w:rsidR="001C32B6" w:rsidRPr="001C32B6">
        <w:rPr>
          <w:rFonts w:ascii="Bodoni MT" w:hAnsi="Bodoni MT"/>
          <w:i/>
          <w:sz w:val="24"/>
          <w:szCs w:val="24"/>
        </w:rPr>
        <w:t>debiti certi, liquidi ed esigibili maturati alla data del 31/12</w:t>
      </w:r>
      <w:r w:rsidR="001C32B6" w:rsidRPr="001C32B6">
        <w:rPr>
          <w:rFonts w:ascii="Bodoni MT" w:hAnsi="Bodoni MT"/>
          <w:sz w:val="24"/>
          <w:szCs w:val="24"/>
        </w:rPr>
        <w:t>, e che si provvede trimestralmente a monitorare i tempi di pagamento delle aziende che le stesse pubblicano sui loro siti istituzionali. Non formano oggetto di rilevazione ulteriori elementi di dettaglio. Pertanto, la Direzione Generale della Sanità, non disponendo dei dati disaggregati per tipologia di creditori, degli importi, annualità di riferimento del debito, ed ulteriori informazioni in merito, ha fornito in data 23/</w:t>
      </w:r>
      <w:r w:rsidR="0071210B">
        <w:rPr>
          <w:rFonts w:ascii="Bodoni MT" w:hAnsi="Bodoni MT"/>
          <w:sz w:val="24"/>
          <w:szCs w:val="24"/>
        </w:rPr>
        <w:t>0</w:t>
      </w:r>
      <w:r w:rsidR="001C32B6" w:rsidRPr="001C32B6">
        <w:rPr>
          <w:rFonts w:ascii="Bodoni MT" w:hAnsi="Bodoni MT"/>
          <w:sz w:val="24"/>
          <w:szCs w:val="24"/>
        </w:rPr>
        <w:t>2/2017</w:t>
      </w:r>
      <w:r w:rsidR="001C32B6" w:rsidRPr="001C32B6">
        <w:rPr>
          <w:rFonts w:ascii="Bodoni MT" w:hAnsi="Bodoni MT"/>
          <w:sz w:val="24"/>
          <w:szCs w:val="24"/>
          <w:vertAlign w:val="superscript"/>
        </w:rPr>
        <w:footnoteReference w:id="208"/>
      </w:r>
      <w:r w:rsidR="001C32B6" w:rsidRPr="001C32B6">
        <w:rPr>
          <w:rFonts w:ascii="Bodoni MT" w:hAnsi="Bodoni MT"/>
          <w:sz w:val="24"/>
          <w:szCs w:val="24"/>
        </w:rPr>
        <w:t xml:space="preserve">, una ricognizione (a tale data) dei soli debiti certi liquidi ed esigibili maturati e non ancora pagati alla data del 31/12/2016 delle ex Asl della Sardegna, dell’AO Brotzu e delle AOU di Cagliari e Sassari, che di seguito si ripropone. </w:t>
      </w:r>
    </w:p>
    <w:p w:rsidR="001C32B6" w:rsidRPr="001C32B6" w:rsidRDefault="0071210B" w:rsidP="0071210B">
      <w:pPr>
        <w:pStyle w:val="Didascalia"/>
        <w:keepNext/>
        <w:rPr>
          <w:sz w:val="24"/>
          <w:szCs w:val="24"/>
        </w:rPr>
      </w:pPr>
      <w:bookmarkStart w:id="334" w:name="_Toc507422557"/>
      <w:r>
        <w:t xml:space="preserve">Tabella </w:t>
      </w:r>
      <w:r w:rsidR="00B90472">
        <w:fldChar w:fldCharType="begin"/>
      </w:r>
      <w:r w:rsidR="00B90472">
        <w:instrText xml:space="preserve"> SEQ Tabella \* ARABIC </w:instrText>
      </w:r>
      <w:r w:rsidR="00B90472">
        <w:fldChar w:fldCharType="separate"/>
      </w:r>
      <w:r w:rsidR="008616B3">
        <w:rPr>
          <w:noProof/>
        </w:rPr>
        <w:t>89</w:t>
      </w:r>
      <w:r w:rsidR="00B90472">
        <w:rPr>
          <w:noProof/>
        </w:rPr>
        <w:fldChar w:fldCharType="end"/>
      </w:r>
      <w:r>
        <w:t xml:space="preserve"> -</w:t>
      </w:r>
      <w:r w:rsidR="001C32B6" w:rsidRPr="001C32B6">
        <w:rPr>
          <w:sz w:val="24"/>
          <w:szCs w:val="24"/>
        </w:rPr>
        <w:t xml:space="preserve"> Debiti certi, liqui</w:t>
      </w:r>
      <w:r w:rsidR="00D34F13">
        <w:rPr>
          <w:sz w:val="24"/>
          <w:szCs w:val="24"/>
        </w:rPr>
        <w:t>di ed esigibili - Enti SSR - Esercizio</w:t>
      </w:r>
      <w:r w:rsidR="001C32B6" w:rsidRPr="001C32B6">
        <w:rPr>
          <w:sz w:val="24"/>
          <w:szCs w:val="24"/>
        </w:rPr>
        <w:t xml:space="preserve"> 2016</w:t>
      </w:r>
      <w:bookmarkEnd w:id="334"/>
    </w:p>
    <w:tbl>
      <w:tblPr>
        <w:tblW w:w="5000" w:type="pct"/>
        <w:jc w:val="center"/>
        <w:tblCellMar>
          <w:left w:w="70" w:type="dxa"/>
          <w:right w:w="70" w:type="dxa"/>
        </w:tblCellMar>
        <w:tblLook w:val="04A0" w:firstRow="1" w:lastRow="0" w:firstColumn="1" w:lastColumn="0" w:noHBand="0" w:noVBand="1"/>
      </w:tblPr>
      <w:tblGrid>
        <w:gridCol w:w="3968"/>
        <w:gridCol w:w="5810"/>
      </w:tblGrid>
      <w:tr w:rsidR="0071210B" w:rsidRPr="001C32B6" w:rsidTr="0071210B">
        <w:trPr>
          <w:trHeight w:val="300"/>
          <w:jc w:val="center"/>
        </w:trPr>
        <w:tc>
          <w:tcPr>
            <w:tcW w:w="2029"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AZIENDE</w:t>
            </w:r>
          </w:p>
        </w:tc>
        <w:tc>
          <w:tcPr>
            <w:tcW w:w="2971"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Debiti certi, liquidi, esigibili, maturati al 31/12/2016</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Sassari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27.170.875,94</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Olbia</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16.399.471,00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Nuoro</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14.986.373,93</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Lanusei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Oristano</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4.117.968,91</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Sanluri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Carbonia</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4.504.344,20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Cagliari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705.535,32</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Totale ATS</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67.884.569,30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 Brotzu</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61.977.792,54</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Sassari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20.329.136,20</w:t>
            </w:r>
          </w:p>
        </w:tc>
      </w:tr>
      <w:tr w:rsidR="001C32B6" w:rsidRPr="001C32B6" w:rsidTr="0071210B">
        <w:trPr>
          <w:trHeight w:val="300"/>
          <w:jc w:val="center"/>
        </w:trPr>
        <w:tc>
          <w:tcPr>
            <w:tcW w:w="2029"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Cagliari</w:t>
            </w:r>
          </w:p>
        </w:tc>
        <w:tc>
          <w:tcPr>
            <w:tcW w:w="297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1C32B6">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8.866.146,00</w:t>
            </w:r>
          </w:p>
        </w:tc>
      </w:tr>
    </w:tbl>
    <w:p w:rsidR="001C32B6" w:rsidRPr="001C32B6" w:rsidRDefault="001C32B6" w:rsidP="001C32B6">
      <w:pPr>
        <w:rPr>
          <w:rFonts w:ascii="Bodoni MT" w:hAnsi="Bodoni MT"/>
          <w:sz w:val="18"/>
          <w:szCs w:val="18"/>
        </w:rPr>
      </w:pPr>
      <w:r w:rsidRPr="001C32B6">
        <w:rPr>
          <w:rFonts w:ascii="Bodoni MT" w:hAnsi="Bodoni MT"/>
          <w:sz w:val="18"/>
          <w:szCs w:val="18"/>
        </w:rPr>
        <w:t>Fonte: dati forniti dall’Assessorato alla Sanità</w:t>
      </w:r>
    </w:p>
    <w:p w:rsidR="001C32B6" w:rsidRPr="001C32B6" w:rsidRDefault="001C32B6" w:rsidP="001C32B6">
      <w:pPr>
        <w:spacing w:line="360" w:lineRule="auto"/>
        <w:jc w:val="both"/>
        <w:rPr>
          <w:rFonts w:ascii="Bodoni MT" w:hAnsi="Bodoni MT"/>
          <w:sz w:val="24"/>
          <w:szCs w:val="24"/>
        </w:rPr>
      </w:pPr>
      <w:r w:rsidRPr="001C32B6">
        <w:rPr>
          <w:rFonts w:ascii="Bodoni MT" w:hAnsi="Bodoni MT"/>
          <w:sz w:val="24"/>
          <w:szCs w:val="24"/>
        </w:rPr>
        <w:t>Si fa presente che successivamente, con riferimento a</w:t>
      </w:r>
      <w:r w:rsidR="0071210B">
        <w:rPr>
          <w:rFonts w:ascii="Bodoni MT" w:hAnsi="Bodoni MT"/>
          <w:sz w:val="24"/>
          <w:szCs w:val="24"/>
        </w:rPr>
        <w:t>lle otto ex Asl incorporate dall’0</w:t>
      </w:r>
      <w:r w:rsidRPr="001C32B6">
        <w:rPr>
          <w:rFonts w:ascii="Bodoni MT" w:hAnsi="Bodoni MT"/>
          <w:sz w:val="24"/>
          <w:szCs w:val="24"/>
        </w:rPr>
        <w:t>1/</w:t>
      </w:r>
      <w:r w:rsidR="0071210B">
        <w:rPr>
          <w:rFonts w:ascii="Bodoni MT" w:hAnsi="Bodoni MT"/>
          <w:sz w:val="24"/>
          <w:szCs w:val="24"/>
        </w:rPr>
        <w:t>0</w:t>
      </w:r>
      <w:r w:rsidRPr="001C32B6">
        <w:rPr>
          <w:rFonts w:ascii="Bodoni MT" w:hAnsi="Bodoni MT"/>
          <w:sz w:val="24"/>
          <w:szCs w:val="24"/>
        </w:rPr>
        <w:t>1/2017 nella ATS, il Direttore del Servizio Gestione delle Risorse Economico Finanziarie dell’ATS ha trasmesso</w:t>
      </w:r>
      <w:r w:rsidRPr="001C32B6">
        <w:rPr>
          <w:rFonts w:ascii="Bodoni MT" w:hAnsi="Bodoni MT"/>
          <w:sz w:val="24"/>
          <w:szCs w:val="24"/>
          <w:vertAlign w:val="superscript"/>
        </w:rPr>
        <w:footnoteReference w:id="209"/>
      </w:r>
      <w:r w:rsidRPr="001C32B6">
        <w:rPr>
          <w:rFonts w:ascii="Bodoni MT" w:hAnsi="Bodoni MT"/>
          <w:sz w:val="24"/>
          <w:szCs w:val="24"/>
        </w:rPr>
        <w:t xml:space="preserve">, un report contenente i dati disaggregati per tipologia di creditori, desunti dai Bilanci delle Aziende riferite, tuttavia, a dati provvisori e pertanto suscettibili di variazioni contabili poiché le operazioni di chiusura di detti bilanci non erano, a tale data, concluse. </w:t>
      </w:r>
    </w:p>
    <w:p w:rsidR="001C32B6" w:rsidRPr="001C32B6" w:rsidRDefault="001C32B6" w:rsidP="001C32B6">
      <w:pPr>
        <w:spacing w:line="360" w:lineRule="auto"/>
        <w:jc w:val="both"/>
        <w:rPr>
          <w:rFonts w:ascii="Bodoni MT" w:hAnsi="Bodoni MT"/>
          <w:sz w:val="24"/>
          <w:szCs w:val="24"/>
        </w:rPr>
      </w:pPr>
      <w:r w:rsidRPr="001C32B6">
        <w:rPr>
          <w:rFonts w:ascii="Bodoni MT" w:hAnsi="Bodoni MT"/>
          <w:sz w:val="24"/>
          <w:szCs w:val="24"/>
        </w:rPr>
        <w:lastRenderedPageBreak/>
        <w:t>Nella tabella successiva sono riportati, per ciascuna azienda, gli indicatori di tempestività dei pagamenti relativi agli acquisti di beni, servizi e forniture, calcolati dagli stessi Enti secondo quanto disposto dal DPCM 22/</w:t>
      </w:r>
      <w:r w:rsidR="0071210B">
        <w:rPr>
          <w:rFonts w:ascii="Bodoni MT" w:hAnsi="Bodoni MT"/>
          <w:sz w:val="24"/>
          <w:szCs w:val="24"/>
        </w:rPr>
        <w:t>0</w:t>
      </w:r>
      <w:r w:rsidRPr="001C32B6">
        <w:rPr>
          <w:rFonts w:ascii="Bodoni MT" w:hAnsi="Bodoni MT"/>
          <w:sz w:val="24"/>
          <w:szCs w:val="24"/>
        </w:rPr>
        <w:t>9/2014 e pubblicati sui rispettivi siti internet istituzionali, come illustrati dall’Assessorato</w:t>
      </w:r>
      <w:r w:rsidR="00A55241">
        <w:rPr>
          <w:rStyle w:val="Rimandonotaapidipagina"/>
          <w:rFonts w:ascii="Bodoni MT" w:hAnsi="Bodoni MT"/>
          <w:sz w:val="24"/>
          <w:szCs w:val="24"/>
        </w:rPr>
        <w:footnoteReference w:id="210"/>
      </w:r>
      <w:r w:rsidRPr="001C32B6">
        <w:rPr>
          <w:rFonts w:ascii="Bodoni MT" w:hAnsi="Bodoni MT"/>
          <w:sz w:val="24"/>
          <w:szCs w:val="24"/>
        </w:rPr>
        <w:t>. Al fine di effettuare un confronto con l’esercizio precedente, si espongono anche gli indicatori annuali riscontrati per il 2015. Il valore dell’indicatore rappresenta il tempo medio di ritardo o anticipo del pagamento rispetto alla data di scadenza prevista dall’art</w:t>
      </w:r>
      <w:r w:rsidR="008B0C9C">
        <w:rPr>
          <w:rFonts w:ascii="Bodoni MT" w:hAnsi="Bodoni MT"/>
          <w:sz w:val="24"/>
          <w:szCs w:val="24"/>
        </w:rPr>
        <w:t>. </w:t>
      </w:r>
      <w:r w:rsidR="0071210B">
        <w:rPr>
          <w:rFonts w:ascii="Bodoni MT" w:hAnsi="Bodoni MT"/>
          <w:sz w:val="24"/>
          <w:szCs w:val="24"/>
        </w:rPr>
        <w:t>4, comma 5, lettera d) del D.</w:t>
      </w:r>
      <w:r w:rsidRPr="001C32B6">
        <w:rPr>
          <w:rFonts w:ascii="Bodoni MT" w:hAnsi="Bodoni MT"/>
          <w:sz w:val="24"/>
          <w:szCs w:val="24"/>
        </w:rPr>
        <w:t>Lgs n. 2</w:t>
      </w:r>
      <w:r w:rsidR="0071210B">
        <w:rPr>
          <w:rFonts w:ascii="Bodoni MT" w:hAnsi="Bodoni MT"/>
          <w:sz w:val="24"/>
          <w:szCs w:val="24"/>
        </w:rPr>
        <w:t>31/2002, come modificato dal D.</w:t>
      </w:r>
      <w:r w:rsidRPr="001C32B6">
        <w:rPr>
          <w:rFonts w:ascii="Bodoni MT" w:hAnsi="Bodoni MT"/>
          <w:sz w:val="24"/>
          <w:szCs w:val="24"/>
        </w:rPr>
        <w:t xml:space="preserve">Lgs n. 192/2012. </w:t>
      </w:r>
    </w:p>
    <w:p w:rsidR="001C32B6" w:rsidRPr="001C32B6" w:rsidRDefault="0071210B" w:rsidP="0071210B">
      <w:pPr>
        <w:pStyle w:val="Didascalia"/>
        <w:keepNext/>
        <w:rPr>
          <w:sz w:val="24"/>
          <w:szCs w:val="24"/>
        </w:rPr>
      </w:pPr>
      <w:bookmarkStart w:id="335" w:name="_Toc507422558"/>
      <w:r>
        <w:t xml:space="preserve">Tabella </w:t>
      </w:r>
      <w:r w:rsidR="00B90472">
        <w:fldChar w:fldCharType="begin"/>
      </w:r>
      <w:r w:rsidR="00B90472">
        <w:instrText xml:space="preserve"> SEQ Tabella \* ARABIC </w:instrText>
      </w:r>
      <w:r w:rsidR="00B90472">
        <w:fldChar w:fldCharType="separate"/>
      </w:r>
      <w:r w:rsidR="008616B3">
        <w:rPr>
          <w:noProof/>
        </w:rPr>
        <w:t>90</w:t>
      </w:r>
      <w:r w:rsidR="00B90472">
        <w:rPr>
          <w:noProof/>
        </w:rPr>
        <w:fldChar w:fldCharType="end"/>
      </w:r>
      <w:r>
        <w:t xml:space="preserve"> -</w:t>
      </w:r>
      <w:r w:rsidR="001C32B6" w:rsidRPr="001C32B6">
        <w:rPr>
          <w:sz w:val="24"/>
          <w:szCs w:val="24"/>
        </w:rPr>
        <w:t xml:space="preserve"> Indicatori di tempestività dei pagamenti</w:t>
      </w:r>
      <w:bookmarkEnd w:id="335"/>
    </w:p>
    <w:tbl>
      <w:tblPr>
        <w:tblW w:w="5000" w:type="pct"/>
        <w:jc w:val="center"/>
        <w:tblCellMar>
          <w:left w:w="70" w:type="dxa"/>
          <w:right w:w="70" w:type="dxa"/>
        </w:tblCellMar>
        <w:tblLook w:val="04A0" w:firstRow="1" w:lastRow="0" w:firstColumn="1" w:lastColumn="0" w:noHBand="0" w:noVBand="1"/>
      </w:tblPr>
      <w:tblGrid>
        <w:gridCol w:w="1818"/>
        <w:gridCol w:w="1514"/>
        <w:gridCol w:w="1234"/>
        <w:gridCol w:w="1234"/>
        <w:gridCol w:w="1234"/>
        <w:gridCol w:w="1234"/>
        <w:gridCol w:w="1510"/>
      </w:tblGrid>
      <w:tr w:rsidR="0071210B" w:rsidRPr="001C32B6" w:rsidTr="0071210B">
        <w:trPr>
          <w:trHeight w:val="375"/>
          <w:jc w:val="center"/>
        </w:trPr>
        <w:tc>
          <w:tcPr>
            <w:tcW w:w="930" w:type="pct"/>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AZIENDE</w:t>
            </w:r>
          </w:p>
        </w:tc>
        <w:tc>
          <w:tcPr>
            <w:tcW w:w="774" w:type="pct"/>
            <w:vMerge w:val="restart"/>
            <w:tcBorders>
              <w:top w:val="single" w:sz="4" w:space="0" w:color="auto"/>
              <w:left w:val="single" w:sz="4" w:space="0" w:color="auto"/>
              <w:bottom w:val="single" w:sz="4" w:space="0" w:color="000000"/>
              <w:right w:val="single" w:sz="4" w:space="0" w:color="auto"/>
            </w:tcBorders>
            <w:shd w:val="clear" w:color="auto" w:fill="244061" w:themeFill="accent1"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ITP 2015 DPCM 22/09/2014</w:t>
            </w:r>
          </w:p>
        </w:tc>
        <w:tc>
          <w:tcPr>
            <w:tcW w:w="3297" w:type="pct"/>
            <w:gridSpan w:val="5"/>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ITP 2016 - DPCM 22/</w:t>
            </w:r>
            <w:r w:rsidR="008B0C9C">
              <w:rPr>
                <w:rFonts w:ascii="Bodoni MT" w:eastAsia="Times New Roman" w:hAnsi="Bodoni MT" w:cs="Calibri"/>
                <w:b/>
                <w:bCs/>
                <w:color w:val="FFFFFF" w:themeColor="background1"/>
                <w:sz w:val="20"/>
                <w:szCs w:val="20"/>
                <w:lang w:eastAsia="it-IT"/>
              </w:rPr>
              <w:t>0</w:t>
            </w:r>
            <w:r w:rsidRPr="001C32B6">
              <w:rPr>
                <w:rFonts w:ascii="Bodoni MT" w:eastAsia="Times New Roman" w:hAnsi="Bodoni MT" w:cs="Calibri"/>
                <w:b/>
                <w:bCs/>
                <w:color w:val="FFFFFF" w:themeColor="background1"/>
                <w:sz w:val="20"/>
                <w:szCs w:val="20"/>
                <w:lang w:eastAsia="it-IT"/>
              </w:rPr>
              <w:t>9/2014</w:t>
            </w:r>
          </w:p>
        </w:tc>
      </w:tr>
      <w:tr w:rsidR="001C32B6" w:rsidRPr="001C32B6" w:rsidTr="0071210B">
        <w:trPr>
          <w:trHeight w:val="509"/>
          <w:jc w:val="center"/>
        </w:trPr>
        <w:tc>
          <w:tcPr>
            <w:tcW w:w="930" w:type="pct"/>
            <w:vMerge/>
            <w:tcBorders>
              <w:top w:val="single" w:sz="4" w:space="0" w:color="auto"/>
              <w:left w:val="single" w:sz="4" w:space="0" w:color="auto"/>
              <w:bottom w:val="single" w:sz="4" w:space="0" w:color="auto"/>
              <w:right w:val="single" w:sz="4" w:space="0" w:color="auto"/>
            </w:tcBorders>
            <w:vAlign w:val="center"/>
            <w:hideMark/>
          </w:tcPr>
          <w:p w:rsidR="001C32B6" w:rsidRPr="001C32B6" w:rsidRDefault="001C32B6" w:rsidP="001C32B6">
            <w:pPr>
              <w:spacing w:after="0" w:line="240" w:lineRule="auto"/>
              <w:rPr>
                <w:rFonts w:ascii="Bodoni MT" w:eastAsia="Times New Roman" w:hAnsi="Bodoni MT" w:cs="Calibri"/>
                <w:b/>
                <w:bCs/>
                <w:color w:val="000000"/>
                <w:sz w:val="20"/>
                <w:szCs w:val="20"/>
                <w:lang w:eastAsia="it-IT"/>
              </w:rPr>
            </w:pPr>
          </w:p>
        </w:tc>
        <w:tc>
          <w:tcPr>
            <w:tcW w:w="774" w:type="pct"/>
            <w:vMerge/>
            <w:tcBorders>
              <w:top w:val="single" w:sz="4" w:space="0" w:color="auto"/>
              <w:left w:val="single" w:sz="4" w:space="0" w:color="auto"/>
              <w:bottom w:val="single" w:sz="4" w:space="0" w:color="000000"/>
              <w:right w:val="single" w:sz="4" w:space="0" w:color="auto"/>
            </w:tcBorders>
            <w:vAlign w:val="center"/>
            <w:hideMark/>
          </w:tcPr>
          <w:p w:rsidR="001C32B6" w:rsidRPr="001C32B6" w:rsidRDefault="001C32B6" w:rsidP="001C32B6">
            <w:pPr>
              <w:spacing w:after="0" w:line="240" w:lineRule="auto"/>
              <w:rPr>
                <w:rFonts w:ascii="Bodoni MT" w:eastAsia="Times New Roman" w:hAnsi="Bodoni MT" w:cs="Calibri"/>
                <w:b/>
                <w:bCs/>
                <w:color w:val="000000"/>
                <w:sz w:val="20"/>
                <w:szCs w:val="20"/>
                <w:lang w:eastAsia="it-IT"/>
              </w:rPr>
            </w:pPr>
          </w:p>
        </w:tc>
        <w:tc>
          <w:tcPr>
            <w:tcW w:w="631" w:type="pct"/>
            <w:tcBorders>
              <w:top w:val="nil"/>
              <w:left w:val="single" w:sz="4" w:space="0" w:color="auto"/>
              <w:bottom w:val="single" w:sz="4" w:space="0" w:color="auto"/>
              <w:right w:val="single" w:sz="4" w:space="0" w:color="auto"/>
            </w:tcBorders>
            <w:shd w:val="clear" w:color="auto" w:fill="244061" w:themeFill="accent1" w:themeFillShade="80"/>
            <w:vAlign w:val="center"/>
            <w:hideMark/>
          </w:tcPr>
          <w:p w:rsidR="001C32B6" w:rsidRPr="001C32B6" w:rsidRDefault="0071210B" w:rsidP="001C32B6">
            <w:pPr>
              <w:spacing w:after="0" w:line="240" w:lineRule="auto"/>
              <w:jc w:val="center"/>
              <w:rPr>
                <w:rFonts w:ascii="Bodoni MT" w:eastAsia="Times New Roman" w:hAnsi="Bodoni MT" w:cs="Calibri"/>
                <w:b/>
                <w:bCs/>
                <w:color w:val="FFFFFF" w:themeColor="background1"/>
                <w:sz w:val="20"/>
                <w:szCs w:val="20"/>
                <w:lang w:eastAsia="it-IT"/>
              </w:rPr>
            </w:pPr>
            <w:r>
              <w:rPr>
                <w:rFonts w:ascii="Bodoni MT" w:eastAsia="Times New Roman" w:hAnsi="Bodoni MT" w:cs="Calibri"/>
                <w:b/>
                <w:bCs/>
                <w:color w:val="FFFFFF" w:themeColor="background1"/>
                <w:sz w:val="20"/>
                <w:szCs w:val="20"/>
                <w:lang w:eastAsia="it-IT"/>
              </w:rPr>
              <w:t xml:space="preserve">1 </w:t>
            </w:r>
            <w:r w:rsidR="001C32B6" w:rsidRPr="001C32B6">
              <w:rPr>
                <w:rFonts w:ascii="Bodoni MT" w:eastAsia="Times New Roman" w:hAnsi="Bodoni MT" w:cs="Calibri"/>
                <w:b/>
                <w:bCs/>
                <w:color w:val="FFFFFF" w:themeColor="background1"/>
                <w:sz w:val="20"/>
                <w:szCs w:val="20"/>
                <w:lang w:eastAsia="it-IT"/>
              </w:rPr>
              <w:t>trimestre</w:t>
            </w:r>
          </w:p>
        </w:tc>
        <w:tc>
          <w:tcPr>
            <w:tcW w:w="631" w:type="pct"/>
            <w:tcBorders>
              <w:top w:val="nil"/>
              <w:left w:val="single" w:sz="4" w:space="0" w:color="auto"/>
              <w:bottom w:val="single" w:sz="4" w:space="0" w:color="auto"/>
              <w:right w:val="single" w:sz="4" w:space="0" w:color="auto"/>
            </w:tcBorders>
            <w:shd w:val="clear" w:color="auto" w:fill="244061" w:themeFill="accent1"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2 trimestre</w:t>
            </w:r>
          </w:p>
        </w:tc>
        <w:tc>
          <w:tcPr>
            <w:tcW w:w="631" w:type="pct"/>
            <w:tcBorders>
              <w:top w:val="nil"/>
              <w:left w:val="single" w:sz="4" w:space="0" w:color="auto"/>
              <w:bottom w:val="single" w:sz="4" w:space="0" w:color="auto"/>
              <w:right w:val="single" w:sz="4" w:space="0" w:color="auto"/>
            </w:tcBorders>
            <w:shd w:val="clear" w:color="auto" w:fill="244061" w:themeFill="accent1"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3 trimestre</w:t>
            </w:r>
          </w:p>
        </w:tc>
        <w:tc>
          <w:tcPr>
            <w:tcW w:w="631" w:type="pct"/>
            <w:tcBorders>
              <w:top w:val="nil"/>
              <w:left w:val="single" w:sz="4" w:space="0" w:color="auto"/>
              <w:bottom w:val="single" w:sz="4" w:space="0" w:color="auto"/>
              <w:right w:val="single" w:sz="4" w:space="0" w:color="auto"/>
            </w:tcBorders>
            <w:shd w:val="clear" w:color="auto" w:fill="244061" w:themeFill="accent1"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 xml:space="preserve">4 trimestre </w:t>
            </w:r>
          </w:p>
        </w:tc>
        <w:tc>
          <w:tcPr>
            <w:tcW w:w="773" w:type="pct"/>
            <w:tcBorders>
              <w:top w:val="nil"/>
              <w:left w:val="single" w:sz="4" w:space="0" w:color="auto"/>
              <w:bottom w:val="single" w:sz="4" w:space="0" w:color="auto"/>
              <w:right w:val="single" w:sz="4" w:space="0" w:color="auto"/>
            </w:tcBorders>
            <w:shd w:val="clear" w:color="auto" w:fill="244061" w:themeFill="accent1"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2016</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Sassari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82,05</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87,47</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91,43</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104,31</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120,29</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100,49</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Olbia</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26,07</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34,96</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65,72</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86,1</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50,87</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61,35</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Nuoro</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-7,94</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4,39</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-7,87</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-6,18</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-1,13</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Lanusei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1,09</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14,19</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-33,44</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33,38</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25,43</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Oristano</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6,53</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9,58</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18,45</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-14,53</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-18,66</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-0,92</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Sanluri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-17,83</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-30,06</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47</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3,09</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-31,99</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-11,57</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Carbonia</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26,71</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51,6</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66,02</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41,75</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51,09</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52,61</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Cagliari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31</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24,78</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44</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18</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35</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32</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 Brotzu</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54,26</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51,1</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49,69</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102,54</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155,55</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112,19</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Sassari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43,31</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72,24</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78,72</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99,89</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129,09</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108,43</w:t>
            </w:r>
          </w:p>
        </w:tc>
      </w:tr>
      <w:tr w:rsidR="001C32B6" w:rsidRPr="001C32B6" w:rsidTr="0071210B">
        <w:trPr>
          <w:trHeight w:val="300"/>
          <w:jc w:val="center"/>
        </w:trPr>
        <w:tc>
          <w:tcPr>
            <w:tcW w:w="930" w:type="pct"/>
            <w:tcBorders>
              <w:top w:val="nil"/>
              <w:left w:val="single" w:sz="4" w:space="0" w:color="auto"/>
              <w:bottom w:val="single" w:sz="4" w:space="0" w:color="auto"/>
              <w:right w:val="nil"/>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Cagliari</w:t>
            </w:r>
          </w:p>
        </w:tc>
        <w:tc>
          <w:tcPr>
            <w:tcW w:w="774" w:type="pct"/>
            <w:tcBorders>
              <w:top w:val="nil"/>
              <w:left w:val="single" w:sz="4" w:space="0" w:color="auto"/>
              <w:bottom w:val="single" w:sz="4" w:space="0" w:color="auto"/>
              <w:right w:val="nil"/>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50,22</w:t>
            </w:r>
          </w:p>
        </w:tc>
        <w:tc>
          <w:tcPr>
            <w:tcW w:w="631" w:type="pct"/>
            <w:tcBorders>
              <w:top w:val="nil"/>
              <w:left w:val="single" w:sz="4" w:space="0" w:color="auto"/>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55,05</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75,55</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71,26</w:t>
            </w:r>
          </w:p>
        </w:tc>
        <w:tc>
          <w:tcPr>
            <w:tcW w:w="631"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51,67</w:t>
            </w:r>
          </w:p>
        </w:tc>
        <w:tc>
          <w:tcPr>
            <w:tcW w:w="773" w:type="pct"/>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center"/>
              <w:rPr>
                <w:rFonts w:ascii="Calibri" w:eastAsia="Times New Roman" w:hAnsi="Calibri" w:cs="Calibri"/>
                <w:color w:val="000000"/>
                <w:sz w:val="18"/>
                <w:szCs w:val="18"/>
                <w:lang w:eastAsia="it-IT"/>
              </w:rPr>
            </w:pPr>
          </w:p>
        </w:tc>
      </w:tr>
    </w:tbl>
    <w:p w:rsidR="001C32B6" w:rsidRPr="001C32B6" w:rsidRDefault="001C32B6" w:rsidP="001C32B6">
      <w:pPr>
        <w:jc w:val="both"/>
        <w:rPr>
          <w:rFonts w:ascii="Bodoni MT" w:hAnsi="Bodoni MT"/>
          <w:sz w:val="18"/>
          <w:szCs w:val="18"/>
        </w:rPr>
      </w:pPr>
      <w:r w:rsidRPr="001C32B6">
        <w:rPr>
          <w:rFonts w:ascii="Bodoni MT" w:hAnsi="Bodoni MT"/>
          <w:sz w:val="18"/>
          <w:szCs w:val="18"/>
        </w:rPr>
        <w:t>Fonte: elaborazione Cdc su</w:t>
      </w:r>
      <w:r w:rsidR="00925BC8">
        <w:rPr>
          <w:rFonts w:ascii="Bodoni MT" w:hAnsi="Bodoni MT"/>
          <w:sz w:val="18"/>
          <w:szCs w:val="18"/>
        </w:rPr>
        <w:t>i dati forniti dall’Assessorato</w:t>
      </w:r>
    </w:p>
    <w:p w:rsidR="00A55241" w:rsidRDefault="00A55241" w:rsidP="00F00825">
      <w:pPr>
        <w:pStyle w:val="CdcTesto"/>
        <w:spacing w:before="240"/>
      </w:pPr>
      <w:r>
        <w:t>In sede di controdeduzioni finali, la RAS ha trasmesso una tabella aggiornata sugli indicatori di tempestività dei pagamenti da cui si rilevano i risultati dell’ASL di Lanusei (26) e della AOU di Cagliari (66), che conferma i dati già illustrati nella tabella 90.</w:t>
      </w:r>
    </w:p>
    <w:p w:rsidR="001C32B6" w:rsidRPr="001C32B6" w:rsidRDefault="001C32B6" w:rsidP="0071210B">
      <w:pPr>
        <w:pStyle w:val="CdcTesto"/>
      </w:pPr>
      <w:r w:rsidRPr="001C32B6">
        <w:t>Sulla base dei dati forniti, si può affermare che gran parte delle Aziende registrano notevoli ritardi nel rispetto delle scadenze di pagamento dei propri debiti commerciali, con un peggioramento rispetto all’esercizio precedente. Le Aziende più virtuose risultano essere la Asl di Sanluri, la Asl di Nuoro e quella di Oristano, i cui indicatori di segno negativo mostrano tempi di pagamento, in media, entro i 60 giorni dalla ricezione delle fatture.</w:t>
      </w:r>
    </w:p>
    <w:p w:rsidR="001C32B6" w:rsidRPr="001C32B6" w:rsidRDefault="001C32B6" w:rsidP="0071210B">
      <w:pPr>
        <w:pStyle w:val="CdcTesto"/>
      </w:pPr>
      <w:r w:rsidRPr="001C32B6">
        <w:t>A seguito di successiva specifica richiesta</w:t>
      </w:r>
      <w:r w:rsidRPr="001C32B6">
        <w:rPr>
          <w:vertAlign w:val="superscript"/>
        </w:rPr>
        <w:footnoteReference w:id="211"/>
      </w:r>
      <w:r w:rsidR="00A1675C">
        <w:t xml:space="preserve">, il Direttore Generale dell’Assessorato alla </w:t>
      </w:r>
      <w:r w:rsidRPr="001C32B6">
        <w:t>Sanità ha fornito ulteriori informazioni</w:t>
      </w:r>
      <w:r w:rsidRPr="001C32B6">
        <w:rPr>
          <w:vertAlign w:val="superscript"/>
        </w:rPr>
        <w:footnoteReference w:id="212"/>
      </w:r>
      <w:r w:rsidRPr="001C32B6">
        <w:t xml:space="preserve"> sulla situazione debitoria degli Enti del SSR, distinguendo i </w:t>
      </w:r>
      <w:r w:rsidRPr="001C32B6">
        <w:lastRenderedPageBreak/>
        <w:t xml:space="preserve">debiti certi, liquidi ed esigibili </w:t>
      </w:r>
      <w:r w:rsidRPr="001C32B6">
        <w:rPr>
          <w:i/>
        </w:rPr>
        <w:t xml:space="preserve">scaduti </w:t>
      </w:r>
      <w:r w:rsidRPr="001C32B6">
        <w:t xml:space="preserve">al 31/12/2016 da quelli </w:t>
      </w:r>
      <w:r w:rsidRPr="001C32B6">
        <w:rPr>
          <w:i/>
        </w:rPr>
        <w:t>maturati</w:t>
      </w:r>
      <w:r w:rsidRPr="001C32B6">
        <w:t xml:space="preserve"> alla stessa data. Gli stessi si espongono nella tabella che segue, unitamente ai corrispondenti dati dell’esercizio 2015 desunti dalla Relazione di verifica del Rendiconto 2015. In tale sede l’Assessorato alla Sanità aveva specificato che i debiti c.l.e. scaduti sono costituiti dai debiti per i quali risultano decorsi anche i termi</w:t>
      </w:r>
      <w:r w:rsidR="0071210B">
        <w:t>ni di pagamento previsti dal D.</w:t>
      </w:r>
      <w:r w:rsidRPr="001C32B6">
        <w:t xml:space="preserve">Lgs n. 192 del 2012 (60 giorni dalla ricezione della fattura). </w:t>
      </w:r>
    </w:p>
    <w:p w:rsidR="001C32B6" w:rsidRPr="001C32B6" w:rsidRDefault="0071210B" w:rsidP="0071210B">
      <w:pPr>
        <w:pStyle w:val="Didascalia"/>
        <w:keepNext/>
        <w:rPr>
          <w:sz w:val="24"/>
          <w:szCs w:val="24"/>
        </w:rPr>
      </w:pPr>
      <w:bookmarkStart w:id="336" w:name="_Toc507422559"/>
      <w:r>
        <w:t xml:space="preserve">Tabella </w:t>
      </w:r>
      <w:r w:rsidR="00B90472">
        <w:fldChar w:fldCharType="begin"/>
      </w:r>
      <w:r w:rsidR="00B90472">
        <w:instrText xml:space="preserve"> SEQ Tabella \* ARABIC </w:instrText>
      </w:r>
      <w:r w:rsidR="00B90472">
        <w:fldChar w:fldCharType="separate"/>
      </w:r>
      <w:r w:rsidR="008616B3">
        <w:rPr>
          <w:noProof/>
        </w:rPr>
        <w:t>91</w:t>
      </w:r>
      <w:r w:rsidR="00B90472">
        <w:rPr>
          <w:noProof/>
        </w:rPr>
        <w:fldChar w:fldCharType="end"/>
      </w:r>
      <w:r>
        <w:t xml:space="preserve"> - </w:t>
      </w:r>
      <w:r w:rsidR="001C32B6" w:rsidRPr="001C32B6">
        <w:rPr>
          <w:sz w:val="24"/>
          <w:szCs w:val="24"/>
        </w:rPr>
        <w:t>Debiti certi, liquidi ed esigibili 2015 - 2016</w:t>
      </w:r>
      <w:bookmarkEnd w:id="336"/>
    </w:p>
    <w:tbl>
      <w:tblPr>
        <w:tblW w:w="10485" w:type="dxa"/>
        <w:jc w:val="center"/>
        <w:tblCellMar>
          <w:left w:w="70" w:type="dxa"/>
          <w:right w:w="70" w:type="dxa"/>
        </w:tblCellMar>
        <w:tblLook w:val="04A0" w:firstRow="1" w:lastRow="0" w:firstColumn="1" w:lastColumn="0" w:noHBand="0" w:noVBand="1"/>
      </w:tblPr>
      <w:tblGrid>
        <w:gridCol w:w="1696"/>
        <w:gridCol w:w="1843"/>
        <w:gridCol w:w="2268"/>
        <w:gridCol w:w="2268"/>
        <w:gridCol w:w="2410"/>
      </w:tblGrid>
      <w:tr w:rsidR="0071210B" w:rsidRPr="001C32B6" w:rsidTr="0071210B">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AZIENDE</w:t>
            </w:r>
          </w:p>
        </w:tc>
        <w:tc>
          <w:tcPr>
            <w:tcW w:w="1843" w:type="dxa"/>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Debiti certi, liquidi, esigibili, maturati al 31/12/2015</w:t>
            </w:r>
          </w:p>
        </w:tc>
        <w:tc>
          <w:tcPr>
            <w:tcW w:w="2268" w:type="dxa"/>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Debiti certi, liquidi, esigibili, scaduti al 31/12/2015</w:t>
            </w:r>
          </w:p>
        </w:tc>
        <w:tc>
          <w:tcPr>
            <w:tcW w:w="2268" w:type="dxa"/>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Debiti certi, liquidi, esigibili, maturati al 31/12/2016</w:t>
            </w:r>
          </w:p>
        </w:tc>
        <w:tc>
          <w:tcPr>
            <w:tcW w:w="2410" w:type="dxa"/>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1C32B6" w:rsidRPr="001C32B6" w:rsidRDefault="001C32B6" w:rsidP="001C32B6">
            <w:pPr>
              <w:spacing w:after="0" w:line="240" w:lineRule="auto"/>
              <w:jc w:val="center"/>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Debiti certi, liquidi, esigibili, scaduti al 31/12/2016</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Sassari</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42.485.364,67</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23.455.676,04</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62.226.275,59</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60.821.524,08</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Olbia</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12.432.053,32</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3.462.098,20</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3.967.582,19</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3.796.124,28</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Nuoro</w:t>
            </w:r>
          </w:p>
        </w:tc>
        <w:tc>
          <w:tcPr>
            <w:tcW w:w="1843"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21.522.793,34</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5.996.123,01</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Lanusei</w:t>
            </w:r>
          </w:p>
        </w:tc>
        <w:tc>
          <w:tcPr>
            <w:tcW w:w="1843"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410"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Oristano</w:t>
            </w:r>
          </w:p>
        </w:tc>
        <w:tc>
          <w:tcPr>
            <w:tcW w:w="1843"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410"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Sanluri</w:t>
            </w:r>
          </w:p>
        </w:tc>
        <w:tc>
          <w:tcPr>
            <w:tcW w:w="1843"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410"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Carbonia</w:t>
            </w:r>
          </w:p>
        </w:tc>
        <w:tc>
          <w:tcPr>
            <w:tcW w:w="1843"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5.033.823,75</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4.504.344,20</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Cagliari</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44.657.176,18</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11.061.239,87</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77.024.533,87</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16.324.294,66</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Totale ATS</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 </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 </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169.775.008,74</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91.442.410,23</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 Brotzu</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20.178.956,54</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6.849.875,18</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75.876.827,57</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50.895.782,19</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Sassari</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1.360.587,89</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169.148,85</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998.866,21</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926.169,16</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color w:val="FFFFFF" w:themeColor="background1"/>
                <w:sz w:val="20"/>
                <w:szCs w:val="20"/>
                <w:lang w:eastAsia="it-IT"/>
              </w:rPr>
            </w:pPr>
            <w:r w:rsidRPr="001C32B6">
              <w:rPr>
                <w:rFonts w:ascii="Bodoni MT" w:eastAsia="Times New Roman" w:hAnsi="Bodoni MT" w:cs="Calibri"/>
                <w:color w:val="FFFFFF" w:themeColor="background1"/>
                <w:sz w:val="20"/>
                <w:szCs w:val="20"/>
                <w:lang w:eastAsia="it-IT"/>
              </w:rPr>
              <w:t>AOU Cagliari</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10.986.000,00</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2.790.000,00</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16.625.000,00</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color w:val="000000"/>
                <w:sz w:val="18"/>
                <w:szCs w:val="18"/>
                <w:lang w:eastAsia="it-IT"/>
              </w:rPr>
            </w:pPr>
            <w:r w:rsidRPr="001C32B6">
              <w:rPr>
                <w:rFonts w:ascii="Calibri" w:eastAsia="Times New Roman" w:hAnsi="Calibri" w:cs="Calibri"/>
                <w:color w:val="000000"/>
                <w:sz w:val="18"/>
                <w:szCs w:val="18"/>
                <w:lang w:eastAsia="it-IT"/>
              </w:rPr>
              <w:t>15.302.000,00</w:t>
            </w:r>
          </w:p>
        </w:tc>
      </w:tr>
      <w:tr w:rsidR="001C32B6" w:rsidRPr="001C32B6" w:rsidTr="0071210B">
        <w:trPr>
          <w:trHeight w:val="300"/>
          <w:jc w:val="center"/>
        </w:trPr>
        <w:tc>
          <w:tcPr>
            <w:tcW w:w="1696"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1C32B6" w:rsidRPr="001C32B6" w:rsidRDefault="001C32B6" w:rsidP="001C32B6">
            <w:pPr>
              <w:spacing w:after="0" w:line="240" w:lineRule="auto"/>
              <w:rPr>
                <w:rFonts w:ascii="Bodoni MT" w:eastAsia="Times New Roman" w:hAnsi="Bodoni MT" w:cs="Calibri"/>
                <w:b/>
                <w:bCs/>
                <w:color w:val="FFFFFF" w:themeColor="background1"/>
                <w:sz w:val="20"/>
                <w:szCs w:val="20"/>
                <w:lang w:eastAsia="it-IT"/>
              </w:rPr>
            </w:pPr>
            <w:r w:rsidRPr="001C32B6">
              <w:rPr>
                <w:rFonts w:ascii="Bodoni MT" w:eastAsia="Times New Roman" w:hAnsi="Bodoni MT" w:cs="Calibri"/>
                <w:b/>
                <w:bCs/>
                <w:color w:val="FFFFFF" w:themeColor="background1"/>
                <w:sz w:val="20"/>
                <w:szCs w:val="20"/>
                <w:lang w:eastAsia="it-IT"/>
              </w:rPr>
              <w:t>Totale SSR</w:t>
            </w:r>
          </w:p>
        </w:tc>
        <w:tc>
          <w:tcPr>
            <w:tcW w:w="1843"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132.100.138,60</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47.788.038,14</w:t>
            </w:r>
          </w:p>
        </w:tc>
        <w:tc>
          <w:tcPr>
            <w:tcW w:w="2268"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263.275.702,52</w:t>
            </w:r>
          </w:p>
        </w:tc>
        <w:tc>
          <w:tcPr>
            <w:tcW w:w="2410" w:type="dxa"/>
            <w:tcBorders>
              <w:top w:val="nil"/>
              <w:left w:val="nil"/>
              <w:bottom w:val="single" w:sz="4" w:space="0" w:color="auto"/>
              <w:right w:val="single" w:sz="4" w:space="0" w:color="auto"/>
            </w:tcBorders>
            <w:shd w:val="clear" w:color="auto" w:fill="auto"/>
            <w:noWrap/>
            <w:vAlign w:val="center"/>
            <w:hideMark/>
          </w:tcPr>
          <w:p w:rsidR="001C32B6" w:rsidRPr="001C32B6" w:rsidRDefault="001C32B6" w:rsidP="0071210B">
            <w:pPr>
              <w:spacing w:after="0" w:line="240" w:lineRule="auto"/>
              <w:jc w:val="right"/>
              <w:rPr>
                <w:rFonts w:ascii="Calibri" w:eastAsia="Times New Roman" w:hAnsi="Calibri" w:cs="Calibri"/>
                <w:b/>
                <w:bCs/>
                <w:color w:val="000000"/>
                <w:sz w:val="18"/>
                <w:szCs w:val="18"/>
                <w:lang w:eastAsia="it-IT"/>
              </w:rPr>
            </w:pPr>
            <w:r w:rsidRPr="001C32B6">
              <w:rPr>
                <w:rFonts w:ascii="Calibri" w:eastAsia="Times New Roman" w:hAnsi="Calibri" w:cs="Calibri"/>
                <w:b/>
                <w:bCs/>
                <w:color w:val="000000"/>
                <w:sz w:val="18"/>
                <w:szCs w:val="18"/>
                <w:lang w:eastAsia="it-IT"/>
              </w:rPr>
              <w:t>158.566.361,58</w:t>
            </w:r>
          </w:p>
        </w:tc>
      </w:tr>
    </w:tbl>
    <w:p w:rsidR="001C32B6" w:rsidRPr="001C32B6" w:rsidRDefault="001C32B6" w:rsidP="0071210B">
      <w:pPr>
        <w:ind w:hanging="426"/>
        <w:jc w:val="both"/>
        <w:rPr>
          <w:rFonts w:ascii="Bodoni MT" w:hAnsi="Bodoni MT"/>
          <w:sz w:val="18"/>
          <w:szCs w:val="18"/>
        </w:rPr>
      </w:pPr>
      <w:r w:rsidRPr="001C32B6">
        <w:rPr>
          <w:rFonts w:ascii="Bodoni MT" w:hAnsi="Bodoni MT"/>
          <w:sz w:val="18"/>
          <w:szCs w:val="18"/>
        </w:rPr>
        <w:t>Fonte: elaborazione Cdc sui dati forni</w:t>
      </w:r>
      <w:r w:rsidR="0071210B">
        <w:rPr>
          <w:rFonts w:ascii="Bodoni MT" w:hAnsi="Bodoni MT"/>
          <w:sz w:val="18"/>
          <w:szCs w:val="18"/>
        </w:rPr>
        <w:t>ti dall’Assessorato alla Sanità</w:t>
      </w:r>
    </w:p>
    <w:p w:rsidR="001C32B6" w:rsidRPr="001C32B6" w:rsidRDefault="001C32B6" w:rsidP="001C32B6">
      <w:pPr>
        <w:pStyle w:val="CdcTesto"/>
      </w:pPr>
      <w:r w:rsidRPr="001C32B6">
        <w:rPr>
          <w:rFonts w:eastAsiaTheme="minorHAnsi" w:cstheme="minorBidi"/>
          <w:color w:val="auto"/>
        </w:rPr>
        <w:t xml:space="preserve">In riferimento all’esercizio all’esame si riscontra una divergenza fra i dati suesposti e quelli precedentemente acquisiti (v. </w:t>
      </w:r>
      <w:r w:rsidRPr="00D34F13">
        <w:rPr>
          <w:rFonts w:eastAsiaTheme="minorHAnsi" w:cstheme="minorBidi"/>
          <w:color w:val="auto"/>
        </w:rPr>
        <w:t>tabella n</w:t>
      </w:r>
      <w:r w:rsidR="00891BAD">
        <w:rPr>
          <w:rFonts w:eastAsiaTheme="minorHAnsi" w:cstheme="minorBidi"/>
          <w:color w:val="auto"/>
        </w:rPr>
        <w:t>. 89</w:t>
      </w:r>
      <w:r w:rsidR="00D34F13">
        <w:rPr>
          <w:rFonts w:eastAsiaTheme="minorHAnsi" w:cstheme="minorBidi"/>
          <w:color w:val="auto"/>
        </w:rPr>
        <w:t>)</w:t>
      </w:r>
      <w:r w:rsidRPr="001C32B6">
        <w:rPr>
          <w:rFonts w:eastAsiaTheme="minorHAnsi" w:cstheme="minorBidi"/>
          <w:color w:val="auto"/>
        </w:rPr>
        <w:t xml:space="preserve"> in merito a tale dis</w:t>
      </w:r>
      <w:r w:rsidR="00A55241">
        <w:rPr>
          <w:rFonts w:eastAsiaTheme="minorHAnsi" w:cstheme="minorBidi"/>
          <w:color w:val="auto"/>
        </w:rPr>
        <w:t>crasia, in sede di controdeduzioni finali, la RAS ha rappresentato che “</w:t>
      </w:r>
      <w:r w:rsidR="00A55241" w:rsidRPr="00A55241">
        <w:rPr>
          <w:rFonts w:eastAsiaTheme="minorHAnsi" w:cstheme="minorBidi"/>
          <w:i/>
          <w:color w:val="auto"/>
        </w:rPr>
        <w:t>il dato varia in relazione al momento in cui è stata riferita la rilevazione ed alla tipologia di verifica effettuata. Alcune aziende hanno infatti proceduto a rilevare i dati al momento della richiesta, altre al 31/12/2016</w:t>
      </w:r>
      <w:r w:rsidR="00A55241">
        <w:rPr>
          <w:rFonts w:eastAsiaTheme="minorHAnsi" w:cstheme="minorBidi"/>
          <w:color w:val="auto"/>
        </w:rPr>
        <w:t>”.</w:t>
      </w:r>
    </w:p>
    <w:p w:rsidR="00B568E4" w:rsidRPr="00B568E4" w:rsidRDefault="00B568E4" w:rsidP="00B568E4"/>
    <w:p w:rsidR="00B568E4" w:rsidRDefault="00B568E4" w:rsidP="00C959D5">
      <w:pPr>
        <w:pStyle w:val="CdcTesto"/>
        <w:sectPr w:rsidR="00B568E4" w:rsidSect="001C32B6">
          <w:pgSz w:w="11906" w:h="16838"/>
          <w:pgMar w:top="1417" w:right="1134" w:bottom="1134" w:left="1134" w:header="708" w:footer="708" w:gutter="0"/>
          <w:cols w:space="708"/>
          <w:docGrid w:linePitch="360"/>
        </w:sectPr>
      </w:pPr>
    </w:p>
    <w:p w:rsidR="00CD34A0" w:rsidRDefault="00CD34A0" w:rsidP="00CD34A0">
      <w:pPr>
        <w:pStyle w:val="Titolo1"/>
        <w:rPr>
          <w:rFonts w:eastAsia="Times New Roman"/>
        </w:rPr>
      </w:pPr>
      <w:bookmarkStart w:id="337" w:name="_Toc507422683"/>
      <w:r w:rsidRPr="00CD34A0">
        <w:rPr>
          <w:rFonts w:eastAsia="Times New Roman"/>
        </w:rPr>
        <w:lastRenderedPageBreak/>
        <w:t xml:space="preserve">IL CONTO ECONOMICO </w:t>
      </w:r>
      <w:r w:rsidR="00F27D5F">
        <w:rPr>
          <w:rFonts w:eastAsia="Times New Roman"/>
        </w:rPr>
        <w:t>E LO STATO PATRIMONIALE</w:t>
      </w:r>
      <w:bookmarkEnd w:id="337"/>
    </w:p>
    <w:p w:rsidR="002B5DE9" w:rsidRPr="002B5DE9" w:rsidRDefault="002B5DE9" w:rsidP="002B5DE9">
      <w:pPr>
        <w:pStyle w:val="CdcTesto"/>
        <w:rPr>
          <w:i/>
          <w:sz w:val="18"/>
          <w:szCs w:val="18"/>
        </w:rPr>
      </w:pPr>
      <w:r>
        <w:rPr>
          <w:i/>
          <w:sz w:val="18"/>
          <w:szCs w:val="18"/>
        </w:rPr>
        <w:t xml:space="preserve">Sommario: 19.1 Premessa – 19.2 I conto economico – 19.2.1 Risultato di esercizio 19.2.2 Componenti positivi della gestione - 19.2.3 Componenti negativi della gestione – 19.2.4 Proventi e oneri finanziari  - 19.2.5 Rettifiche di valore di attività finanziarie – 19.2.6 Proventi ed oneri straordinari – 19.3 Lo Stato Patrimoniale – 19.3.1 Premessa – 19.3.2 La riclassificazione dello Stato Patrimoniale al 31/12/2015 e il prospetto di raccordo all’01/01/2016 (consistenza iniziale) </w:t>
      </w:r>
      <w:r w:rsidR="0075368E">
        <w:rPr>
          <w:i/>
          <w:sz w:val="18"/>
          <w:szCs w:val="18"/>
        </w:rPr>
        <w:t>–</w:t>
      </w:r>
      <w:r>
        <w:rPr>
          <w:i/>
          <w:sz w:val="18"/>
          <w:szCs w:val="18"/>
        </w:rPr>
        <w:t xml:space="preserve"> </w:t>
      </w:r>
      <w:r w:rsidR="0075368E">
        <w:rPr>
          <w:i/>
          <w:sz w:val="18"/>
          <w:szCs w:val="18"/>
        </w:rPr>
        <w:t xml:space="preserve">19.3.2 Lo Stato patrimoniale finale al 31/12/2016 (consistenza finale) – 19.3.4 Gli elementi patrimoniale dell’attivo – </w:t>
      </w:r>
      <w:r w:rsidR="00D2340F">
        <w:rPr>
          <w:i/>
          <w:sz w:val="18"/>
          <w:szCs w:val="18"/>
        </w:rPr>
        <w:t xml:space="preserve">19.3.4.1 Le immobilizzazioni finanziarie in generale – 19.3.4.2 Le immobilizzazioni finanziarie – 19.3.4.3 La rappresentazione delle immobilizzazioni finanziarie - </w:t>
      </w:r>
      <w:r w:rsidR="0075368E">
        <w:rPr>
          <w:i/>
          <w:sz w:val="18"/>
          <w:szCs w:val="18"/>
        </w:rPr>
        <w:t>19.3.5 gli elementi patrimoniali del passivo – 19.3.6 I Conti d’ordine – 19.3.7 Il Fondo svalutazione crediti</w:t>
      </w:r>
    </w:p>
    <w:p w:rsidR="00CD34A0" w:rsidRPr="00CD34A0" w:rsidRDefault="00F27D5F" w:rsidP="00CD34A0">
      <w:pPr>
        <w:pStyle w:val="Titolo2"/>
        <w:rPr>
          <w:rFonts w:eastAsia="Times New Roman"/>
        </w:rPr>
      </w:pPr>
      <w:bookmarkStart w:id="338" w:name="_Toc507422684"/>
      <w:r w:rsidRPr="00CD34A0">
        <w:rPr>
          <w:rFonts w:eastAsia="Times New Roman"/>
        </w:rPr>
        <w:t>Premessa</w:t>
      </w:r>
      <w:bookmarkEnd w:id="338"/>
      <w:r w:rsidRPr="00CD34A0">
        <w:rPr>
          <w:rFonts w:eastAsia="Times New Roman"/>
        </w:rPr>
        <w:t xml:space="preserve">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Ai sensi dell’art. 63 del </w:t>
      </w:r>
      <w:r w:rsidR="00792B2D">
        <w:rPr>
          <w:rFonts w:ascii="Bodoni MT" w:eastAsia="Times New Roman" w:hAnsi="Bodoni MT" w:cs="Bodoni MT"/>
          <w:color w:val="000000"/>
          <w:sz w:val="24"/>
          <w:szCs w:val="24"/>
        </w:rPr>
        <w:t>D.Lgs.</w:t>
      </w:r>
      <w:r w:rsidRPr="00CD34A0">
        <w:rPr>
          <w:rFonts w:ascii="Bodoni MT" w:eastAsia="Times New Roman" w:hAnsi="Bodoni MT" w:cs="Bodoni MT"/>
          <w:color w:val="000000"/>
          <w:sz w:val="24"/>
          <w:szCs w:val="24"/>
        </w:rPr>
        <w:t xml:space="preserve"> n. 118</w:t>
      </w:r>
      <w:r w:rsidR="00792B2D">
        <w:rPr>
          <w:rFonts w:ascii="Bodoni MT" w:eastAsia="Times New Roman" w:hAnsi="Bodoni MT" w:cs="Bodoni MT"/>
          <w:color w:val="000000"/>
          <w:sz w:val="24"/>
          <w:szCs w:val="24"/>
        </w:rPr>
        <w:t>/</w:t>
      </w:r>
      <w:r w:rsidRPr="00CD34A0">
        <w:rPr>
          <w:rFonts w:ascii="Bodoni MT" w:eastAsia="Times New Roman" w:hAnsi="Bodoni MT" w:cs="Bodoni MT"/>
          <w:color w:val="000000"/>
          <w:sz w:val="24"/>
          <w:szCs w:val="24"/>
        </w:rPr>
        <w:t xml:space="preserve">2011 il rendiconto generale annuale della regione assolve alla dimostrazione dei risultati della gestione e a tal fine è composto dal </w:t>
      </w:r>
      <w:r w:rsidRPr="00CD34A0">
        <w:rPr>
          <w:rFonts w:ascii="Bodoni MT" w:eastAsia="Times New Roman" w:hAnsi="Bodoni MT" w:cs="Bodoni MT"/>
          <w:b/>
          <w:color w:val="000000"/>
          <w:sz w:val="24"/>
          <w:szCs w:val="24"/>
        </w:rPr>
        <w:t>conto del bilancio relativo alla gestione finanziaria</w:t>
      </w:r>
      <w:r w:rsidRPr="00CD34A0">
        <w:rPr>
          <w:rFonts w:ascii="Bodoni MT" w:eastAsia="Times New Roman" w:hAnsi="Bodoni MT" w:cs="Bodoni MT"/>
          <w:color w:val="000000"/>
          <w:sz w:val="24"/>
          <w:szCs w:val="24"/>
        </w:rPr>
        <w:t xml:space="preserve"> (con relativi riepiloghi e prospetti da rappresentarsi nei quadri generali riassuntivi dei risultati conseguiti dalla gestione rispetto alle autorizzazioni del bilancio di previsione), dal </w:t>
      </w:r>
      <w:r w:rsidRPr="00CD34A0">
        <w:rPr>
          <w:rFonts w:ascii="Bodoni MT" w:eastAsia="Times New Roman" w:hAnsi="Bodoni MT" w:cs="Bodoni MT"/>
          <w:b/>
          <w:color w:val="000000"/>
          <w:sz w:val="24"/>
          <w:szCs w:val="24"/>
        </w:rPr>
        <w:t>conto economico</w:t>
      </w:r>
      <w:r w:rsidRPr="00CD34A0">
        <w:rPr>
          <w:rFonts w:ascii="Bodoni MT" w:eastAsia="Times New Roman" w:hAnsi="Bodoni MT" w:cs="Bodoni MT"/>
          <w:color w:val="000000"/>
          <w:sz w:val="24"/>
          <w:szCs w:val="24"/>
        </w:rPr>
        <w:t xml:space="preserve"> e dallo </w:t>
      </w:r>
      <w:r w:rsidRPr="00CD34A0">
        <w:rPr>
          <w:rFonts w:ascii="Bodoni MT" w:eastAsia="Times New Roman" w:hAnsi="Bodoni MT" w:cs="Bodoni MT"/>
          <w:b/>
          <w:color w:val="000000"/>
          <w:sz w:val="24"/>
          <w:szCs w:val="24"/>
        </w:rPr>
        <w:t>stato patrimoniale</w:t>
      </w:r>
      <w:r w:rsidRPr="00CD34A0">
        <w:rPr>
          <w:rFonts w:ascii="Bodoni MT" w:eastAsia="Times New Roman" w:hAnsi="Bodoni MT" w:cs="Bodoni MT"/>
          <w:color w:val="000000"/>
          <w:sz w:val="24"/>
          <w:szCs w:val="24"/>
        </w:rPr>
        <w:t>.</w:t>
      </w:r>
      <w:r>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In particolare il conto economico evidenzia i componenti economici positivi e negativi della gestione di competenza economica dell’esercizio considerato, rilevati dalla contabilità economico patrimoniale, mentre lo stato patrimoniale rappresenta la consistenza del patrimonio al termine dell'esercizio.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Pertanto si richiede </w:t>
      </w:r>
      <w:r w:rsidRPr="00CD34A0">
        <w:rPr>
          <w:rFonts w:ascii="Bodoni MT" w:eastAsia="Times New Roman" w:hAnsi="Bodoni MT" w:cs="Bodoni MT"/>
          <w:b/>
          <w:color w:val="000000"/>
          <w:sz w:val="24"/>
          <w:szCs w:val="24"/>
        </w:rPr>
        <w:t>l’adozione di un sistema contabile integrato</w:t>
      </w:r>
      <w:r w:rsidRPr="00CD34A0">
        <w:rPr>
          <w:rFonts w:ascii="Bodoni MT" w:eastAsia="Times New Roman" w:hAnsi="Bodoni MT" w:cs="Bodoni MT"/>
          <w:color w:val="000000"/>
          <w:sz w:val="24"/>
          <w:szCs w:val="24"/>
        </w:rPr>
        <w:t xml:space="preserve"> che garantisca la rilevazione unitaria dei fatti gestionali nei loro profili finanziario ed economico-patrimoniale: tutti i movimenti gestionali determinati dalla contabilità finanziaria devono avere un riscontro nella contabilità economica attraverso l’impianto del </w:t>
      </w:r>
      <w:r w:rsidRPr="00CD34A0">
        <w:rPr>
          <w:rFonts w:ascii="Bodoni MT" w:eastAsia="Times New Roman" w:hAnsi="Bodoni MT" w:cs="Bodoni MT"/>
          <w:b/>
          <w:color w:val="000000"/>
          <w:sz w:val="24"/>
          <w:szCs w:val="24"/>
        </w:rPr>
        <w:t xml:space="preserve">piano dei conti integrato e </w:t>
      </w:r>
      <w:r w:rsidRPr="00CD34A0">
        <w:rPr>
          <w:rFonts w:ascii="Bodoni MT" w:eastAsia="Times New Roman" w:hAnsi="Bodoni MT" w:cs="Bodoni MT"/>
          <w:color w:val="000000"/>
          <w:sz w:val="24"/>
          <w:szCs w:val="24"/>
        </w:rPr>
        <w:t>della</w:t>
      </w:r>
      <w:r w:rsidRPr="00CD34A0">
        <w:rPr>
          <w:rFonts w:ascii="Bodoni MT" w:eastAsia="Times New Roman" w:hAnsi="Bodoni MT" w:cs="Bodoni MT"/>
          <w:b/>
          <w:color w:val="000000"/>
          <w:sz w:val="24"/>
          <w:szCs w:val="24"/>
        </w:rPr>
        <w:t xml:space="preserve"> matrice di correlazione</w:t>
      </w:r>
      <w:r>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 xml:space="preserve">(principio contabile applicato di cui all’allegato n. 4/3 al richiamato decreto legislativo). Il sistema risulta espressamente rivolto ad assicurare agevoli modalità di riscontro del grado di realizzazione delle previsioni di bilancio attraverso il collegamento (o la tracciabilità) tra il quadro dei contenuti della programmazione, quello delle risorse finanziarie umane e strumentali a disposizione e quello delle correlate responsabilità di indirizzo gestione e controllo.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Al primo rendiconto di affiancamento della contabilità economico-patrimoniale alla contabilità finanziaria è allegato lo stato patrimoniale iniziale (art.</w:t>
      </w:r>
      <w:r>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 comma 13 D.Lgs. n.</w:t>
      </w:r>
      <w:r>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118/2011).</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L’impianto dei nuovi schemi della contabilità economica ha determinato nella Regione Sardegna un forte impatto nelle procedure organizzative in atto, in quanto è emersa la necessità </w:t>
      </w:r>
      <w:r w:rsidRPr="00CD34A0">
        <w:rPr>
          <w:rFonts w:ascii="Bodoni MT" w:eastAsia="Times New Roman" w:hAnsi="Bodoni MT" w:cs="Bodoni MT"/>
          <w:color w:val="000000"/>
          <w:sz w:val="24"/>
          <w:szCs w:val="24"/>
        </w:rPr>
        <w:lastRenderedPageBreak/>
        <w:t>di p</w:t>
      </w:r>
      <w:r>
        <w:rPr>
          <w:rFonts w:ascii="Bodoni MT" w:eastAsia="Times New Roman" w:hAnsi="Bodoni MT" w:cs="Bodoni MT"/>
          <w:color w:val="000000"/>
          <w:sz w:val="24"/>
          <w:szCs w:val="24"/>
        </w:rPr>
        <w:t xml:space="preserve">rodurre nuove informazioni per </w:t>
      </w:r>
      <w:r w:rsidRPr="00CD34A0">
        <w:rPr>
          <w:rFonts w:ascii="Bodoni MT" w:eastAsia="Times New Roman" w:hAnsi="Bodoni MT" w:cs="Bodoni MT"/>
          <w:color w:val="000000"/>
          <w:sz w:val="24"/>
          <w:szCs w:val="24"/>
        </w:rPr>
        <w:t xml:space="preserve">la rappresentazione degli aspetti economici e patrimoniali </w:t>
      </w:r>
      <w:r>
        <w:rPr>
          <w:rFonts w:ascii="Bodoni MT" w:eastAsia="Times New Roman" w:hAnsi="Bodoni MT" w:cs="Bodoni MT"/>
          <w:color w:val="000000"/>
          <w:sz w:val="24"/>
          <w:szCs w:val="24"/>
        </w:rPr>
        <w:t>in</w:t>
      </w:r>
      <w:r w:rsidRPr="00CD34A0">
        <w:rPr>
          <w:rFonts w:ascii="Bodoni MT" w:eastAsia="Times New Roman" w:hAnsi="Bodoni MT" w:cs="Bodoni MT"/>
          <w:color w:val="000000"/>
          <w:sz w:val="24"/>
          <w:szCs w:val="24"/>
        </w:rPr>
        <w:t xml:space="preserve"> raccordo (attrave</w:t>
      </w:r>
      <w:r>
        <w:rPr>
          <w:rFonts w:ascii="Bodoni MT" w:eastAsia="Times New Roman" w:hAnsi="Bodoni MT" w:cs="Bodoni MT"/>
          <w:color w:val="000000"/>
          <w:sz w:val="24"/>
          <w:szCs w:val="24"/>
        </w:rPr>
        <w:t>rso la matrice di correlazione)</w:t>
      </w:r>
      <w:r w:rsidRPr="00CD34A0">
        <w:rPr>
          <w:rFonts w:ascii="Bodoni MT" w:eastAsia="Times New Roman" w:hAnsi="Bodoni MT" w:cs="Bodoni MT"/>
          <w:color w:val="000000"/>
          <w:sz w:val="24"/>
          <w:szCs w:val="24"/>
        </w:rPr>
        <w:t xml:space="preserve"> con quelle di rendicontazione di entrata e spesa, esigenze per le quali sono state attivate specifiche procedure ricognitive</w:t>
      </w:r>
      <w:r w:rsidRPr="00CD34A0">
        <w:rPr>
          <w:rFonts w:ascii="Bodoni MT" w:eastAsia="Times New Roman" w:hAnsi="Bodoni MT" w:cs="Bodoni MT"/>
          <w:color w:val="000000"/>
          <w:sz w:val="24"/>
          <w:szCs w:val="24"/>
          <w:vertAlign w:val="superscript"/>
        </w:rPr>
        <w:footnoteReference w:id="213"/>
      </w:r>
      <w:r w:rsidRPr="00CD34A0">
        <w:rPr>
          <w:rFonts w:ascii="Bodoni MT" w:eastAsia="Times New Roman" w:hAnsi="Bodoni MT" w:cs="Bodoni MT"/>
          <w:color w:val="000000"/>
          <w:sz w:val="24"/>
          <w:szCs w:val="24"/>
        </w:rPr>
        <w:t xml:space="preserve"> non ancora del tutto strutturate. Il passaggio dal precedente quadro ordinamentale a quello </w:t>
      </w:r>
      <w:r w:rsidRPr="00CD34A0">
        <w:rPr>
          <w:rFonts w:ascii="Bodoni MT" w:eastAsia="Times New Roman" w:hAnsi="Bodoni MT" w:cs="Bodoni MT"/>
          <w:i/>
          <w:color w:val="000000"/>
          <w:sz w:val="24"/>
          <w:szCs w:val="24"/>
        </w:rPr>
        <w:t xml:space="preserve">armonizzato </w:t>
      </w:r>
      <w:r w:rsidRPr="00CD34A0">
        <w:rPr>
          <w:rFonts w:ascii="Bodoni MT" w:eastAsia="Times New Roman" w:hAnsi="Bodoni MT" w:cs="Bodoni MT"/>
          <w:color w:val="000000"/>
          <w:sz w:val="24"/>
          <w:szCs w:val="24"/>
        </w:rPr>
        <w:t>ha richiesto in Regione Sardegna una impegnativa attività di ricognizione, riclassificazione e valorizzazione della propria consistenza patrimoniale che non ha potuto concludersi co</w:t>
      </w:r>
      <w:r w:rsidR="00194841">
        <w:rPr>
          <w:rFonts w:ascii="Bodoni MT" w:eastAsia="Times New Roman" w:hAnsi="Bodoni MT" w:cs="Bodoni MT"/>
          <w:color w:val="000000"/>
          <w:sz w:val="24"/>
          <w:szCs w:val="24"/>
        </w:rPr>
        <w:t xml:space="preserve">mpletamente nell’arco del 2016 </w:t>
      </w:r>
      <w:r w:rsidRPr="00CD34A0">
        <w:rPr>
          <w:rFonts w:ascii="Bodoni MT" w:eastAsia="Times New Roman" w:hAnsi="Bodoni MT" w:cs="Bodoni MT"/>
          <w:color w:val="000000"/>
          <w:sz w:val="24"/>
          <w:szCs w:val="24"/>
        </w:rPr>
        <w:t>e che risulta ancora in atto.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Nella nota integrativa (All. 3 al rendiconto regionale 2016), premesso che lo stato patrimoniale e il conto economico così determinati costituiscono la base per la predisposizione del bilancio consolidato della Regione al 31.12.2016, la Regione Sardegna evidenzia come l’adozione della contabilità economica </w:t>
      </w:r>
      <w:r w:rsidRPr="00CD34A0">
        <w:rPr>
          <w:rFonts w:ascii="Bodoni MT" w:eastAsia="Times New Roman" w:hAnsi="Bodoni MT" w:cs="Bodoni MT"/>
          <w:b/>
          <w:color w:val="000000"/>
          <w:sz w:val="24"/>
          <w:szCs w:val="24"/>
        </w:rPr>
        <w:t>a)</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i/>
          <w:color w:val="000000"/>
          <w:sz w:val="24"/>
          <w:szCs w:val="24"/>
        </w:rPr>
        <w:t>ha determinato un sensibile impatto nelle procedure organizzative in essere nella Regione</w:t>
      </w:r>
      <w:r w:rsidRPr="00CD34A0">
        <w:rPr>
          <w:rFonts w:ascii="Bodoni MT" w:eastAsia="Times New Roman" w:hAnsi="Bodoni MT" w:cs="Bodoni MT"/>
          <w:color w:val="000000"/>
          <w:sz w:val="24"/>
          <w:szCs w:val="24"/>
        </w:rPr>
        <w:t xml:space="preserve"> , </w:t>
      </w:r>
      <w:r w:rsidRPr="00CD34A0">
        <w:rPr>
          <w:rFonts w:ascii="Bodoni MT" w:eastAsia="Times New Roman" w:hAnsi="Bodoni MT" w:cs="Bodoni MT"/>
          <w:b/>
          <w:color w:val="000000"/>
          <w:sz w:val="24"/>
          <w:szCs w:val="24"/>
        </w:rPr>
        <w:t>b)</w:t>
      </w:r>
      <w:r w:rsidRPr="00CD34A0">
        <w:rPr>
          <w:rFonts w:ascii="Bodoni MT" w:eastAsia="Times New Roman" w:hAnsi="Bodoni MT" w:cs="Bodoni MT"/>
          <w:color w:val="000000"/>
          <w:sz w:val="24"/>
          <w:szCs w:val="24"/>
        </w:rPr>
        <w:t xml:space="preserve"> ha comportato la necessità di adeguare il </w:t>
      </w:r>
      <w:r w:rsidRPr="00CD34A0">
        <w:rPr>
          <w:rFonts w:ascii="Bodoni MT" w:eastAsia="Times New Roman" w:hAnsi="Bodoni MT" w:cs="Bodoni MT"/>
          <w:b/>
          <w:color w:val="000000"/>
          <w:sz w:val="24"/>
          <w:szCs w:val="24"/>
        </w:rPr>
        <w:t>sistema informativo contabile Sibar</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i/>
          <w:color w:val="000000"/>
          <w:sz w:val="24"/>
          <w:szCs w:val="24"/>
        </w:rPr>
        <w:t>precedentemente orientato alla gestione della contabilità in base alla L.R.</w:t>
      </w:r>
      <w:r w:rsidR="00CD4593">
        <w:rPr>
          <w:rFonts w:ascii="Bodoni MT" w:eastAsia="Times New Roman" w:hAnsi="Bodoni MT" w:cs="Bodoni MT"/>
          <w:i/>
          <w:color w:val="000000"/>
          <w:sz w:val="24"/>
          <w:szCs w:val="24"/>
        </w:rPr>
        <w:t xml:space="preserve"> </w:t>
      </w:r>
      <w:r w:rsidRPr="00CD34A0">
        <w:rPr>
          <w:rFonts w:ascii="Bodoni MT" w:eastAsia="Times New Roman" w:hAnsi="Bodoni MT" w:cs="Bodoni MT"/>
          <w:i/>
          <w:color w:val="000000"/>
          <w:sz w:val="24"/>
          <w:szCs w:val="24"/>
        </w:rPr>
        <w:t>n.</w:t>
      </w:r>
      <w:r w:rsidR="00CD4593">
        <w:rPr>
          <w:rFonts w:ascii="Bodoni MT" w:eastAsia="Times New Roman" w:hAnsi="Bodoni MT" w:cs="Bodoni MT"/>
          <w:i/>
          <w:color w:val="000000"/>
          <w:sz w:val="24"/>
          <w:szCs w:val="24"/>
        </w:rPr>
        <w:t xml:space="preserve"> </w:t>
      </w:r>
      <w:r w:rsidRPr="00CD34A0">
        <w:rPr>
          <w:rFonts w:ascii="Bodoni MT" w:eastAsia="Times New Roman" w:hAnsi="Bodoni MT" w:cs="Bodoni MT"/>
          <w:i/>
          <w:color w:val="000000"/>
          <w:sz w:val="24"/>
          <w:szCs w:val="24"/>
        </w:rPr>
        <w:t>11/2006 (</w:t>
      </w:r>
      <w:r w:rsidRPr="00CD34A0">
        <w:rPr>
          <w:rFonts w:ascii="Bodoni MT" w:eastAsia="Times New Roman" w:hAnsi="Bodoni MT" w:cs="Bodoni MT"/>
          <w:color w:val="000000"/>
          <w:sz w:val="24"/>
          <w:szCs w:val="24"/>
        </w:rPr>
        <w:t>legge regionale di contabilità)</w:t>
      </w:r>
      <w:r w:rsidRPr="00CD34A0">
        <w:rPr>
          <w:rFonts w:ascii="Bodoni MT" w:eastAsia="Times New Roman" w:hAnsi="Bodoni MT" w:cs="Bodoni MT"/>
          <w:i/>
          <w:color w:val="000000"/>
          <w:sz w:val="24"/>
          <w:szCs w:val="24"/>
        </w:rPr>
        <w:t>,</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b/>
          <w:color w:val="000000"/>
          <w:sz w:val="24"/>
          <w:szCs w:val="24"/>
        </w:rPr>
        <w:t>c)</w:t>
      </w:r>
      <w:r w:rsidRPr="00CD34A0">
        <w:rPr>
          <w:rFonts w:ascii="Bodoni MT" w:eastAsia="Times New Roman" w:hAnsi="Bodoni MT" w:cs="Bodoni MT"/>
          <w:color w:val="000000"/>
          <w:sz w:val="24"/>
          <w:szCs w:val="24"/>
        </w:rPr>
        <w:t xml:space="preserve"> ha imposto l’inventariazione straordinaria dell’intero patrimonio mobiliare e immobiliare della Regione ed il conseguente trattamento dei dati analitici dei beni all’interno del Sibar, </w:t>
      </w:r>
      <w:r w:rsidRPr="00CD34A0">
        <w:rPr>
          <w:rFonts w:ascii="Bodoni MT" w:eastAsia="Times New Roman" w:hAnsi="Bodoni MT" w:cs="Bodoni MT"/>
          <w:b/>
          <w:color w:val="000000"/>
          <w:sz w:val="24"/>
          <w:szCs w:val="24"/>
        </w:rPr>
        <w:t xml:space="preserve">d) </w:t>
      </w:r>
      <w:r w:rsidRPr="00CD34A0">
        <w:rPr>
          <w:rFonts w:ascii="Bodoni MT" w:eastAsia="Times New Roman" w:hAnsi="Bodoni MT" w:cs="Bodoni MT"/>
          <w:color w:val="000000"/>
          <w:sz w:val="24"/>
          <w:szCs w:val="24"/>
        </w:rPr>
        <w:t>ha richiesto la ricognizione delle partecipazioni in varie tipologie di entità, direttamente e indiretta</w:t>
      </w:r>
      <w:r w:rsidR="00792B2D">
        <w:rPr>
          <w:rFonts w:ascii="Bodoni MT" w:eastAsia="Times New Roman" w:hAnsi="Bodoni MT" w:cs="Bodoni MT"/>
          <w:color w:val="000000"/>
          <w:sz w:val="24"/>
          <w:szCs w:val="24"/>
        </w:rPr>
        <w:t xml:space="preserve">mente possedute dalla Regione, </w:t>
      </w:r>
      <w:r w:rsidRPr="00CD34A0">
        <w:rPr>
          <w:rFonts w:ascii="Bodoni MT" w:eastAsia="Times New Roman" w:hAnsi="Bodoni MT" w:cs="Bodoni MT"/>
          <w:b/>
          <w:color w:val="000000"/>
          <w:sz w:val="24"/>
          <w:szCs w:val="24"/>
        </w:rPr>
        <w:t>e)</w:t>
      </w:r>
      <w:r w:rsidRPr="00CD34A0">
        <w:rPr>
          <w:rFonts w:ascii="Bodoni MT" w:eastAsia="Times New Roman" w:hAnsi="Bodoni MT" w:cs="Bodoni MT"/>
          <w:color w:val="000000"/>
          <w:sz w:val="24"/>
          <w:szCs w:val="24"/>
        </w:rPr>
        <w:t xml:space="preserve"> ha imposto </w:t>
      </w:r>
      <w:r w:rsidRPr="00CD34A0">
        <w:rPr>
          <w:rFonts w:ascii="Bodoni MT" w:eastAsia="Times New Roman" w:hAnsi="Bodoni MT" w:cs="Bodoni MT"/>
          <w:i/>
          <w:color w:val="000000"/>
          <w:sz w:val="24"/>
          <w:szCs w:val="24"/>
        </w:rPr>
        <w:t>la determinazione di crediti, di debiti ed altri elementi informativi non presenti in finanziaria,</w:t>
      </w:r>
      <w:r w:rsidRPr="00CD34A0">
        <w:rPr>
          <w:rFonts w:ascii="Bodoni MT" w:eastAsia="Times New Roman" w:hAnsi="Bodoni MT" w:cs="Bodoni MT"/>
          <w:color w:val="000000"/>
          <w:sz w:val="24"/>
          <w:szCs w:val="24"/>
        </w:rPr>
        <w:t xml:space="preserve"> impegnando gli uffici per lunghi periodi per procedere alla ricostruzione di valori pregressi di evidente complessità</w:t>
      </w:r>
      <w:r w:rsidRPr="00CD34A0">
        <w:rPr>
          <w:rFonts w:ascii="Bodoni MT" w:eastAsia="Times New Roman" w:hAnsi="Bodoni MT" w:cs="Bodoni MT"/>
          <w:i/>
          <w:color w:val="000000"/>
          <w:sz w:val="24"/>
          <w:szCs w:val="24"/>
        </w:rPr>
        <w:t>.</w:t>
      </w:r>
      <w:r w:rsidRPr="00CD34A0">
        <w:rPr>
          <w:rFonts w:ascii="Bodoni MT" w:eastAsia="Times New Roman" w:hAnsi="Bodoni MT" w:cs="Bodoni MT"/>
          <w:color w:val="000000"/>
          <w:sz w:val="24"/>
          <w:szCs w:val="24"/>
        </w:rPr>
        <w:t xml:space="preserve"> La predisposizione del primo bilancio d’esercizio ha così assunto, secondo quanto precisato dalla Regione</w:t>
      </w:r>
      <w:r w:rsidRPr="00CD34A0">
        <w:rPr>
          <w:rFonts w:ascii="Bodoni MT" w:eastAsia="Times New Roman" w:hAnsi="Bodoni MT" w:cs="Bodoni MT"/>
          <w:b/>
          <w:color w:val="000000"/>
          <w:sz w:val="24"/>
          <w:szCs w:val="24"/>
        </w:rPr>
        <w:t xml:space="preserve">, un valore di sperimentalità, </w:t>
      </w:r>
      <w:r w:rsidRPr="00CD34A0">
        <w:rPr>
          <w:rFonts w:ascii="Bodoni MT" w:eastAsia="Times New Roman" w:hAnsi="Bodoni MT" w:cs="Bodoni MT"/>
          <w:color w:val="000000"/>
          <w:sz w:val="24"/>
          <w:szCs w:val="24"/>
        </w:rPr>
        <w:t xml:space="preserve">nonostante l’ufficialità delle informazioni prodotte. </w:t>
      </w:r>
    </w:p>
    <w:p w:rsidR="00792B2D" w:rsidRDefault="00CD34A0" w:rsidP="00792B2D">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Per assicurare il raccordo tra la contabilità finanziaria e la contabilità economico patrimoniale da essa derivata sono stati introdotti tre distinti piani dei conti (finanziario, economico e patrimoniale), i quali sono correlati tramite la cosiddetta matrice di transizione (o correl</w:t>
      </w:r>
      <w:r w:rsidR="00CD4593">
        <w:rPr>
          <w:rFonts w:ascii="Bodoni MT" w:eastAsia="Times New Roman" w:hAnsi="Bodoni MT" w:cs="Bodoni MT"/>
          <w:color w:val="000000"/>
          <w:sz w:val="24"/>
          <w:szCs w:val="24"/>
        </w:rPr>
        <w:t xml:space="preserve">azione). La nota integrativa </w:t>
      </w:r>
      <w:r w:rsidRPr="00CD34A0">
        <w:rPr>
          <w:rFonts w:ascii="Bodoni MT" w:eastAsia="Times New Roman" w:hAnsi="Bodoni MT" w:cs="Bodoni MT"/>
          <w:color w:val="000000"/>
          <w:sz w:val="24"/>
          <w:szCs w:val="24"/>
        </w:rPr>
        <w:t xml:space="preserve">sottolinea che </w:t>
      </w:r>
      <w:r w:rsidRPr="00CD34A0">
        <w:rPr>
          <w:rFonts w:ascii="Bodoni MT" w:eastAsia="Times New Roman" w:hAnsi="Bodoni MT" w:cs="Bodoni MT"/>
          <w:i/>
          <w:color w:val="000000"/>
          <w:sz w:val="24"/>
          <w:szCs w:val="24"/>
        </w:rPr>
        <w:t>“la predisposizione di una matrice tanto complessa, e per giunta riferita all’intero panorama delle amministrazioni pubbliche, difficilmente potrebbe trovare pieno riscontro applicativo per l’universalità delle operazioni che intende regolamentare, in tutti i casi possibili e per tutti gli ent</w:t>
      </w:r>
      <w:r w:rsidRPr="00CD34A0">
        <w:rPr>
          <w:rFonts w:ascii="Bodoni MT" w:eastAsia="Times New Roman" w:hAnsi="Bodoni MT" w:cs="Bodoni MT"/>
          <w:color w:val="000000"/>
          <w:sz w:val="24"/>
          <w:szCs w:val="24"/>
        </w:rPr>
        <w:t>i”. Sul punto la Commissione Arconet – a seguito di quesito proposto dalla Regione in data 13</w:t>
      </w:r>
      <w:r w:rsidR="00D34F13">
        <w:rPr>
          <w:rFonts w:ascii="Bodoni MT" w:eastAsia="Times New Roman" w:hAnsi="Bodoni MT" w:cs="Bodoni MT"/>
          <w:color w:val="000000"/>
          <w:sz w:val="24"/>
          <w:szCs w:val="24"/>
        </w:rPr>
        <w:t>/07/</w:t>
      </w:r>
      <w:r w:rsidRPr="00CD34A0">
        <w:rPr>
          <w:rFonts w:ascii="Bodoni MT" w:eastAsia="Times New Roman" w:hAnsi="Bodoni MT" w:cs="Bodoni MT"/>
          <w:color w:val="000000"/>
          <w:sz w:val="24"/>
          <w:szCs w:val="24"/>
        </w:rPr>
        <w:t xml:space="preserve">2016 - ha chiarito che la matrice di transizione è da considerarsi </w:t>
      </w:r>
      <w:r w:rsidRPr="00CD34A0">
        <w:rPr>
          <w:rFonts w:ascii="Bodoni MT" w:eastAsia="Times New Roman" w:hAnsi="Bodoni MT" w:cs="Bodoni MT"/>
          <w:i/>
          <w:color w:val="000000"/>
          <w:sz w:val="24"/>
          <w:szCs w:val="24"/>
        </w:rPr>
        <w:t>indicativa</w:t>
      </w:r>
      <w:r w:rsidRPr="00CD34A0">
        <w:rPr>
          <w:rFonts w:ascii="Bodoni MT" w:eastAsia="Times New Roman" w:hAnsi="Bodoni MT" w:cs="Bodoni MT"/>
          <w:color w:val="000000"/>
          <w:sz w:val="24"/>
          <w:szCs w:val="24"/>
        </w:rPr>
        <w:t xml:space="preserve"> rispetto alle scritture che essa intende generare per le finalità informative.</w:t>
      </w:r>
    </w:p>
    <w:p w:rsidR="00CD34A0" w:rsidRPr="00CD34A0" w:rsidRDefault="00F27D5F" w:rsidP="00792B2D">
      <w:pPr>
        <w:pStyle w:val="Titolo2"/>
        <w:rPr>
          <w:rFonts w:eastAsia="Times New Roman"/>
        </w:rPr>
      </w:pPr>
      <w:bookmarkStart w:id="339" w:name="_Toc507422685"/>
      <w:r>
        <w:rPr>
          <w:rFonts w:eastAsia="Times New Roman"/>
        </w:rPr>
        <w:lastRenderedPageBreak/>
        <w:t>Il conto economico</w:t>
      </w:r>
      <w:bookmarkEnd w:id="339"/>
    </w:p>
    <w:p w:rsidR="00194841" w:rsidRPr="0029143F" w:rsidRDefault="0029143F" w:rsidP="00194841">
      <w:pPr>
        <w:pStyle w:val="Titolo3"/>
        <w:rPr>
          <w:rFonts w:eastAsia="Times New Roman"/>
          <w:strike/>
        </w:rPr>
      </w:pPr>
      <w:r>
        <w:rPr>
          <w:rFonts w:eastAsia="Times New Roman"/>
          <w:strike/>
        </w:rPr>
        <w:t xml:space="preserve"> </w:t>
      </w:r>
      <w:bookmarkStart w:id="340" w:name="_Toc507422686"/>
      <w:r w:rsidRPr="006030C3">
        <w:rPr>
          <w:rFonts w:eastAsia="Times New Roman"/>
        </w:rPr>
        <w:t>Risultato dell’esercizio</w:t>
      </w:r>
      <w:bookmarkEnd w:id="340"/>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Il conto economico, come detto, evidenzia i componenti positivi e negativi della gestione di competenza economica dell’esercizio, come rilevati dalla contabilità economico patrimoniale, nel rispetto del principio della competenza economica e del principio applicato della contabilità economico-patrimoniale (art. 63, comma 6, </w:t>
      </w:r>
      <w:r w:rsidR="008B0C9C">
        <w:rPr>
          <w:rFonts w:ascii="Bodoni MT" w:eastAsia="Times New Roman" w:hAnsi="Bodoni MT" w:cs="Bodoni MT"/>
          <w:color w:val="000000"/>
          <w:sz w:val="24"/>
          <w:szCs w:val="24"/>
        </w:rPr>
        <w:t>D.</w:t>
      </w:r>
      <w:r w:rsidR="00CD4593" w:rsidRPr="00CD34A0">
        <w:rPr>
          <w:rFonts w:ascii="Bodoni MT" w:eastAsia="Times New Roman" w:hAnsi="Bodoni MT" w:cs="Bodoni MT"/>
          <w:color w:val="000000"/>
          <w:sz w:val="24"/>
          <w:szCs w:val="24"/>
        </w:rPr>
        <w:t>Lgs</w:t>
      </w:r>
      <w:r w:rsidRPr="00CD34A0">
        <w:rPr>
          <w:rFonts w:ascii="Bodoni MT" w:eastAsia="Times New Roman" w:hAnsi="Bodoni MT" w:cs="Bodoni MT"/>
          <w:color w:val="000000"/>
          <w:sz w:val="24"/>
          <w:szCs w:val="24"/>
        </w:rPr>
        <w:t>. n. 118/2011). I proventi, i ricavi, gli oneri ed i costi del conto economico, considerano sia i valori che derivano dalla contabilità finanziaria e sia i valori iscritti nel bilancio d’esercizio per adeguamento del principio della competenza finanziaria potenziata al principio della competenza economica.</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La nota integrativa chiarisce che trattandosi del primo bilancio d’esercizio non è possibile effettuare il confronto tra i valori dell’esercizio corrente e quelli dell’esercizio precedente.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Di seguito è riportato il </w:t>
      </w:r>
      <w:r w:rsidRPr="00CD34A0">
        <w:rPr>
          <w:rFonts w:ascii="Bodoni MT" w:eastAsia="Times New Roman" w:hAnsi="Bodoni MT" w:cs="Bodoni MT"/>
          <w:b/>
          <w:color w:val="000000"/>
          <w:sz w:val="24"/>
          <w:szCs w:val="24"/>
        </w:rPr>
        <w:t>conto economico dell’esercizio</w:t>
      </w:r>
      <w:r w:rsidRPr="00CD34A0">
        <w:rPr>
          <w:rFonts w:ascii="Bodoni MT" w:eastAsia="Times New Roman" w:hAnsi="Bodoni MT" w:cs="Bodoni MT"/>
          <w:color w:val="000000"/>
          <w:sz w:val="24"/>
          <w:szCs w:val="24"/>
        </w:rPr>
        <w:t>.</w:t>
      </w:r>
    </w:p>
    <w:p w:rsidR="00F00CC9" w:rsidRDefault="00194841" w:rsidP="00194841">
      <w:pPr>
        <w:pStyle w:val="Didascalia"/>
        <w:keepNext/>
      </w:pPr>
      <w:bookmarkStart w:id="341" w:name="_Toc507422560"/>
      <w:r>
        <w:t xml:space="preserve">Tabella </w:t>
      </w:r>
      <w:r w:rsidR="00B90472">
        <w:fldChar w:fldCharType="begin"/>
      </w:r>
      <w:r w:rsidR="00B90472">
        <w:instrText xml:space="preserve"> SEQ Tabella \* ARABIC </w:instrText>
      </w:r>
      <w:r w:rsidR="00B90472">
        <w:fldChar w:fldCharType="separate"/>
      </w:r>
      <w:r w:rsidR="008616B3">
        <w:rPr>
          <w:noProof/>
        </w:rPr>
        <w:t>92</w:t>
      </w:r>
      <w:r w:rsidR="00B90472">
        <w:rPr>
          <w:noProof/>
        </w:rPr>
        <w:fldChar w:fldCharType="end"/>
      </w:r>
      <w:r>
        <w:t xml:space="preserve"> – Conto economico</w:t>
      </w:r>
      <w:bookmarkEnd w:id="341"/>
    </w:p>
    <w:tbl>
      <w:tblPr>
        <w:tblW w:w="5000" w:type="pct"/>
        <w:jc w:val="center"/>
        <w:tblCellMar>
          <w:left w:w="70" w:type="dxa"/>
          <w:right w:w="70" w:type="dxa"/>
        </w:tblCellMar>
        <w:tblLook w:val="04A0" w:firstRow="1" w:lastRow="0" w:firstColumn="1" w:lastColumn="0" w:noHBand="0" w:noVBand="1"/>
      </w:tblPr>
      <w:tblGrid>
        <w:gridCol w:w="874"/>
        <w:gridCol w:w="7236"/>
        <w:gridCol w:w="1668"/>
      </w:tblGrid>
      <w:tr w:rsidR="00E66CE0" w:rsidRPr="00CD34A0" w:rsidTr="00302EFC">
        <w:trPr>
          <w:trHeight w:val="20"/>
          <w:jc w:val="center"/>
        </w:trPr>
        <w:tc>
          <w:tcPr>
            <w:tcW w:w="4147" w:type="pct"/>
            <w:gridSpan w:val="2"/>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rsidR="00E66CE0" w:rsidRPr="00194841" w:rsidRDefault="00E66CE0" w:rsidP="00E66CE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CONTO ECONOMICO</w:t>
            </w:r>
          </w:p>
        </w:tc>
        <w:tc>
          <w:tcPr>
            <w:tcW w:w="853"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rsidR="00E66CE0" w:rsidRPr="00CD34A0" w:rsidRDefault="00E66CE0" w:rsidP="00CD34A0">
            <w:pPr>
              <w:spacing w:after="0" w:line="240" w:lineRule="auto"/>
              <w:jc w:val="center"/>
              <w:rPr>
                <w:rFonts w:ascii="Calibri" w:eastAsia="Times New Roman" w:hAnsi="Calibri" w:cs="Calibri"/>
                <w:sz w:val="18"/>
                <w:szCs w:val="18"/>
                <w:lang w:eastAsia="it-IT"/>
              </w:rPr>
            </w:pPr>
            <w:r w:rsidRPr="00E66CE0">
              <w:rPr>
                <w:rFonts w:ascii="Bodoni MT" w:eastAsia="Times New Roman" w:hAnsi="Bodoni MT" w:cs="Calibri"/>
                <w:sz w:val="18"/>
                <w:szCs w:val="18"/>
                <w:lang w:eastAsia="it-IT"/>
              </w:rPr>
              <w:t>2016</w:t>
            </w:r>
          </w:p>
        </w:tc>
      </w:tr>
      <w:tr w:rsidR="00302EFC" w:rsidRPr="00CD34A0" w:rsidTr="00302EFC">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02EFC" w:rsidRPr="00CD34A0" w:rsidRDefault="00302EFC" w:rsidP="00302EFC">
            <w:pPr>
              <w:spacing w:after="0" w:line="240" w:lineRule="auto"/>
              <w:jc w:val="center"/>
              <w:rPr>
                <w:rFonts w:ascii="Calibri" w:eastAsia="Times New Roman" w:hAnsi="Calibri" w:cs="Calibri"/>
                <w:sz w:val="18"/>
                <w:szCs w:val="18"/>
                <w:lang w:eastAsia="it-IT"/>
              </w:rPr>
            </w:pPr>
            <w:r w:rsidRPr="00194841">
              <w:rPr>
                <w:rFonts w:ascii="Bodoni MT" w:eastAsia="Times New Roman" w:hAnsi="Bodoni MT" w:cs="Calibri"/>
                <w:b/>
                <w:bCs/>
                <w:sz w:val="18"/>
                <w:szCs w:val="18"/>
                <w:lang w:eastAsia="it-IT"/>
              </w:rPr>
              <w:t>A) COMPONENTI POSITIVI DELLA GESTIONE</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Proventi da tributi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6.973.199.419,00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xml:space="preserve">Proventi da fondi perequativi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b/>
                <w:bCs/>
                <w:color w:val="FFFFFF" w:themeColor="background1"/>
                <w:sz w:val="18"/>
                <w:szCs w:val="18"/>
                <w:lang w:eastAsia="it-IT"/>
              </w:rPr>
            </w:pPr>
            <w:r w:rsidRPr="00E66CE0">
              <w:rPr>
                <w:rFonts w:ascii="Bodoni MT" w:eastAsia="Times New Roman" w:hAnsi="Bodoni MT" w:cs="Calibri"/>
                <w:b/>
                <w:bCs/>
                <w:color w:val="FFFFFF" w:themeColor="background1"/>
                <w:sz w:val="18"/>
                <w:szCs w:val="18"/>
                <w:lang w:eastAsia="it-IT"/>
              </w:rPr>
              <w:t>3</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CD34A0" w:rsidRDefault="00302EFC" w:rsidP="00CD34A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Proventi da trasferimenti e contributi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1.128.272.469,00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sidRPr="00194841">
              <w:rPr>
                <w:rFonts w:ascii="Bodoni MT" w:eastAsia="Times New Roman" w:hAnsi="Bodoni MT" w:cs="Calibri"/>
                <w:iCs/>
                <w:sz w:val="18"/>
                <w:szCs w:val="18"/>
                <w:lang w:eastAsia="it-IT"/>
              </w:rPr>
              <w:t>a) Proventi da trasferimenti correnti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294.552.284,00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sidRPr="00194841">
              <w:rPr>
                <w:rFonts w:ascii="Bodoni MT" w:eastAsia="Times New Roman" w:hAnsi="Bodoni MT" w:cs="Calibri"/>
                <w:iCs/>
                <w:sz w:val="18"/>
                <w:szCs w:val="18"/>
                <w:lang w:eastAsia="it-IT"/>
              </w:rPr>
              <w:t>b) Quota annuale di contributi agli investimenti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sidRPr="00194841">
              <w:rPr>
                <w:rFonts w:ascii="Bodoni MT" w:eastAsia="Times New Roman" w:hAnsi="Bodoni MT" w:cs="Calibri"/>
                <w:iCs/>
                <w:sz w:val="18"/>
                <w:szCs w:val="18"/>
                <w:lang w:eastAsia="it-IT"/>
              </w:rPr>
              <w:t>c)Contributi agli investimenti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833.720.185,00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302EFC">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4</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b/>
                <w:bCs/>
                <w:sz w:val="18"/>
                <w:szCs w:val="18"/>
                <w:lang w:eastAsia="it-IT"/>
              </w:rPr>
            </w:pPr>
            <w:r w:rsidRPr="00194841">
              <w:rPr>
                <w:rFonts w:ascii="Bodoni MT" w:eastAsia="Times New Roman" w:hAnsi="Bodoni MT" w:cs="Calibri"/>
                <w:b/>
                <w:bCs/>
                <w:sz w:val="18"/>
                <w:szCs w:val="18"/>
                <w:lang w:eastAsia="it-IT"/>
              </w:rPr>
              <w:t>Ricavi delle vendite e prestazioni e proventi da servizi pubblici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5.512.249,00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302EFC">
            <w:pPr>
              <w:spacing w:after="0" w:line="240" w:lineRule="auto"/>
              <w:jc w:val="right"/>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sidRPr="00194841">
              <w:rPr>
                <w:rFonts w:ascii="Bodoni MT" w:eastAsia="Times New Roman" w:hAnsi="Bodoni MT" w:cs="Calibri"/>
                <w:iCs/>
                <w:sz w:val="18"/>
                <w:szCs w:val="18"/>
                <w:lang w:eastAsia="it-IT"/>
              </w:rPr>
              <w:t>a) Proventi derivanti dalla gestione dei beni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5.085.578,00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302EFC">
            <w:pPr>
              <w:spacing w:after="0" w:line="240" w:lineRule="auto"/>
              <w:jc w:val="right"/>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sidRPr="00194841">
              <w:rPr>
                <w:rFonts w:ascii="Bodoni MT" w:eastAsia="Times New Roman" w:hAnsi="Bodoni MT" w:cs="Calibri"/>
                <w:iCs/>
                <w:sz w:val="18"/>
                <w:szCs w:val="18"/>
                <w:lang w:eastAsia="it-IT"/>
              </w:rPr>
              <w:t>b) Ricavi della vendita di beni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147.072,00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302EFC">
            <w:pPr>
              <w:spacing w:after="0" w:line="240" w:lineRule="auto"/>
              <w:jc w:val="right"/>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194841">
              <w:rPr>
                <w:rFonts w:ascii="Bodoni MT" w:eastAsia="Times New Roman" w:hAnsi="Bodoni MT" w:cs="Calibri"/>
                <w:iCs/>
                <w:sz w:val="18"/>
                <w:szCs w:val="18"/>
                <w:lang w:eastAsia="it-IT"/>
              </w:rPr>
              <w:t>Ricavi e proventi dalla prestazione di servizi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279.599,00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5</w:t>
            </w:r>
          </w:p>
        </w:tc>
        <w:tc>
          <w:tcPr>
            <w:tcW w:w="3700" w:type="pct"/>
            <w:tcBorders>
              <w:top w:val="single" w:sz="4" w:space="0" w:color="auto"/>
              <w:left w:val="single" w:sz="4" w:space="0" w:color="auto"/>
              <w:bottom w:val="single" w:sz="4" w:space="0" w:color="auto"/>
              <w:right w:val="nil"/>
            </w:tcBorders>
            <w:shd w:val="clear" w:color="auto" w:fill="auto"/>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Variazioni nelle rimanenze di prodotti in corso di lavorazione, etc.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6</w:t>
            </w:r>
          </w:p>
        </w:tc>
        <w:tc>
          <w:tcPr>
            <w:tcW w:w="3700" w:type="pct"/>
            <w:tcBorders>
              <w:top w:val="single" w:sz="4" w:space="0" w:color="auto"/>
              <w:left w:val="single" w:sz="4" w:space="0" w:color="auto"/>
              <w:bottom w:val="single" w:sz="4" w:space="0" w:color="auto"/>
              <w:right w:val="nil"/>
            </w:tcBorders>
            <w:shd w:val="clear" w:color="auto" w:fill="auto"/>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Variazione dei lavori in corso su ordinazione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7</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Incrementi di immobilizzazioni per lavori interni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8</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Altri ricavi e proventi diversi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101.141.401,00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COMPONENTI POSITIVI DELLA GESTIONE (A)</w:t>
            </w:r>
          </w:p>
        </w:tc>
        <w:tc>
          <w:tcPr>
            <w:tcW w:w="85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8.208.125.538,00</w:t>
            </w:r>
          </w:p>
        </w:tc>
      </w:tr>
      <w:tr w:rsidR="00302EFC" w:rsidRPr="00CD34A0" w:rsidTr="00302EFC">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02EFC" w:rsidRPr="00CD34A0" w:rsidRDefault="00302EFC" w:rsidP="00E66CE0">
            <w:pPr>
              <w:spacing w:after="0" w:line="240" w:lineRule="auto"/>
              <w:jc w:val="center"/>
              <w:rPr>
                <w:rFonts w:ascii="Calibri" w:eastAsia="Times New Roman" w:hAnsi="Calibri" w:cs="Calibri"/>
                <w:sz w:val="18"/>
                <w:szCs w:val="18"/>
                <w:lang w:eastAsia="it-IT"/>
              </w:rPr>
            </w:pPr>
            <w:r w:rsidRPr="00194841">
              <w:rPr>
                <w:rFonts w:ascii="Bodoni MT" w:eastAsia="Times New Roman" w:hAnsi="Bodoni MT" w:cs="Calibri"/>
                <w:b/>
                <w:bCs/>
                <w:sz w:val="18"/>
                <w:szCs w:val="18"/>
                <w:lang w:eastAsia="it-IT"/>
              </w:rPr>
              <w:t>B) COMPONENTI NEGATIVI DELLA GESTIONE</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9</w:t>
            </w:r>
          </w:p>
        </w:tc>
        <w:tc>
          <w:tcPr>
            <w:tcW w:w="3700" w:type="pct"/>
            <w:tcBorders>
              <w:top w:val="single" w:sz="4" w:space="0" w:color="auto"/>
              <w:left w:val="single" w:sz="4" w:space="0" w:color="auto"/>
              <w:bottom w:val="single" w:sz="4" w:space="0" w:color="auto"/>
              <w:right w:val="nil"/>
            </w:tcBorders>
            <w:shd w:val="clear" w:color="auto" w:fill="auto"/>
            <w:vAlign w:val="center"/>
            <w:hideMark/>
          </w:tcPr>
          <w:p w:rsidR="00E66CE0" w:rsidRPr="00CD34A0" w:rsidRDefault="00E66CE0" w:rsidP="00194841">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Acquisto di materie prime e/o beni di consumo</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2.167.598,00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10</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xml:space="preserve">Prestazioni di servizi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478.301.643,00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11</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Pr>
                <w:rFonts w:ascii="Bodoni MT" w:eastAsia="Times New Roman" w:hAnsi="Bodoni MT" w:cs="Calibri"/>
                <w:sz w:val="18"/>
                <w:szCs w:val="18"/>
                <w:lang w:eastAsia="it-IT"/>
              </w:rPr>
              <w:t>Utilizzo</w:t>
            </w:r>
            <w:r w:rsidRPr="00CD34A0">
              <w:rPr>
                <w:rFonts w:ascii="Bodoni MT" w:eastAsia="Times New Roman" w:hAnsi="Bodoni MT" w:cs="Calibri"/>
                <w:color w:val="000000"/>
                <w:sz w:val="18"/>
                <w:szCs w:val="18"/>
                <w:lang w:eastAsia="it-IT"/>
              </w:rPr>
              <w:t xml:space="preserve"> beni di terzi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4.661.717,00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12</w:t>
            </w:r>
          </w:p>
        </w:tc>
        <w:tc>
          <w:tcPr>
            <w:tcW w:w="3700" w:type="pct"/>
            <w:tcBorders>
              <w:top w:val="single" w:sz="4" w:space="0" w:color="auto"/>
              <w:left w:val="single" w:sz="4" w:space="0" w:color="auto"/>
              <w:bottom w:val="single" w:sz="4" w:space="0" w:color="auto"/>
              <w:right w:val="nil"/>
            </w:tcBorders>
            <w:shd w:val="clear" w:color="auto" w:fill="auto"/>
            <w:noWrap/>
            <w:vAlign w:val="bottom"/>
            <w:hideMark/>
          </w:tcPr>
          <w:p w:rsidR="00302EFC" w:rsidRPr="00CD34A0" w:rsidRDefault="00302EFC"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Trasferimenti e contributi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 xml:space="preserve">6.238.831.191,00 </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194841">
              <w:rPr>
                <w:rFonts w:ascii="Bodoni MT" w:eastAsia="Times New Roman" w:hAnsi="Bodoni MT" w:cs="Calibri"/>
                <w:iCs/>
                <w:sz w:val="18"/>
                <w:szCs w:val="18"/>
                <w:lang w:eastAsia="it-IT"/>
              </w:rPr>
              <w:t>Trasferimenti correnti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 xml:space="preserve">5.585.444.736,00 </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194841">
              <w:rPr>
                <w:rFonts w:ascii="Bodoni MT" w:eastAsia="Times New Roman" w:hAnsi="Bodoni MT" w:cs="Calibri"/>
                <w:iCs/>
                <w:sz w:val="18"/>
                <w:szCs w:val="18"/>
                <w:lang w:eastAsia="it-IT"/>
              </w:rPr>
              <w:t>Contributi agli investimenti ad Amministrazioni pubb</w:t>
            </w:r>
            <w:r>
              <w:rPr>
                <w:rFonts w:ascii="Bodoni MT" w:eastAsia="Times New Roman" w:hAnsi="Bodoni MT" w:cs="Calibri"/>
                <w:iCs/>
                <w:sz w:val="18"/>
                <w:szCs w:val="18"/>
                <w:lang w:eastAsia="it-IT"/>
              </w:rPr>
              <w:t>liche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512.478.829,00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194841">
              <w:rPr>
                <w:rFonts w:ascii="Bodoni MT" w:eastAsia="Times New Roman" w:hAnsi="Bodoni MT" w:cs="Calibri"/>
                <w:iCs/>
                <w:sz w:val="18"/>
                <w:szCs w:val="18"/>
                <w:lang w:eastAsia="it-IT"/>
              </w:rPr>
              <w:t>Contributi agli investimenti ad altri soggetti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140.907.626,00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13</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194841" w:rsidRDefault="00E66CE0" w:rsidP="00CD34A0">
            <w:pPr>
              <w:spacing w:after="0" w:line="240" w:lineRule="auto"/>
              <w:rPr>
                <w:rFonts w:ascii="Bodoni MT" w:eastAsia="Times New Roman" w:hAnsi="Bodoni MT" w:cs="Calibri"/>
                <w:sz w:val="18"/>
                <w:szCs w:val="18"/>
                <w:lang w:eastAsia="it-IT"/>
              </w:rPr>
            </w:pPr>
            <w:r w:rsidRPr="00194841">
              <w:rPr>
                <w:rFonts w:ascii="Bodoni MT" w:eastAsia="Times New Roman" w:hAnsi="Bodoni MT" w:cs="Calibri"/>
                <w:sz w:val="18"/>
                <w:szCs w:val="18"/>
                <w:lang w:eastAsia="it-IT"/>
              </w:rPr>
              <w:t>Personale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233.635.326,00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14</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CD34A0" w:rsidRDefault="00302EFC"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Ammortamenti e svalutazioni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47.330.425,00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194841">
              <w:rPr>
                <w:rFonts w:ascii="Bodoni MT" w:eastAsia="Times New Roman" w:hAnsi="Bodoni MT" w:cs="Calibri"/>
                <w:iCs/>
                <w:sz w:val="18"/>
                <w:szCs w:val="18"/>
                <w:lang w:eastAsia="it-IT"/>
              </w:rPr>
              <w:t>Ammortamenti di immobilizzazioni Immateriali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8.883.850,00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194841">
              <w:rPr>
                <w:rFonts w:ascii="Bodoni MT" w:eastAsia="Times New Roman" w:hAnsi="Bodoni MT" w:cs="Calibri"/>
                <w:iCs/>
                <w:sz w:val="18"/>
                <w:szCs w:val="18"/>
                <w:lang w:eastAsia="it-IT"/>
              </w:rPr>
              <w:t>Ammortamenti di immobilizzazioni materiali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38.446.575,00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194841">
              <w:rPr>
                <w:rFonts w:ascii="Bodoni MT" w:eastAsia="Times New Roman" w:hAnsi="Bodoni MT" w:cs="Calibri"/>
                <w:iCs/>
                <w:sz w:val="18"/>
                <w:szCs w:val="18"/>
                <w:lang w:eastAsia="it-IT"/>
              </w:rPr>
              <w:t>Altre svalutazioni delle immobilizzazioni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194841"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d) </w:t>
            </w:r>
            <w:r w:rsidRPr="00194841">
              <w:rPr>
                <w:rFonts w:ascii="Bodoni MT" w:eastAsia="Times New Roman" w:hAnsi="Bodoni MT" w:cs="Calibri"/>
                <w:iCs/>
                <w:sz w:val="18"/>
                <w:szCs w:val="18"/>
                <w:lang w:eastAsia="it-IT"/>
              </w:rPr>
              <w:t>Svalutazione dei crediti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15</w:t>
            </w:r>
          </w:p>
        </w:tc>
        <w:tc>
          <w:tcPr>
            <w:tcW w:w="3700" w:type="pct"/>
            <w:tcBorders>
              <w:top w:val="single" w:sz="4" w:space="0" w:color="auto"/>
              <w:left w:val="single" w:sz="4" w:space="0" w:color="auto"/>
              <w:bottom w:val="single" w:sz="4" w:space="0" w:color="auto"/>
              <w:right w:val="single" w:sz="4" w:space="0" w:color="auto"/>
            </w:tcBorders>
            <w:shd w:val="clear" w:color="auto" w:fill="auto"/>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Variazioni nelle rimanenze di materie prime e/o beni di consumo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415.586,00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lastRenderedPageBreak/>
              <w:t>16</w:t>
            </w:r>
          </w:p>
        </w:tc>
        <w:tc>
          <w:tcPr>
            <w:tcW w:w="3700" w:type="pct"/>
            <w:tcBorders>
              <w:top w:val="single" w:sz="4" w:space="0" w:color="auto"/>
              <w:left w:val="single" w:sz="4" w:space="0" w:color="auto"/>
              <w:bottom w:val="single" w:sz="4" w:space="0" w:color="auto"/>
              <w:right w:val="single" w:sz="4" w:space="0" w:color="auto"/>
            </w:tcBorders>
            <w:shd w:val="clear" w:color="auto" w:fill="auto"/>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Accantonamenti per rischi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302.935.297,00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17</w:t>
            </w:r>
          </w:p>
        </w:tc>
        <w:tc>
          <w:tcPr>
            <w:tcW w:w="3700" w:type="pct"/>
            <w:tcBorders>
              <w:top w:val="single" w:sz="4" w:space="0" w:color="auto"/>
              <w:left w:val="single" w:sz="4" w:space="0" w:color="auto"/>
              <w:bottom w:val="single" w:sz="4" w:space="0" w:color="auto"/>
              <w:right w:val="single" w:sz="4" w:space="0" w:color="auto"/>
            </w:tcBorders>
            <w:shd w:val="clear" w:color="auto" w:fill="auto"/>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Altri accantonamenti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26.898.688,00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18</w:t>
            </w:r>
          </w:p>
        </w:tc>
        <w:tc>
          <w:tcPr>
            <w:tcW w:w="3700" w:type="pct"/>
            <w:tcBorders>
              <w:top w:val="single" w:sz="4" w:space="0" w:color="auto"/>
              <w:left w:val="single" w:sz="4" w:space="0" w:color="auto"/>
              <w:bottom w:val="single" w:sz="4" w:space="0" w:color="auto"/>
              <w:right w:val="single" w:sz="4" w:space="0" w:color="auto"/>
            </w:tcBorders>
            <w:shd w:val="clear" w:color="auto" w:fill="auto"/>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Oneri diversi di gestione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33.258.683,00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COMPONENTI NEGATIVI DELLA GESTIONE (B)</w:t>
            </w:r>
          </w:p>
        </w:tc>
        <w:tc>
          <w:tcPr>
            <w:tcW w:w="85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7.368.436.154,00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DIFFERENZA FRA COMP. POSIT</w:t>
            </w:r>
            <w:r>
              <w:rPr>
                <w:rFonts w:ascii="Bodoni MT" w:eastAsia="Times New Roman" w:hAnsi="Bodoni MT" w:cs="Calibri"/>
                <w:b/>
                <w:bCs/>
                <w:sz w:val="18"/>
                <w:szCs w:val="18"/>
                <w:lang w:eastAsia="it-IT"/>
              </w:rPr>
              <w:t>IVI E NEGATIVI DELLA GESTIONE (</w:t>
            </w:r>
            <w:r w:rsidRPr="00CD34A0">
              <w:rPr>
                <w:rFonts w:ascii="Bodoni MT" w:eastAsia="Times New Roman" w:hAnsi="Bodoni MT" w:cs="Calibri"/>
                <w:b/>
                <w:bCs/>
                <w:sz w:val="18"/>
                <w:szCs w:val="18"/>
                <w:lang w:eastAsia="it-IT"/>
              </w:rPr>
              <w:t>A-B)</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839.689.384,00</w:t>
            </w:r>
          </w:p>
        </w:tc>
      </w:tr>
      <w:tr w:rsidR="00302EFC" w:rsidRPr="00E66CE0" w:rsidTr="00302EFC">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02EFC" w:rsidRPr="00E66CE0" w:rsidRDefault="00302EFC" w:rsidP="00302EFC">
            <w:pPr>
              <w:spacing w:after="0" w:line="240" w:lineRule="auto"/>
              <w:jc w:val="center"/>
              <w:rPr>
                <w:rFonts w:ascii="Calibri" w:eastAsia="Times New Roman" w:hAnsi="Calibri" w:cs="Calibri"/>
                <w:sz w:val="18"/>
                <w:szCs w:val="18"/>
                <w:lang w:eastAsia="it-IT"/>
              </w:rPr>
            </w:pPr>
            <w:r w:rsidRPr="00E66CE0">
              <w:rPr>
                <w:rFonts w:ascii="Bodoni MT" w:eastAsia="Times New Roman" w:hAnsi="Bodoni MT" w:cs="Calibri"/>
                <w:b/>
                <w:bCs/>
                <w:sz w:val="18"/>
                <w:szCs w:val="18"/>
                <w:lang w:eastAsia="it-IT"/>
              </w:rPr>
              <w:t>C) PROVENTI ED ONERI FINANZIARI</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E66CE0" w:rsidRDefault="00E66CE0" w:rsidP="00CD34A0">
            <w:pPr>
              <w:spacing w:after="0" w:line="240" w:lineRule="auto"/>
              <w:rPr>
                <w:rFonts w:ascii="Bodoni MT" w:eastAsia="Times New Roman" w:hAnsi="Bodoni MT" w:cs="Calibri"/>
                <w:iCs/>
                <w:sz w:val="18"/>
                <w:szCs w:val="18"/>
                <w:lang w:eastAsia="it-IT"/>
              </w:rPr>
            </w:pPr>
            <w:r w:rsidRPr="00E66CE0">
              <w:rPr>
                <w:rFonts w:ascii="Bodoni MT" w:eastAsia="Times New Roman" w:hAnsi="Bodoni MT" w:cs="Calibri"/>
                <w:iCs/>
                <w:sz w:val="18"/>
                <w:szCs w:val="18"/>
                <w:lang w:eastAsia="it-IT"/>
              </w:rPr>
              <w:t>Proventi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jc w:val="center"/>
              <w:rPr>
                <w:rFonts w:ascii="Calibri" w:eastAsia="Times New Roman" w:hAnsi="Calibri" w:cs="Calibri"/>
                <w:sz w:val="18"/>
                <w:szCs w:val="18"/>
                <w:lang w:eastAsia="it-IT"/>
              </w:rPr>
            </w:pP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19</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sz w:val="18"/>
                <w:szCs w:val="18"/>
                <w:lang w:eastAsia="it-IT"/>
              </w:rPr>
            </w:pPr>
            <w:r w:rsidRPr="00D1344C">
              <w:rPr>
                <w:rFonts w:ascii="Bodoni MT" w:eastAsia="Times New Roman" w:hAnsi="Bodoni MT" w:cs="Calibri"/>
                <w:sz w:val="18"/>
                <w:szCs w:val="18"/>
                <w:lang w:eastAsia="it-IT"/>
              </w:rPr>
              <w:t>Proventi da partecipazioni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D1344C">
              <w:rPr>
                <w:rFonts w:ascii="Bodoni MT" w:eastAsia="Times New Roman" w:hAnsi="Bodoni MT" w:cs="Calibri"/>
                <w:iCs/>
                <w:sz w:val="18"/>
                <w:szCs w:val="18"/>
                <w:lang w:eastAsia="it-IT"/>
              </w:rPr>
              <w:t>da società controllate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D1344C">
              <w:rPr>
                <w:rFonts w:ascii="Bodoni MT" w:eastAsia="Times New Roman" w:hAnsi="Bodoni MT" w:cs="Calibri"/>
                <w:iCs/>
                <w:sz w:val="18"/>
                <w:szCs w:val="18"/>
                <w:lang w:eastAsia="it-IT"/>
              </w:rPr>
              <w:t>da società partecipate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D1344C">
              <w:rPr>
                <w:rFonts w:ascii="Bodoni MT" w:eastAsia="Times New Roman" w:hAnsi="Bodoni MT" w:cs="Calibri"/>
                <w:iCs/>
                <w:sz w:val="18"/>
                <w:szCs w:val="18"/>
                <w:lang w:eastAsia="it-IT"/>
              </w:rPr>
              <w:t>da altri soggetti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20</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Altri proventi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9.251.207,00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proventi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9.251.207,00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E66CE0" w:rsidRDefault="00E66CE0" w:rsidP="00CD34A0">
            <w:pPr>
              <w:spacing w:after="0" w:line="240" w:lineRule="auto"/>
              <w:rPr>
                <w:rFonts w:ascii="Bodoni MT" w:eastAsia="Times New Roman" w:hAnsi="Bodoni MT" w:cs="Calibri"/>
                <w:iCs/>
                <w:sz w:val="18"/>
                <w:szCs w:val="18"/>
                <w:lang w:eastAsia="it-IT"/>
              </w:rPr>
            </w:pPr>
            <w:r w:rsidRPr="00E66CE0">
              <w:rPr>
                <w:rFonts w:ascii="Bodoni MT" w:eastAsia="Times New Roman" w:hAnsi="Bodoni MT" w:cs="Calibri"/>
                <w:iCs/>
                <w:sz w:val="18"/>
                <w:szCs w:val="18"/>
                <w:lang w:eastAsia="it-IT"/>
              </w:rPr>
              <w:t>Oneri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21</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sz w:val="18"/>
                <w:szCs w:val="18"/>
                <w:lang w:eastAsia="it-IT"/>
              </w:rPr>
            </w:pPr>
            <w:r w:rsidRPr="00D1344C">
              <w:rPr>
                <w:rFonts w:ascii="Bodoni MT" w:eastAsia="Times New Roman" w:hAnsi="Bodoni MT" w:cs="Calibri"/>
                <w:sz w:val="18"/>
                <w:szCs w:val="18"/>
                <w:lang w:eastAsia="it-IT"/>
              </w:rPr>
              <w:t>Interessi ed altri oneri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43.607.801,00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D1344C">
              <w:rPr>
                <w:rFonts w:ascii="Bodoni MT" w:eastAsia="Times New Roman" w:hAnsi="Bodoni MT" w:cs="Calibri"/>
                <w:iCs/>
                <w:sz w:val="18"/>
                <w:szCs w:val="18"/>
                <w:lang w:eastAsia="it-IT"/>
              </w:rPr>
              <w:t>Interessi passivi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42.663.460,00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D1344C">
              <w:rPr>
                <w:rFonts w:ascii="Bodoni MT" w:eastAsia="Times New Roman" w:hAnsi="Bodoni MT" w:cs="Calibri"/>
                <w:iCs/>
                <w:sz w:val="18"/>
                <w:szCs w:val="18"/>
                <w:lang w:eastAsia="it-IT"/>
              </w:rPr>
              <w:t>Altri oneri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944.341,00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oneri finanziari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43.607.801,00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 xml:space="preserve">TOTALE PROVENTI ED ONERI FINANZIARI (C) </w:t>
            </w:r>
          </w:p>
        </w:tc>
        <w:tc>
          <w:tcPr>
            <w:tcW w:w="85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-34.356.594,00</w:t>
            </w:r>
          </w:p>
        </w:tc>
      </w:tr>
      <w:tr w:rsidR="00302EFC" w:rsidRPr="00CD34A0" w:rsidTr="00302EFC">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302EFC" w:rsidRPr="00CD34A0" w:rsidRDefault="00302EFC" w:rsidP="00E66CE0">
            <w:pPr>
              <w:spacing w:after="0" w:line="240" w:lineRule="auto"/>
              <w:jc w:val="center"/>
              <w:rPr>
                <w:rFonts w:ascii="Calibri" w:eastAsia="Times New Roman" w:hAnsi="Calibri" w:cs="Calibri"/>
                <w:b/>
                <w:bCs/>
                <w:sz w:val="18"/>
                <w:szCs w:val="18"/>
                <w:lang w:eastAsia="it-IT"/>
              </w:rPr>
            </w:pPr>
            <w:r w:rsidRPr="00CD34A0">
              <w:rPr>
                <w:rFonts w:ascii="Bodoni MT" w:eastAsia="Times New Roman" w:hAnsi="Bodoni MT" w:cs="Calibri"/>
                <w:b/>
                <w:bCs/>
                <w:sz w:val="18"/>
                <w:szCs w:val="18"/>
                <w:lang w:eastAsia="it-IT"/>
              </w:rPr>
              <w:t>D) RETTIFICHE DI VALORE ATTIVITA' FINANZIARIE</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22</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xml:space="preserve">Rivalutazioni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2.368.072,00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23</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Svalutazioni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11.165.381,00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RETTIFICHE (D)</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-8.797.309,00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CD34A0" w:rsidRDefault="00E66CE0" w:rsidP="00CD34A0">
            <w:pPr>
              <w:spacing w:after="0" w:line="240" w:lineRule="auto"/>
              <w:rPr>
                <w:rFonts w:ascii="Bodoni MT" w:eastAsia="Times New Roman" w:hAnsi="Bodoni MT" w:cs="Calibri"/>
                <w:b/>
                <w:bCs/>
                <w:sz w:val="18"/>
                <w:szCs w:val="18"/>
                <w:u w:val="single"/>
                <w:lang w:eastAsia="it-IT"/>
              </w:rPr>
            </w:pPr>
            <w:r w:rsidRPr="00E66CE0">
              <w:rPr>
                <w:rFonts w:ascii="Bodoni MT" w:eastAsia="Times New Roman" w:hAnsi="Bodoni MT" w:cs="Calibri"/>
                <w:b/>
                <w:bCs/>
                <w:sz w:val="18"/>
                <w:szCs w:val="18"/>
                <w:lang w:eastAsia="it-IT"/>
              </w:rPr>
              <w:t>E) PROVENTI ED ONERI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24</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CD34A0" w:rsidRDefault="00302EFC"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Proventi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203.002.228,00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D1344C">
              <w:rPr>
                <w:rFonts w:ascii="Bodoni MT" w:eastAsia="Times New Roman" w:hAnsi="Bodoni MT" w:cs="Calibri"/>
                <w:iCs/>
                <w:sz w:val="18"/>
                <w:szCs w:val="18"/>
                <w:lang w:eastAsia="it-IT"/>
              </w:rPr>
              <w:t>Proventi da permessi di costruire</w:t>
            </w:r>
            <w:r w:rsidRPr="00D1344C">
              <w:rPr>
                <w:rFonts w:ascii="Bodoni MT" w:eastAsia="Times New Roman" w:hAnsi="Bodoni MT" w:cs="Calibri"/>
                <w:b/>
                <w:bCs/>
                <w:iCs/>
                <w:sz w:val="18"/>
                <w:szCs w:val="18"/>
                <w:lang w:eastAsia="it-IT"/>
              </w:rPr>
              <w:t xml:space="preserve">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D1344C">
              <w:rPr>
                <w:rFonts w:ascii="Bodoni MT" w:eastAsia="Times New Roman" w:hAnsi="Bodoni MT" w:cs="Calibri"/>
                <w:iCs/>
                <w:sz w:val="18"/>
                <w:szCs w:val="18"/>
                <w:lang w:eastAsia="it-IT"/>
              </w:rPr>
              <w:t>Proventi da trasferimenti in conto capitale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3.639.354,00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D1344C">
              <w:rPr>
                <w:rFonts w:ascii="Bodoni MT" w:eastAsia="Times New Roman" w:hAnsi="Bodoni MT" w:cs="Calibri"/>
                <w:iCs/>
                <w:sz w:val="18"/>
                <w:szCs w:val="18"/>
                <w:lang w:eastAsia="it-IT"/>
              </w:rPr>
              <w:t>Sopravvenienze attive e insussistenze del passivo</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187.294.810,00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d) </w:t>
            </w:r>
            <w:r w:rsidRPr="00D1344C">
              <w:rPr>
                <w:rFonts w:ascii="Bodoni MT" w:eastAsia="Times New Roman" w:hAnsi="Bodoni MT" w:cs="Calibri"/>
                <w:iCs/>
                <w:sz w:val="18"/>
                <w:szCs w:val="18"/>
                <w:lang w:eastAsia="it-IT"/>
              </w:rPr>
              <w:t>Plusvalenze patrimoniali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3.357.232,00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e) </w:t>
            </w:r>
            <w:r w:rsidRPr="00D1344C">
              <w:rPr>
                <w:rFonts w:ascii="Bodoni MT" w:eastAsia="Times New Roman" w:hAnsi="Bodoni MT" w:cs="Calibri"/>
                <w:iCs/>
                <w:sz w:val="18"/>
                <w:szCs w:val="18"/>
                <w:lang w:eastAsia="it-IT"/>
              </w:rPr>
              <w:t>Altri proventi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8.710.832,00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proventi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203.002.228,00</w:t>
            </w:r>
          </w:p>
        </w:tc>
      </w:tr>
      <w:tr w:rsidR="00302EFC" w:rsidRPr="00CD34A0" w:rsidTr="00302EFC">
        <w:trPr>
          <w:trHeight w:val="20"/>
          <w:jc w:val="center"/>
        </w:trPr>
        <w:tc>
          <w:tcPr>
            <w:tcW w:w="447" w:type="pct"/>
            <w:vMerge w:val="restart"/>
            <w:tcBorders>
              <w:top w:val="single" w:sz="4" w:space="0" w:color="auto"/>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25</w:t>
            </w: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CD34A0" w:rsidRDefault="00302EFC" w:rsidP="00CD34A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Oneri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82.328.386,00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a) </w:t>
            </w:r>
            <w:r w:rsidRPr="00D1344C">
              <w:rPr>
                <w:rFonts w:ascii="Bodoni MT" w:eastAsia="Times New Roman" w:hAnsi="Bodoni MT" w:cs="Calibri"/>
                <w:iCs/>
                <w:sz w:val="18"/>
                <w:szCs w:val="18"/>
                <w:lang w:eastAsia="it-IT"/>
              </w:rPr>
              <w:t>Trasferimenti in conto capitale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3.828.809,00</w:t>
            </w:r>
          </w:p>
        </w:tc>
      </w:tr>
      <w:tr w:rsidR="00302EFC" w:rsidRPr="00CD34A0" w:rsidTr="00302EFC">
        <w:trPr>
          <w:trHeight w:val="20"/>
          <w:jc w:val="center"/>
        </w:trPr>
        <w:tc>
          <w:tcPr>
            <w:tcW w:w="447" w:type="pct"/>
            <w:vMerge/>
            <w:tcBorders>
              <w:left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b) </w:t>
            </w:r>
            <w:r w:rsidRPr="00D1344C">
              <w:rPr>
                <w:rFonts w:ascii="Bodoni MT" w:eastAsia="Times New Roman" w:hAnsi="Bodoni MT" w:cs="Calibri"/>
                <w:iCs/>
                <w:sz w:val="18"/>
                <w:szCs w:val="18"/>
                <w:lang w:eastAsia="it-IT"/>
              </w:rPr>
              <w:t>Sopravvenienze passive e insussistenze dell'attivo</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77.685.871,00</w:t>
            </w:r>
          </w:p>
        </w:tc>
      </w:tr>
      <w:tr w:rsidR="00302EFC" w:rsidRPr="00CD34A0" w:rsidTr="00302EFC">
        <w:trPr>
          <w:trHeight w:val="20"/>
          <w:jc w:val="center"/>
        </w:trPr>
        <w:tc>
          <w:tcPr>
            <w:tcW w:w="447" w:type="pct"/>
            <w:vMerge/>
            <w:tcBorders>
              <w:left w:val="single" w:sz="4" w:space="0" w:color="auto"/>
              <w:bottom w:val="single" w:sz="4" w:space="0" w:color="auto"/>
              <w:right w:val="single" w:sz="4" w:space="0" w:color="auto"/>
            </w:tcBorders>
            <w:shd w:val="clear" w:color="auto" w:fill="95B3D7" w:themeFill="accent1" w:themeFillTint="99"/>
            <w:noWrap/>
            <w:vAlign w:val="center"/>
            <w:hideMark/>
          </w:tcPr>
          <w:p w:rsidR="00302EFC" w:rsidRPr="00E66CE0" w:rsidRDefault="00302EFC"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EFC" w:rsidRPr="00D1344C" w:rsidRDefault="00302EFC"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c) </w:t>
            </w:r>
            <w:r w:rsidRPr="00D1344C">
              <w:rPr>
                <w:rFonts w:ascii="Bodoni MT" w:eastAsia="Times New Roman" w:hAnsi="Bodoni MT" w:cs="Calibri"/>
                <w:iCs/>
                <w:sz w:val="18"/>
                <w:szCs w:val="18"/>
                <w:lang w:eastAsia="it-IT"/>
              </w:rPr>
              <w:t>Minusvalenze patrimoniali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EFC" w:rsidRPr="00CD34A0" w:rsidRDefault="00302EFC"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813.706,00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6CE0" w:rsidRPr="00D1344C" w:rsidRDefault="00E66CE0" w:rsidP="00CD34A0">
            <w:pPr>
              <w:spacing w:after="0" w:line="240" w:lineRule="auto"/>
              <w:rPr>
                <w:rFonts w:ascii="Bodoni MT" w:eastAsia="Times New Roman" w:hAnsi="Bodoni MT" w:cs="Calibri"/>
                <w:iCs/>
                <w:sz w:val="18"/>
                <w:szCs w:val="18"/>
                <w:lang w:eastAsia="it-IT"/>
              </w:rPr>
            </w:pPr>
            <w:r>
              <w:rPr>
                <w:rFonts w:ascii="Bodoni MT" w:eastAsia="Times New Roman" w:hAnsi="Bodoni MT" w:cs="Calibri"/>
                <w:iCs/>
                <w:sz w:val="18"/>
                <w:szCs w:val="18"/>
                <w:lang w:eastAsia="it-IT"/>
              </w:rPr>
              <w:t xml:space="preserve">d) </w:t>
            </w:r>
            <w:r w:rsidRPr="00D1344C">
              <w:rPr>
                <w:rFonts w:ascii="Bodoni MT" w:eastAsia="Times New Roman" w:hAnsi="Bodoni MT" w:cs="Calibri"/>
                <w:iCs/>
                <w:sz w:val="18"/>
                <w:szCs w:val="18"/>
                <w:lang w:eastAsia="it-IT"/>
              </w:rPr>
              <w:t xml:space="preserve">Altri oneri straordinari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0,00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oneri straordinari</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82.328.386,00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TOTALE PROVENTI ED ONERI STRAORDINARI (E)</w:t>
            </w:r>
          </w:p>
        </w:tc>
        <w:tc>
          <w:tcPr>
            <w:tcW w:w="85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120.673.842,00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p>
        </w:tc>
        <w:tc>
          <w:tcPr>
            <w:tcW w:w="3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E66CE0">
            <w:pPr>
              <w:spacing w:after="0" w:line="240" w:lineRule="auto"/>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 xml:space="preserve">RISULTATO PRIMA DELLE IMPOSTE </w:t>
            </w:r>
            <w:r w:rsidRPr="00CD34A0">
              <w:rPr>
                <w:rFonts w:ascii="Bodoni MT" w:eastAsia="Times New Roman" w:hAnsi="Bodoni MT" w:cs="Calibri"/>
                <w:b/>
                <w:bCs/>
                <w:sz w:val="18"/>
                <w:szCs w:val="18"/>
                <w:lang w:eastAsia="it-IT"/>
              </w:rPr>
              <w:t>(A-B+C+D+E)</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917.209.323,00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26</w:t>
            </w:r>
          </w:p>
        </w:tc>
        <w:tc>
          <w:tcPr>
            <w:tcW w:w="37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66CE0" w:rsidRPr="00CD34A0" w:rsidRDefault="00E66CE0" w:rsidP="00E66CE0">
            <w:pPr>
              <w:spacing w:after="0" w:line="240" w:lineRule="auto"/>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xml:space="preserve">Imposte </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6CE0" w:rsidRPr="00CD34A0" w:rsidRDefault="00E66CE0" w:rsidP="00302EFC">
            <w:pPr>
              <w:spacing w:after="0" w:line="240" w:lineRule="auto"/>
              <w:jc w:val="right"/>
              <w:rPr>
                <w:rFonts w:ascii="Calibri" w:eastAsia="Times New Roman" w:hAnsi="Calibri" w:cs="Calibri"/>
                <w:sz w:val="18"/>
                <w:szCs w:val="18"/>
                <w:lang w:eastAsia="it-IT"/>
              </w:rPr>
            </w:pPr>
            <w:r w:rsidRPr="00CD34A0">
              <w:rPr>
                <w:rFonts w:ascii="Calibri" w:eastAsia="Times New Roman" w:hAnsi="Calibri" w:cs="Calibri"/>
                <w:sz w:val="18"/>
                <w:szCs w:val="18"/>
                <w:lang w:eastAsia="it-IT"/>
              </w:rPr>
              <w:t>15.489.961,00</w:t>
            </w:r>
          </w:p>
        </w:tc>
      </w:tr>
      <w:tr w:rsidR="00E66CE0" w:rsidRPr="00CD34A0" w:rsidTr="00302EFC">
        <w:trPr>
          <w:trHeight w:val="20"/>
          <w:jc w:val="center"/>
        </w:trPr>
        <w:tc>
          <w:tcPr>
            <w:tcW w:w="44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6CE0" w:rsidRPr="00E66CE0" w:rsidRDefault="00E66CE0" w:rsidP="00194841">
            <w:pPr>
              <w:spacing w:after="0" w:line="240" w:lineRule="auto"/>
              <w:jc w:val="center"/>
              <w:rPr>
                <w:rFonts w:ascii="Bodoni MT" w:eastAsia="Times New Roman" w:hAnsi="Bodoni MT" w:cs="Calibri"/>
                <w:color w:val="FFFFFF" w:themeColor="background1"/>
                <w:sz w:val="18"/>
                <w:szCs w:val="18"/>
                <w:lang w:eastAsia="it-IT"/>
              </w:rPr>
            </w:pPr>
            <w:r w:rsidRPr="00E66CE0">
              <w:rPr>
                <w:rFonts w:ascii="Bodoni MT" w:eastAsia="Times New Roman" w:hAnsi="Bodoni MT" w:cs="Calibri"/>
                <w:color w:val="FFFFFF" w:themeColor="background1"/>
                <w:sz w:val="18"/>
                <w:szCs w:val="18"/>
                <w:lang w:eastAsia="it-IT"/>
              </w:rPr>
              <w:t>27</w:t>
            </w:r>
          </w:p>
        </w:tc>
        <w:tc>
          <w:tcPr>
            <w:tcW w:w="3700"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66CE0" w:rsidRPr="00CD34A0" w:rsidRDefault="00E66CE0" w:rsidP="00CD34A0">
            <w:pPr>
              <w:spacing w:after="0" w:line="240" w:lineRule="auto"/>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RISULTATO DELL'ESERCIZIO</w:t>
            </w:r>
          </w:p>
        </w:tc>
        <w:tc>
          <w:tcPr>
            <w:tcW w:w="85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E66CE0" w:rsidRPr="00CD34A0" w:rsidRDefault="00E66CE0" w:rsidP="00302EFC">
            <w:pPr>
              <w:spacing w:after="0" w:line="240" w:lineRule="auto"/>
              <w:jc w:val="right"/>
              <w:rPr>
                <w:rFonts w:ascii="Calibri" w:eastAsia="Times New Roman" w:hAnsi="Calibri" w:cs="Calibri"/>
                <w:b/>
                <w:bCs/>
                <w:sz w:val="18"/>
                <w:szCs w:val="18"/>
                <w:lang w:eastAsia="it-IT"/>
              </w:rPr>
            </w:pPr>
            <w:r w:rsidRPr="00CD34A0">
              <w:rPr>
                <w:rFonts w:ascii="Calibri" w:eastAsia="Times New Roman" w:hAnsi="Calibri" w:cs="Calibri"/>
                <w:b/>
                <w:bCs/>
                <w:sz w:val="18"/>
                <w:szCs w:val="18"/>
                <w:lang w:eastAsia="it-IT"/>
              </w:rPr>
              <w:t>901.719.362,00</w:t>
            </w:r>
          </w:p>
        </w:tc>
      </w:tr>
    </w:tbl>
    <w:p w:rsidR="00CD34A0" w:rsidRPr="00E66CE0" w:rsidRDefault="00CD34A0" w:rsidP="00CD34A0">
      <w:pPr>
        <w:tabs>
          <w:tab w:val="left" w:pos="284"/>
          <w:tab w:val="left" w:pos="426"/>
        </w:tabs>
        <w:autoSpaceDE w:val="0"/>
        <w:autoSpaceDN w:val="0"/>
        <w:adjustRightInd w:val="0"/>
        <w:spacing w:after="120" w:line="360" w:lineRule="auto"/>
        <w:textAlignment w:val="center"/>
        <w:rPr>
          <w:rFonts w:ascii="Bodoni MT" w:eastAsia="Times New Roman" w:hAnsi="Bodoni MT" w:cs="Bodoni MT"/>
          <w:color w:val="000000"/>
          <w:sz w:val="18"/>
          <w:szCs w:val="18"/>
        </w:rPr>
      </w:pPr>
      <w:r w:rsidRPr="00E66CE0">
        <w:rPr>
          <w:rFonts w:ascii="Bodoni MT" w:eastAsia="Times New Roman" w:hAnsi="Bodoni MT" w:cs="Bodoni MT"/>
          <w:color w:val="000000"/>
          <w:sz w:val="18"/>
          <w:szCs w:val="18"/>
        </w:rPr>
        <w:t>Fonte RAS Rendiconto sulla gestione 2016 – Allegato 3.2</w:t>
      </w:r>
    </w:p>
    <w:p w:rsidR="00CD34A0" w:rsidRPr="00CD34A0" w:rsidRDefault="00CD34A0" w:rsidP="00302EFC">
      <w:pPr>
        <w:pStyle w:val="CdcTesto"/>
        <w:rPr>
          <w:rFonts w:eastAsia="Times New Roman"/>
        </w:rPr>
      </w:pPr>
      <w:r w:rsidRPr="00CD34A0">
        <w:rPr>
          <w:rFonts w:eastAsia="Times New Roman"/>
        </w:rPr>
        <w:t xml:space="preserve">Il conto economico evidenzia un </w:t>
      </w:r>
      <w:r w:rsidRPr="00CD34A0">
        <w:rPr>
          <w:rFonts w:eastAsia="Times New Roman"/>
          <w:b/>
        </w:rPr>
        <w:t>risultato positivo di € 901.719.362</w:t>
      </w:r>
      <w:r w:rsidRPr="00CD34A0">
        <w:rPr>
          <w:rFonts w:eastAsia="Times New Roman"/>
        </w:rPr>
        <w:t xml:space="preserve">, determinato dal risultato della gestione (€ </w:t>
      </w:r>
      <w:r w:rsidRPr="00CD34A0">
        <w:rPr>
          <w:rFonts w:eastAsia="Times New Roman"/>
          <w:bCs/>
        </w:rPr>
        <w:t>839.689.384</w:t>
      </w:r>
      <w:r w:rsidRPr="00CD34A0">
        <w:rPr>
          <w:rFonts w:eastAsia="Times New Roman"/>
        </w:rPr>
        <w:t>) solo in parte assorbito dai saldi negativi dei prove</w:t>
      </w:r>
      <w:r w:rsidR="00CD4593">
        <w:rPr>
          <w:rFonts w:eastAsia="Times New Roman"/>
        </w:rPr>
        <w:t>nti e oneri finanziari (€ </w:t>
      </w:r>
      <w:r w:rsidRPr="00CD34A0">
        <w:rPr>
          <w:rFonts w:eastAsia="Times New Roman"/>
          <w:bCs/>
        </w:rPr>
        <w:t>-34.356.594</w:t>
      </w:r>
      <w:r w:rsidRPr="00CD34A0">
        <w:rPr>
          <w:rFonts w:eastAsia="Times New Roman"/>
        </w:rPr>
        <w:t>), dalle rettifiche di va</w:t>
      </w:r>
      <w:r w:rsidR="00E66CE0">
        <w:rPr>
          <w:rFonts w:eastAsia="Times New Roman"/>
        </w:rPr>
        <w:t>lore di attività finanziarie (</w:t>
      </w:r>
      <w:r w:rsidRPr="00CD34A0">
        <w:rPr>
          <w:rFonts w:eastAsia="Times New Roman"/>
        </w:rPr>
        <w:t xml:space="preserve">€ </w:t>
      </w:r>
      <w:r w:rsidR="00E66CE0">
        <w:rPr>
          <w:rFonts w:eastAsia="Times New Roman"/>
          <w:bCs/>
        </w:rPr>
        <w:t>-</w:t>
      </w:r>
      <w:r w:rsidRPr="00CD34A0">
        <w:rPr>
          <w:rFonts w:eastAsia="Times New Roman"/>
          <w:bCs/>
        </w:rPr>
        <w:t>8.797.309</w:t>
      </w:r>
      <w:r w:rsidRPr="00CD34A0">
        <w:rPr>
          <w:rFonts w:eastAsia="Times New Roman"/>
        </w:rPr>
        <w:t xml:space="preserve">), riequilibrato dai proventi ed oneri straordinari (€ </w:t>
      </w:r>
      <w:r w:rsidRPr="00CD34A0">
        <w:rPr>
          <w:rFonts w:eastAsia="Times New Roman"/>
          <w:bCs/>
        </w:rPr>
        <w:t>120.673.842</w:t>
      </w:r>
      <w:r w:rsidRPr="00CD34A0">
        <w:rPr>
          <w:rFonts w:eastAsia="Times New Roman"/>
        </w:rPr>
        <w:t>), da cui si sottraggono le imposte (€ 15.489.961).</w:t>
      </w:r>
    </w:p>
    <w:p w:rsidR="00CD34A0" w:rsidRPr="00CD34A0" w:rsidRDefault="00CD34A0" w:rsidP="00302EFC">
      <w:pPr>
        <w:pStyle w:val="CdcTesto"/>
        <w:rPr>
          <w:rFonts w:eastAsia="Times New Roman"/>
        </w:rPr>
      </w:pPr>
      <w:r w:rsidRPr="00CD34A0">
        <w:rPr>
          <w:rFonts w:eastAsia="Times New Roman"/>
        </w:rPr>
        <w:t>Si riporta di seguito l’esame analitico dei principali componenti del conto economico, secondo le informazioni desunte dalla Nota integrativa.</w:t>
      </w:r>
    </w:p>
    <w:p w:rsidR="00CD34A0" w:rsidRPr="00CD34A0" w:rsidRDefault="00CD34A0" w:rsidP="00E66CE0">
      <w:pPr>
        <w:pStyle w:val="Titolo3"/>
        <w:rPr>
          <w:rFonts w:eastAsia="Times New Roman"/>
        </w:rPr>
      </w:pPr>
      <w:bookmarkStart w:id="342" w:name="_Toc507422687"/>
      <w:r w:rsidRPr="00CD34A0">
        <w:rPr>
          <w:rFonts w:eastAsia="Times New Roman"/>
        </w:rPr>
        <w:lastRenderedPageBreak/>
        <w:t>Componenti positivi della gestione</w:t>
      </w:r>
      <w:bookmarkEnd w:id="342"/>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Cs/>
          <w:color w:val="000000"/>
          <w:sz w:val="24"/>
          <w:szCs w:val="24"/>
        </w:rPr>
        <w:t>1) Proventi da tributi</w:t>
      </w:r>
      <w:r w:rsidRPr="00CD34A0">
        <w:rPr>
          <w:rFonts w:ascii="Bodoni MT" w:eastAsia="Times New Roman" w:hAnsi="Bodoni MT" w:cs="Bodoni MT"/>
          <w:i/>
          <w:iCs/>
          <w:color w:val="000000"/>
          <w:sz w:val="24"/>
          <w:szCs w:val="24"/>
        </w:rPr>
        <w:t xml:space="preserve">: </w:t>
      </w:r>
      <w:r w:rsidR="00E66CE0">
        <w:rPr>
          <w:rFonts w:ascii="Bodoni MT" w:eastAsia="Times New Roman" w:hAnsi="Bodoni MT" w:cs="Bodoni MT"/>
          <w:color w:val="000000"/>
          <w:sz w:val="24"/>
          <w:szCs w:val="24"/>
        </w:rPr>
        <w:t>ammontano a</w:t>
      </w:r>
      <w:r w:rsidRPr="00CD34A0">
        <w:rPr>
          <w:rFonts w:ascii="Bodoni MT" w:eastAsia="Times New Roman" w:hAnsi="Bodoni MT" w:cs="Bodoni MT"/>
          <w:color w:val="000000"/>
          <w:sz w:val="24"/>
          <w:szCs w:val="24"/>
        </w:rPr>
        <w:t xml:space="preserve"> € 6.973.199.419 e comprendono i proventi di natura tributaria (imposte, tasse, addizionali, compartecipazioni, ecc.) di competenza economica dell’esercizio, ovvero i tributi propri – IRAP, IRPEF e altri tributi minori – ed i tributi propri derivati (compartecipazione ai tributi statali) accertati in corso di esercizio in contabilità finanziaria</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Cs/>
          <w:color w:val="000000"/>
          <w:sz w:val="24"/>
          <w:szCs w:val="24"/>
        </w:rPr>
        <w:t>2) Proventi da trasferimenti e contributi</w:t>
      </w:r>
      <w:r w:rsidRPr="00CD34A0">
        <w:rPr>
          <w:rFonts w:ascii="Bodoni MT" w:eastAsia="Times New Roman" w:hAnsi="Bodoni MT" w:cs="Bodoni MT"/>
          <w:i/>
          <w:iCs/>
          <w:color w:val="000000"/>
          <w:sz w:val="24"/>
          <w:szCs w:val="24"/>
        </w:rPr>
        <w:t xml:space="preserve">: </w:t>
      </w:r>
      <w:r w:rsidR="00E6395B">
        <w:rPr>
          <w:rFonts w:ascii="Bodoni MT" w:eastAsia="Times New Roman" w:hAnsi="Bodoni MT" w:cs="Bodoni MT"/>
          <w:color w:val="000000"/>
          <w:sz w:val="24"/>
          <w:szCs w:val="24"/>
        </w:rPr>
        <w:t>ammontano a</w:t>
      </w:r>
      <w:r w:rsidRPr="00CD34A0">
        <w:rPr>
          <w:rFonts w:ascii="Bodoni MT" w:eastAsia="Times New Roman" w:hAnsi="Bodoni MT" w:cs="Bodoni MT"/>
          <w:color w:val="000000"/>
          <w:sz w:val="24"/>
          <w:szCs w:val="24"/>
        </w:rPr>
        <w:t xml:space="preserve"> € 1.128.272.469 e sono rifer</w:t>
      </w:r>
      <w:r w:rsidR="00E66CE0">
        <w:rPr>
          <w:rFonts w:ascii="Bodoni MT" w:eastAsia="Times New Roman" w:hAnsi="Bodoni MT" w:cs="Bodoni MT"/>
          <w:color w:val="000000"/>
          <w:sz w:val="24"/>
          <w:szCs w:val="24"/>
        </w:rPr>
        <w:t>iti per € </w:t>
      </w:r>
      <w:r w:rsidRPr="00CD34A0">
        <w:rPr>
          <w:rFonts w:ascii="Bodoni MT" w:eastAsia="Times New Roman" w:hAnsi="Bodoni MT" w:cs="Bodoni MT"/>
          <w:iCs/>
          <w:color w:val="000000"/>
          <w:sz w:val="24"/>
          <w:szCs w:val="24"/>
        </w:rPr>
        <w:t>294.552.284</w:t>
      </w:r>
      <w:r w:rsidRPr="00CD34A0">
        <w:rPr>
          <w:rFonts w:ascii="Bodoni MT" w:eastAsia="Times New Roman" w:hAnsi="Bodoni MT" w:cs="Bodoni MT"/>
          <w:i/>
          <w:iCs/>
          <w:color w:val="000000"/>
          <w:sz w:val="24"/>
          <w:szCs w:val="24"/>
        </w:rPr>
        <w:t xml:space="preserve"> </w:t>
      </w:r>
      <w:r w:rsidRPr="00CD34A0">
        <w:rPr>
          <w:rFonts w:ascii="Bodoni MT" w:eastAsia="Times New Roman" w:hAnsi="Bodoni MT" w:cs="Bodoni MT"/>
          <w:color w:val="000000"/>
          <w:sz w:val="24"/>
          <w:szCs w:val="24"/>
        </w:rPr>
        <w:t xml:space="preserve">ai trasferimenti correnti </w:t>
      </w:r>
      <w:r w:rsidRPr="00CD34A0">
        <w:rPr>
          <w:rFonts w:ascii="Bodoni MT" w:eastAsia="Times New Roman" w:hAnsi="Bodoni MT" w:cs="Bodoni MT"/>
          <w:iCs/>
          <w:color w:val="000000"/>
          <w:sz w:val="24"/>
          <w:szCs w:val="24"/>
        </w:rPr>
        <w:t xml:space="preserve">(la voce comprende tutti i proventi da trasferimenti correnti dallo Stato, dall’Unione europea, da organismi comunitari ed internazionali, da altre amministrazioni pubbliche e da altri soggetti, accertati nell’esercizio in contabilità finanziaria) </w:t>
      </w:r>
      <w:r w:rsidRPr="00CD34A0">
        <w:rPr>
          <w:rFonts w:ascii="Bodoni MT" w:eastAsia="Times New Roman" w:hAnsi="Bodoni MT" w:cs="Bodoni MT"/>
          <w:color w:val="000000"/>
          <w:sz w:val="24"/>
          <w:szCs w:val="24"/>
        </w:rPr>
        <w:t xml:space="preserve">e per € </w:t>
      </w:r>
      <w:r w:rsidRPr="00CD34A0">
        <w:rPr>
          <w:rFonts w:ascii="Bodoni MT" w:eastAsia="Times New Roman" w:hAnsi="Bodoni MT" w:cs="Bodoni MT"/>
          <w:iCs/>
          <w:color w:val="000000"/>
          <w:sz w:val="24"/>
          <w:szCs w:val="24"/>
        </w:rPr>
        <w:t xml:space="preserve">833.720.185 </w:t>
      </w:r>
      <w:r w:rsidRPr="00CD34A0">
        <w:rPr>
          <w:rFonts w:ascii="Bodoni MT" w:eastAsia="Times New Roman" w:hAnsi="Bodoni MT" w:cs="Bodoni MT"/>
          <w:color w:val="000000"/>
          <w:sz w:val="24"/>
          <w:szCs w:val="24"/>
        </w:rPr>
        <w:t>a contributi agli investimenti (la voce comprende principalmente risorse acquisite a titolo di contributo per finanziare investimenti di terzi e soltanto in minima parte è riferita ad investimenti della Regione: € 49.036.893 relativi ad investimenti in immobilizzazioni immateriali e € 186.290.286 relativi ad investimenti in immobilizzazioni materiali). I contributi agli investimenti ricevuti e destinati ad investimenti della Regione, non essendo possibile collegare tecnicamente l’acquisto del bene con l’entità del contributo, sono riportati per intero.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3) Ricavi delle vendite e prestazioni di servizi pubblici</w:t>
      </w:r>
      <w:r w:rsidRPr="00CD34A0">
        <w:rPr>
          <w:rFonts w:ascii="Bodoni MT" w:eastAsia="Times New Roman" w:hAnsi="Bodoni MT" w:cs="Bodoni MT"/>
          <w:i/>
          <w:iCs/>
          <w:color w:val="000000"/>
          <w:sz w:val="24"/>
          <w:szCs w:val="24"/>
        </w:rPr>
        <w:t xml:space="preserve">: </w:t>
      </w:r>
      <w:r w:rsidR="00E66CE0">
        <w:rPr>
          <w:rFonts w:ascii="Bodoni MT" w:eastAsia="Times New Roman" w:hAnsi="Bodoni MT" w:cs="Bodoni MT"/>
          <w:color w:val="000000"/>
          <w:sz w:val="24"/>
          <w:szCs w:val="24"/>
        </w:rPr>
        <w:t>ammontano a</w:t>
      </w:r>
      <w:r w:rsidRPr="00CD34A0">
        <w:rPr>
          <w:rFonts w:ascii="Bodoni MT" w:eastAsia="Times New Roman" w:hAnsi="Bodoni MT" w:cs="Bodoni MT"/>
          <w:color w:val="000000"/>
          <w:sz w:val="24"/>
          <w:szCs w:val="24"/>
        </w:rPr>
        <w:t xml:space="preserve"> € 5.512.249. La voce comprende i proventi derivanti dall’erogazione del servizio pubblico, sia esso istituzionale, a domanda individuale o produttivo, di competenza economica dell’esercizio quali canoni concessioni e fitti. Principalmente si tratta dei proventi deriv</w:t>
      </w:r>
      <w:r w:rsidR="00E66CE0">
        <w:rPr>
          <w:rFonts w:ascii="Bodoni MT" w:eastAsia="Times New Roman" w:hAnsi="Bodoni MT" w:cs="Bodoni MT"/>
          <w:color w:val="000000"/>
          <w:sz w:val="24"/>
          <w:szCs w:val="24"/>
        </w:rPr>
        <w:t>anti dalla gestione dei beni (€ </w:t>
      </w:r>
      <w:r w:rsidRPr="00CD34A0">
        <w:rPr>
          <w:rFonts w:ascii="Bodoni MT" w:eastAsia="Times New Roman" w:hAnsi="Bodoni MT" w:cs="Bodoni MT"/>
          <w:iCs/>
          <w:color w:val="000000"/>
          <w:sz w:val="24"/>
          <w:szCs w:val="24"/>
        </w:rPr>
        <w:t>5.085.578).</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 xml:space="preserve">4) Altri ricavi e proventi diversi: </w:t>
      </w:r>
      <w:r w:rsidR="00E66CE0">
        <w:rPr>
          <w:rFonts w:ascii="Bodoni MT" w:eastAsia="Times New Roman" w:hAnsi="Bodoni MT" w:cs="Bodoni MT"/>
          <w:iCs/>
          <w:color w:val="000000"/>
          <w:sz w:val="24"/>
          <w:szCs w:val="24"/>
        </w:rPr>
        <w:t>ammontano a</w:t>
      </w:r>
      <w:r w:rsidRPr="00CD34A0">
        <w:rPr>
          <w:rFonts w:ascii="Bodoni MT" w:eastAsia="Times New Roman" w:hAnsi="Bodoni MT" w:cs="Bodoni MT"/>
          <w:iCs/>
          <w:color w:val="000000"/>
          <w:sz w:val="24"/>
          <w:szCs w:val="24"/>
        </w:rPr>
        <w:t xml:space="preserve"> € 101.141.401. Si tratta di una voce avente natura residuale, relativa a proventi di competenza economica dell’esercizio, quali indennizzi assicurativi, sanzioni, rimborsi e recuperi vari.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Di seguito si r</w:t>
      </w:r>
      <w:r w:rsidR="00CD4593">
        <w:rPr>
          <w:rFonts w:ascii="Bodoni MT" w:eastAsia="Times New Roman" w:hAnsi="Bodoni MT" w:cs="Bodoni MT"/>
          <w:color w:val="000000"/>
          <w:sz w:val="24"/>
          <w:szCs w:val="24"/>
        </w:rPr>
        <w:t>iporta la tabella riepilogativa.</w:t>
      </w:r>
    </w:p>
    <w:p w:rsidR="008B0C9C" w:rsidRDefault="008B0C9C" w:rsidP="00E66CE0">
      <w:pPr>
        <w:pStyle w:val="Didascalia"/>
        <w:keepNext/>
      </w:pPr>
      <w:r>
        <w:br w:type="page"/>
      </w:r>
    </w:p>
    <w:p w:rsidR="00E66CE0" w:rsidRPr="00E66CE0" w:rsidRDefault="00E66CE0" w:rsidP="00E66CE0">
      <w:pPr>
        <w:pStyle w:val="Didascalia"/>
        <w:keepNext/>
      </w:pPr>
      <w:bookmarkStart w:id="343" w:name="_Toc507422561"/>
      <w:r>
        <w:lastRenderedPageBreak/>
        <w:t xml:space="preserve">Tabella </w:t>
      </w:r>
      <w:r w:rsidR="00B90472">
        <w:fldChar w:fldCharType="begin"/>
      </w:r>
      <w:r w:rsidR="00B90472">
        <w:instrText xml:space="preserve"> SEQ Tabella \* ARABIC </w:instrText>
      </w:r>
      <w:r w:rsidR="00B90472">
        <w:fldChar w:fldCharType="separate"/>
      </w:r>
      <w:r w:rsidR="008616B3">
        <w:rPr>
          <w:noProof/>
        </w:rPr>
        <w:t>93</w:t>
      </w:r>
      <w:r w:rsidR="00B90472">
        <w:rPr>
          <w:noProof/>
        </w:rPr>
        <w:fldChar w:fldCharType="end"/>
      </w:r>
      <w:r>
        <w:t xml:space="preserve"> - </w:t>
      </w:r>
      <w:r w:rsidRPr="00E66CE0">
        <w:rPr>
          <w:rFonts w:eastAsia="Times New Roman" w:cs="Calibri"/>
          <w:bCs w:val="0"/>
          <w:color w:val="000000"/>
          <w:sz w:val="24"/>
          <w:szCs w:val="24"/>
          <w:lang w:eastAsia="it-IT"/>
        </w:rPr>
        <w:t>Componenti positivi della gestione</w:t>
      </w:r>
      <w:bookmarkEnd w:id="343"/>
    </w:p>
    <w:tbl>
      <w:tblPr>
        <w:tblW w:w="5000" w:type="pct"/>
        <w:jc w:val="center"/>
        <w:tblCellMar>
          <w:left w:w="70" w:type="dxa"/>
          <w:right w:w="70" w:type="dxa"/>
        </w:tblCellMar>
        <w:tblLook w:val="04A0" w:firstRow="1" w:lastRow="0" w:firstColumn="1" w:lastColumn="0" w:noHBand="0" w:noVBand="1"/>
      </w:tblPr>
      <w:tblGrid>
        <w:gridCol w:w="7993"/>
        <w:gridCol w:w="1785"/>
      </w:tblGrid>
      <w:tr w:rsidR="00E66CE0" w:rsidRPr="00E66CE0" w:rsidTr="00E66CE0">
        <w:trPr>
          <w:trHeight w:val="300"/>
          <w:jc w:val="center"/>
        </w:trPr>
        <w:tc>
          <w:tcPr>
            <w:tcW w:w="4087"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hideMark/>
          </w:tcPr>
          <w:p w:rsidR="00CD34A0" w:rsidRPr="00E66CE0" w:rsidRDefault="00E66CE0" w:rsidP="00CD34A0">
            <w:pPr>
              <w:spacing w:after="0" w:line="240" w:lineRule="auto"/>
              <w:jc w:val="center"/>
              <w:rPr>
                <w:rFonts w:ascii="Bodoni MT" w:eastAsia="Times New Roman" w:hAnsi="Bodoni MT" w:cs="Calibri"/>
                <w:b/>
                <w:bCs/>
                <w:color w:val="FFFFFF" w:themeColor="background1"/>
                <w:sz w:val="20"/>
                <w:szCs w:val="20"/>
                <w:lang w:eastAsia="it-IT"/>
              </w:rPr>
            </w:pPr>
            <w:r w:rsidRPr="00E66CE0">
              <w:rPr>
                <w:rFonts w:ascii="Bodoni MT" w:eastAsia="Times New Roman" w:hAnsi="Bodoni MT" w:cs="Calibri"/>
                <w:b/>
                <w:bCs/>
                <w:color w:val="FFFFFF" w:themeColor="background1"/>
                <w:sz w:val="20"/>
                <w:szCs w:val="20"/>
                <w:lang w:eastAsia="it-IT"/>
              </w:rPr>
              <w:t xml:space="preserve">VOCI </w:t>
            </w:r>
          </w:p>
        </w:tc>
        <w:tc>
          <w:tcPr>
            <w:tcW w:w="913" w:type="pct"/>
            <w:tcBorders>
              <w:top w:val="single" w:sz="4" w:space="0" w:color="auto"/>
              <w:left w:val="nil"/>
              <w:bottom w:val="single" w:sz="4" w:space="0" w:color="auto"/>
              <w:right w:val="single" w:sz="4" w:space="0" w:color="auto"/>
            </w:tcBorders>
            <w:shd w:val="clear" w:color="auto" w:fill="0F243E" w:themeFill="text2" w:themeFillShade="80"/>
            <w:noWrap/>
            <w:vAlign w:val="bottom"/>
            <w:hideMark/>
          </w:tcPr>
          <w:p w:rsidR="00CD34A0" w:rsidRPr="00E66CE0" w:rsidRDefault="00CD34A0" w:rsidP="00CD34A0">
            <w:pPr>
              <w:spacing w:after="0" w:line="240" w:lineRule="auto"/>
              <w:jc w:val="center"/>
              <w:rPr>
                <w:rFonts w:ascii="Bodoni MT" w:eastAsia="Times New Roman" w:hAnsi="Bodoni MT" w:cs="Calibri"/>
                <w:b/>
                <w:bCs/>
                <w:color w:val="FFFFFF" w:themeColor="background1"/>
                <w:sz w:val="20"/>
                <w:szCs w:val="20"/>
                <w:lang w:eastAsia="it-IT"/>
              </w:rPr>
            </w:pPr>
            <w:r w:rsidRPr="00E66CE0">
              <w:rPr>
                <w:rFonts w:ascii="Bodoni MT" w:eastAsia="Times New Roman" w:hAnsi="Bodoni MT" w:cs="Calibri"/>
                <w:b/>
                <w:bCs/>
                <w:color w:val="FFFFFF" w:themeColor="background1"/>
                <w:sz w:val="20"/>
                <w:szCs w:val="20"/>
                <w:lang w:eastAsia="it-IT"/>
              </w:rPr>
              <w:t>31/12/2016</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1 Proventi da tributi</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6.973.199.419</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2 Proventi da fondi perequativi</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 </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3 Proventi da trasferimenti e contributi</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1.128.272.469</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iCs/>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a</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Proventi da trasferimenti correnti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294.552.284</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b</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Quota annuale di contributi agli investimenti</w:t>
            </w:r>
            <w:r w:rsidRPr="00CD4593">
              <w:rPr>
                <w:rFonts w:ascii="Bodoni MT" w:eastAsia="Times New Roman" w:hAnsi="Bodoni MT" w:cs="Calibri"/>
                <w:color w:val="FFFFFF" w:themeColor="background1"/>
                <w:sz w:val="20"/>
                <w:szCs w:val="20"/>
                <w:lang w:eastAsia="it-IT"/>
              </w:rPr>
              <w:t xml:space="preserve">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0</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iCs/>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c</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Contributi agli investimenti</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833.720.185</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 xml:space="preserve">4 Ricavi delle vendite e prestazioni e proventi da servizi pubblici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5.512.249</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iCs/>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a</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Proventi derivanti dalla gestione dei beni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5.085.578</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b</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Ricavi della vendita di beni</w:t>
            </w:r>
            <w:r w:rsidRPr="00CD4593">
              <w:rPr>
                <w:rFonts w:ascii="Bodoni MT" w:eastAsia="Times New Roman" w:hAnsi="Bodoni MT" w:cs="Calibri"/>
                <w:color w:val="FFFFFF" w:themeColor="background1"/>
                <w:sz w:val="20"/>
                <w:szCs w:val="20"/>
                <w:lang w:eastAsia="it-IT"/>
              </w:rPr>
              <w:t xml:space="preserve">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147.072</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iCs/>
                <w:color w:val="FFFFFF" w:themeColor="background1"/>
                <w:sz w:val="20"/>
                <w:szCs w:val="20"/>
                <w:lang w:eastAsia="it-IT"/>
              </w:rPr>
            </w:pPr>
            <w:r w:rsidRPr="00CD4593">
              <w:rPr>
                <w:rFonts w:ascii="Bodoni MT" w:eastAsia="Times New Roman" w:hAnsi="Bodoni MT" w:cs="Calibri"/>
                <w:iCs/>
                <w:color w:val="FFFFFF" w:themeColor="background1"/>
                <w:sz w:val="20"/>
                <w:szCs w:val="20"/>
                <w:lang w:eastAsia="it-IT"/>
              </w:rPr>
              <w:t>c</w:t>
            </w:r>
            <w:r w:rsidR="00D1154C" w:rsidRPr="00CD4593">
              <w:rPr>
                <w:rFonts w:ascii="Bodoni MT" w:eastAsia="Times New Roman" w:hAnsi="Bodoni MT" w:cs="Calibri"/>
                <w:iCs/>
                <w:color w:val="FFFFFF" w:themeColor="background1"/>
                <w:sz w:val="20"/>
                <w:szCs w:val="20"/>
                <w:lang w:eastAsia="it-IT"/>
              </w:rPr>
              <w:t>)</w:t>
            </w:r>
            <w:r w:rsidRPr="00CD4593">
              <w:rPr>
                <w:rFonts w:ascii="Bodoni MT" w:eastAsia="Times New Roman" w:hAnsi="Bodoni MT" w:cs="Calibri"/>
                <w:iCs/>
                <w:color w:val="FFFFFF" w:themeColor="background1"/>
                <w:sz w:val="20"/>
                <w:szCs w:val="20"/>
                <w:lang w:eastAsia="it-IT"/>
              </w:rPr>
              <w:t xml:space="preserve"> Ricavi e proventi dalla prestazione di servizi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279.599</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5 Variazioni nelle rimanenze</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 </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6 Variazione dei lavori in corso su ordinazione</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 </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7 Incrementi di immobilizzazioni per lavori interni</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 </w:t>
            </w:r>
          </w:p>
        </w:tc>
      </w:tr>
      <w:tr w:rsidR="00CD34A0" w:rsidRPr="00E66CE0" w:rsidTr="00302EFC">
        <w:trPr>
          <w:trHeight w:val="300"/>
          <w:jc w:val="center"/>
        </w:trPr>
        <w:tc>
          <w:tcPr>
            <w:tcW w:w="4087"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color w:val="FFFFFF" w:themeColor="background1"/>
                <w:sz w:val="20"/>
                <w:szCs w:val="20"/>
                <w:lang w:eastAsia="it-IT"/>
              </w:rPr>
            </w:pPr>
            <w:r w:rsidRPr="00CD4593">
              <w:rPr>
                <w:rFonts w:ascii="Bodoni MT" w:eastAsia="Times New Roman" w:hAnsi="Bodoni MT" w:cs="Calibri"/>
                <w:color w:val="FFFFFF" w:themeColor="background1"/>
                <w:sz w:val="20"/>
                <w:szCs w:val="20"/>
                <w:lang w:eastAsia="it-IT"/>
              </w:rPr>
              <w:t xml:space="preserve">8 Altri ricavi e proventi diversi </w:t>
            </w:r>
          </w:p>
        </w:tc>
        <w:tc>
          <w:tcPr>
            <w:tcW w:w="913" w:type="pct"/>
            <w:tcBorders>
              <w:top w:val="nil"/>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color w:val="000000"/>
                <w:sz w:val="18"/>
                <w:szCs w:val="18"/>
                <w:lang w:eastAsia="it-IT"/>
              </w:rPr>
            </w:pPr>
            <w:r w:rsidRPr="00302EFC">
              <w:rPr>
                <w:rFonts w:ascii="Calibri" w:eastAsia="Times New Roman" w:hAnsi="Calibri" w:cs="Calibri"/>
                <w:color w:val="000000"/>
                <w:sz w:val="18"/>
                <w:szCs w:val="18"/>
                <w:lang w:eastAsia="it-IT"/>
              </w:rPr>
              <w:t>101.141.401</w:t>
            </w:r>
          </w:p>
        </w:tc>
      </w:tr>
      <w:tr w:rsidR="00CD34A0" w:rsidRPr="00E66CE0" w:rsidTr="00302EFC">
        <w:trPr>
          <w:trHeight w:val="300"/>
          <w:jc w:val="center"/>
        </w:trPr>
        <w:tc>
          <w:tcPr>
            <w:tcW w:w="4087"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CD4593" w:rsidRDefault="00CD34A0" w:rsidP="00302EFC">
            <w:pPr>
              <w:spacing w:after="0" w:line="240" w:lineRule="auto"/>
              <w:rPr>
                <w:rFonts w:ascii="Bodoni MT" w:eastAsia="Times New Roman" w:hAnsi="Bodoni MT" w:cs="Calibri"/>
                <w:b/>
                <w:bCs/>
                <w:color w:val="FFFFFF" w:themeColor="background1"/>
                <w:sz w:val="20"/>
                <w:szCs w:val="20"/>
                <w:lang w:eastAsia="it-IT"/>
              </w:rPr>
            </w:pPr>
            <w:r w:rsidRPr="00CD4593">
              <w:rPr>
                <w:rFonts w:ascii="Bodoni MT" w:eastAsia="Times New Roman" w:hAnsi="Bodoni MT" w:cs="Calibri"/>
                <w:b/>
                <w:bCs/>
                <w:color w:val="FFFFFF" w:themeColor="background1"/>
                <w:sz w:val="20"/>
                <w:szCs w:val="20"/>
                <w:lang w:eastAsia="it-IT"/>
              </w:rPr>
              <w:t xml:space="preserve">A) Totale Componenti positivi della gestione </w:t>
            </w:r>
          </w:p>
        </w:tc>
        <w:tc>
          <w:tcPr>
            <w:tcW w:w="91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CD34A0" w:rsidRPr="00302EFC" w:rsidRDefault="00CD34A0" w:rsidP="00302EFC">
            <w:pPr>
              <w:spacing w:after="0" w:line="240" w:lineRule="auto"/>
              <w:jc w:val="right"/>
              <w:rPr>
                <w:rFonts w:ascii="Calibri" w:eastAsia="Times New Roman" w:hAnsi="Calibri" w:cs="Calibri"/>
                <w:b/>
                <w:bCs/>
                <w:color w:val="000000"/>
                <w:sz w:val="18"/>
                <w:szCs w:val="18"/>
                <w:lang w:eastAsia="it-IT"/>
              </w:rPr>
            </w:pPr>
            <w:r w:rsidRPr="00302EFC">
              <w:rPr>
                <w:rFonts w:ascii="Calibri" w:eastAsia="Times New Roman" w:hAnsi="Calibri" w:cs="Calibri"/>
                <w:b/>
                <w:bCs/>
                <w:color w:val="000000"/>
                <w:sz w:val="18"/>
                <w:szCs w:val="18"/>
                <w:lang w:eastAsia="it-IT"/>
              </w:rPr>
              <w:t>8.208.125.538</w:t>
            </w:r>
          </w:p>
        </w:tc>
      </w:tr>
    </w:tbl>
    <w:p w:rsidR="00D1154C" w:rsidRPr="00D1154C" w:rsidRDefault="00D1154C"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iCs/>
          <w:color w:val="000000"/>
          <w:sz w:val="24"/>
          <w:szCs w:val="24"/>
        </w:rPr>
      </w:pPr>
      <w:r w:rsidRPr="00D1154C">
        <w:rPr>
          <w:rFonts w:ascii="Bodoni MT" w:eastAsia="Times New Roman" w:hAnsi="Bodoni MT" w:cs="Bodoni MT"/>
          <w:color w:val="000000"/>
          <w:sz w:val="18"/>
          <w:szCs w:val="18"/>
        </w:rPr>
        <w:t>Fonte RAS Rendiconto sulla gestione 2016 – Allegato 3.2</w:t>
      </w:r>
    </w:p>
    <w:p w:rsidR="00CD34A0" w:rsidRPr="00CD34A0" w:rsidRDefault="00CD34A0" w:rsidP="00D1154C">
      <w:pPr>
        <w:pStyle w:val="Titolo3"/>
        <w:rPr>
          <w:rFonts w:eastAsia="Times New Roman"/>
        </w:rPr>
      </w:pPr>
      <w:bookmarkStart w:id="344" w:name="_Toc507422688"/>
      <w:r w:rsidRPr="00CD34A0">
        <w:rPr>
          <w:rFonts w:eastAsia="Times New Roman"/>
        </w:rPr>
        <w:t>Com</w:t>
      </w:r>
      <w:r w:rsidR="00D1154C">
        <w:rPr>
          <w:rFonts w:eastAsia="Times New Roman"/>
        </w:rPr>
        <w:t>ponenti negativi della gestione</w:t>
      </w:r>
      <w:bookmarkEnd w:id="344"/>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1) Acquisto di materie prime e/o beni di consumo:</w:t>
      </w:r>
      <w:r w:rsidRPr="00CD34A0">
        <w:rPr>
          <w:rFonts w:ascii="Bodoni MT" w:eastAsia="Times New Roman" w:hAnsi="Bodoni MT" w:cs="Bodoni MT"/>
          <w:i/>
          <w:iCs/>
          <w:color w:val="000000"/>
          <w:sz w:val="24"/>
          <w:szCs w:val="24"/>
        </w:rPr>
        <w:t xml:space="preserve"> </w:t>
      </w:r>
      <w:r w:rsidR="00D1154C">
        <w:rPr>
          <w:rFonts w:ascii="Bodoni MT" w:eastAsia="Times New Roman" w:hAnsi="Bodoni MT" w:cs="Bodoni MT"/>
          <w:iCs/>
          <w:color w:val="000000"/>
          <w:sz w:val="24"/>
          <w:szCs w:val="24"/>
        </w:rPr>
        <w:t>i costi ammontano a</w:t>
      </w:r>
      <w:r w:rsidRPr="00CD34A0">
        <w:rPr>
          <w:rFonts w:ascii="Bodoni MT" w:eastAsia="Times New Roman" w:hAnsi="Bodoni MT" w:cs="Bodoni MT"/>
          <w:iCs/>
          <w:color w:val="000000"/>
          <w:sz w:val="24"/>
          <w:szCs w:val="24"/>
        </w:rPr>
        <w:t xml:space="preserve"> € 2.167.598; sono iscritti in tale voce i costi per l’acquisto di giornali, riviste, pubblicazioni, cancelleria, carburanti, equipaggiamenti vari, materiale informatico ed altri beni di consumo.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Cs/>
          <w:color w:val="000000"/>
          <w:sz w:val="24"/>
          <w:szCs w:val="24"/>
        </w:rPr>
        <w:t>2) Prestazioni di servizi:</w:t>
      </w:r>
      <w:r w:rsidRPr="00CD34A0">
        <w:rPr>
          <w:rFonts w:ascii="Bodoni MT" w:eastAsia="Times New Roman" w:hAnsi="Bodoni MT" w:cs="Bodoni MT"/>
          <w:i/>
          <w:iCs/>
          <w:color w:val="000000"/>
          <w:sz w:val="24"/>
          <w:szCs w:val="24"/>
        </w:rPr>
        <w:t xml:space="preserve"> </w:t>
      </w:r>
      <w:r w:rsidRPr="00CD34A0">
        <w:rPr>
          <w:rFonts w:ascii="Bodoni MT" w:eastAsia="Times New Roman" w:hAnsi="Bodoni MT" w:cs="Bodoni MT"/>
          <w:color w:val="000000"/>
          <w:sz w:val="24"/>
          <w:szCs w:val="24"/>
        </w:rPr>
        <w:t>i costi ammon</w:t>
      </w:r>
      <w:r w:rsidR="00D1154C">
        <w:rPr>
          <w:rFonts w:ascii="Bodoni MT" w:eastAsia="Times New Roman" w:hAnsi="Bodoni MT" w:cs="Bodoni MT"/>
          <w:color w:val="000000"/>
          <w:sz w:val="24"/>
          <w:szCs w:val="24"/>
        </w:rPr>
        <w:t>tano a</w:t>
      </w:r>
      <w:r w:rsidRPr="00CD34A0">
        <w:rPr>
          <w:rFonts w:ascii="Bodoni MT" w:eastAsia="Times New Roman" w:hAnsi="Bodoni MT" w:cs="Bodoni MT"/>
          <w:color w:val="000000"/>
          <w:sz w:val="24"/>
          <w:szCs w:val="24"/>
        </w:rPr>
        <w:t xml:space="preserve"> € 478.301.643; nella voce sono compresi i costi relativi a organi istituzionali, pubblicità, manifestazioni e convegni, telefonia, energia, acqua, manutenzioni, consulenze, servizi di trasporto pubblico e tutti gli altri costi riconducibili a prestazione di servizi.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 xml:space="preserve">3) Utilizzo beni di terzi: </w:t>
      </w:r>
      <w:r w:rsidRPr="00CD34A0">
        <w:rPr>
          <w:rFonts w:ascii="Bodoni MT" w:eastAsia="Times New Roman" w:hAnsi="Bodoni MT" w:cs="Bodoni MT"/>
          <w:iCs/>
          <w:color w:val="000000"/>
          <w:sz w:val="24"/>
          <w:szCs w:val="24"/>
        </w:rPr>
        <w:t>€ 4.661.717; si tratta di costi relativi a locazioni, noleggi e licenze d’uso software.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4) Trasferimenti e contributi</w:t>
      </w:r>
      <w:r w:rsidRPr="00CD34A0">
        <w:rPr>
          <w:rFonts w:ascii="Bodoni MT" w:eastAsia="Times New Roman" w:hAnsi="Bodoni MT" w:cs="Bodoni MT"/>
          <w:i/>
          <w:iCs/>
          <w:color w:val="000000"/>
          <w:sz w:val="24"/>
          <w:szCs w:val="24"/>
        </w:rPr>
        <w:t xml:space="preserve">: </w:t>
      </w:r>
      <w:r w:rsidR="00D1154C">
        <w:rPr>
          <w:rFonts w:ascii="Bodoni MT" w:eastAsia="Times New Roman" w:hAnsi="Bodoni MT" w:cs="Bodoni MT"/>
          <w:iCs/>
          <w:color w:val="000000"/>
          <w:sz w:val="24"/>
          <w:szCs w:val="24"/>
        </w:rPr>
        <w:t>ammontano complessivamente a</w:t>
      </w:r>
      <w:r w:rsidRPr="00CD34A0">
        <w:rPr>
          <w:rFonts w:ascii="Bodoni MT" w:eastAsia="Times New Roman" w:hAnsi="Bodoni MT" w:cs="Bodoni MT"/>
          <w:iCs/>
          <w:color w:val="000000"/>
          <w:sz w:val="24"/>
          <w:szCs w:val="24"/>
        </w:rPr>
        <w:t xml:space="preserve"> € 6.238.831.191, di</w:t>
      </w:r>
      <w:r w:rsidR="00D1154C">
        <w:rPr>
          <w:rFonts w:ascii="Bodoni MT" w:eastAsia="Times New Roman" w:hAnsi="Bodoni MT" w:cs="Bodoni MT"/>
          <w:iCs/>
          <w:color w:val="000000"/>
          <w:sz w:val="24"/>
          <w:szCs w:val="24"/>
        </w:rPr>
        <w:t xml:space="preserve"> cui € </w:t>
      </w:r>
      <w:r w:rsidRPr="00CD34A0">
        <w:rPr>
          <w:rFonts w:ascii="Bodoni MT" w:eastAsia="Times New Roman" w:hAnsi="Bodoni MT" w:cs="Bodoni MT"/>
          <w:iCs/>
          <w:color w:val="000000"/>
          <w:sz w:val="24"/>
          <w:szCs w:val="24"/>
        </w:rPr>
        <w:t>5.585.444.736 per trasferimenti correnti (comprende gli oneri per le risorse finanziarie correnti trasferite dalla Regione ad altre amministrazioni pubbliche o a privati senza controprestazione oppure in conto esercizio. Si tratta principalmente di trasferimenti agli Enti Locali, alle Aziende Sanitarie Locali per il finanziamento della spesa sanitaria, agli Enti regionali, al Consiglio regionale, alle società partecipate e di contributi a società e associazioni private.); € 512.478.829 per contributi agli investimenti a pubbliche amministrazioni (Enti Locali, Aziende Sanitar</w:t>
      </w:r>
      <w:r w:rsidR="00302EFC">
        <w:rPr>
          <w:rFonts w:ascii="Bodoni MT" w:eastAsia="Times New Roman" w:hAnsi="Bodoni MT" w:cs="Bodoni MT"/>
          <w:iCs/>
          <w:color w:val="000000"/>
          <w:sz w:val="24"/>
          <w:szCs w:val="24"/>
        </w:rPr>
        <w:t xml:space="preserve">ie </w:t>
      </w:r>
      <w:r w:rsidR="00302EFC">
        <w:rPr>
          <w:rFonts w:ascii="Bodoni MT" w:eastAsia="Times New Roman" w:hAnsi="Bodoni MT" w:cs="Bodoni MT"/>
          <w:iCs/>
          <w:color w:val="000000"/>
          <w:sz w:val="24"/>
          <w:szCs w:val="24"/>
        </w:rPr>
        <w:lastRenderedPageBreak/>
        <w:t>Locali ed Enti regionali); e</w:t>
      </w:r>
      <w:r w:rsidRPr="00CD34A0">
        <w:rPr>
          <w:rFonts w:ascii="Bodoni MT" w:eastAsia="Times New Roman" w:hAnsi="Bodoni MT" w:cs="Bodoni MT"/>
          <w:iCs/>
          <w:color w:val="000000"/>
          <w:sz w:val="24"/>
          <w:szCs w:val="24"/>
        </w:rPr>
        <w:t xml:space="preserve"> € 140.907.626 per contributi agli investimenti ad altri soggetti (società commerciali, associazioni senza fini di lucro, famiglie).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Cs/>
          <w:color w:val="000000"/>
          <w:sz w:val="24"/>
          <w:szCs w:val="24"/>
        </w:rPr>
        <w:t>5) Personale</w:t>
      </w:r>
      <w:r w:rsidRPr="00CD34A0">
        <w:rPr>
          <w:rFonts w:ascii="Bodoni MT" w:eastAsia="Times New Roman" w:hAnsi="Bodoni MT" w:cs="Bodoni MT"/>
          <w:i/>
          <w:iCs/>
          <w:color w:val="000000"/>
          <w:sz w:val="24"/>
          <w:szCs w:val="24"/>
        </w:rPr>
        <w:t xml:space="preserve">: </w:t>
      </w:r>
      <w:r w:rsidRPr="00CD34A0">
        <w:rPr>
          <w:rFonts w:ascii="Bodoni MT" w:eastAsia="Times New Roman" w:hAnsi="Bodoni MT" w:cs="Bodoni MT"/>
          <w:color w:val="000000"/>
          <w:sz w:val="24"/>
          <w:szCs w:val="24"/>
        </w:rPr>
        <w:t>i cos</w:t>
      </w:r>
      <w:r w:rsidR="00495973">
        <w:rPr>
          <w:rFonts w:ascii="Bodoni MT" w:eastAsia="Times New Roman" w:hAnsi="Bodoni MT" w:cs="Bodoni MT"/>
          <w:color w:val="000000"/>
          <w:sz w:val="24"/>
          <w:szCs w:val="24"/>
        </w:rPr>
        <w:t>ti ammontano a</w:t>
      </w:r>
      <w:r w:rsidR="00D1154C">
        <w:rPr>
          <w:rFonts w:ascii="Bodoni MT" w:eastAsia="Times New Roman" w:hAnsi="Bodoni MT" w:cs="Bodoni MT"/>
          <w:color w:val="000000"/>
          <w:sz w:val="24"/>
          <w:szCs w:val="24"/>
        </w:rPr>
        <w:t xml:space="preserve"> € 233.635.326. </w:t>
      </w:r>
      <w:r w:rsidRPr="00CD34A0">
        <w:rPr>
          <w:rFonts w:ascii="Bodoni MT" w:eastAsia="Times New Roman" w:hAnsi="Bodoni MT" w:cs="Bodoni MT"/>
          <w:color w:val="000000"/>
          <w:sz w:val="24"/>
          <w:szCs w:val="24"/>
        </w:rPr>
        <w:t xml:space="preserve">La voce comprende i costi per il personale dipendente di competenza dell’esercizio (retribuzione, straordinari, indennità, oneri previdenziali e assicurativi a carico dell’ente, gli accantonamenti riguardanti il personale, trattamento di fine rapporto e simili). Il costo include le indennità di risultato e di rendimento di competenza economica dell’esercizio.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Di seguito si riporta la consistenza media del per</w:t>
      </w:r>
      <w:r w:rsidR="00302EFC">
        <w:rPr>
          <w:rFonts w:ascii="Bodoni MT" w:eastAsia="Times New Roman" w:hAnsi="Bodoni MT" w:cs="Bodoni MT"/>
          <w:color w:val="000000"/>
          <w:sz w:val="24"/>
          <w:szCs w:val="24"/>
        </w:rPr>
        <w:t>sonale articolata per categoria.</w:t>
      </w:r>
    </w:p>
    <w:tbl>
      <w:tblPr>
        <w:tblW w:w="5000" w:type="pct"/>
        <w:jc w:val="center"/>
        <w:tblCellMar>
          <w:left w:w="70" w:type="dxa"/>
          <w:right w:w="70" w:type="dxa"/>
        </w:tblCellMar>
        <w:tblLook w:val="04A0" w:firstRow="1" w:lastRow="0" w:firstColumn="1" w:lastColumn="0" w:noHBand="0" w:noVBand="1"/>
      </w:tblPr>
      <w:tblGrid>
        <w:gridCol w:w="8597"/>
        <w:gridCol w:w="1181"/>
      </w:tblGrid>
      <w:tr w:rsidR="00D1154C" w:rsidRPr="00495973" w:rsidTr="00D1154C">
        <w:trPr>
          <w:trHeight w:val="30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CD34A0" w:rsidRPr="00495973" w:rsidRDefault="00CD34A0" w:rsidP="00D1154C">
            <w:pPr>
              <w:spacing w:after="0" w:line="240" w:lineRule="auto"/>
              <w:jc w:val="center"/>
              <w:rPr>
                <w:rFonts w:ascii="Bodoni MT" w:eastAsia="Times New Roman" w:hAnsi="Bodoni MT" w:cs="Calibri"/>
                <w:b/>
                <w:bCs/>
                <w:color w:val="FFFFFF" w:themeColor="background1"/>
                <w:sz w:val="20"/>
                <w:szCs w:val="20"/>
                <w:lang w:eastAsia="it-IT"/>
              </w:rPr>
            </w:pPr>
            <w:r w:rsidRPr="00495973">
              <w:rPr>
                <w:rFonts w:ascii="Bodoni MT" w:eastAsia="Times New Roman" w:hAnsi="Bodoni MT" w:cs="Calibri"/>
                <w:b/>
                <w:bCs/>
                <w:color w:val="FFFFFF" w:themeColor="background1"/>
                <w:sz w:val="20"/>
                <w:szCs w:val="20"/>
                <w:lang w:eastAsia="it-IT"/>
              </w:rPr>
              <w:t>Unità di Personale</w:t>
            </w:r>
          </w:p>
        </w:tc>
      </w:tr>
      <w:tr w:rsidR="00CD34A0"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Dirigenti e struttura politica </w:t>
            </w:r>
          </w:p>
        </w:tc>
        <w:tc>
          <w:tcPr>
            <w:tcW w:w="604" w:type="pct"/>
            <w:tcBorders>
              <w:top w:val="nil"/>
              <w:left w:val="nil"/>
              <w:bottom w:val="single" w:sz="4" w:space="0" w:color="auto"/>
              <w:right w:val="single" w:sz="4" w:space="0" w:color="auto"/>
            </w:tcBorders>
            <w:shd w:val="clear" w:color="auto" w:fill="auto"/>
            <w:noWrap/>
            <w:vAlign w:val="bottom"/>
            <w:hideMark/>
          </w:tcPr>
          <w:p w:rsidR="00CD34A0" w:rsidRPr="00495973" w:rsidRDefault="00CD34A0" w:rsidP="00CD34A0">
            <w:pPr>
              <w:spacing w:after="0" w:line="240" w:lineRule="auto"/>
              <w:jc w:val="right"/>
              <w:rPr>
                <w:rFonts w:ascii="Calibri" w:eastAsia="Times New Roman" w:hAnsi="Calibri" w:cs="Calibri"/>
                <w:color w:val="000000"/>
                <w:sz w:val="20"/>
                <w:szCs w:val="20"/>
                <w:lang w:eastAsia="it-IT"/>
              </w:rPr>
            </w:pPr>
            <w:r w:rsidRPr="00495973">
              <w:rPr>
                <w:rFonts w:ascii="Calibri" w:eastAsia="Times New Roman" w:hAnsi="Calibri" w:cs="Calibri"/>
                <w:color w:val="000000"/>
                <w:sz w:val="20"/>
                <w:szCs w:val="20"/>
                <w:lang w:eastAsia="it-IT"/>
              </w:rPr>
              <w:t>175</w:t>
            </w:r>
          </w:p>
        </w:tc>
      </w:tr>
      <w:tr w:rsidR="00CD34A0"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Categoria A </w:t>
            </w:r>
          </w:p>
        </w:tc>
        <w:tc>
          <w:tcPr>
            <w:tcW w:w="604" w:type="pct"/>
            <w:tcBorders>
              <w:top w:val="nil"/>
              <w:left w:val="nil"/>
              <w:bottom w:val="single" w:sz="4" w:space="0" w:color="auto"/>
              <w:right w:val="single" w:sz="4" w:space="0" w:color="auto"/>
            </w:tcBorders>
            <w:shd w:val="clear" w:color="auto" w:fill="auto"/>
            <w:noWrap/>
            <w:vAlign w:val="bottom"/>
            <w:hideMark/>
          </w:tcPr>
          <w:p w:rsidR="00CD34A0" w:rsidRPr="00495973" w:rsidRDefault="00CD34A0" w:rsidP="00CD34A0">
            <w:pPr>
              <w:spacing w:after="0" w:line="240" w:lineRule="auto"/>
              <w:jc w:val="right"/>
              <w:rPr>
                <w:rFonts w:ascii="Calibri" w:eastAsia="Times New Roman" w:hAnsi="Calibri" w:cs="Calibri"/>
                <w:color w:val="000000"/>
                <w:sz w:val="20"/>
                <w:szCs w:val="20"/>
                <w:lang w:eastAsia="it-IT"/>
              </w:rPr>
            </w:pPr>
            <w:r w:rsidRPr="00495973">
              <w:rPr>
                <w:rFonts w:ascii="Calibri" w:eastAsia="Times New Roman" w:hAnsi="Calibri" w:cs="Calibri"/>
                <w:color w:val="000000"/>
                <w:sz w:val="20"/>
                <w:szCs w:val="20"/>
                <w:lang w:eastAsia="it-IT"/>
              </w:rPr>
              <w:t>170</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Categoria B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410</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Categoria C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663</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Categoria D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1.046</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Area A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945</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Area B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297</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Area C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62</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4593" w:rsidP="00CD4593">
            <w:pPr>
              <w:spacing w:after="0" w:line="240" w:lineRule="auto"/>
              <w:rPr>
                <w:rFonts w:ascii="Bodoni MT" w:eastAsia="Times New Roman" w:hAnsi="Bodoni MT" w:cs="Calibri"/>
                <w:b/>
                <w:bCs/>
                <w:color w:val="FFFFFF" w:themeColor="background1"/>
                <w:sz w:val="20"/>
                <w:szCs w:val="20"/>
                <w:lang w:eastAsia="it-IT"/>
              </w:rPr>
            </w:pPr>
            <w:r w:rsidRPr="00495973">
              <w:rPr>
                <w:rFonts w:ascii="Bodoni MT" w:eastAsia="Times New Roman" w:hAnsi="Bodoni MT" w:cs="Calibri"/>
                <w:b/>
                <w:bCs/>
                <w:color w:val="FFFFFF" w:themeColor="background1"/>
                <w:sz w:val="20"/>
                <w:szCs w:val="20"/>
                <w:lang w:eastAsia="it-IT"/>
              </w:rPr>
              <w:t xml:space="preserve">TOTALE UNITÀ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b/>
                <w:bCs/>
                <w:sz w:val="20"/>
                <w:szCs w:val="20"/>
                <w:lang w:eastAsia="it-IT"/>
              </w:rPr>
            </w:pPr>
            <w:r w:rsidRPr="00495973">
              <w:rPr>
                <w:rFonts w:ascii="Calibri" w:eastAsia="Times New Roman" w:hAnsi="Calibri" w:cs="Calibri"/>
                <w:b/>
                <w:bCs/>
                <w:sz w:val="20"/>
                <w:szCs w:val="20"/>
                <w:lang w:eastAsia="it-IT"/>
              </w:rPr>
              <w:t>3.768</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Unità non attribuite alle strutture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5</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Unità regionali comandate presso altre AP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86</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Unità L.R. n. 42/1989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383</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Unità Argea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208</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34A0" w:rsidP="00CD4593">
            <w:pPr>
              <w:spacing w:after="0" w:line="240" w:lineRule="auto"/>
              <w:rPr>
                <w:rFonts w:ascii="Bodoni MT" w:eastAsia="Times New Roman" w:hAnsi="Bodoni MT" w:cs="Calibri"/>
                <w:color w:val="FFFFFF" w:themeColor="background1"/>
                <w:sz w:val="20"/>
                <w:szCs w:val="20"/>
                <w:lang w:eastAsia="it-IT"/>
              </w:rPr>
            </w:pPr>
            <w:r w:rsidRPr="00495973">
              <w:rPr>
                <w:rFonts w:ascii="Bodoni MT" w:eastAsia="Times New Roman" w:hAnsi="Bodoni MT" w:cs="Calibri"/>
                <w:color w:val="FFFFFF" w:themeColor="background1"/>
                <w:sz w:val="20"/>
                <w:szCs w:val="20"/>
                <w:lang w:eastAsia="it-IT"/>
              </w:rPr>
              <w:t xml:space="preserve">Sindacati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sz w:val="20"/>
                <w:szCs w:val="20"/>
                <w:lang w:eastAsia="it-IT"/>
              </w:rPr>
            </w:pPr>
            <w:r w:rsidRPr="00495973">
              <w:rPr>
                <w:rFonts w:ascii="Calibri" w:eastAsia="Times New Roman" w:hAnsi="Calibri" w:cs="Calibri"/>
                <w:sz w:val="20"/>
                <w:szCs w:val="20"/>
                <w:lang w:eastAsia="it-IT"/>
              </w:rPr>
              <w:t>6</w:t>
            </w:r>
          </w:p>
        </w:tc>
      </w:tr>
      <w:tr w:rsidR="00CD4593" w:rsidRPr="00495973" w:rsidTr="00CD4593">
        <w:trPr>
          <w:trHeight w:val="300"/>
          <w:jc w:val="center"/>
        </w:trPr>
        <w:tc>
          <w:tcPr>
            <w:tcW w:w="4396"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495973" w:rsidRDefault="00CD4593" w:rsidP="00CD4593">
            <w:pPr>
              <w:spacing w:after="0" w:line="240" w:lineRule="auto"/>
              <w:rPr>
                <w:rFonts w:ascii="Bodoni MT" w:eastAsia="Times New Roman" w:hAnsi="Bodoni MT" w:cs="Calibri"/>
                <w:b/>
                <w:bCs/>
                <w:color w:val="FFFFFF" w:themeColor="background1"/>
                <w:sz w:val="20"/>
                <w:szCs w:val="20"/>
                <w:lang w:eastAsia="it-IT"/>
              </w:rPr>
            </w:pPr>
            <w:r w:rsidRPr="00495973">
              <w:rPr>
                <w:rFonts w:ascii="Bodoni MT" w:eastAsia="Times New Roman" w:hAnsi="Bodoni MT" w:cs="Calibri"/>
                <w:b/>
                <w:bCs/>
                <w:color w:val="FFFFFF" w:themeColor="background1"/>
                <w:sz w:val="20"/>
                <w:szCs w:val="20"/>
                <w:lang w:eastAsia="it-IT"/>
              </w:rPr>
              <w:t xml:space="preserve">TOTALE GENERALE </w:t>
            </w:r>
          </w:p>
        </w:tc>
        <w:tc>
          <w:tcPr>
            <w:tcW w:w="604" w:type="pct"/>
            <w:tcBorders>
              <w:top w:val="nil"/>
              <w:left w:val="nil"/>
              <w:bottom w:val="single" w:sz="4" w:space="0" w:color="auto"/>
              <w:right w:val="single" w:sz="4" w:space="0" w:color="auto"/>
            </w:tcBorders>
            <w:shd w:val="clear" w:color="auto" w:fill="FFFFFF" w:themeFill="background1"/>
            <w:noWrap/>
            <w:vAlign w:val="bottom"/>
            <w:hideMark/>
          </w:tcPr>
          <w:p w:rsidR="00CD34A0" w:rsidRPr="00495973" w:rsidRDefault="00CD34A0" w:rsidP="00CD34A0">
            <w:pPr>
              <w:spacing w:after="0" w:line="240" w:lineRule="auto"/>
              <w:jc w:val="right"/>
              <w:rPr>
                <w:rFonts w:ascii="Calibri" w:eastAsia="Times New Roman" w:hAnsi="Calibri" w:cs="Calibri"/>
                <w:b/>
                <w:bCs/>
                <w:sz w:val="20"/>
                <w:szCs w:val="20"/>
                <w:lang w:eastAsia="it-IT"/>
              </w:rPr>
            </w:pPr>
            <w:r w:rsidRPr="00495973">
              <w:rPr>
                <w:rFonts w:ascii="Calibri" w:eastAsia="Times New Roman" w:hAnsi="Calibri" w:cs="Calibri"/>
                <w:b/>
                <w:bCs/>
                <w:sz w:val="20"/>
                <w:szCs w:val="20"/>
                <w:lang w:eastAsia="it-IT"/>
              </w:rPr>
              <w:t>4.456</w:t>
            </w:r>
          </w:p>
        </w:tc>
      </w:tr>
    </w:tbl>
    <w:p w:rsidR="00CD34A0" w:rsidRPr="00D1154C" w:rsidRDefault="00D1154C"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D1154C">
        <w:rPr>
          <w:rFonts w:ascii="Bodoni MT" w:eastAsia="Times New Roman" w:hAnsi="Bodoni MT" w:cs="Bodoni MT"/>
          <w:color w:val="000000"/>
          <w:sz w:val="18"/>
          <w:szCs w:val="18"/>
        </w:rPr>
        <w:t>Fonte RAS Rendiconto sulla gestione 2016 – Allegato 3.2</w:t>
      </w:r>
    </w:p>
    <w:p w:rsidR="00CD34A0" w:rsidRPr="00CD34A0" w:rsidRDefault="00CD34A0" w:rsidP="00D1154C">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 xml:space="preserve">5) Ammortamenti e svalutazioni. </w:t>
      </w:r>
      <w:r w:rsidR="00D1154C">
        <w:rPr>
          <w:rFonts w:ascii="Bodoni MT" w:eastAsia="Times New Roman" w:hAnsi="Bodoni MT" w:cs="Bodoni MT"/>
          <w:iCs/>
          <w:color w:val="000000"/>
          <w:sz w:val="24"/>
          <w:szCs w:val="24"/>
        </w:rPr>
        <w:t>Ammontano a</w:t>
      </w:r>
      <w:r w:rsidRPr="00CD34A0">
        <w:rPr>
          <w:rFonts w:ascii="Bodoni MT" w:eastAsia="Times New Roman" w:hAnsi="Bodoni MT" w:cs="Bodoni MT"/>
          <w:iCs/>
          <w:color w:val="000000"/>
          <w:sz w:val="24"/>
          <w:szCs w:val="24"/>
        </w:rPr>
        <w:t xml:space="preserve"> € 47.330.425, di cui € 8.883.850 per ammortamenti di</w:t>
      </w:r>
      <w:r w:rsidR="00302EFC">
        <w:rPr>
          <w:rFonts w:ascii="Bodoni MT" w:eastAsia="Times New Roman" w:hAnsi="Bodoni MT" w:cs="Bodoni MT"/>
          <w:iCs/>
          <w:color w:val="000000"/>
          <w:sz w:val="24"/>
          <w:szCs w:val="24"/>
        </w:rPr>
        <w:t xml:space="preserve"> immobilizzazioni immateriali e</w:t>
      </w:r>
      <w:r w:rsidRPr="00CD34A0">
        <w:rPr>
          <w:rFonts w:ascii="Bodoni MT" w:eastAsia="Times New Roman" w:hAnsi="Bodoni MT" w:cs="Bodoni MT"/>
          <w:iCs/>
          <w:color w:val="000000"/>
          <w:sz w:val="24"/>
          <w:szCs w:val="24"/>
        </w:rPr>
        <w:t xml:space="preserve"> € 38.446.575 per ammortamenti di immobilizzazioni materiali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 xml:space="preserve">6) Variazioni di rimanenze di beni di consumo: </w:t>
      </w:r>
      <w:r w:rsidRPr="00CD34A0">
        <w:rPr>
          <w:rFonts w:ascii="Bodoni MT" w:eastAsia="Times New Roman" w:hAnsi="Bodoni MT" w:cs="Bodoni MT"/>
          <w:iCs/>
          <w:color w:val="000000"/>
          <w:sz w:val="24"/>
          <w:szCs w:val="24"/>
        </w:rPr>
        <w:t>l’importo è pari a € 415.586 ed esprime la variazione inventariale rilevata da considerarsi come rettifica del costo di acquisto di materie e beni di consumo per la determinazione del costo in termini di consumo effettivo.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Cs/>
          <w:color w:val="000000"/>
          <w:sz w:val="24"/>
          <w:szCs w:val="24"/>
        </w:rPr>
        <w:t>7) Accantonamenti per rischi</w:t>
      </w:r>
      <w:r w:rsidRPr="00CD34A0">
        <w:rPr>
          <w:rFonts w:ascii="Bodoni MT" w:eastAsia="Times New Roman" w:hAnsi="Bodoni MT" w:cs="Bodoni MT"/>
          <w:i/>
          <w:iCs/>
          <w:color w:val="000000"/>
          <w:sz w:val="24"/>
          <w:szCs w:val="24"/>
        </w:rPr>
        <w:t xml:space="preserve">: </w:t>
      </w:r>
      <w:r w:rsidR="00D1154C">
        <w:rPr>
          <w:rFonts w:ascii="Bodoni MT" w:eastAsia="Times New Roman" w:hAnsi="Bodoni MT" w:cs="Bodoni MT"/>
          <w:color w:val="000000"/>
          <w:sz w:val="24"/>
          <w:szCs w:val="24"/>
        </w:rPr>
        <w:t xml:space="preserve">ammontano a € 302.935.297; </w:t>
      </w:r>
      <w:r w:rsidRPr="00CD34A0">
        <w:rPr>
          <w:rFonts w:ascii="Bodoni MT" w:eastAsia="Times New Roman" w:hAnsi="Bodoni MT" w:cs="Bodoni MT"/>
          <w:color w:val="000000"/>
          <w:sz w:val="24"/>
          <w:szCs w:val="24"/>
        </w:rPr>
        <w:t>secondo quanto esposto nella Nota, sono stati accantonati al fine di fronteggiare rischi di varia natura inerenti passività potenziali, in applicazione del principio della competenza economica e della prudenza.</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8) Altri accantonamenti</w:t>
      </w:r>
      <w:r w:rsidRPr="00CD34A0">
        <w:rPr>
          <w:rFonts w:ascii="Bodoni MT" w:eastAsia="Times New Roman" w:hAnsi="Bodoni MT" w:cs="Bodoni MT"/>
          <w:color w:val="000000"/>
          <w:sz w:val="24"/>
          <w:szCs w:val="24"/>
        </w:rPr>
        <w:t>: € 26.898.688. La voce non risulta movimentata.</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lastRenderedPageBreak/>
        <w:t xml:space="preserve">9) Oneri diversi di gestione: </w:t>
      </w:r>
      <w:r w:rsidRPr="00CD34A0">
        <w:rPr>
          <w:rFonts w:ascii="Bodoni MT" w:eastAsia="Times New Roman" w:hAnsi="Bodoni MT" w:cs="Bodoni MT"/>
          <w:color w:val="000000"/>
          <w:sz w:val="24"/>
          <w:szCs w:val="24"/>
        </w:rPr>
        <w:t>€ 33.258.683 (oneri e i costi della gestione di competenza economica dell’esercizio non classificabili nelle voci precedenti, quali i tributi comunali sugli immobili, premi di assicurazione, oneri da contenzioso e vari costi).</w:t>
      </w:r>
    </w:p>
    <w:p w:rsidR="00CD34A0" w:rsidRPr="00D1154C"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Di seguito si riporta la tabella riepilogativa dei comp</w:t>
      </w:r>
      <w:r w:rsidR="00D1154C">
        <w:rPr>
          <w:rFonts w:ascii="Bodoni MT" w:eastAsia="Times New Roman" w:hAnsi="Bodoni MT" w:cs="Bodoni MT"/>
          <w:color w:val="000000"/>
          <w:sz w:val="24"/>
          <w:szCs w:val="24"/>
        </w:rPr>
        <w:t>onenti negativi della gestione:</w:t>
      </w:r>
    </w:p>
    <w:p w:rsidR="00D1154C" w:rsidRPr="00D1154C" w:rsidRDefault="00D1154C" w:rsidP="00D1154C">
      <w:pPr>
        <w:pStyle w:val="Didascalia"/>
        <w:keepNext/>
      </w:pPr>
      <w:bookmarkStart w:id="345" w:name="_Toc507422562"/>
      <w:r>
        <w:t xml:space="preserve">Tabella </w:t>
      </w:r>
      <w:r w:rsidR="00B90472">
        <w:fldChar w:fldCharType="begin"/>
      </w:r>
      <w:r w:rsidR="00B90472">
        <w:instrText xml:space="preserve"> SEQ Tabella \* ARABIC </w:instrText>
      </w:r>
      <w:r w:rsidR="00B90472">
        <w:fldChar w:fldCharType="separate"/>
      </w:r>
      <w:r w:rsidR="008616B3">
        <w:rPr>
          <w:noProof/>
        </w:rPr>
        <w:t>94</w:t>
      </w:r>
      <w:r w:rsidR="00B90472">
        <w:rPr>
          <w:noProof/>
        </w:rPr>
        <w:fldChar w:fldCharType="end"/>
      </w:r>
      <w:r>
        <w:t xml:space="preserve"> - </w:t>
      </w:r>
      <w:r w:rsidRPr="00D1154C">
        <w:rPr>
          <w:rFonts w:eastAsia="Times New Roman" w:cs="Calibri"/>
          <w:bCs w:val="0"/>
          <w:color w:val="000000"/>
          <w:sz w:val="24"/>
          <w:szCs w:val="24"/>
          <w:lang w:eastAsia="it-IT"/>
        </w:rPr>
        <w:t>Componenti negativi della gestione</w:t>
      </w:r>
      <w:bookmarkEnd w:id="345"/>
    </w:p>
    <w:tbl>
      <w:tblPr>
        <w:tblW w:w="5000" w:type="pct"/>
        <w:jc w:val="center"/>
        <w:tblCellMar>
          <w:left w:w="70" w:type="dxa"/>
          <w:right w:w="70" w:type="dxa"/>
        </w:tblCellMar>
        <w:tblLook w:val="04A0" w:firstRow="1" w:lastRow="0" w:firstColumn="1" w:lastColumn="0" w:noHBand="0" w:noVBand="1"/>
      </w:tblPr>
      <w:tblGrid>
        <w:gridCol w:w="7838"/>
        <w:gridCol w:w="1940"/>
      </w:tblGrid>
      <w:tr w:rsidR="00D1154C" w:rsidRPr="00D1154C" w:rsidTr="00D1154C">
        <w:trPr>
          <w:trHeight w:val="300"/>
          <w:jc w:val="center"/>
        </w:trPr>
        <w:tc>
          <w:tcPr>
            <w:tcW w:w="4008"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CD34A0" w:rsidRPr="00D1154C" w:rsidRDefault="00CD34A0" w:rsidP="00D1154C">
            <w:pPr>
              <w:spacing w:after="0" w:line="240" w:lineRule="auto"/>
              <w:jc w:val="center"/>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Voci</w:t>
            </w:r>
          </w:p>
        </w:tc>
        <w:tc>
          <w:tcPr>
            <w:tcW w:w="992"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CD34A0" w:rsidRPr="00D1154C" w:rsidRDefault="00CD34A0" w:rsidP="00D1154C">
            <w:pPr>
              <w:spacing w:after="0" w:line="240" w:lineRule="auto"/>
              <w:jc w:val="center"/>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31/12/2016</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9 Acquisto di materie prime e/o beni di consumo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2.167.598</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10 Prestazioni di servizi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478.301.643</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11 Utilizzo beni di terzi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4.661.717</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 xml:space="preserve">12 Trasferimenti e contributi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6.238.831.191</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D1154C"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a) </w:t>
            </w:r>
            <w:r w:rsidR="00CD34A0" w:rsidRPr="00D1154C">
              <w:rPr>
                <w:rFonts w:ascii="Bodoni MT" w:eastAsia="Times New Roman" w:hAnsi="Bodoni MT" w:cs="Calibri"/>
                <w:color w:val="FFFFFF" w:themeColor="background1"/>
                <w:sz w:val="20"/>
                <w:szCs w:val="20"/>
                <w:lang w:eastAsia="it-IT"/>
              </w:rPr>
              <w:t xml:space="preserve">Trasferimenti correnti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5.585.444.736</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b</w:t>
            </w:r>
            <w:r w:rsidR="00D1154C" w:rsidRPr="00D1154C">
              <w:rPr>
                <w:rFonts w:ascii="Bodoni MT" w:eastAsia="Times New Roman" w:hAnsi="Bodoni MT" w:cs="Calibri"/>
                <w:iCs/>
                <w:color w:val="FFFFFF" w:themeColor="background1"/>
                <w:sz w:val="20"/>
                <w:szCs w:val="20"/>
                <w:lang w:eastAsia="it-IT"/>
              </w:rPr>
              <w:t>)</w:t>
            </w:r>
            <w:r w:rsidRPr="00D1154C">
              <w:rPr>
                <w:rFonts w:ascii="Bodoni MT" w:eastAsia="Times New Roman" w:hAnsi="Bodoni MT" w:cs="Calibri"/>
                <w:iCs/>
                <w:color w:val="FFFFFF" w:themeColor="background1"/>
                <w:sz w:val="20"/>
                <w:szCs w:val="20"/>
                <w:lang w:eastAsia="it-IT"/>
              </w:rPr>
              <w:t xml:space="preserve"> Contributi agli investimenti ad Amministrazioni pubbliche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512.478.829</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c</w:t>
            </w:r>
            <w:r w:rsidR="00D1154C" w:rsidRP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Contributi agli investimenti ad altri soggetti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140.907.626</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 xml:space="preserve">13 Personale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233.635.326</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14 Ammortamenti e svalutazioni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47.330.425</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a</w:t>
            </w:r>
            <w:r w:rsidR="00D1154C" w:rsidRPr="00D1154C">
              <w:rPr>
                <w:rFonts w:ascii="Bodoni MT" w:eastAsia="Times New Roman" w:hAnsi="Bodoni MT" w:cs="Calibri"/>
                <w:iCs/>
                <w:color w:val="FFFFFF" w:themeColor="background1"/>
                <w:sz w:val="20"/>
                <w:szCs w:val="20"/>
                <w:lang w:eastAsia="it-IT"/>
              </w:rPr>
              <w:t>)</w:t>
            </w:r>
            <w:r w:rsidRPr="00D1154C">
              <w:rPr>
                <w:rFonts w:ascii="Bodoni MT" w:eastAsia="Times New Roman" w:hAnsi="Bodoni MT" w:cs="Calibri"/>
                <w:iCs/>
                <w:color w:val="FFFFFF" w:themeColor="background1"/>
                <w:sz w:val="20"/>
                <w:szCs w:val="20"/>
                <w:lang w:eastAsia="it-IT"/>
              </w:rPr>
              <w:t xml:space="preserve"> Ammortamenti di immobilizzazioni immateriali</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8.883.850</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b</w:t>
            </w:r>
            <w:r w:rsidR="00D1154C" w:rsidRP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Ammortamenti di immobilizzazioni materiali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38.446.575</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c</w:t>
            </w:r>
            <w:r w:rsidR="00D1154C" w:rsidRP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Altre svalutazioni delle immobilizzazioni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0</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d</w:t>
            </w:r>
            <w:r w:rsidR="00D1154C" w:rsidRP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Svalutazione dei crediti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0</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15 Variazioni nelle rimanenze di beni di consumo (+/-)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415.586</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16 Accantonamenti per rischi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302.935.297</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17 Altri accantonamenti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26.898.688</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18 Oneri diversi di gestione </w:t>
            </w:r>
          </w:p>
        </w:tc>
        <w:tc>
          <w:tcPr>
            <w:tcW w:w="992"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33.258.683</w:t>
            </w:r>
          </w:p>
        </w:tc>
      </w:tr>
      <w:tr w:rsidR="00CD34A0" w:rsidRPr="00D1154C" w:rsidTr="00D1154C">
        <w:trPr>
          <w:trHeight w:val="300"/>
          <w:jc w:val="center"/>
        </w:trPr>
        <w:tc>
          <w:tcPr>
            <w:tcW w:w="4008"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D1154C" w:rsidRDefault="00CD34A0" w:rsidP="00D1154C">
            <w:pPr>
              <w:spacing w:after="0" w:line="240" w:lineRule="auto"/>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 xml:space="preserve">B) Totale Componenti negativi della gestione </w:t>
            </w:r>
          </w:p>
        </w:tc>
        <w:tc>
          <w:tcPr>
            <w:tcW w:w="992" w:type="pct"/>
            <w:tcBorders>
              <w:top w:val="nil"/>
              <w:left w:val="nil"/>
              <w:bottom w:val="single" w:sz="4" w:space="0" w:color="auto"/>
              <w:right w:val="single" w:sz="4" w:space="0" w:color="auto"/>
            </w:tcBorders>
            <w:shd w:val="clear" w:color="auto" w:fill="FFFFFF" w:themeFill="background1"/>
            <w:noWrap/>
            <w:vAlign w:val="bottom"/>
            <w:hideMark/>
          </w:tcPr>
          <w:p w:rsidR="00CD34A0" w:rsidRPr="00D1154C" w:rsidRDefault="00CD34A0" w:rsidP="00CD34A0">
            <w:pPr>
              <w:spacing w:after="0" w:line="240" w:lineRule="auto"/>
              <w:jc w:val="right"/>
              <w:rPr>
                <w:rFonts w:ascii="Calibri" w:eastAsia="Times New Roman" w:hAnsi="Calibri" w:cs="Calibri"/>
                <w:b/>
                <w:bCs/>
                <w:color w:val="000000"/>
                <w:sz w:val="20"/>
                <w:szCs w:val="20"/>
                <w:lang w:eastAsia="it-IT"/>
              </w:rPr>
            </w:pPr>
            <w:r w:rsidRPr="00D1154C">
              <w:rPr>
                <w:rFonts w:ascii="Calibri" w:eastAsia="Times New Roman" w:hAnsi="Calibri" w:cs="Calibri"/>
                <w:b/>
                <w:bCs/>
                <w:color w:val="000000"/>
                <w:sz w:val="20"/>
                <w:szCs w:val="20"/>
                <w:lang w:eastAsia="it-IT"/>
              </w:rPr>
              <w:t>7.368.436.154</w:t>
            </w:r>
          </w:p>
        </w:tc>
      </w:tr>
    </w:tbl>
    <w:p w:rsidR="00CD34A0" w:rsidRPr="00D1154C" w:rsidRDefault="00D1154C"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D1154C">
        <w:rPr>
          <w:rFonts w:ascii="Bodoni MT" w:eastAsia="Times New Roman" w:hAnsi="Bodoni MT" w:cs="Bodoni MT"/>
          <w:color w:val="000000"/>
          <w:sz w:val="18"/>
          <w:szCs w:val="18"/>
        </w:rPr>
        <w:t>Fonte RAS Rendiconto sulla gestione 2016 – Allegato 3.2</w:t>
      </w:r>
    </w:p>
    <w:p w:rsidR="00CD34A0" w:rsidRPr="00CD34A0" w:rsidRDefault="00D1154C" w:rsidP="00D1154C">
      <w:pPr>
        <w:pStyle w:val="Titolo3"/>
        <w:rPr>
          <w:rFonts w:eastAsia="Times New Roman"/>
        </w:rPr>
      </w:pPr>
      <w:bookmarkStart w:id="346" w:name="_Toc507422689"/>
      <w:r>
        <w:rPr>
          <w:rFonts w:eastAsia="Times New Roman"/>
        </w:rPr>
        <w:t>Proventi ed oneri finanziari</w:t>
      </w:r>
      <w:bookmarkEnd w:id="346"/>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I proventi finanziari di € 9.251.207 sono riferiti agli interessi attivi maturati, inclusi quelli relativi a giacenze bancarie dei conti intestati alla Ras e gestiti da altri soggetti, non accertati in contabilità finanziaria ed altri proventi finanziari di diversa natura. Gli interessi passivi e gli altri oneri finanziari per un totale di € </w:t>
      </w:r>
      <w:r w:rsidRPr="00CD34A0">
        <w:rPr>
          <w:rFonts w:ascii="Bodoni MT" w:eastAsia="Times New Roman" w:hAnsi="Bodoni MT" w:cs="Bodoni MT"/>
          <w:bCs/>
          <w:color w:val="000000"/>
          <w:sz w:val="24"/>
          <w:szCs w:val="24"/>
        </w:rPr>
        <w:t>43.607.801</w:t>
      </w:r>
      <w:r w:rsidRPr="00CD34A0">
        <w:rPr>
          <w:rFonts w:ascii="Bodoni MT" w:eastAsia="Times New Roman" w:hAnsi="Bodoni MT" w:cs="Bodoni MT"/>
          <w:color w:val="000000"/>
          <w:sz w:val="24"/>
          <w:szCs w:val="24"/>
        </w:rPr>
        <w:t>, fanno riferimento agli interessi passivi di competenza dell’esercizio su prestiti obbligazionari, mutui e finanziamenti.</w:t>
      </w:r>
    </w:p>
    <w:p w:rsidR="008B0C9C" w:rsidRDefault="008B0C9C" w:rsidP="00D1154C">
      <w:pPr>
        <w:pStyle w:val="Didascalia"/>
        <w:keepNext/>
      </w:pPr>
      <w:r>
        <w:br w:type="page"/>
      </w:r>
    </w:p>
    <w:p w:rsidR="00D1154C" w:rsidRPr="00D1154C" w:rsidRDefault="00D1154C" w:rsidP="00D1154C">
      <w:pPr>
        <w:pStyle w:val="Didascalia"/>
        <w:keepNext/>
      </w:pPr>
      <w:bookmarkStart w:id="347" w:name="_Toc507422563"/>
      <w:r>
        <w:lastRenderedPageBreak/>
        <w:t xml:space="preserve">Tabella </w:t>
      </w:r>
      <w:r w:rsidR="00B90472">
        <w:fldChar w:fldCharType="begin"/>
      </w:r>
      <w:r w:rsidR="00B90472">
        <w:instrText xml:space="preserve"> SEQ Tabella \* ARABIC </w:instrText>
      </w:r>
      <w:r w:rsidR="00B90472">
        <w:fldChar w:fldCharType="separate"/>
      </w:r>
      <w:r w:rsidR="008616B3">
        <w:rPr>
          <w:noProof/>
        </w:rPr>
        <w:t>95</w:t>
      </w:r>
      <w:r w:rsidR="00B90472">
        <w:rPr>
          <w:noProof/>
        </w:rPr>
        <w:fldChar w:fldCharType="end"/>
      </w:r>
      <w:r>
        <w:t xml:space="preserve"> - </w:t>
      </w:r>
      <w:r w:rsidRPr="00D1154C">
        <w:rPr>
          <w:rFonts w:eastAsia="Times New Roman" w:cs="Calibri"/>
          <w:bCs w:val="0"/>
          <w:color w:val="000000"/>
          <w:sz w:val="24"/>
          <w:szCs w:val="24"/>
          <w:lang w:eastAsia="it-IT"/>
        </w:rPr>
        <w:t>Proventi e oneri finanziari</w:t>
      </w:r>
      <w:bookmarkEnd w:id="347"/>
    </w:p>
    <w:tbl>
      <w:tblPr>
        <w:tblW w:w="5000" w:type="pct"/>
        <w:jc w:val="center"/>
        <w:tblCellMar>
          <w:left w:w="70" w:type="dxa"/>
          <w:right w:w="70" w:type="dxa"/>
        </w:tblCellMar>
        <w:tblLook w:val="04A0" w:firstRow="1" w:lastRow="0" w:firstColumn="1" w:lastColumn="0" w:noHBand="0" w:noVBand="1"/>
      </w:tblPr>
      <w:tblGrid>
        <w:gridCol w:w="7308"/>
        <w:gridCol w:w="2470"/>
      </w:tblGrid>
      <w:tr w:rsidR="00D1154C" w:rsidRPr="00D1154C" w:rsidTr="00D1154C">
        <w:trPr>
          <w:trHeight w:val="300"/>
          <w:jc w:val="center"/>
        </w:trPr>
        <w:tc>
          <w:tcPr>
            <w:tcW w:w="3737"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CD34A0" w:rsidRPr="00D1154C" w:rsidRDefault="00D1154C" w:rsidP="00D1154C">
            <w:pPr>
              <w:spacing w:after="0" w:line="240" w:lineRule="auto"/>
              <w:jc w:val="center"/>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VOCI</w:t>
            </w:r>
          </w:p>
        </w:tc>
        <w:tc>
          <w:tcPr>
            <w:tcW w:w="1263"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CD34A0" w:rsidRPr="00D1154C" w:rsidRDefault="00D1154C" w:rsidP="00D1154C">
            <w:pPr>
              <w:spacing w:after="0" w:line="240" w:lineRule="auto"/>
              <w:jc w:val="center"/>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31/12/2016</w:t>
            </w: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Proventi finanziari</w:t>
            </w:r>
          </w:p>
        </w:tc>
        <w:tc>
          <w:tcPr>
            <w:tcW w:w="1263" w:type="pct"/>
            <w:tcBorders>
              <w:top w:val="nil"/>
              <w:left w:val="nil"/>
              <w:bottom w:val="single" w:sz="4" w:space="0" w:color="auto"/>
              <w:right w:val="single" w:sz="4" w:space="0" w:color="auto"/>
            </w:tcBorders>
            <w:shd w:val="clear" w:color="auto" w:fill="auto"/>
            <w:noWrap/>
            <w:vAlign w:val="center"/>
          </w:tcPr>
          <w:p w:rsidR="00CD34A0" w:rsidRPr="00D1154C" w:rsidRDefault="00CD34A0" w:rsidP="00302EFC">
            <w:pPr>
              <w:spacing w:after="0" w:line="240" w:lineRule="auto"/>
              <w:jc w:val="right"/>
              <w:rPr>
                <w:rFonts w:ascii="Calibri" w:eastAsia="Times New Roman" w:hAnsi="Calibri" w:cs="Calibri"/>
                <w:color w:val="000000"/>
                <w:sz w:val="20"/>
                <w:szCs w:val="20"/>
                <w:lang w:eastAsia="it-IT"/>
              </w:rPr>
            </w:pP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19 Proventi da partecipazioni</w:t>
            </w:r>
          </w:p>
        </w:tc>
        <w:tc>
          <w:tcPr>
            <w:tcW w:w="1263" w:type="pct"/>
            <w:tcBorders>
              <w:top w:val="nil"/>
              <w:left w:val="nil"/>
              <w:bottom w:val="single" w:sz="4" w:space="0" w:color="auto"/>
              <w:right w:val="single" w:sz="4" w:space="0" w:color="auto"/>
            </w:tcBorders>
            <w:shd w:val="clear" w:color="auto" w:fill="auto"/>
            <w:noWrap/>
            <w:vAlign w:val="center"/>
          </w:tcPr>
          <w:p w:rsidR="00CD34A0" w:rsidRPr="00D1154C" w:rsidRDefault="00CD34A0" w:rsidP="00302EFC">
            <w:pPr>
              <w:spacing w:after="0" w:line="240" w:lineRule="auto"/>
              <w:jc w:val="right"/>
              <w:rPr>
                <w:rFonts w:ascii="Calibri" w:eastAsia="Times New Roman" w:hAnsi="Calibri" w:cs="Calibri"/>
                <w:color w:val="000000"/>
                <w:sz w:val="20"/>
                <w:szCs w:val="20"/>
                <w:lang w:eastAsia="it-IT"/>
              </w:rPr>
            </w:pP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a</w:t>
            </w:r>
            <w:r w:rsidR="00D1154C" w:rsidRPr="00D1154C">
              <w:rPr>
                <w:rFonts w:ascii="Bodoni MT" w:eastAsia="Times New Roman" w:hAnsi="Bodoni MT" w:cs="Calibri"/>
                <w:iCs/>
                <w:color w:val="FFFFFF" w:themeColor="background1"/>
                <w:sz w:val="20"/>
                <w:szCs w:val="20"/>
                <w:lang w:eastAsia="it-IT"/>
              </w:rPr>
              <w:t>)</w:t>
            </w:r>
            <w:r w:rsidRPr="00D1154C">
              <w:rPr>
                <w:rFonts w:ascii="Bodoni MT" w:eastAsia="Times New Roman" w:hAnsi="Bodoni MT" w:cs="Calibri"/>
                <w:iCs/>
                <w:color w:val="FFFFFF" w:themeColor="background1"/>
                <w:sz w:val="20"/>
                <w:szCs w:val="20"/>
                <w:lang w:eastAsia="it-IT"/>
              </w:rPr>
              <w:t xml:space="preserve"> da società controllate</w:t>
            </w:r>
          </w:p>
        </w:tc>
        <w:tc>
          <w:tcPr>
            <w:tcW w:w="1263" w:type="pct"/>
            <w:tcBorders>
              <w:top w:val="nil"/>
              <w:left w:val="nil"/>
              <w:bottom w:val="single" w:sz="4" w:space="0" w:color="auto"/>
              <w:right w:val="single" w:sz="4" w:space="0" w:color="auto"/>
            </w:tcBorders>
            <w:shd w:val="clear" w:color="auto" w:fill="auto"/>
            <w:noWrap/>
            <w:vAlign w:val="center"/>
          </w:tcPr>
          <w:p w:rsidR="00CD34A0" w:rsidRPr="00D1154C" w:rsidRDefault="00CD34A0" w:rsidP="00302EFC">
            <w:pPr>
              <w:spacing w:after="0" w:line="240" w:lineRule="auto"/>
              <w:jc w:val="right"/>
              <w:rPr>
                <w:rFonts w:ascii="Calibri" w:eastAsia="Times New Roman" w:hAnsi="Calibri" w:cs="Calibri"/>
                <w:color w:val="000000"/>
                <w:sz w:val="20"/>
                <w:szCs w:val="20"/>
                <w:lang w:eastAsia="it-IT"/>
              </w:rPr>
            </w:pP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b</w:t>
            </w:r>
            <w:r w:rsidR="00D1154C" w:rsidRP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da società partecipate</w:t>
            </w:r>
          </w:p>
        </w:tc>
        <w:tc>
          <w:tcPr>
            <w:tcW w:w="1263" w:type="pct"/>
            <w:tcBorders>
              <w:top w:val="nil"/>
              <w:left w:val="nil"/>
              <w:bottom w:val="single" w:sz="4" w:space="0" w:color="auto"/>
              <w:right w:val="single" w:sz="4" w:space="0" w:color="auto"/>
            </w:tcBorders>
            <w:shd w:val="clear" w:color="auto" w:fill="auto"/>
            <w:noWrap/>
            <w:vAlign w:val="center"/>
          </w:tcPr>
          <w:p w:rsidR="00CD34A0" w:rsidRPr="00D1154C" w:rsidRDefault="00CD34A0" w:rsidP="00302EFC">
            <w:pPr>
              <w:spacing w:after="0" w:line="240" w:lineRule="auto"/>
              <w:jc w:val="right"/>
              <w:rPr>
                <w:rFonts w:ascii="Calibri" w:eastAsia="Times New Roman" w:hAnsi="Calibri" w:cs="Calibri"/>
                <w:color w:val="000000"/>
                <w:sz w:val="20"/>
                <w:szCs w:val="20"/>
                <w:lang w:eastAsia="it-IT"/>
              </w:rPr>
            </w:pP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iCs/>
                <w:color w:val="FFFFFF" w:themeColor="background1"/>
                <w:sz w:val="20"/>
                <w:szCs w:val="20"/>
                <w:lang w:eastAsia="it-IT"/>
              </w:rPr>
            </w:pPr>
            <w:r w:rsidRPr="00D1154C">
              <w:rPr>
                <w:rFonts w:ascii="Bodoni MT" w:eastAsia="Times New Roman" w:hAnsi="Bodoni MT" w:cs="Calibri"/>
                <w:iCs/>
                <w:color w:val="FFFFFF" w:themeColor="background1"/>
                <w:sz w:val="20"/>
                <w:szCs w:val="20"/>
                <w:lang w:eastAsia="it-IT"/>
              </w:rPr>
              <w:t>c</w:t>
            </w:r>
            <w:r w:rsidR="00D1154C" w:rsidRPr="00D1154C">
              <w:rPr>
                <w:rFonts w:ascii="Bodoni MT" w:eastAsia="Times New Roman" w:hAnsi="Bodoni MT" w:cs="Calibri"/>
                <w:iCs/>
                <w:color w:val="FFFFFF" w:themeColor="background1"/>
                <w:sz w:val="20"/>
                <w:szCs w:val="20"/>
                <w:lang w:eastAsia="it-IT"/>
              </w:rPr>
              <w:t>)</w:t>
            </w:r>
            <w:r w:rsidRPr="00D1154C">
              <w:rPr>
                <w:rFonts w:ascii="Bodoni MT" w:eastAsia="Times New Roman" w:hAnsi="Bodoni MT" w:cs="Calibri"/>
                <w:iCs/>
                <w:color w:val="FFFFFF" w:themeColor="background1"/>
                <w:sz w:val="20"/>
                <w:szCs w:val="20"/>
                <w:lang w:eastAsia="it-IT"/>
              </w:rPr>
              <w:t xml:space="preserve"> da altri soggetti</w:t>
            </w:r>
          </w:p>
        </w:tc>
        <w:tc>
          <w:tcPr>
            <w:tcW w:w="1263" w:type="pct"/>
            <w:tcBorders>
              <w:top w:val="nil"/>
              <w:left w:val="nil"/>
              <w:bottom w:val="single" w:sz="4" w:space="0" w:color="auto"/>
              <w:right w:val="single" w:sz="4" w:space="0" w:color="auto"/>
            </w:tcBorders>
            <w:shd w:val="clear" w:color="auto" w:fill="auto"/>
            <w:noWrap/>
            <w:vAlign w:val="center"/>
          </w:tcPr>
          <w:p w:rsidR="00CD34A0" w:rsidRPr="00D1154C" w:rsidRDefault="00CD34A0" w:rsidP="00302EFC">
            <w:pPr>
              <w:spacing w:after="0" w:line="240" w:lineRule="auto"/>
              <w:jc w:val="right"/>
              <w:rPr>
                <w:rFonts w:ascii="Calibri" w:eastAsia="Times New Roman" w:hAnsi="Calibri" w:cs="Calibri"/>
                <w:color w:val="000000"/>
                <w:sz w:val="20"/>
                <w:szCs w:val="20"/>
                <w:lang w:eastAsia="it-IT"/>
              </w:rPr>
            </w:pPr>
          </w:p>
        </w:tc>
      </w:tr>
      <w:tr w:rsidR="00CD34A0" w:rsidRPr="00D1154C" w:rsidTr="00D1154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 xml:space="preserve">20 Altri proventi finanziari </w:t>
            </w:r>
          </w:p>
        </w:tc>
        <w:tc>
          <w:tcPr>
            <w:tcW w:w="1263" w:type="pct"/>
            <w:tcBorders>
              <w:top w:val="nil"/>
              <w:left w:val="nil"/>
              <w:bottom w:val="single" w:sz="4" w:space="0" w:color="auto"/>
              <w:right w:val="single" w:sz="4" w:space="0" w:color="auto"/>
            </w:tcBorders>
            <w:shd w:val="clear" w:color="auto" w:fill="auto"/>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9.251.207</w:t>
            </w:r>
          </w:p>
        </w:tc>
      </w:tr>
      <w:tr w:rsidR="00CD34A0" w:rsidRPr="00D1154C" w:rsidTr="007D1222">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 xml:space="preserve">Totale proventi finanziari </w:t>
            </w:r>
          </w:p>
        </w:tc>
        <w:tc>
          <w:tcPr>
            <w:tcW w:w="1263" w:type="pct"/>
            <w:tcBorders>
              <w:top w:val="nil"/>
              <w:left w:val="nil"/>
              <w:bottom w:val="single" w:sz="4" w:space="0" w:color="auto"/>
              <w:right w:val="single" w:sz="4" w:space="0" w:color="auto"/>
            </w:tcBorders>
            <w:shd w:val="clear" w:color="auto" w:fill="FFFFFF" w:themeFill="background1"/>
            <w:noWrap/>
            <w:vAlign w:val="center"/>
            <w:hideMark/>
          </w:tcPr>
          <w:p w:rsidR="00CD34A0" w:rsidRPr="00D1154C" w:rsidRDefault="00CD34A0" w:rsidP="00D1154C">
            <w:pPr>
              <w:spacing w:after="0" w:line="240" w:lineRule="auto"/>
              <w:jc w:val="right"/>
              <w:rPr>
                <w:rFonts w:ascii="Calibri" w:eastAsia="Times New Roman" w:hAnsi="Calibri" w:cs="Calibri"/>
                <w:b/>
                <w:bCs/>
                <w:color w:val="000000"/>
                <w:sz w:val="20"/>
                <w:szCs w:val="20"/>
                <w:lang w:eastAsia="it-IT"/>
              </w:rPr>
            </w:pPr>
            <w:r w:rsidRPr="00D1154C">
              <w:rPr>
                <w:rFonts w:ascii="Calibri" w:eastAsia="Times New Roman" w:hAnsi="Calibri" w:cs="Calibri"/>
                <w:b/>
                <w:bCs/>
                <w:color w:val="000000"/>
                <w:sz w:val="20"/>
                <w:szCs w:val="20"/>
                <w:lang w:eastAsia="it-IT"/>
              </w:rPr>
              <w:t>9.251.207</w:t>
            </w: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Oneri finanziari</w:t>
            </w:r>
          </w:p>
        </w:tc>
        <w:tc>
          <w:tcPr>
            <w:tcW w:w="1263" w:type="pct"/>
            <w:tcBorders>
              <w:top w:val="nil"/>
              <w:left w:val="nil"/>
              <w:bottom w:val="single" w:sz="4" w:space="0" w:color="auto"/>
              <w:right w:val="single" w:sz="4" w:space="0" w:color="auto"/>
            </w:tcBorders>
            <w:shd w:val="clear" w:color="auto" w:fill="FFFFFF" w:themeFill="background1"/>
            <w:noWrap/>
            <w:vAlign w:val="center"/>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p>
        </w:tc>
      </w:tr>
      <w:tr w:rsidR="00CD34A0" w:rsidRPr="00D1154C" w:rsidTr="00302EFC">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21 Interessi ed altri oneri finanziari</w:t>
            </w:r>
          </w:p>
        </w:tc>
        <w:tc>
          <w:tcPr>
            <w:tcW w:w="1263" w:type="pct"/>
            <w:tcBorders>
              <w:top w:val="nil"/>
              <w:left w:val="nil"/>
              <w:bottom w:val="single" w:sz="4" w:space="0" w:color="auto"/>
              <w:right w:val="single" w:sz="4" w:space="0" w:color="auto"/>
            </w:tcBorders>
            <w:shd w:val="clear" w:color="auto" w:fill="FFFFFF" w:themeFill="background1"/>
            <w:noWrap/>
            <w:vAlign w:val="center"/>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p>
        </w:tc>
      </w:tr>
      <w:tr w:rsidR="00CD34A0" w:rsidRPr="00D1154C" w:rsidTr="007D1222">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a</w:t>
            </w:r>
            <w:r w:rsid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Interessi passivi </w:t>
            </w:r>
          </w:p>
        </w:tc>
        <w:tc>
          <w:tcPr>
            <w:tcW w:w="1263" w:type="pct"/>
            <w:tcBorders>
              <w:top w:val="nil"/>
              <w:left w:val="nil"/>
              <w:bottom w:val="single" w:sz="4" w:space="0" w:color="auto"/>
              <w:right w:val="single" w:sz="4" w:space="0" w:color="auto"/>
            </w:tcBorders>
            <w:shd w:val="clear" w:color="auto" w:fill="FFFFFF" w:themeFill="background1"/>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42.663.460</w:t>
            </w:r>
          </w:p>
        </w:tc>
      </w:tr>
      <w:tr w:rsidR="00CD34A0" w:rsidRPr="00D1154C" w:rsidTr="007D1222">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color w:val="FFFFFF" w:themeColor="background1"/>
                <w:sz w:val="20"/>
                <w:szCs w:val="20"/>
                <w:lang w:eastAsia="it-IT"/>
              </w:rPr>
            </w:pPr>
            <w:r w:rsidRPr="00D1154C">
              <w:rPr>
                <w:rFonts w:ascii="Bodoni MT" w:eastAsia="Times New Roman" w:hAnsi="Bodoni MT" w:cs="Calibri"/>
                <w:color w:val="FFFFFF" w:themeColor="background1"/>
                <w:sz w:val="20"/>
                <w:szCs w:val="20"/>
                <w:lang w:eastAsia="it-IT"/>
              </w:rPr>
              <w:t>b</w:t>
            </w:r>
            <w:r w:rsidR="00D1154C">
              <w:rPr>
                <w:rFonts w:ascii="Bodoni MT" w:eastAsia="Times New Roman" w:hAnsi="Bodoni MT" w:cs="Calibri"/>
                <w:color w:val="FFFFFF" w:themeColor="background1"/>
                <w:sz w:val="20"/>
                <w:szCs w:val="20"/>
                <w:lang w:eastAsia="it-IT"/>
              </w:rPr>
              <w:t>)</w:t>
            </w:r>
            <w:r w:rsidRPr="00D1154C">
              <w:rPr>
                <w:rFonts w:ascii="Bodoni MT" w:eastAsia="Times New Roman" w:hAnsi="Bodoni MT" w:cs="Calibri"/>
                <w:color w:val="FFFFFF" w:themeColor="background1"/>
                <w:sz w:val="20"/>
                <w:szCs w:val="20"/>
                <w:lang w:eastAsia="it-IT"/>
              </w:rPr>
              <w:t xml:space="preserve"> Altri oneri finanziari</w:t>
            </w:r>
          </w:p>
        </w:tc>
        <w:tc>
          <w:tcPr>
            <w:tcW w:w="1263" w:type="pct"/>
            <w:tcBorders>
              <w:top w:val="nil"/>
              <w:left w:val="nil"/>
              <w:bottom w:val="single" w:sz="4" w:space="0" w:color="auto"/>
              <w:right w:val="single" w:sz="4" w:space="0" w:color="auto"/>
            </w:tcBorders>
            <w:shd w:val="clear" w:color="auto" w:fill="FFFFFF" w:themeFill="background1"/>
            <w:noWrap/>
            <w:vAlign w:val="center"/>
            <w:hideMark/>
          </w:tcPr>
          <w:p w:rsidR="00CD34A0" w:rsidRPr="00D1154C" w:rsidRDefault="00CD34A0" w:rsidP="00D1154C">
            <w:pPr>
              <w:spacing w:after="0" w:line="240" w:lineRule="auto"/>
              <w:jc w:val="right"/>
              <w:rPr>
                <w:rFonts w:ascii="Calibri" w:eastAsia="Times New Roman" w:hAnsi="Calibri" w:cs="Calibri"/>
                <w:color w:val="000000"/>
                <w:sz w:val="20"/>
                <w:szCs w:val="20"/>
                <w:lang w:eastAsia="it-IT"/>
              </w:rPr>
            </w:pPr>
            <w:r w:rsidRPr="00D1154C">
              <w:rPr>
                <w:rFonts w:ascii="Calibri" w:eastAsia="Times New Roman" w:hAnsi="Calibri" w:cs="Calibri"/>
                <w:color w:val="000000"/>
                <w:sz w:val="20"/>
                <w:szCs w:val="20"/>
                <w:lang w:eastAsia="it-IT"/>
              </w:rPr>
              <w:t>944.341</w:t>
            </w:r>
          </w:p>
        </w:tc>
      </w:tr>
      <w:tr w:rsidR="00CD34A0" w:rsidRPr="00D1154C" w:rsidTr="007D1222">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 xml:space="preserve">Totale oneri finanziari </w:t>
            </w:r>
          </w:p>
        </w:tc>
        <w:tc>
          <w:tcPr>
            <w:tcW w:w="1263" w:type="pct"/>
            <w:tcBorders>
              <w:top w:val="nil"/>
              <w:left w:val="nil"/>
              <w:bottom w:val="single" w:sz="4" w:space="0" w:color="auto"/>
              <w:right w:val="single" w:sz="4" w:space="0" w:color="auto"/>
            </w:tcBorders>
            <w:shd w:val="clear" w:color="auto" w:fill="FFFFFF" w:themeFill="background1"/>
            <w:noWrap/>
            <w:vAlign w:val="center"/>
            <w:hideMark/>
          </w:tcPr>
          <w:p w:rsidR="00CD34A0" w:rsidRPr="00D1154C" w:rsidRDefault="00CD34A0" w:rsidP="00D1154C">
            <w:pPr>
              <w:spacing w:after="0" w:line="240" w:lineRule="auto"/>
              <w:jc w:val="right"/>
              <w:rPr>
                <w:rFonts w:ascii="Calibri" w:eastAsia="Times New Roman" w:hAnsi="Calibri" w:cs="Calibri"/>
                <w:b/>
                <w:bCs/>
                <w:color w:val="000000"/>
                <w:sz w:val="20"/>
                <w:szCs w:val="20"/>
                <w:lang w:eastAsia="it-IT"/>
              </w:rPr>
            </w:pPr>
            <w:r w:rsidRPr="00D1154C">
              <w:rPr>
                <w:rFonts w:ascii="Calibri" w:eastAsia="Times New Roman" w:hAnsi="Calibri" w:cs="Calibri"/>
                <w:b/>
                <w:bCs/>
                <w:color w:val="000000"/>
                <w:sz w:val="20"/>
                <w:szCs w:val="20"/>
                <w:lang w:eastAsia="it-IT"/>
              </w:rPr>
              <w:t>43.607.801</w:t>
            </w:r>
          </w:p>
        </w:tc>
      </w:tr>
      <w:tr w:rsidR="00CD34A0" w:rsidRPr="00D1154C" w:rsidTr="007D1222">
        <w:trPr>
          <w:trHeight w:val="300"/>
          <w:jc w:val="center"/>
        </w:trPr>
        <w:tc>
          <w:tcPr>
            <w:tcW w:w="3737"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D1154C" w:rsidRDefault="00CD34A0" w:rsidP="00CD34A0">
            <w:pPr>
              <w:spacing w:after="0" w:line="240" w:lineRule="auto"/>
              <w:rPr>
                <w:rFonts w:ascii="Bodoni MT" w:eastAsia="Times New Roman" w:hAnsi="Bodoni MT" w:cs="Calibri"/>
                <w:b/>
                <w:bCs/>
                <w:color w:val="FFFFFF" w:themeColor="background1"/>
                <w:sz w:val="20"/>
                <w:szCs w:val="20"/>
                <w:lang w:eastAsia="it-IT"/>
              </w:rPr>
            </w:pPr>
            <w:r w:rsidRPr="00D1154C">
              <w:rPr>
                <w:rFonts w:ascii="Bodoni MT" w:eastAsia="Times New Roman" w:hAnsi="Bodoni MT" w:cs="Calibri"/>
                <w:b/>
                <w:bCs/>
                <w:color w:val="FFFFFF" w:themeColor="background1"/>
                <w:sz w:val="20"/>
                <w:szCs w:val="20"/>
                <w:lang w:eastAsia="it-IT"/>
              </w:rPr>
              <w:t xml:space="preserve">C) Totale Proventi e oneri finanziari </w:t>
            </w:r>
          </w:p>
        </w:tc>
        <w:tc>
          <w:tcPr>
            <w:tcW w:w="1263" w:type="pct"/>
            <w:tcBorders>
              <w:top w:val="nil"/>
              <w:left w:val="nil"/>
              <w:bottom w:val="single" w:sz="4" w:space="0" w:color="auto"/>
              <w:right w:val="single" w:sz="4" w:space="0" w:color="auto"/>
            </w:tcBorders>
            <w:shd w:val="clear" w:color="auto" w:fill="FFFFFF" w:themeFill="background1"/>
            <w:noWrap/>
            <w:vAlign w:val="center"/>
            <w:hideMark/>
          </w:tcPr>
          <w:p w:rsidR="00CD34A0" w:rsidRPr="00D1154C" w:rsidRDefault="00CD34A0" w:rsidP="00D1154C">
            <w:pPr>
              <w:spacing w:after="0" w:line="240" w:lineRule="auto"/>
              <w:jc w:val="right"/>
              <w:rPr>
                <w:rFonts w:ascii="Calibri" w:eastAsia="Times New Roman" w:hAnsi="Calibri" w:cs="Calibri"/>
                <w:b/>
                <w:bCs/>
                <w:color w:val="000000"/>
                <w:sz w:val="20"/>
                <w:szCs w:val="20"/>
                <w:lang w:eastAsia="it-IT"/>
              </w:rPr>
            </w:pPr>
            <w:r w:rsidRPr="00D1154C">
              <w:rPr>
                <w:rFonts w:ascii="Calibri" w:eastAsia="Times New Roman" w:hAnsi="Calibri" w:cs="Calibri"/>
                <w:b/>
                <w:bCs/>
                <w:color w:val="000000"/>
                <w:sz w:val="20"/>
                <w:szCs w:val="20"/>
                <w:lang w:eastAsia="it-IT"/>
              </w:rPr>
              <w:t>-34.356.594</w:t>
            </w:r>
          </w:p>
        </w:tc>
      </w:tr>
    </w:tbl>
    <w:p w:rsidR="00CD34A0" w:rsidRPr="00D1154C"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D1154C">
        <w:rPr>
          <w:rFonts w:ascii="Bodoni MT" w:eastAsia="Times New Roman" w:hAnsi="Bodoni MT" w:cs="Bodoni MT"/>
          <w:color w:val="000000"/>
          <w:sz w:val="18"/>
          <w:szCs w:val="18"/>
        </w:rPr>
        <w:t>Fonte RAS Rendiconto sulla gestione 2016 – Allegato 3.2</w:t>
      </w:r>
    </w:p>
    <w:p w:rsidR="00CD34A0" w:rsidRPr="00CD34A0" w:rsidRDefault="00CD34A0" w:rsidP="00D1154C">
      <w:pPr>
        <w:pStyle w:val="Titolo3"/>
        <w:rPr>
          <w:rFonts w:eastAsia="Times New Roman"/>
        </w:rPr>
      </w:pPr>
      <w:bookmarkStart w:id="348" w:name="_Toc507422690"/>
      <w:r w:rsidRPr="00CD34A0">
        <w:rPr>
          <w:rFonts w:eastAsia="Times New Roman"/>
        </w:rPr>
        <w:t>Rettifiche di</w:t>
      </w:r>
      <w:r w:rsidR="007D1222">
        <w:rPr>
          <w:rFonts w:eastAsia="Times New Roman"/>
        </w:rPr>
        <w:t xml:space="preserve"> valore di attività finanziarie</w:t>
      </w:r>
      <w:bookmarkEnd w:id="348"/>
    </w:p>
    <w:p w:rsidR="00CD34A0" w:rsidRPr="00CD34A0" w:rsidRDefault="00CD34A0" w:rsidP="007D10C5">
      <w:pPr>
        <w:numPr>
          <w:ilvl w:val="0"/>
          <w:numId w:val="15"/>
        </w:numPr>
        <w:tabs>
          <w:tab w:val="left" w:pos="0"/>
          <w:tab w:val="left" w:pos="284"/>
          <w:tab w:val="left" w:pos="426"/>
        </w:tabs>
        <w:spacing w:after="120" w:line="360" w:lineRule="auto"/>
        <w:ind w:left="0" w:firstLine="0"/>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 xml:space="preserve">Rivalutazioni: </w:t>
      </w:r>
      <w:r w:rsidR="007D1222">
        <w:rPr>
          <w:rFonts w:ascii="Bodoni MT" w:eastAsia="Times New Roman" w:hAnsi="Bodoni MT" w:cs="Bodoni MT"/>
          <w:color w:val="000000"/>
          <w:sz w:val="24"/>
          <w:szCs w:val="24"/>
        </w:rPr>
        <w:t>sono pari a</w:t>
      </w:r>
      <w:r w:rsidRPr="00CD34A0">
        <w:rPr>
          <w:rFonts w:ascii="Bodoni MT" w:eastAsia="Times New Roman" w:hAnsi="Bodoni MT" w:cs="Bodoni MT"/>
          <w:color w:val="000000"/>
          <w:sz w:val="24"/>
          <w:szCs w:val="24"/>
        </w:rPr>
        <w:t xml:space="preserve"> € 2.368.072. La Nota integrativa espone che la voce riguarda la rivalutazione del valore delle partecipazioni per cause diverse dal conse</w:t>
      </w:r>
      <w:r w:rsidR="00D1154C">
        <w:rPr>
          <w:rFonts w:ascii="Bodoni MT" w:eastAsia="Times New Roman" w:hAnsi="Bodoni MT" w:cs="Bodoni MT"/>
          <w:color w:val="000000"/>
          <w:sz w:val="24"/>
          <w:szCs w:val="24"/>
        </w:rPr>
        <w:t xml:space="preserve">guimento di utili d’esercizio, </w:t>
      </w:r>
      <w:r w:rsidRPr="00CD34A0">
        <w:rPr>
          <w:rFonts w:ascii="Bodoni MT" w:eastAsia="Times New Roman" w:hAnsi="Bodoni MT" w:cs="Bodoni MT"/>
          <w:color w:val="000000"/>
          <w:sz w:val="24"/>
          <w:szCs w:val="24"/>
        </w:rPr>
        <w:t>dopo aver escluso l’incremento di valore della partecipazione nella società Sogeaal Spa che non si imputa a questa voce, bensì si compensa con i versamenti effettuati dalla Regione in conto copertura perdite nell’esercizio 2016.</w:t>
      </w:r>
    </w:p>
    <w:p w:rsidR="00CD34A0" w:rsidRPr="00CD34A0" w:rsidRDefault="00CD34A0" w:rsidP="007D10C5">
      <w:pPr>
        <w:numPr>
          <w:ilvl w:val="0"/>
          <w:numId w:val="15"/>
        </w:numPr>
        <w:tabs>
          <w:tab w:val="left" w:pos="0"/>
          <w:tab w:val="left" w:pos="284"/>
        </w:tabs>
        <w:spacing w:after="120" w:line="360" w:lineRule="auto"/>
        <w:ind w:left="0" w:firstLine="0"/>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 xml:space="preserve">Svalutazioni: </w:t>
      </w:r>
      <w:r w:rsidR="007D1222">
        <w:rPr>
          <w:rFonts w:ascii="Bodoni MT" w:eastAsia="Times New Roman" w:hAnsi="Bodoni MT" w:cs="Bodoni MT"/>
          <w:color w:val="000000"/>
          <w:sz w:val="24"/>
          <w:szCs w:val="24"/>
        </w:rPr>
        <w:t>Sono pari a</w:t>
      </w:r>
      <w:r w:rsidRPr="00CD34A0">
        <w:rPr>
          <w:rFonts w:ascii="Bodoni MT" w:eastAsia="Times New Roman" w:hAnsi="Bodoni MT" w:cs="Bodoni MT"/>
          <w:color w:val="000000"/>
          <w:sz w:val="24"/>
          <w:szCs w:val="24"/>
        </w:rPr>
        <w:t xml:space="preserve"> € 11.165.381. La Nota integrativa precisa che la voce riguarda la svalutazione delle partecipazioni in conseguenza di perdite d’esercizio, di cessazione (Sipas Spa), da altri decrementi, e dalla variazione negativa in termini di capitale della Sipas Spa. La Nota chiarisce, altresì, che </w:t>
      </w:r>
      <w:r w:rsidRPr="00CD34A0">
        <w:rPr>
          <w:rFonts w:ascii="Bodoni MT" w:eastAsia="Times New Roman" w:hAnsi="Bodoni MT" w:cs="Bodoni MT"/>
          <w:i/>
          <w:color w:val="000000"/>
          <w:sz w:val="24"/>
          <w:szCs w:val="24"/>
        </w:rPr>
        <w:t xml:space="preserve">“la classificazione delle svalutazioni all’interno della voce </w:t>
      </w:r>
      <w:r w:rsidRPr="00CD34A0">
        <w:rPr>
          <w:rFonts w:ascii="Bodoni MT" w:eastAsia="Times New Roman" w:hAnsi="Bodoni MT" w:cs="Bodoni MT"/>
          <w:i/>
          <w:iCs/>
          <w:color w:val="000000"/>
          <w:sz w:val="24"/>
          <w:szCs w:val="24"/>
        </w:rPr>
        <w:t xml:space="preserve">Rettifiche di valore delle attività finanziarie </w:t>
      </w:r>
      <w:r w:rsidRPr="00CD34A0">
        <w:rPr>
          <w:rFonts w:ascii="Bodoni MT" w:eastAsia="Times New Roman" w:hAnsi="Bodoni MT" w:cs="Bodoni MT"/>
          <w:i/>
          <w:color w:val="000000"/>
          <w:sz w:val="24"/>
          <w:szCs w:val="24"/>
        </w:rPr>
        <w:t xml:space="preserve">è operata nel rispetto della struttura del piano dei conti dei conti economico, che risulta in contrasto con quanto previsto nel </w:t>
      </w:r>
      <w:r w:rsidRPr="00CD34A0">
        <w:rPr>
          <w:rFonts w:ascii="Bodoni MT" w:eastAsia="Times New Roman" w:hAnsi="Bodoni MT" w:cs="Bodoni MT"/>
          <w:i/>
          <w:iCs/>
          <w:color w:val="000000"/>
          <w:sz w:val="24"/>
          <w:szCs w:val="24"/>
        </w:rPr>
        <w:t xml:space="preserve">Principio contabile applicato 4/3 </w:t>
      </w:r>
      <w:r w:rsidRPr="00CD34A0">
        <w:rPr>
          <w:rFonts w:ascii="Bodoni MT" w:eastAsia="Times New Roman" w:hAnsi="Bodoni MT" w:cs="Bodoni MT"/>
          <w:i/>
          <w:color w:val="000000"/>
          <w:sz w:val="24"/>
          <w:szCs w:val="24"/>
        </w:rPr>
        <w:t>al punto 4.19”</w:t>
      </w:r>
      <w:r w:rsidRPr="00CD34A0">
        <w:rPr>
          <w:rFonts w:ascii="Bodoni MT" w:eastAsia="Times New Roman" w:hAnsi="Bodoni MT" w:cs="Bodoni MT"/>
          <w:color w:val="000000"/>
          <w:sz w:val="24"/>
          <w:szCs w:val="24"/>
        </w:rPr>
        <w:t xml:space="preserve">. </w:t>
      </w:r>
    </w:p>
    <w:p w:rsidR="005A1B96" w:rsidRDefault="005A1B96" w:rsidP="00CD34A0">
      <w:pPr>
        <w:tabs>
          <w:tab w:val="left" w:pos="0"/>
          <w:tab w:val="left" w:pos="284"/>
        </w:tabs>
        <w:spacing w:after="120" w:line="360" w:lineRule="auto"/>
        <w:contextualSpacing/>
        <w:jc w:val="both"/>
        <w:textAlignment w:val="center"/>
        <w:rPr>
          <w:rFonts w:ascii="Bodoni MT" w:eastAsia="Times New Roman" w:hAnsi="Bodoni MT" w:cs="Bodoni MT"/>
          <w:color w:val="000000"/>
          <w:sz w:val="24"/>
          <w:szCs w:val="24"/>
        </w:rPr>
      </w:pPr>
      <w:r>
        <w:rPr>
          <w:rFonts w:ascii="Bodoni MT" w:eastAsia="Times New Roman" w:hAnsi="Bodoni MT" w:cs="Bodoni MT"/>
          <w:color w:val="000000"/>
          <w:sz w:val="24"/>
          <w:szCs w:val="24"/>
        </w:rPr>
        <w:br w:type="page"/>
      </w:r>
    </w:p>
    <w:p w:rsidR="005A1B96" w:rsidRPr="007D1222" w:rsidRDefault="005A1B96" w:rsidP="007D1222">
      <w:pPr>
        <w:pStyle w:val="Didascalia"/>
        <w:keepNext/>
      </w:pPr>
      <w:bookmarkStart w:id="349" w:name="_Toc507422564"/>
      <w:r>
        <w:lastRenderedPageBreak/>
        <w:t xml:space="preserve">Tabella </w:t>
      </w:r>
      <w:r w:rsidR="00B90472">
        <w:fldChar w:fldCharType="begin"/>
      </w:r>
      <w:r w:rsidR="00B90472">
        <w:instrText xml:space="preserve"> SEQ Tabell</w:instrText>
      </w:r>
      <w:r w:rsidR="00B90472">
        <w:instrText xml:space="preserve">a \* ARABIC </w:instrText>
      </w:r>
      <w:r w:rsidR="00B90472">
        <w:fldChar w:fldCharType="separate"/>
      </w:r>
      <w:r w:rsidR="008616B3">
        <w:rPr>
          <w:noProof/>
        </w:rPr>
        <w:t>96</w:t>
      </w:r>
      <w:r w:rsidR="00B90472">
        <w:rPr>
          <w:noProof/>
        </w:rPr>
        <w:fldChar w:fldCharType="end"/>
      </w:r>
      <w:r w:rsidR="007D1222">
        <w:t xml:space="preserve"> - </w:t>
      </w:r>
      <w:r w:rsidR="007D1222" w:rsidRPr="007D1222">
        <w:rPr>
          <w:rFonts w:eastAsia="Times New Roman" w:cs="Calibri"/>
          <w:bCs w:val="0"/>
          <w:color w:val="000000"/>
          <w:sz w:val="24"/>
          <w:szCs w:val="24"/>
          <w:lang w:eastAsia="it-IT"/>
        </w:rPr>
        <w:t>Rettifiche di valore di attività finanziarie</w:t>
      </w:r>
      <w:bookmarkEnd w:id="349"/>
    </w:p>
    <w:tbl>
      <w:tblPr>
        <w:tblW w:w="5000" w:type="pct"/>
        <w:jc w:val="center"/>
        <w:tblCellMar>
          <w:left w:w="70" w:type="dxa"/>
          <w:right w:w="70" w:type="dxa"/>
        </w:tblCellMar>
        <w:tblLook w:val="04A0" w:firstRow="1" w:lastRow="0" w:firstColumn="1" w:lastColumn="0" w:noHBand="0" w:noVBand="1"/>
      </w:tblPr>
      <w:tblGrid>
        <w:gridCol w:w="7987"/>
        <w:gridCol w:w="1791"/>
      </w:tblGrid>
      <w:tr w:rsidR="007D1222" w:rsidRPr="007D1222" w:rsidTr="007D1222">
        <w:trPr>
          <w:trHeight w:val="300"/>
          <w:jc w:val="center"/>
        </w:trPr>
        <w:tc>
          <w:tcPr>
            <w:tcW w:w="4084"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CD34A0" w:rsidRPr="007D1222" w:rsidRDefault="007D1222" w:rsidP="007D1222">
            <w:pPr>
              <w:spacing w:after="0" w:line="240" w:lineRule="auto"/>
              <w:jc w:val="center"/>
              <w:rPr>
                <w:rFonts w:ascii="Bodoni MT" w:eastAsia="Times New Roman" w:hAnsi="Bodoni MT" w:cs="Calibri"/>
                <w:b/>
                <w:bCs/>
                <w:color w:val="FFFFFF" w:themeColor="background1"/>
                <w:sz w:val="20"/>
                <w:szCs w:val="20"/>
                <w:lang w:eastAsia="it-IT"/>
              </w:rPr>
            </w:pPr>
            <w:r w:rsidRPr="007D1222">
              <w:rPr>
                <w:rFonts w:ascii="Bodoni MT" w:eastAsia="Times New Roman" w:hAnsi="Bodoni MT" w:cs="Calibri"/>
                <w:b/>
                <w:bCs/>
                <w:color w:val="FFFFFF" w:themeColor="background1"/>
                <w:sz w:val="20"/>
                <w:szCs w:val="20"/>
                <w:lang w:eastAsia="it-IT"/>
              </w:rPr>
              <w:t>VOCI</w:t>
            </w:r>
          </w:p>
        </w:tc>
        <w:tc>
          <w:tcPr>
            <w:tcW w:w="916"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CD34A0" w:rsidRPr="007D1222" w:rsidRDefault="007D1222" w:rsidP="007D1222">
            <w:pPr>
              <w:spacing w:after="0" w:line="240" w:lineRule="auto"/>
              <w:jc w:val="center"/>
              <w:rPr>
                <w:rFonts w:ascii="Bodoni MT" w:eastAsia="Times New Roman" w:hAnsi="Bodoni MT" w:cs="Calibri"/>
                <w:b/>
                <w:bCs/>
                <w:color w:val="FFFFFF" w:themeColor="background1"/>
                <w:sz w:val="20"/>
                <w:szCs w:val="20"/>
                <w:lang w:eastAsia="it-IT"/>
              </w:rPr>
            </w:pPr>
            <w:r w:rsidRPr="007D1222">
              <w:rPr>
                <w:rFonts w:ascii="Bodoni MT" w:eastAsia="Times New Roman" w:hAnsi="Bodoni MT" w:cs="Calibri"/>
                <w:b/>
                <w:bCs/>
                <w:color w:val="FFFFFF" w:themeColor="background1"/>
                <w:sz w:val="20"/>
                <w:szCs w:val="20"/>
                <w:lang w:eastAsia="it-IT"/>
              </w:rPr>
              <w:t>31/12/2016</w:t>
            </w:r>
          </w:p>
        </w:tc>
      </w:tr>
      <w:tr w:rsidR="00CD34A0" w:rsidRPr="007D1222" w:rsidTr="007D1222">
        <w:trPr>
          <w:trHeight w:val="300"/>
          <w:jc w:val="center"/>
        </w:trPr>
        <w:tc>
          <w:tcPr>
            <w:tcW w:w="4084"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7D1222" w:rsidRDefault="00CD34A0" w:rsidP="00CD34A0">
            <w:pPr>
              <w:spacing w:after="0" w:line="240" w:lineRule="auto"/>
              <w:rPr>
                <w:rFonts w:ascii="Bodoni MT" w:eastAsia="Times New Roman" w:hAnsi="Bodoni MT" w:cs="Calibri"/>
                <w:color w:val="FFFFFF" w:themeColor="background1"/>
                <w:sz w:val="20"/>
                <w:szCs w:val="20"/>
                <w:lang w:eastAsia="it-IT"/>
              </w:rPr>
            </w:pPr>
            <w:r w:rsidRPr="007D1222">
              <w:rPr>
                <w:rFonts w:ascii="Bodoni MT" w:eastAsia="Times New Roman" w:hAnsi="Bodoni MT" w:cs="Calibri"/>
                <w:color w:val="FFFFFF" w:themeColor="background1"/>
                <w:sz w:val="20"/>
                <w:szCs w:val="20"/>
                <w:lang w:eastAsia="it-IT"/>
              </w:rPr>
              <w:t xml:space="preserve">22 Rivalutazioni </w:t>
            </w:r>
          </w:p>
        </w:tc>
        <w:tc>
          <w:tcPr>
            <w:tcW w:w="916"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color w:val="000000"/>
                <w:sz w:val="20"/>
                <w:szCs w:val="20"/>
                <w:lang w:eastAsia="it-IT"/>
              </w:rPr>
            </w:pPr>
            <w:r w:rsidRPr="007D1222">
              <w:rPr>
                <w:rFonts w:ascii="Calibri" w:eastAsia="Times New Roman" w:hAnsi="Calibri" w:cs="Calibri"/>
                <w:color w:val="000000"/>
                <w:sz w:val="20"/>
                <w:szCs w:val="20"/>
                <w:lang w:eastAsia="it-IT"/>
              </w:rPr>
              <w:t>2.368.072</w:t>
            </w:r>
          </w:p>
        </w:tc>
      </w:tr>
      <w:tr w:rsidR="00CD34A0" w:rsidRPr="007D1222" w:rsidTr="007D1222">
        <w:trPr>
          <w:trHeight w:val="300"/>
          <w:jc w:val="center"/>
        </w:trPr>
        <w:tc>
          <w:tcPr>
            <w:tcW w:w="4084"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7D1222" w:rsidRDefault="00CD34A0" w:rsidP="00CD34A0">
            <w:pPr>
              <w:spacing w:after="0" w:line="240" w:lineRule="auto"/>
              <w:rPr>
                <w:rFonts w:ascii="Bodoni MT" w:eastAsia="Times New Roman" w:hAnsi="Bodoni MT" w:cs="Calibri"/>
                <w:color w:val="FFFFFF" w:themeColor="background1"/>
                <w:sz w:val="20"/>
                <w:szCs w:val="20"/>
                <w:lang w:eastAsia="it-IT"/>
              </w:rPr>
            </w:pPr>
            <w:r w:rsidRPr="007D1222">
              <w:rPr>
                <w:rFonts w:ascii="Bodoni MT" w:eastAsia="Times New Roman" w:hAnsi="Bodoni MT" w:cs="Calibri"/>
                <w:color w:val="FFFFFF" w:themeColor="background1"/>
                <w:sz w:val="20"/>
                <w:szCs w:val="20"/>
                <w:lang w:eastAsia="it-IT"/>
              </w:rPr>
              <w:t xml:space="preserve">23 Svalutazioni </w:t>
            </w:r>
          </w:p>
        </w:tc>
        <w:tc>
          <w:tcPr>
            <w:tcW w:w="916"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color w:val="000000"/>
                <w:sz w:val="20"/>
                <w:szCs w:val="20"/>
                <w:lang w:eastAsia="it-IT"/>
              </w:rPr>
            </w:pPr>
            <w:r w:rsidRPr="007D1222">
              <w:rPr>
                <w:rFonts w:ascii="Calibri" w:eastAsia="Times New Roman" w:hAnsi="Calibri" w:cs="Calibri"/>
                <w:color w:val="000000"/>
                <w:sz w:val="20"/>
                <w:szCs w:val="20"/>
                <w:lang w:eastAsia="it-IT"/>
              </w:rPr>
              <w:t>11.165.381</w:t>
            </w:r>
          </w:p>
        </w:tc>
      </w:tr>
      <w:tr w:rsidR="00CD34A0" w:rsidRPr="007D1222" w:rsidTr="007D1222">
        <w:trPr>
          <w:trHeight w:val="300"/>
          <w:jc w:val="center"/>
        </w:trPr>
        <w:tc>
          <w:tcPr>
            <w:tcW w:w="4084" w:type="pct"/>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rsidR="00CD34A0" w:rsidRPr="007D1222" w:rsidRDefault="00CD34A0" w:rsidP="00CD34A0">
            <w:pPr>
              <w:spacing w:after="0" w:line="240" w:lineRule="auto"/>
              <w:rPr>
                <w:rFonts w:ascii="Bodoni MT" w:eastAsia="Times New Roman" w:hAnsi="Bodoni MT" w:cs="Calibri"/>
                <w:b/>
                <w:bCs/>
                <w:color w:val="FFFFFF" w:themeColor="background1"/>
                <w:sz w:val="20"/>
                <w:szCs w:val="20"/>
                <w:lang w:eastAsia="it-IT"/>
              </w:rPr>
            </w:pPr>
            <w:r w:rsidRPr="007D1222">
              <w:rPr>
                <w:rFonts w:ascii="Bodoni MT" w:eastAsia="Times New Roman" w:hAnsi="Bodoni MT" w:cs="Calibri"/>
                <w:b/>
                <w:bCs/>
                <w:color w:val="FFFFFF" w:themeColor="background1"/>
                <w:sz w:val="20"/>
                <w:szCs w:val="20"/>
                <w:lang w:eastAsia="it-IT"/>
              </w:rPr>
              <w:t xml:space="preserve">D) Totale Rettifiche di valore di attività finanziarie </w:t>
            </w:r>
          </w:p>
        </w:tc>
        <w:tc>
          <w:tcPr>
            <w:tcW w:w="916"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b/>
                <w:bCs/>
                <w:color w:val="000000"/>
                <w:sz w:val="20"/>
                <w:szCs w:val="20"/>
                <w:lang w:eastAsia="it-IT"/>
              </w:rPr>
            </w:pPr>
            <w:r w:rsidRPr="007D1222">
              <w:rPr>
                <w:rFonts w:ascii="Calibri" w:eastAsia="Times New Roman" w:hAnsi="Calibri" w:cs="Calibri"/>
                <w:b/>
                <w:bCs/>
                <w:color w:val="000000"/>
                <w:sz w:val="20"/>
                <w:szCs w:val="20"/>
                <w:lang w:eastAsia="it-IT"/>
              </w:rPr>
              <w:t>-8.797.309</w:t>
            </w:r>
          </w:p>
        </w:tc>
      </w:tr>
    </w:tbl>
    <w:p w:rsidR="00CD34A0" w:rsidRPr="007D1222"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7D1222">
        <w:rPr>
          <w:rFonts w:ascii="Bodoni MT" w:eastAsia="Times New Roman" w:hAnsi="Bodoni MT" w:cs="Bodoni MT"/>
          <w:color w:val="000000"/>
          <w:sz w:val="18"/>
          <w:szCs w:val="18"/>
        </w:rPr>
        <w:t>Fonte RAS Rendiconto sulla gestione 2016 – Allegato 3.2</w:t>
      </w:r>
    </w:p>
    <w:p w:rsidR="00CD34A0" w:rsidRPr="00CD34A0" w:rsidRDefault="007D1222" w:rsidP="007D1222">
      <w:pPr>
        <w:pStyle w:val="Titolo3"/>
        <w:rPr>
          <w:rFonts w:eastAsia="Times New Roman"/>
        </w:rPr>
      </w:pPr>
      <w:bookmarkStart w:id="350" w:name="_Toc507422691"/>
      <w:r>
        <w:rPr>
          <w:rFonts w:eastAsia="Times New Roman"/>
        </w:rPr>
        <w:t>Proventi ed oneri straordinari</w:t>
      </w:r>
      <w:bookmarkEnd w:id="350"/>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color w:val="000000"/>
          <w:sz w:val="24"/>
          <w:szCs w:val="24"/>
        </w:rPr>
        <w:t>I proventi straordinari</w:t>
      </w:r>
      <w:r w:rsidRPr="00CD34A0">
        <w:rPr>
          <w:rFonts w:ascii="Bodoni MT" w:eastAsia="Times New Roman" w:hAnsi="Bodoni MT" w:cs="Bodoni MT"/>
          <w:color w:val="000000"/>
          <w:sz w:val="24"/>
          <w:szCs w:val="24"/>
        </w:rPr>
        <w:t xml:space="preserve"> (€ </w:t>
      </w:r>
      <w:r w:rsidRPr="00CD34A0">
        <w:rPr>
          <w:rFonts w:ascii="Bodoni MT" w:eastAsia="Times New Roman" w:hAnsi="Bodoni MT" w:cs="Bodoni MT"/>
          <w:bCs/>
          <w:color w:val="000000"/>
          <w:sz w:val="24"/>
          <w:szCs w:val="24"/>
        </w:rPr>
        <w:t>203.002.228</w:t>
      </w:r>
      <w:r w:rsidRPr="00CD34A0">
        <w:rPr>
          <w:rFonts w:ascii="Bodoni MT" w:eastAsia="Times New Roman" w:hAnsi="Bodoni MT" w:cs="Bodoni MT"/>
          <w:color w:val="000000"/>
          <w:sz w:val="24"/>
          <w:szCs w:val="24"/>
        </w:rPr>
        <w:t>) derivano essenzialmente dalle sopravvenienze attive</w:t>
      </w:r>
      <w:r w:rsidRPr="00CD34A0">
        <w:rPr>
          <w:rFonts w:ascii="Calibri,Italic" w:eastAsia="Calibri" w:hAnsi="Calibri,Italic" w:cs="Calibri,Italic"/>
          <w:i/>
          <w:iCs/>
          <w:sz w:val="20"/>
          <w:szCs w:val="20"/>
        </w:rPr>
        <w:t xml:space="preserve"> </w:t>
      </w:r>
      <w:r w:rsidRPr="00CD34A0">
        <w:rPr>
          <w:rFonts w:ascii="Bodoni MT" w:eastAsia="Times New Roman" w:hAnsi="Bodoni MT" w:cs="Bodoni MT"/>
          <w:color w:val="000000"/>
          <w:sz w:val="24"/>
          <w:szCs w:val="24"/>
        </w:rPr>
        <w:t xml:space="preserve">in contropartita della capitalizzazione di immobilizzazioni acquisite a titolo gratuito, dalle insussistenze del passivo dovute alle operazioni di riaccertamento dei residui passivi (complessivamente € </w:t>
      </w:r>
      <w:r w:rsidRPr="00CD34A0">
        <w:rPr>
          <w:rFonts w:ascii="Bodoni MT" w:eastAsia="Times New Roman" w:hAnsi="Bodoni MT" w:cs="Bodoni MT"/>
          <w:iCs/>
          <w:color w:val="000000"/>
          <w:sz w:val="24"/>
          <w:szCs w:val="24"/>
        </w:rPr>
        <w:t>187.294.810), per proventi da trasferimenti in conto capitale</w:t>
      </w:r>
      <w:r w:rsidRPr="00CD34A0">
        <w:rPr>
          <w:rFonts w:ascii="Bodoni MT" w:eastAsia="Times New Roman" w:hAnsi="Bodoni MT" w:cs="Bodoni MT"/>
          <w:i/>
          <w:iCs/>
          <w:color w:val="000000"/>
          <w:sz w:val="24"/>
          <w:szCs w:val="24"/>
        </w:rPr>
        <w:t xml:space="preserve"> </w:t>
      </w:r>
      <w:r w:rsidRPr="00CD34A0">
        <w:rPr>
          <w:rFonts w:ascii="Bodoni MT" w:eastAsia="Times New Roman" w:hAnsi="Bodoni MT" w:cs="Bodoni MT"/>
          <w:iCs/>
          <w:color w:val="000000"/>
          <w:sz w:val="24"/>
          <w:szCs w:val="24"/>
        </w:rPr>
        <w:t>derivanti dagli accertamenti della contabilità finanziaria (€ 3.639.354)</w:t>
      </w:r>
      <w:r w:rsidRPr="00CD34A0">
        <w:rPr>
          <w:rFonts w:ascii="Bodoni MT" w:eastAsia="Times New Roman" w:hAnsi="Bodoni MT" w:cs="Bodoni MT"/>
          <w:color w:val="000000"/>
          <w:sz w:val="24"/>
          <w:szCs w:val="24"/>
        </w:rPr>
        <w:t xml:space="preserve">, per € </w:t>
      </w:r>
      <w:r w:rsidRPr="00CD34A0">
        <w:rPr>
          <w:rFonts w:ascii="Bodoni MT" w:eastAsia="Times New Roman" w:hAnsi="Bodoni MT" w:cs="Bodoni MT"/>
          <w:iCs/>
          <w:color w:val="000000"/>
          <w:sz w:val="24"/>
          <w:szCs w:val="24"/>
        </w:rPr>
        <w:t>3.357.232</w:t>
      </w:r>
      <w:r w:rsidRPr="00CD34A0">
        <w:rPr>
          <w:rFonts w:ascii="Bodoni MT" w:eastAsia="Times New Roman" w:hAnsi="Bodoni MT" w:cs="Bodoni MT"/>
          <w:color w:val="000000"/>
          <w:sz w:val="24"/>
          <w:szCs w:val="24"/>
        </w:rPr>
        <w:t xml:space="preserve">, da plusvalenze patrimoniali per differenze positive tra valore di cessione e valore netto contabile da cessione di immobilizzazioni; da altri proventi straordinari per € </w:t>
      </w:r>
      <w:r w:rsidRPr="00CD34A0">
        <w:rPr>
          <w:rFonts w:ascii="Bodoni MT" w:eastAsia="Times New Roman" w:hAnsi="Bodoni MT" w:cs="Bodoni MT"/>
          <w:iCs/>
          <w:color w:val="000000"/>
          <w:sz w:val="24"/>
          <w:szCs w:val="24"/>
        </w:rPr>
        <w:t xml:space="preserve">8.710.832 dovuti all’utilizzo del fondo svalutazione crediti per l’incasso di crediti per i quali in data </w:t>
      </w:r>
      <w:r w:rsidR="00495973">
        <w:rPr>
          <w:rFonts w:ascii="Bodoni MT" w:eastAsia="Times New Roman" w:hAnsi="Bodoni MT" w:cs="Bodoni MT"/>
          <w:iCs/>
          <w:color w:val="000000"/>
          <w:sz w:val="24"/>
          <w:szCs w:val="24"/>
        </w:rPr>
        <w:t>0</w:t>
      </w:r>
      <w:r w:rsidR="002C1F0C">
        <w:rPr>
          <w:rFonts w:ascii="Bodoni MT" w:eastAsia="Times New Roman" w:hAnsi="Bodoni MT" w:cs="Bodoni MT"/>
          <w:iCs/>
          <w:color w:val="000000"/>
          <w:sz w:val="24"/>
          <w:szCs w:val="24"/>
        </w:rPr>
        <w:t>1/</w:t>
      </w:r>
      <w:r w:rsidR="00495973">
        <w:rPr>
          <w:rFonts w:ascii="Bodoni MT" w:eastAsia="Times New Roman" w:hAnsi="Bodoni MT" w:cs="Bodoni MT"/>
          <w:iCs/>
          <w:color w:val="000000"/>
          <w:sz w:val="24"/>
          <w:szCs w:val="24"/>
        </w:rPr>
        <w:t>0</w:t>
      </w:r>
      <w:r w:rsidR="002C1F0C">
        <w:rPr>
          <w:rFonts w:ascii="Bodoni MT" w:eastAsia="Times New Roman" w:hAnsi="Bodoni MT" w:cs="Bodoni MT"/>
          <w:iCs/>
          <w:color w:val="000000"/>
          <w:sz w:val="24"/>
          <w:szCs w:val="24"/>
        </w:rPr>
        <w:t>1/</w:t>
      </w:r>
      <w:r w:rsidRPr="00CD34A0">
        <w:rPr>
          <w:rFonts w:ascii="Bodoni MT" w:eastAsia="Times New Roman" w:hAnsi="Bodoni MT" w:cs="Bodoni MT"/>
          <w:iCs/>
          <w:color w:val="000000"/>
          <w:sz w:val="24"/>
          <w:szCs w:val="24"/>
        </w:rPr>
        <w:t>2016 era stato iscritto il fondo svalutazione crediti.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Gli oneri</w:t>
      </w:r>
      <w:r w:rsidRPr="00CD34A0">
        <w:rPr>
          <w:rFonts w:ascii="Bodoni MT" w:eastAsia="Times New Roman" w:hAnsi="Bodoni MT" w:cs="Bodoni MT"/>
          <w:color w:val="000000"/>
          <w:sz w:val="24"/>
          <w:szCs w:val="24"/>
        </w:rPr>
        <w:t xml:space="preserve"> (€ </w:t>
      </w:r>
      <w:r w:rsidRPr="00CD34A0">
        <w:rPr>
          <w:rFonts w:ascii="Bodoni MT" w:eastAsia="Times New Roman" w:hAnsi="Bodoni MT" w:cs="Bodoni MT"/>
          <w:bCs/>
          <w:color w:val="000000"/>
          <w:sz w:val="24"/>
          <w:szCs w:val="24"/>
        </w:rPr>
        <w:t>82.328.386</w:t>
      </w:r>
      <w:r w:rsidRPr="00CD34A0">
        <w:rPr>
          <w:rFonts w:ascii="Bodoni MT" w:eastAsia="Times New Roman" w:hAnsi="Bodoni MT" w:cs="Bodoni MT"/>
          <w:color w:val="000000"/>
          <w:sz w:val="24"/>
          <w:szCs w:val="24"/>
        </w:rPr>
        <w:t xml:space="preserve">) sono riferiti in particolare alle sopravvenienze passive e alle insussistenze dell’attivo (€ </w:t>
      </w:r>
      <w:r w:rsidRPr="00CD34A0">
        <w:rPr>
          <w:rFonts w:ascii="Bodoni MT" w:eastAsia="Times New Roman" w:hAnsi="Bodoni MT" w:cs="Bodoni MT"/>
          <w:iCs/>
          <w:color w:val="000000"/>
          <w:sz w:val="24"/>
          <w:szCs w:val="24"/>
        </w:rPr>
        <w:t>77.685.871), le prime dovute ad incrementi dei residui passivi ed altre imputazioni derivanti dal riaccertamento ordinario e le seconde per  eliminazioni e aggiustamenti di partite creditorie effettuate in sede di riaccertamento ordinario; ai trasfer</w:t>
      </w:r>
      <w:r w:rsidR="007D1222">
        <w:rPr>
          <w:rFonts w:ascii="Bodoni MT" w:eastAsia="Times New Roman" w:hAnsi="Bodoni MT" w:cs="Bodoni MT"/>
          <w:iCs/>
          <w:color w:val="000000"/>
          <w:sz w:val="24"/>
          <w:szCs w:val="24"/>
        </w:rPr>
        <w:t>im</w:t>
      </w:r>
      <w:r w:rsidR="002C1F0C">
        <w:rPr>
          <w:rFonts w:ascii="Bodoni MT" w:eastAsia="Times New Roman" w:hAnsi="Bodoni MT" w:cs="Bodoni MT"/>
          <w:iCs/>
          <w:color w:val="000000"/>
          <w:sz w:val="24"/>
          <w:szCs w:val="24"/>
        </w:rPr>
        <w:t xml:space="preserve">enti </w:t>
      </w:r>
      <w:r w:rsidR="007D1222">
        <w:rPr>
          <w:rFonts w:ascii="Bodoni MT" w:eastAsia="Times New Roman" w:hAnsi="Bodoni MT" w:cs="Bodoni MT"/>
          <w:iCs/>
          <w:color w:val="000000"/>
          <w:sz w:val="24"/>
          <w:szCs w:val="24"/>
        </w:rPr>
        <w:t xml:space="preserve">in </w:t>
      </w:r>
      <w:r w:rsidR="00495973">
        <w:rPr>
          <w:rFonts w:ascii="Bodoni MT" w:eastAsia="Times New Roman" w:hAnsi="Bodoni MT" w:cs="Bodoni MT"/>
          <w:iCs/>
          <w:color w:val="000000"/>
          <w:sz w:val="24"/>
          <w:szCs w:val="24"/>
        </w:rPr>
        <w:t xml:space="preserve">conto capitale per € 3.828.809 </w:t>
      </w:r>
      <w:r w:rsidR="007D1222">
        <w:rPr>
          <w:rFonts w:ascii="Bodoni MT" w:eastAsia="Times New Roman" w:hAnsi="Bodoni MT" w:cs="Bodoni MT"/>
          <w:iCs/>
          <w:color w:val="000000"/>
          <w:sz w:val="24"/>
          <w:szCs w:val="24"/>
        </w:rPr>
        <w:t xml:space="preserve">per oneri derivanti </w:t>
      </w:r>
      <w:r w:rsidRPr="00CD34A0">
        <w:rPr>
          <w:rFonts w:ascii="Bodoni MT" w:eastAsia="Times New Roman" w:hAnsi="Bodoni MT" w:cs="Bodoni MT"/>
          <w:iCs/>
          <w:color w:val="000000"/>
          <w:sz w:val="24"/>
          <w:szCs w:val="24"/>
        </w:rPr>
        <w:t>- secondo la Nota integrativa - dagli impegni della contabilità finanziaria rettificati dai valori delle erogazioni effettive rilevate dai conti correnti intestati alla Ras e gestiti da altri soggetti;</w:t>
      </w:r>
      <w:r w:rsidR="007D1222">
        <w:rPr>
          <w:rFonts w:ascii="Bodoni MT" w:eastAsia="Times New Roman" w:hAnsi="Bodoni MT" w:cs="Bodoni MT"/>
          <w:color w:val="000000"/>
          <w:sz w:val="24"/>
          <w:szCs w:val="24"/>
        </w:rPr>
        <w:t xml:space="preserve"> e, infine, </w:t>
      </w:r>
      <w:r w:rsidRPr="00CD34A0">
        <w:rPr>
          <w:rFonts w:ascii="Bodoni MT" w:eastAsia="Times New Roman" w:hAnsi="Bodoni MT" w:cs="Bodoni MT"/>
          <w:color w:val="000000"/>
          <w:sz w:val="24"/>
          <w:szCs w:val="24"/>
        </w:rPr>
        <w:t xml:space="preserve">per € </w:t>
      </w:r>
      <w:r w:rsidRPr="00CD34A0">
        <w:rPr>
          <w:rFonts w:ascii="Bodoni MT" w:eastAsia="Times New Roman" w:hAnsi="Bodoni MT" w:cs="Bodoni MT"/>
          <w:iCs/>
          <w:color w:val="000000"/>
          <w:sz w:val="24"/>
          <w:szCs w:val="24"/>
        </w:rPr>
        <w:t>813.706</w:t>
      </w:r>
      <w:r w:rsidRPr="00CD34A0">
        <w:rPr>
          <w:rFonts w:ascii="Bodoni MT" w:eastAsia="Times New Roman" w:hAnsi="Bodoni MT" w:cs="Bodoni MT"/>
          <w:color w:val="000000"/>
          <w:sz w:val="24"/>
          <w:szCs w:val="24"/>
        </w:rPr>
        <w:t xml:space="preserve">, alle minusvalenze patrimoniali per differenze negative tra valore di cessione e valore netto contabile da cessione di immobilizzazioni. </w:t>
      </w:r>
    </w:p>
    <w:tbl>
      <w:tblPr>
        <w:tblW w:w="5000" w:type="pct"/>
        <w:jc w:val="center"/>
        <w:tblCellMar>
          <w:left w:w="70" w:type="dxa"/>
          <w:right w:w="70" w:type="dxa"/>
        </w:tblCellMar>
        <w:tblLook w:val="04A0" w:firstRow="1" w:lastRow="0" w:firstColumn="1" w:lastColumn="0" w:noHBand="0" w:noVBand="1"/>
      </w:tblPr>
      <w:tblGrid>
        <w:gridCol w:w="7588"/>
        <w:gridCol w:w="2190"/>
      </w:tblGrid>
      <w:tr w:rsidR="007D1222" w:rsidRPr="007D1222" w:rsidTr="007D1222">
        <w:trPr>
          <w:trHeight w:val="221"/>
          <w:jc w:val="center"/>
        </w:trPr>
        <w:tc>
          <w:tcPr>
            <w:tcW w:w="3880" w:type="pct"/>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rsidR="00CD34A0" w:rsidRPr="007D1222" w:rsidRDefault="007D1222" w:rsidP="007D1222">
            <w:pPr>
              <w:spacing w:after="0" w:line="240" w:lineRule="auto"/>
              <w:jc w:val="center"/>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t>VOCI</w:t>
            </w:r>
          </w:p>
        </w:tc>
        <w:tc>
          <w:tcPr>
            <w:tcW w:w="1120" w:type="pct"/>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rsidR="00CD34A0" w:rsidRPr="007D1222" w:rsidRDefault="007D1222" w:rsidP="007D1222">
            <w:pPr>
              <w:spacing w:after="0" w:line="240" w:lineRule="auto"/>
              <w:jc w:val="center"/>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t>31/12/2016</w:t>
            </w:r>
          </w:p>
        </w:tc>
      </w:tr>
      <w:tr w:rsidR="00CD34A0" w:rsidRPr="00CD34A0" w:rsidTr="007D1222">
        <w:trPr>
          <w:trHeight w:val="138"/>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t>24 Proventi straordinari</w:t>
            </w:r>
          </w:p>
        </w:tc>
        <w:tc>
          <w:tcPr>
            <w:tcW w:w="1120" w:type="pct"/>
            <w:tcBorders>
              <w:top w:val="nil"/>
              <w:left w:val="nil"/>
              <w:bottom w:val="single" w:sz="4" w:space="0" w:color="auto"/>
              <w:right w:val="single" w:sz="4" w:space="0" w:color="auto"/>
            </w:tcBorders>
            <w:shd w:val="clear" w:color="auto" w:fill="auto"/>
            <w:noWrap/>
            <w:vAlign w:val="bottom"/>
            <w:hideMark/>
          </w:tcPr>
          <w:p w:rsidR="00CD34A0" w:rsidRPr="00CD34A0" w:rsidRDefault="00CD34A0" w:rsidP="00CD34A0">
            <w:pPr>
              <w:spacing w:after="0" w:line="240" w:lineRule="auto"/>
              <w:rPr>
                <w:rFonts w:ascii="Calibri" w:eastAsia="Times New Roman" w:hAnsi="Calibri" w:cs="Calibri"/>
                <w:color w:val="000000"/>
                <w:sz w:val="18"/>
                <w:szCs w:val="18"/>
                <w:lang w:eastAsia="it-IT"/>
              </w:rPr>
            </w:pPr>
            <w:r w:rsidRPr="00CD34A0">
              <w:rPr>
                <w:rFonts w:ascii="Calibri" w:eastAsia="Times New Roman" w:hAnsi="Calibri" w:cs="Calibri"/>
                <w:color w:val="000000"/>
                <w:sz w:val="18"/>
                <w:szCs w:val="18"/>
                <w:lang w:eastAsia="it-IT"/>
              </w:rPr>
              <w:t> </w:t>
            </w:r>
          </w:p>
        </w:tc>
      </w:tr>
      <w:tr w:rsidR="00CD34A0" w:rsidRPr="00CD34A0" w:rsidTr="007D1222">
        <w:trPr>
          <w:trHeight w:val="184"/>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a</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Proventi da permessi di costruire</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 </w:t>
            </w:r>
          </w:p>
        </w:tc>
      </w:tr>
      <w:tr w:rsidR="00CD34A0" w:rsidRPr="00CD34A0" w:rsidTr="007D1222">
        <w:trPr>
          <w:trHeight w:val="160"/>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iCs/>
                <w:color w:val="FFFFFF" w:themeColor="background1"/>
                <w:sz w:val="18"/>
                <w:szCs w:val="18"/>
                <w:lang w:eastAsia="it-IT"/>
              </w:rPr>
            </w:pPr>
            <w:r w:rsidRPr="007D1222">
              <w:rPr>
                <w:rFonts w:ascii="Bodoni MT" w:eastAsia="Times New Roman" w:hAnsi="Bodoni MT" w:cs="Calibri"/>
                <w:iCs/>
                <w:color w:val="FFFFFF" w:themeColor="background1"/>
                <w:sz w:val="18"/>
                <w:szCs w:val="18"/>
                <w:lang w:eastAsia="it-IT"/>
              </w:rPr>
              <w:t>b</w:t>
            </w:r>
            <w:r w:rsidR="007D1222" w:rsidRPr="007D1222">
              <w:rPr>
                <w:rFonts w:ascii="Bodoni MT" w:eastAsia="Times New Roman" w:hAnsi="Bodoni MT" w:cs="Calibri"/>
                <w:iCs/>
                <w:color w:val="FFFFFF" w:themeColor="background1"/>
                <w:sz w:val="18"/>
                <w:szCs w:val="18"/>
                <w:lang w:eastAsia="it-IT"/>
              </w:rPr>
              <w:t>)</w:t>
            </w:r>
            <w:r w:rsidRPr="007D1222">
              <w:rPr>
                <w:rFonts w:ascii="Bodoni MT" w:eastAsia="Times New Roman" w:hAnsi="Bodoni MT" w:cs="Calibri"/>
                <w:iCs/>
                <w:color w:val="FFFFFF" w:themeColor="background1"/>
                <w:sz w:val="18"/>
                <w:szCs w:val="18"/>
                <w:lang w:eastAsia="it-IT"/>
              </w:rPr>
              <w:t xml:space="preserve"> Proventi da trasferimenti in conto capitale</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3.639.354</w:t>
            </w:r>
          </w:p>
        </w:tc>
      </w:tr>
      <w:tr w:rsidR="00CD34A0" w:rsidRPr="00CD34A0" w:rsidTr="007D1222">
        <w:trPr>
          <w:trHeight w:val="279"/>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c</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Sopravvenienze attive e insussistenze del passivo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187.294.810</w:t>
            </w:r>
          </w:p>
        </w:tc>
      </w:tr>
      <w:tr w:rsidR="00CD34A0" w:rsidRPr="00CD34A0" w:rsidTr="007D1222">
        <w:trPr>
          <w:trHeight w:val="300"/>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iCs/>
                <w:color w:val="FFFFFF" w:themeColor="background1"/>
                <w:sz w:val="18"/>
                <w:szCs w:val="18"/>
                <w:lang w:eastAsia="it-IT"/>
              </w:rPr>
            </w:pPr>
            <w:r w:rsidRPr="007D1222">
              <w:rPr>
                <w:rFonts w:ascii="Bodoni MT" w:eastAsia="Times New Roman" w:hAnsi="Bodoni MT" w:cs="Calibri"/>
                <w:iCs/>
                <w:color w:val="FFFFFF" w:themeColor="background1"/>
                <w:sz w:val="18"/>
                <w:szCs w:val="18"/>
                <w:lang w:eastAsia="it-IT"/>
              </w:rPr>
              <w:t>d</w:t>
            </w:r>
            <w:r w:rsidR="007D1222" w:rsidRPr="007D1222">
              <w:rPr>
                <w:rFonts w:ascii="Bodoni MT" w:eastAsia="Times New Roman" w:hAnsi="Bodoni MT" w:cs="Calibri"/>
                <w:iCs/>
                <w:color w:val="FFFFFF" w:themeColor="background1"/>
                <w:sz w:val="18"/>
                <w:szCs w:val="18"/>
                <w:lang w:eastAsia="it-IT"/>
              </w:rPr>
              <w:t>)</w:t>
            </w:r>
            <w:r w:rsidRPr="007D1222">
              <w:rPr>
                <w:rFonts w:ascii="Bodoni MT" w:eastAsia="Times New Roman" w:hAnsi="Bodoni MT" w:cs="Calibri"/>
                <w:iCs/>
                <w:color w:val="FFFFFF" w:themeColor="background1"/>
                <w:sz w:val="18"/>
                <w:szCs w:val="18"/>
                <w:lang w:eastAsia="it-IT"/>
              </w:rPr>
              <w:t xml:space="preserve"> Plusvalenze patrimoniali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3.357.232</w:t>
            </w:r>
          </w:p>
        </w:tc>
      </w:tr>
      <w:tr w:rsidR="00CD34A0" w:rsidRPr="00CD34A0" w:rsidTr="007D1222">
        <w:trPr>
          <w:trHeight w:val="231"/>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e</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Altri proventi straordinari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8.710.832</w:t>
            </w:r>
          </w:p>
        </w:tc>
      </w:tr>
      <w:tr w:rsidR="00CD34A0" w:rsidRPr="00CD34A0" w:rsidTr="007D1222">
        <w:trPr>
          <w:trHeight w:val="120"/>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t xml:space="preserve">Totale proventi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b/>
                <w:bCs/>
                <w:sz w:val="18"/>
                <w:szCs w:val="18"/>
                <w:lang w:eastAsia="it-IT"/>
              </w:rPr>
            </w:pPr>
            <w:r w:rsidRPr="007D1222">
              <w:rPr>
                <w:rFonts w:ascii="Calibri" w:eastAsia="Times New Roman" w:hAnsi="Calibri" w:cs="Calibri"/>
                <w:b/>
                <w:bCs/>
                <w:sz w:val="18"/>
                <w:szCs w:val="18"/>
                <w:lang w:eastAsia="it-IT"/>
              </w:rPr>
              <w:t>203.002.228</w:t>
            </w:r>
          </w:p>
        </w:tc>
      </w:tr>
      <w:tr w:rsidR="00CD34A0" w:rsidRPr="00CD34A0" w:rsidTr="007D1222">
        <w:trPr>
          <w:trHeight w:val="138"/>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t>25 Oneri straordinari</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 </w:t>
            </w:r>
          </w:p>
        </w:tc>
      </w:tr>
      <w:tr w:rsidR="00CD34A0" w:rsidRPr="00CD34A0" w:rsidTr="007D1222">
        <w:trPr>
          <w:trHeight w:val="184"/>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a</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Trasferimenti in conto capitale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3.828.809</w:t>
            </w:r>
          </w:p>
        </w:tc>
      </w:tr>
      <w:tr w:rsidR="00CD34A0" w:rsidRPr="00CD34A0" w:rsidTr="007D1222">
        <w:trPr>
          <w:trHeight w:val="244"/>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b</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Sopravvenienze passive e insussistenze dell'attivo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77.685.871</w:t>
            </w:r>
          </w:p>
        </w:tc>
      </w:tr>
      <w:tr w:rsidR="00CD34A0" w:rsidRPr="00CD34A0" w:rsidTr="007D1222">
        <w:trPr>
          <w:trHeight w:val="120"/>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c</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Minusvalenze patrimoniali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sz w:val="18"/>
                <w:szCs w:val="18"/>
                <w:lang w:eastAsia="it-IT"/>
              </w:rPr>
            </w:pPr>
            <w:r w:rsidRPr="007D1222">
              <w:rPr>
                <w:rFonts w:ascii="Calibri" w:eastAsia="Times New Roman" w:hAnsi="Calibri" w:cs="Calibri"/>
                <w:sz w:val="18"/>
                <w:szCs w:val="18"/>
                <w:lang w:eastAsia="it-IT"/>
              </w:rPr>
              <w:t>813.706</w:t>
            </w:r>
          </w:p>
        </w:tc>
      </w:tr>
      <w:tr w:rsidR="00CD34A0" w:rsidRPr="00CD34A0" w:rsidTr="007D1222">
        <w:trPr>
          <w:trHeight w:val="120"/>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color w:val="FFFFFF" w:themeColor="background1"/>
                <w:sz w:val="18"/>
                <w:szCs w:val="18"/>
                <w:lang w:eastAsia="it-IT"/>
              </w:rPr>
            </w:pPr>
            <w:r w:rsidRPr="007D1222">
              <w:rPr>
                <w:rFonts w:ascii="Bodoni MT" w:eastAsia="Times New Roman" w:hAnsi="Bodoni MT" w:cs="Calibri"/>
                <w:color w:val="FFFFFF" w:themeColor="background1"/>
                <w:sz w:val="18"/>
                <w:szCs w:val="18"/>
                <w:lang w:eastAsia="it-IT"/>
              </w:rPr>
              <w:t>d</w:t>
            </w:r>
            <w:r w:rsidR="007D1222" w:rsidRPr="007D1222">
              <w:rPr>
                <w:rFonts w:ascii="Bodoni MT" w:eastAsia="Times New Roman" w:hAnsi="Bodoni MT" w:cs="Calibri"/>
                <w:color w:val="FFFFFF" w:themeColor="background1"/>
                <w:sz w:val="18"/>
                <w:szCs w:val="18"/>
                <w:lang w:eastAsia="it-IT"/>
              </w:rPr>
              <w:t>)</w:t>
            </w:r>
            <w:r w:rsidRPr="007D1222">
              <w:rPr>
                <w:rFonts w:ascii="Bodoni MT" w:eastAsia="Times New Roman" w:hAnsi="Bodoni MT" w:cs="Calibri"/>
                <w:color w:val="FFFFFF" w:themeColor="background1"/>
                <w:sz w:val="18"/>
                <w:szCs w:val="18"/>
                <w:lang w:eastAsia="it-IT"/>
              </w:rPr>
              <w:t xml:space="preserve"> Altri oneri straordinari</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rPr>
                <w:rFonts w:ascii="Calibri" w:eastAsia="Times New Roman" w:hAnsi="Calibri" w:cs="Calibri"/>
                <w:b/>
                <w:bCs/>
                <w:sz w:val="18"/>
                <w:szCs w:val="18"/>
                <w:lang w:eastAsia="it-IT"/>
              </w:rPr>
            </w:pPr>
            <w:r w:rsidRPr="007D1222">
              <w:rPr>
                <w:rFonts w:ascii="Calibri" w:eastAsia="Times New Roman" w:hAnsi="Calibri" w:cs="Calibri"/>
                <w:b/>
                <w:bCs/>
                <w:sz w:val="18"/>
                <w:szCs w:val="18"/>
                <w:lang w:eastAsia="it-IT"/>
              </w:rPr>
              <w:t> </w:t>
            </w:r>
          </w:p>
        </w:tc>
      </w:tr>
      <w:tr w:rsidR="00CD34A0" w:rsidRPr="00CD34A0" w:rsidTr="007D1222">
        <w:trPr>
          <w:trHeight w:val="141"/>
          <w:jc w:val="center"/>
        </w:trPr>
        <w:tc>
          <w:tcPr>
            <w:tcW w:w="3880"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rsidR="00CD34A0" w:rsidRPr="007D1222" w:rsidRDefault="00CD34A0" w:rsidP="007D1222">
            <w:pPr>
              <w:spacing w:after="0" w:line="240" w:lineRule="auto"/>
              <w:rPr>
                <w:rFonts w:ascii="Bodoni MT" w:eastAsia="Times New Roman" w:hAnsi="Bodoni MT" w:cs="Calibri"/>
                <w:b/>
                <w:bCs/>
                <w:color w:val="FFFFFF" w:themeColor="background1"/>
                <w:sz w:val="18"/>
                <w:szCs w:val="18"/>
                <w:lang w:eastAsia="it-IT"/>
              </w:rPr>
            </w:pPr>
            <w:r w:rsidRPr="007D1222">
              <w:rPr>
                <w:rFonts w:ascii="Bodoni MT" w:eastAsia="Times New Roman" w:hAnsi="Bodoni MT" w:cs="Calibri"/>
                <w:b/>
                <w:bCs/>
                <w:color w:val="FFFFFF" w:themeColor="background1"/>
                <w:sz w:val="18"/>
                <w:szCs w:val="18"/>
                <w:lang w:eastAsia="it-IT"/>
              </w:rPr>
              <w:lastRenderedPageBreak/>
              <w:t xml:space="preserve">Totale oneri </w:t>
            </w:r>
          </w:p>
        </w:tc>
        <w:tc>
          <w:tcPr>
            <w:tcW w:w="1120" w:type="pct"/>
            <w:tcBorders>
              <w:top w:val="nil"/>
              <w:left w:val="nil"/>
              <w:bottom w:val="single" w:sz="4" w:space="0" w:color="auto"/>
              <w:right w:val="single" w:sz="4" w:space="0" w:color="auto"/>
            </w:tcBorders>
            <w:shd w:val="clear" w:color="auto" w:fill="FFFFFF" w:themeFill="background1"/>
            <w:noWrap/>
            <w:vAlign w:val="bottom"/>
            <w:hideMark/>
          </w:tcPr>
          <w:p w:rsidR="00CD34A0" w:rsidRPr="007D1222" w:rsidRDefault="00CD34A0" w:rsidP="00CD34A0">
            <w:pPr>
              <w:spacing w:after="0" w:line="240" w:lineRule="auto"/>
              <w:jc w:val="right"/>
              <w:rPr>
                <w:rFonts w:ascii="Calibri" w:eastAsia="Times New Roman" w:hAnsi="Calibri" w:cs="Calibri"/>
                <w:b/>
                <w:bCs/>
                <w:sz w:val="18"/>
                <w:szCs w:val="18"/>
                <w:lang w:eastAsia="it-IT"/>
              </w:rPr>
            </w:pPr>
            <w:r w:rsidRPr="007D1222">
              <w:rPr>
                <w:rFonts w:ascii="Calibri" w:eastAsia="Times New Roman" w:hAnsi="Calibri" w:cs="Calibri"/>
                <w:b/>
                <w:bCs/>
                <w:sz w:val="18"/>
                <w:szCs w:val="18"/>
                <w:lang w:eastAsia="it-IT"/>
              </w:rPr>
              <w:t>82.328.386</w:t>
            </w:r>
          </w:p>
        </w:tc>
      </w:tr>
    </w:tbl>
    <w:p w:rsidR="00CD34A0" w:rsidRPr="007D1222"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7D1222">
        <w:rPr>
          <w:rFonts w:ascii="Bodoni MT" w:eastAsia="Times New Roman" w:hAnsi="Bodoni MT" w:cs="Bodoni MT"/>
          <w:color w:val="000000"/>
          <w:sz w:val="18"/>
          <w:szCs w:val="18"/>
        </w:rPr>
        <w:t>Fonte RAS Rendiconto sulla gestione 2016 – Allegato 3.2</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Ultima voce del Conto Economico è rappresentat</w:t>
      </w:r>
      <w:r w:rsidR="007D1222">
        <w:rPr>
          <w:rFonts w:ascii="Bodoni MT" w:eastAsia="Times New Roman" w:hAnsi="Bodoni MT" w:cs="Bodoni MT"/>
          <w:color w:val="000000"/>
          <w:sz w:val="24"/>
          <w:szCs w:val="24"/>
        </w:rPr>
        <w:t>a dalle imposte che ammontano a</w:t>
      </w:r>
      <w:r w:rsidRPr="00CD34A0">
        <w:rPr>
          <w:rFonts w:ascii="Bodoni MT" w:eastAsia="Times New Roman" w:hAnsi="Bodoni MT" w:cs="Bodoni MT"/>
          <w:color w:val="000000"/>
          <w:sz w:val="24"/>
          <w:szCs w:val="24"/>
        </w:rPr>
        <w:t xml:space="preserve"> € </w:t>
      </w:r>
      <w:r w:rsidRPr="00CD34A0">
        <w:rPr>
          <w:rFonts w:ascii="Bodoni MT" w:eastAsia="Times New Roman" w:hAnsi="Bodoni MT" w:cs="Bodoni MT"/>
          <w:iCs/>
          <w:color w:val="000000"/>
          <w:sz w:val="24"/>
          <w:szCs w:val="24"/>
        </w:rPr>
        <w:t xml:space="preserve">15.489.961 e che portano il risultato di esercizio da € </w:t>
      </w:r>
      <w:r w:rsidRPr="00CD34A0">
        <w:rPr>
          <w:rFonts w:ascii="Bodoni MT" w:eastAsia="Times New Roman" w:hAnsi="Bodoni MT" w:cs="Bodoni MT"/>
          <w:bCs/>
          <w:iCs/>
          <w:color w:val="000000"/>
          <w:sz w:val="24"/>
          <w:szCs w:val="24"/>
        </w:rPr>
        <w:t>917.209.323,00 al valore definitivo di € 901.719.362,00.</w:t>
      </w:r>
    </w:p>
    <w:p w:rsidR="00CD34A0" w:rsidRPr="00CD34A0" w:rsidRDefault="00CD34A0" w:rsidP="007D1222">
      <w:pPr>
        <w:pStyle w:val="Titolo2"/>
        <w:rPr>
          <w:rFonts w:eastAsia="Times New Roman"/>
        </w:rPr>
      </w:pPr>
      <w:bookmarkStart w:id="351" w:name="_Toc507422692"/>
      <w:r w:rsidRPr="00CD34A0">
        <w:rPr>
          <w:rFonts w:eastAsia="Times New Roman"/>
        </w:rPr>
        <w:t>LO STATO PATRIMONIALE</w:t>
      </w:r>
      <w:bookmarkEnd w:id="351"/>
    </w:p>
    <w:p w:rsidR="00CD34A0" w:rsidRPr="00CD34A0" w:rsidRDefault="00CD34A0" w:rsidP="007D1222">
      <w:pPr>
        <w:pStyle w:val="Titolo3"/>
        <w:rPr>
          <w:rFonts w:eastAsia="Times New Roman"/>
        </w:rPr>
      </w:pPr>
      <w:r w:rsidRPr="00CD34A0">
        <w:rPr>
          <w:rFonts w:eastAsia="Times New Roman"/>
        </w:rPr>
        <w:t xml:space="preserve"> </w:t>
      </w:r>
      <w:bookmarkStart w:id="352" w:name="_Toc507422693"/>
      <w:r w:rsidR="00F27D5F" w:rsidRPr="00CD34A0">
        <w:rPr>
          <w:rFonts w:eastAsia="Times New Roman"/>
        </w:rPr>
        <w:t>Premessa</w:t>
      </w:r>
      <w:bookmarkEnd w:id="352"/>
      <w:r w:rsidR="00F27D5F" w:rsidRPr="00CD34A0">
        <w:rPr>
          <w:rFonts w:eastAsia="Times New Roman"/>
        </w:rPr>
        <w:t xml:space="preserve">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color w:val="000000"/>
          <w:sz w:val="24"/>
          <w:szCs w:val="24"/>
        </w:rPr>
        <w:t>Lo Stato Patrimoniale rappresenta la consistenza del patrimonio costituito dal complesso dei beni e dei rapporti giuridici attivi e passivi della Regione al termine dell’esercizio. La rappresentazione contabile di tali elementi consente di determinare la consistenza netta della dotazione patrimoniale comprensiva del risultato economico dell’esercizio (art.</w:t>
      </w:r>
      <w:r w:rsidR="008B0C9C">
        <w:rPr>
          <w:rFonts w:ascii="Bodoni MT" w:eastAsia="Times New Roman" w:hAnsi="Bodoni MT" w:cs="Bodoni MT"/>
          <w:color w:val="000000"/>
          <w:sz w:val="24"/>
          <w:szCs w:val="24"/>
        </w:rPr>
        <w:t xml:space="preserve"> 63, comma 7, D.</w:t>
      </w:r>
      <w:r w:rsidR="007D1222">
        <w:rPr>
          <w:rFonts w:ascii="Bodoni MT" w:eastAsia="Times New Roman" w:hAnsi="Bodoni MT" w:cs="Bodoni MT"/>
          <w:color w:val="000000"/>
          <w:sz w:val="24"/>
          <w:szCs w:val="24"/>
        </w:rPr>
        <w:t>Lgs. n. </w:t>
      </w:r>
      <w:r w:rsidRPr="00CD34A0">
        <w:rPr>
          <w:rFonts w:ascii="Bodoni MT" w:eastAsia="Times New Roman" w:hAnsi="Bodoni MT" w:cs="Bodoni MT"/>
          <w:color w:val="000000"/>
          <w:sz w:val="24"/>
          <w:szCs w:val="24"/>
        </w:rPr>
        <w:t xml:space="preserve">118/2011). La Nota integrativa già richiamata chiarisce che la valutazione degli elementi patrimoniali è stata effettuata secondo i criteri stabiliti dal D.Lgs. n. 118/2011 e dal </w:t>
      </w:r>
      <w:r w:rsidRPr="00CD34A0">
        <w:rPr>
          <w:rFonts w:ascii="Bodoni MT" w:eastAsia="Times New Roman" w:hAnsi="Bodoni MT" w:cs="Bodoni MT"/>
          <w:i/>
          <w:iCs/>
          <w:color w:val="000000"/>
          <w:sz w:val="24"/>
          <w:szCs w:val="24"/>
        </w:rPr>
        <w:t>Principio contabile applicato n.</w:t>
      </w:r>
      <w:r w:rsidR="00A748ED">
        <w:rPr>
          <w:rFonts w:ascii="Bodoni MT" w:eastAsia="Times New Roman" w:hAnsi="Bodoni MT" w:cs="Bodoni MT"/>
          <w:i/>
          <w:iCs/>
          <w:color w:val="000000"/>
          <w:sz w:val="24"/>
          <w:szCs w:val="24"/>
        </w:rPr>
        <w:t xml:space="preserve"> </w:t>
      </w:r>
      <w:r w:rsidRPr="00CD34A0">
        <w:rPr>
          <w:rFonts w:ascii="Bodoni MT" w:eastAsia="Times New Roman" w:hAnsi="Bodoni MT" w:cs="Bodoni MT"/>
          <w:i/>
          <w:iCs/>
          <w:color w:val="000000"/>
          <w:sz w:val="24"/>
          <w:szCs w:val="24"/>
        </w:rPr>
        <w:t xml:space="preserve">4/3 </w:t>
      </w:r>
      <w:r w:rsidRPr="00CD34A0">
        <w:rPr>
          <w:rFonts w:ascii="Bodoni MT" w:eastAsia="Times New Roman" w:hAnsi="Bodoni MT" w:cs="Bodoni MT"/>
          <w:iCs/>
          <w:color w:val="000000"/>
          <w:sz w:val="24"/>
          <w:szCs w:val="24"/>
        </w:rPr>
        <w:t>ove si stabilisce che gli elementi patrimoniali destinati ad essere utilizzati durevolmente dall’ente vengano iscritti tra le immobilizzazioni e che la condizione per tale iscrizione sia il verificarsi, alla data del 31 dicembre, dell’effettivo passaggio del titolo di proprietà dei beni stessi.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La Regione ha avviato la contabilità economico patrimoniale a partire dall’esercizio 2016</w:t>
      </w:r>
      <w:r w:rsidRPr="00CD34A0">
        <w:rPr>
          <w:rFonts w:ascii="Bodoni MT" w:eastAsia="Times New Roman" w:hAnsi="Bodoni MT" w:cs="Bodoni MT"/>
          <w:iCs/>
          <w:color w:val="000000"/>
          <w:sz w:val="24"/>
          <w:szCs w:val="24"/>
        </w:rPr>
        <w:t>. Per determinare lo stato patrimoniale iniziale quale punto di partenza della nuova contabilità, la determinazione delle voci e dei valori che stanno alla base degli elementi p</w:t>
      </w:r>
      <w:r w:rsidR="00A748ED">
        <w:rPr>
          <w:rFonts w:ascii="Bodoni MT" w:eastAsia="Times New Roman" w:hAnsi="Bodoni MT" w:cs="Bodoni MT"/>
          <w:iCs/>
          <w:color w:val="000000"/>
          <w:sz w:val="24"/>
          <w:szCs w:val="24"/>
        </w:rPr>
        <w:t>atrimoniali attivi e passivi all’0</w:t>
      </w:r>
      <w:r w:rsidR="008B0C9C">
        <w:rPr>
          <w:rFonts w:ascii="Bodoni MT" w:eastAsia="Times New Roman" w:hAnsi="Bodoni MT" w:cs="Bodoni MT"/>
          <w:iCs/>
          <w:color w:val="000000"/>
          <w:sz w:val="24"/>
          <w:szCs w:val="24"/>
        </w:rPr>
        <w:t>1/</w:t>
      </w:r>
      <w:r w:rsidR="00A748ED">
        <w:rPr>
          <w:rFonts w:ascii="Bodoni MT" w:eastAsia="Times New Roman" w:hAnsi="Bodoni MT" w:cs="Bodoni MT"/>
          <w:iCs/>
          <w:color w:val="000000"/>
          <w:sz w:val="24"/>
          <w:szCs w:val="24"/>
        </w:rPr>
        <w:t>0</w:t>
      </w:r>
      <w:r w:rsidR="008B0C9C">
        <w:rPr>
          <w:rFonts w:ascii="Bodoni MT" w:eastAsia="Times New Roman" w:hAnsi="Bodoni MT" w:cs="Bodoni MT"/>
          <w:iCs/>
          <w:color w:val="000000"/>
          <w:sz w:val="24"/>
          <w:szCs w:val="24"/>
        </w:rPr>
        <w:t>1/</w:t>
      </w:r>
      <w:r w:rsidRPr="00CD34A0">
        <w:rPr>
          <w:rFonts w:ascii="Bodoni MT" w:eastAsia="Times New Roman" w:hAnsi="Bodoni MT" w:cs="Bodoni MT"/>
          <w:iCs/>
          <w:color w:val="000000"/>
          <w:sz w:val="24"/>
          <w:szCs w:val="24"/>
        </w:rPr>
        <w:t>2016 “</w:t>
      </w:r>
      <w:r w:rsidRPr="00CD34A0">
        <w:rPr>
          <w:rFonts w:ascii="Bodoni MT" w:eastAsia="Times New Roman" w:hAnsi="Bodoni MT" w:cs="Bodoni MT"/>
          <w:i/>
          <w:iCs/>
          <w:color w:val="000000"/>
          <w:sz w:val="24"/>
          <w:szCs w:val="24"/>
        </w:rPr>
        <w:t>è stata derivata dal conto del patrimonio del Rendiconto 2015, seppure discostandosi per contenuto e criteri di valorizzazione adottati</w:t>
      </w:r>
      <w:r w:rsidRPr="00CD34A0">
        <w:rPr>
          <w:rFonts w:ascii="Bodoni MT" w:eastAsia="Times New Roman" w:hAnsi="Bodoni MT" w:cs="Bodoni MT"/>
          <w:iCs/>
          <w:color w:val="000000"/>
          <w:sz w:val="24"/>
          <w:szCs w:val="24"/>
        </w:rPr>
        <w:t xml:space="preserve">”. La Nota integrativa evidenzia che, analogamente a quanto previsto per l’entrata in vigore della contabilità finanziaria, </w:t>
      </w:r>
      <w:r w:rsidRPr="00CD34A0">
        <w:rPr>
          <w:rFonts w:ascii="Bodoni MT" w:eastAsia="Times New Roman" w:hAnsi="Bodoni MT" w:cs="Bodoni MT"/>
          <w:i/>
          <w:iCs/>
          <w:color w:val="000000"/>
          <w:sz w:val="24"/>
          <w:szCs w:val="24"/>
        </w:rPr>
        <w:t xml:space="preserve">“i nuovi valori sono stati oggetto di lunghe e complesse analisi riconducibili a processi d’inventariazione “straordinaria” che hanno interessato tutte le macroclassi dell’attivo e del passivo dello stato patrimoniale”. </w:t>
      </w:r>
      <w:r w:rsidRPr="00CD34A0">
        <w:rPr>
          <w:rFonts w:ascii="Bodoni MT" w:eastAsia="Times New Roman" w:hAnsi="Bodoni MT" w:cs="Bodoni MT"/>
          <w:iCs/>
          <w:color w:val="000000"/>
          <w:sz w:val="24"/>
          <w:szCs w:val="24"/>
        </w:rPr>
        <w:t xml:space="preserve">In particolare: </w:t>
      </w:r>
      <w:r w:rsidRPr="00CD34A0">
        <w:rPr>
          <w:rFonts w:ascii="Bodoni MT" w:eastAsia="Times New Roman" w:hAnsi="Bodoni MT" w:cs="Bodoni MT"/>
          <w:b/>
          <w:iCs/>
          <w:color w:val="000000"/>
          <w:sz w:val="24"/>
          <w:szCs w:val="24"/>
        </w:rPr>
        <w:t>a)</w:t>
      </w:r>
      <w:r w:rsidRPr="00CD34A0">
        <w:rPr>
          <w:rFonts w:ascii="Bodoni MT" w:eastAsia="Times New Roman" w:hAnsi="Bodoni MT" w:cs="Bodoni MT"/>
          <w:iCs/>
          <w:color w:val="000000"/>
          <w:sz w:val="24"/>
          <w:szCs w:val="24"/>
        </w:rPr>
        <w:t xml:space="preserve"> sono stati esaminati e valorizzati gli elementi patrimoniali già compresi nel precedente conto del patrimonio; </w:t>
      </w:r>
      <w:r w:rsidRPr="00CD34A0">
        <w:rPr>
          <w:rFonts w:ascii="Bodoni MT" w:eastAsia="Times New Roman" w:hAnsi="Bodoni MT" w:cs="Bodoni MT"/>
          <w:b/>
          <w:iCs/>
          <w:color w:val="000000"/>
          <w:sz w:val="24"/>
          <w:szCs w:val="24"/>
        </w:rPr>
        <w:t>b)</w:t>
      </w:r>
      <w:r w:rsidRPr="00CD34A0">
        <w:rPr>
          <w:rFonts w:ascii="Bodoni MT" w:eastAsia="Times New Roman" w:hAnsi="Bodoni MT" w:cs="Bodoni MT"/>
          <w:iCs/>
          <w:color w:val="000000"/>
          <w:sz w:val="24"/>
          <w:szCs w:val="24"/>
        </w:rPr>
        <w:t xml:space="preserve"> si è provveduto a ricercare e valorizzare i nuovi elementi non compresi nel conto del patrimonio; </w:t>
      </w:r>
      <w:r w:rsidRPr="00CD34A0">
        <w:rPr>
          <w:rFonts w:ascii="Bodoni MT" w:eastAsia="Times New Roman" w:hAnsi="Bodoni MT" w:cs="Bodoni MT"/>
          <w:b/>
          <w:iCs/>
          <w:color w:val="000000"/>
          <w:sz w:val="24"/>
          <w:szCs w:val="24"/>
        </w:rPr>
        <w:t>c)</w:t>
      </w:r>
      <w:r w:rsidRPr="00CD34A0">
        <w:rPr>
          <w:rFonts w:ascii="Bodoni MT" w:eastAsia="Times New Roman" w:hAnsi="Bodoni MT" w:cs="Bodoni MT"/>
          <w:iCs/>
          <w:color w:val="000000"/>
          <w:sz w:val="24"/>
          <w:szCs w:val="24"/>
        </w:rPr>
        <w:t xml:space="preserve"> si è provveduto ad individuare le voci da inserire nel nuovo stato patrimoniale con riferimento all’intera realtà regionale, incluse le voci dell’attivo e del passivo che si riferiscono a partite derivanti dall’applicazione della competenza economica (ad esempio rimanenze, fondi ammortamento, ratei e risconti); </w:t>
      </w:r>
      <w:r w:rsidRPr="00CD34A0">
        <w:rPr>
          <w:rFonts w:ascii="Bodoni MT" w:eastAsia="Times New Roman" w:hAnsi="Bodoni MT" w:cs="Bodoni MT"/>
          <w:b/>
          <w:iCs/>
          <w:color w:val="000000"/>
          <w:sz w:val="24"/>
          <w:szCs w:val="24"/>
        </w:rPr>
        <w:t>d)</w:t>
      </w:r>
      <w:r w:rsidRPr="00CD34A0">
        <w:rPr>
          <w:rFonts w:ascii="Bodoni MT" w:eastAsia="Times New Roman" w:hAnsi="Bodoni MT" w:cs="Bodoni MT"/>
          <w:iCs/>
          <w:color w:val="000000"/>
          <w:sz w:val="24"/>
          <w:szCs w:val="24"/>
        </w:rPr>
        <w:t xml:space="preserve"> a valorizzare gli elementi preesistenti ed anche nuovi, in base ai criteri di valutazione del </w:t>
      </w:r>
      <w:r w:rsidRPr="00CD34A0">
        <w:rPr>
          <w:rFonts w:ascii="Bodoni MT" w:eastAsia="Times New Roman" w:hAnsi="Bodoni MT" w:cs="Bodoni MT"/>
          <w:i/>
          <w:iCs/>
          <w:color w:val="000000"/>
          <w:sz w:val="24"/>
          <w:szCs w:val="24"/>
        </w:rPr>
        <w:t>Principio</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i/>
          <w:iCs/>
          <w:color w:val="000000"/>
          <w:sz w:val="24"/>
          <w:szCs w:val="24"/>
        </w:rPr>
        <w:lastRenderedPageBreak/>
        <w:t>contabile applicato 4/3</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b/>
          <w:iCs/>
          <w:color w:val="000000"/>
          <w:sz w:val="24"/>
          <w:szCs w:val="24"/>
        </w:rPr>
        <w:t>e)</w:t>
      </w:r>
      <w:r w:rsidRPr="00CD34A0">
        <w:rPr>
          <w:rFonts w:ascii="Bodoni MT" w:eastAsia="Times New Roman" w:hAnsi="Bodoni MT" w:cs="Bodoni MT"/>
          <w:iCs/>
          <w:color w:val="000000"/>
          <w:sz w:val="24"/>
          <w:szCs w:val="24"/>
        </w:rPr>
        <w:t xml:space="preserve">  infine a classificare e codificare ciascun elemento sulla base delle voci del piano dei conti e del prospetto ufficiale. La Regione sottolinea che “</w:t>
      </w:r>
      <w:r w:rsidRPr="00CD34A0">
        <w:rPr>
          <w:rFonts w:ascii="Bodoni MT" w:eastAsia="Times New Roman" w:hAnsi="Bodoni MT" w:cs="Bodoni MT"/>
          <w:i/>
          <w:iCs/>
          <w:color w:val="000000"/>
          <w:sz w:val="24"/>
          <w:szCs w:val="24"/>
        </w:rPr>
        <w:t>non essendo stato possibile concludere il lavoro di ricostruzione di opere risalenti a tempi pregressi, principalmente del demanio idrico, si procederà all’iscrizione di ulteriori beni al termine del lavoro di ricostruzione. Analoga considerazione riguarda altre poste dell’attivo e del passivo suscettibili di perfezionamento mediante stime, valutazioni e determinazioni con maggior grado di oggettività”.</w:t>
      </w:r>
    </w:p>
    <w:p w:rsidR="00CD34A0" w:rsidRPr="00CD34A0" w:rsidRDefault="00A748ED" w:rsidP="002C1F0C">
      <w:pPr>
        <w:pStyle w:val="Titolo3"/>
        <w:ind w:left="0" w:firstLine="0"/>
        <w:jc w:val="both"/>
        <w:rPr>
          <w:rFonts w:eastAsia="Times New Roman"/>
        </w:rPr>
      </w:pPr>
      <w:bookmarkStart w:id="353" w:name="_Toc507422694"/>
      <w:r w:rsidRPr="00CD34A0">
        <w:rPr>
          <w:rFonts w:eastAsia="Times New Roman"/>
        </w:rPr>
        <w:t xml:space="preserve">La riclassificazione dello Stato Patrimoniale al 31/12/2015 </w:t>
      </w:r>
      <w:r>
        <w:rPr>
          <w:rFonts w:eastAsia="Times New Roman"/>
        </w:rPr>
        <w:t>e il prospetto di raccordo all’0</w:t>
      </w:r>
      <w:r w:rsidRPr="00CD34A0">
        <w:rPr>
          <w:rFonts w:eastAsia="Times New Roman"/>
        </w:rPr>
        <w:t>l/</w:t>
      </w:r>
      <w:r>
        <w:rPr>
          <w:rFonts w:eastAsia="Times New Roman"/>
        </w:rPr>
        <w:t>0</w:t>
      </w:r>
      <w:r w:rsidRPr="00CD34A0">
        <w:rPr>
          <w:rFonts w:eastAsia="Times New Roman"/>
        </w:rPr>
        <w:t>1/2016 (consistenza iniziale)</w:t>
      </w:r>
      <w:bookmarkEnd w:id="353"/>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In sostanza le descritte operazioni hanno comportato una riclassificazione</w:t>
      </w:r>
      <w:r w:rsidR="008B0C9C">
        <w:rPr>
          <w:rFonts w:ascii="Bodoni MT" w:eastAsia="Times New Roman" w:hAnsi="Bodoni MT" w:cs="Bodoni MT"/>
          <w:iCs/>
          <w:color w:val="000000"/>
          <w:sz w:val="24"/>
          <w:szCs w:val="24"/>
        </w:rPr>
        <w:t xml:space="preserve"> dello Stato Patrimoniale al 31/12/</w:t>
      </w:r>
      <w:r w:rsidRPr="00CD34A0">
        <w:rPr>
          <w:rFonts w:ascii="Bodoni MT" w:eastAsia="Times New Roman" w:hAnsi="Bodoni MT" w:cs="Bodoni MT"/>
          <w:iCs/>
          <w:color w:val="000000"/>
          <w:sz w:val="24"/>
          <w:szCs w:val="24"/>
        </w:rPr>
        <w:t>2015 secondo le nuove “categorie” e una rivalutazione del patrimonio stesso all’</w:t>
      </w:r>
      <w:r w:rsidR="00A748ED">
        <w:rPr>
          <w:rFonts w:ascii="Bodoni MT" w:eastAsia="Times New Roman" w:hAnsi="Bodoni MT" w:cs="Bodoni MT"/>
          <w:iCs/>
          <w:color w:val="000000"/>
          <w:sz w:val="24"/>
          <w:szCs w:val="24"/>
        </w:rPr>
        <w:t>0</w:t>
      </w:r>
      <w:r w:rsidR="008B0C9C">
        <w:rPr>
          <w:rFonts w:ascii="Bodoni MT" w:eastAsia="Times New Roman" w:hAnsi="Bodoni MT" w:cs="Bodoni MT"/>
          <w:iCs/>
          <w:color w:val="000000"/>
          <w:sz w:val="24"/>
          <w:szCs w:val="24"/>
        </w:rPr>
        <w:t>1/</w:t>
      </w:r>
      <w:r w:rsidR="00A748ED">
        <w:rPr>
          <w:rFonts w:ascii="Bodoni MT" w:eastAsia="Times New Roman" w:hAnsi="Bodoni MT" w:cs="Bodoni MT"/>
          <w:iCs/>
          <w:color w:val="000000"/>
          <w:sz w:val="24"/>
          <w:szCs w:val="24"/>
        </w:rPr>
        <w:t>0</w:t>
      </w:r>
      <w:r w:rsidR="008B0C9C">
        <w:rPr>
          <w:rFonts w:ascii="Bodoni MT" w:eastAsia="Times New Roman" w:hAnsi="Bodoni MT" w:cs="Bodoni MT"/>
          <w:iCs/>
          <w:color w:val="000000"/>
          <w:sz w:val="24"/>
          <w:szCs w:val="24"/>
        </w:rPr>
        <w:t>1/</w:t>
      </w:r>
      <w:r w:rsidRPr="00CD34A0">
        <w:rPr>
          <w:rFonts w:ascii="Bodoni MT" w:eastAsia="Times New Roman" w:hAnsi="Bodoni MT" w:cs="Bodoni MT"/>
          <w:iCs/>
          <w:color w:val="000000"/>
          <w:sz w:val="24"/>
          <w:szCs w:val="24"/>
        </w:rPr>
        <w:t>2016.</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In particolare l’attività di ricognizione del patrimonio immobiliare e mobiliare ha riguardato complessivamente </w:t>
      </w:r>
      <w:r w:rsidRPr="00CD34A0">
        <w:rPr>
          <w:rFonts w:ascii="Bodoni MT" w:eastAsia="Times New Roman" w:hAnsi="Bodoni MT" w:cs="Bodoni MT"/>
          <w:b/>
          <w:iCs/>
          <w:color w:val="000000"/>
          <w:sz w:val="24"/>
          <w:szCs w:val="24"/>
        </w:rPr>
        <w:t>86.785 beni</w:t>
      </w:r>
      <w:r w:rsidRPr="00CD34A0">
        <w:rPr>
          <w:rFonts w:ascii="Bodoni MT" w:eastAsia="Times New Roman" w:hAnsi="Bodoni MT" w:cs="Bodoni MT"/>
          <w:iCs/>
          <w:color w:val="000000"/>
          <w:sz w:val="24"/>
          <w:szCs w:val="24"/>
        </w:rPr>
        <w:t xml:space="preserve"> di cui </w:t>
      </w:r>
      <w:r w:rsidRPr="00CD34A0">
        <w:rPr>
          <w:rFonts w:ascii="Bodoni MT" w:eastAsia="Times New Roman" w:hAnsi="Bodoni MT" w:cs="Bodoni MT"/>
          <w:b/>
          <w:iCs/>
          <w:color w:val="000000"/>
          <w:sz w:val="24"/>
          <w:szCs w:val="24"/>
        </w:rPr>
        <w:t>8.926 immobili</w:t>
      </w:r>
      <w:r w:rsidRPr="00CD34A0">
        <w:rPr>
          <w:rFonts w:ascii="Bodoni MT" w:eastAsia="Times New Roman" w:hAnsi="Bodoni MT" w:cs="Bodoni MT"/>
          <w:iCs/>
          <w:color w:val="000000"/>
          <w:sz w:val="24"/>
          <w:szCs w:val="24"/>
        </w:rPr>
        <w:t xml:space="preserve"> e </w:t>
      </w:r>
      <w:r w:rsidRPr="00CD34A0">
        <w:rPr>
          <w:rFonts w:ascii="Bodoni MT" w:eastAsia="Times New Roman" w:hAnsi="Bodoni MT" w:cs="Bodoni MT"/>
          <w:b/>
          <w:iCs/>
          <w:color w:val="000000"/>
          <w:sz w:val="24"/>
          <w:szCs w:val="24"/>
        </w:rPr>
        <w:t>77.859 mobili</w:t>
      </w:r>
      <w:r w:rsidRPr="00CD34A0">
        <w:rPr>
          <w:rFonts w:ascii="Bodoni MT" w:eastAsia="Times New Roman" w:hAnsi="Bodoni MT" w:cs="Bodoni MT"/>
          <w:iCs/>
          <w:color w:val="000000"/>
          <w:sz w:val="24"/>
          <w:szCs w:val="24"/>
          <w:vertAlign w:val="superscript"/>
        </w:rPr>
        <w:footnoteReference w:id="214"/>
      </w:r>
      <w:r w:rsidRPr="00CD34A0">
        <w:rPr>
          <w:rFonts w:ascii="Bodoni MT" w:eastAsia="Times New Roman" w:hAnsi="Bodoni MT" w:cs="Bodoni MT"/>
          <w:b/>
          <w:iCs/>
          <w:color w:val="000000"/>
          <w:sz w:val="24"/>
          <w:szCs w:val="24"/>
        </w:rPr>
        <w:t xml:space="preserve"> </w:t>
      </w:r>
      <w:r w:rsidRPr="00CD34A0">
        <w:rPr>
          <w:rFonts w:ascii="Bodoni MT" w:eastAsia="Times New Roman" w:hAnsi="Bodoni MT" w:cs="Bodoni MT"/>
          <w:iCs/>
          <w:color w:val="000000"/>
          <w:sz w:val="24"/>
          <w:szCs w:val="24"/>
        </w:rPr>
        <w:t>per una valorizzazione</w:t>
      </w:r>
      <w:r w:rsidRPr="00CD34A0">
        <w:rPr>
          <w:rFonts w:ascii="Bodoni MT" w:eastAsia="Times New Roman" w:hAnsi="Bodoni MT" w:cs="Bodoni MT"/>
          <w:b/>
          <w:iCs/>
          <w:color w:val="000000"/>
          <w:sz w:val="24"/>
          <w:szCs w:val="24"/>
        </w:rPr>
        <w:t xml:space="preserve"> </w:t>
      </w:r>
      <w:r w:rsidRPr="00CD34A0">
        <w:rPr>
          <w:rFonts w:ascii="Bodoni MT" w:eastAsia="Times New Roman" w:hAnsi="Bodoni MT" w:cs="Bodoni MT"/>
          <w:iCs/>
          <w:color w:val="000000"/>
          <w:sz w:val="24"/>
          <w:szCs w:val="24"/>
        </w:rPr>
        <w:t>economica pari</w:t>
      </w:r>
      <w:r w:rsidRPr="00CD34A0">
        <w:rPr>
          <w:rFonts w:ascii="Bodoni MT" w:eastAsia="Times New Roman" w:hAnsi="Bodoni MT" w:cs="Bodoni MT"/>
          <w:b/>
          <w:iCs/>
          <w:color w:val="000000"/>
          <w:sz w:val="24"/>
          <w:szCs w:val="24"/>
        </w:rPr>
        <w:t xml:space="preserve"> </w:t>
      </w:r>
      <w:r w:rsidRPr="008B0C9C">
        <w:rPr>
          <w:rFonts w:ascii="Bodoni MT" w:eastAsia="Times New Roman" w:hAnsi="Bodoni MT" w:cs="Bodoni MT"/>
          <w:iCs/>
          <w:color w:val="000000"/>
          <w:sz w:val="24"/>
          <w:szCs w:val="24"/>
        </w:rPr>
        <w:t>a</w:t>
      </w:r>
      <w:r w:rsidR="00A748ED" w:rsidRPr="008B0C9C">
        <w:rPr>
          <w:rFonts w:ascii="Bodoni MT" w:eastAsia="Times New Roman" w:hAnsi="Bodoni MT" w:cs="Bodoni MT"/>
          <w:iCs/>
          <w:color w:val="000000"/>
          <w:sz w:val="24"/>
          <w:szCs w:val="24"/>
        </w:rPr>
        <w:t xml:space="preserve"> </w:t>
      </w:r>
      <w:r w:rsidR="00A748ED">
        <w:rPr>
          <w:rFonts w:ascii="Bodoni MT" w:eastAsia="Times New Roman" w:hAnsi="Bodoni MT" w:cs="Bodoni MT"/>
          <w:iCs/>
          <w:color w:val="000000"/>
          <w:sz w:val="24"/>
          <w:szCs w:val="24"/>
        </w:rPr>
        <w:t>1,687 miliardi</w:t>
      </w:r>
      <w:r w:rsidR="008B0C9C">
        <w:rPr>
          <w:rFonts w:ascii="Bodoni MT" w:eastAsia="Times New Roman" w:hAnsi="Bodoni MT" w:cs="Bodoni MT"/>
          <w:iCs/>
          <w:color w:val="000000"/>
          <w:sz w:val="24"/>
          <w:szCs w:val="24"/>
        </w:rPr>
        <w:t xml:space="preserve"> di euro</w:t>
      </w:r>
      <w:r w:rsidRPr="00CD34A0">
        <w:rPr>
          <w:rFonts w:ascii="Bodoni MT" w:eastAsia="Times New Roman" w:hAnsi="Bodoni MT" w:cs="Bodoni MT"/>
          <w:iCs/>
          <w:color w:val="000000"/>
          <w:sz w:val="24"/>
          <w:szCs w:val="24"/>
        </w:rPr>
        <w:t>.</w:t>
      </w:r>
    </w:p>
    <w:p w:rsidR="00A748ED" w:rsidRDefault="00A748ED" w:rsidP="00A748ED">
      <w:pPr>
        <w:pStyle w:val="Didascalia"/>
        <w:keepNext/>
      </w:pPr>
      <w:bookmarkStart w:id="354" w:name="_Toc507422565"/>
      <w:r>
        <w:t xml:space="preserve">Tabella </w:t>
      </w:r>
      <w:r w:rsidR="00B90472">
        <w:fldChar w:fldCharType="begin"/>
      </w:r>
      <w:r w:rsidR="00B90472">
        <w:instrText xml:space="preserve"> SEQ Tabella \* ARABIC </w:instrText>
      </w:r>
      <w:r w:rsidR="00B90472">
        <w:fldChar w:fldCharType="separate"/>
      </w:r>
      <w:r w:rsidR="008616B3">
        <w:rPr>
          <w:noProof/>
        </w:rPr>
        <w:t>97</w:t>
      </w:r>
      <w:r w:rsidR="00B90472">
        <w:rPr>
          <w:noProof/>
        </w:rPr>
        <w:fldChar w:fldCharType="end"/>
      </w:r>
      <w:r>
        <w:t xml:space="preserve"> -Immobilizzazioni materiali</w:t>
      </w:r>
      <w:bookmarkEnd w:id="3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28"/>
        <w:gridCol w:w="2750"/>
      </w:tblGrid>
      <w:tr w:rsidR="00CD34A0" w:rsidRPr="00CD34A0" w:rsidTr="008B0C9C">
        <w:trPr>
          <w:trHeight w:val="20"/>
          <w:jc w:val="center"/>
        </w:trPr>
        <w:tc>
          <w:tcPr>
            <w:tcW w:w="5000" w:type="pct"/>
            <w:gridSpan w:val="2"/>
            <w:shd w:val="clear" w:color="auto" w:fill="0F243E" w:themeFill="text2" w:themeFillShade="80"/>
            <w:vAlign w:val="center"/>
            <w:hideMark/>
          </w:tcPr>
          <w:p w:rsidR="00CD34A0" w:rsidRPr="00CD34A0" w:rsidRDefault="00CD34A0" w:rsidP="00A748ED">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IMMOBILIZZAZIONI MATERIALI</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Beni immobili demaniali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color w:val="000000"/>
                <w:sz w:val="20"/>
                <w:szCs w:val="20"/>
                <w:lang w:eastAsia="it-IT"/>
              </w:rPr>
            </w:pPr>
            <w:r w:rsidRPr="00CD34A0">
              <w:rPr>
                <w:rFonts w:ascii="Bodoni MT" w:eastAsia="Times New Roman" w:hAnsi="Bodoni MT" w:cs="Times New Roman"/>
                <w:color w:val="000000"/>
                <w:sz w:val="20"/>
                <w:szCs w:val="20"/>
                <w:lang w:eastAsia="it-IT"/>
              </w:rPr>
              <w:t>130.643.146</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Beni immobili disponibili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color w:val="000000"/>
                <w:sz w:val="20"/>
                <w:szCs w:val="20"/>
                <w:lang w:eastAsia="it-IT"/>
              </w:rPr>
            </w:pPr>
            <w:r w:rsidRPr="00CD34A0">
              <w:rPr>
                <w:rFonts w:ascii="Bodoni MT" w:eastAsia="Times New Roman" w:hAnsi="Bodoni MT" w:cs="Times New Roman"/>
                <w:color w:val="000000"/>
                <w:sz w:val="20"/>
                <w:szCs w:val="20"/>
                <w:lang w:eastAsia="it-IT"/>
              </w:rPr>
              <w:t>987.319.463</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Beni mobili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color w:val="000000"/>
                <w:sz w:val="20"/>
                <w:szCs w:val="20"/>
                <w:lang w:eastAsia="it-IT"/>
              </w:rPr>
            </w:pPr>
            <w:r w:rsidRPr="00CD34A0">
              <w:rPr>
                <w:rFonts w:ascii="Bodoni MT" w:eastAsia="Times New Roman" w:hAnsi="Bodoni MT" w:cs="Times New Roman"/>
                <w:color w:val="000000"/>
                <w:sz w:val="20"/>
                <w:szCs w:val="20"/>
                <w:lang w:eastAsia="it-IT"/>
              </w:rPr>
              <w:t>15.913.932</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Altri beni materiali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color w:val="000000"/>
                <w:sz w:val="20"/>
                <w:szCs w:val="20"/>
                <w:lang w:eastAsia="it-IT"/>
              </w:rPr>
            </w:pPr>
            <w:r w:rsidRPr="00CD34A0">
              <w:rPr>
                <w:rFonts w:ascii="Bodoni MT" w:eastAsia="Times New Roman" w:hAnsi="Bodoni MT" w:cs="Times New Roman"/>
                <w:color w:val="000000"/>
                <w:sz w:val="20"/>
                <w:szCs w:val="20"/>
                <w:lang w:eastAsia="it-IT"/>
              </w:rPr>
              <w:t>374.238.402</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Immobilizzazioni in corso ed acconti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color w:val="000000"/>
                <w:sz w:val="20"/>
                <w:szCs w:val="20"/>
                <w:lang w:eastAsia="it-IT"/>
              </w:rPr>
            </w:pPr>
            <w:r w:rsidRPr="00CD34A0">
              <w:rPr>
                <w:rFonts w:ascii="Bodoni MT" w:eastAsia="Times New Roman" w:hAnsi="Bodoni MT" w:cs="Times New Roman"/>
                <w:color w:val="000000"/>
                <w:sz w:val="20"/>
                <w:szCs w:val="20"/>
                <w:lang w:eastAsia="it-IT"/>
              </w:rPr>
              <w:t>170.257.697</w:t>
            </w:r>
          </w:p>
        </w:tc>
      </w:tr>
      <w:tr w:rsidR="00CD34A0" w:rsidRPr="00CD34A0" w:rsidTr="008B0C9C">
        <w:trPr>
          <w:trHeight w:val="20"/>
          <w:jc w:val="center"/>
        </w:trPr>
        <w:tc>
          <w:tcPr>
            <w:tcW w:w="3594" w:type="pct"/>
            <w:shd w:val="clear" w:color="auto" w:fill="95B3D7" w:themeFill="accent1" w:themeFillTint="99"/>
            <w:vAlign w:val="center"/>
            <w:hideMark/>
          </w:tcPr>
          <w:p w:rsidR="00CD34A0" w:rsidRPr="00A748ED" w:rsidRDefault="00CD34A0" w:rsidP="00A748ED">
            <w:pPr>
              <w:spacing w:after="0" w:line="240" w:lineRule="auto"/>
              <w:rPr>
                <w:rFonts w:ascii="Bodoni MT" w:eastAsia="Times New Roman" w:hAnsi="Bodoni MT" w:cs="Times New Roman"/>
                <w:b/>
                <w:bCs/>
                <w:color w:val="FFFFFF" w:themeColor="background1"/>
                <w:sz w:val="20"/>
                <w:szCs w:val="20"/>
                <w:lang w:eastAsia="it-IT"/>
              </w:rPr>
            </w:pPr>
            <w:r w:rsidRPr="00A748ED">
              <w:rPr>
                <w:rFonts w:ascii="Bodoni MT" w:eastAsia="Times New Roman" w:hAnsi="Bodoni MT" w:cs="Times New Roman"/>
                <w:b/>
                <w:bCs/>
                <w:color w:val="FFFFFF" w:themeColor="background1"/>
                <w:sz w:val="20"/>
                <w:szCs w:val="20"/>
                <w:lang w:eastAsia="it-IT"/>
              </w:rPr>
              <w:t>Totale immobilizzazioni materiali</w:t>
            </w:r>
          </w:p>
        </w:tc>
        <w:tc>
          <w:tcPr>
            <w:tcW w:w="1406" w:type="pct"/>
            <w:shd w:val="clear" w:color="auto" w:fill="auto"/>
            <w:noWrap/>
            <w:vAlign w:val="center"/>
            <w:hideMark/>
          </w:tcPr>
          <w:p w:rsidR="00CD34A0" w:rsidRPr="00CD34A0" w:rsidRDefault="00CD34A0" w:rsidP="00A748ED">
            <w:pPr>
              <w:spacing w:after="0" w:line="240" w:lineRule="auto"/>
              <w:jc w:val="right"/>
              <w:rPr>
                <w:rFonts w:ascii="Bodoni MT" w:eastAsia="Times New Roman" w:hAnsi="Bodoni MT" w:cs="Times New Roman"/>
                <w:b/>
                <w:bCs/>
                <w:color w:val="000000"/>
                <w:sz w:val="20"/>
                <w:szCs w:val="20"/>
                <w:lang w:eastAsia="it-IT"/>
              </w:rPr>
            </w:pPr>
            <w:r w:rsidRPr="00CD34A0">
              <w:rPr>
                <w:rFonts w:ascii="Bodoni MT" w:eastAsia="Times New Roman" w:hAnsi="Bodoni MT" w:cs="Times New Roman"/>
                <w:b/>
                <w:bCs/>
                <w:color w:val="000000"/>
                <w:sz w:val="20"/>
                <w:szCs w:val="20"/>
                <w:lang w:eastAsia="it-IT"/>
              </w:rPr>
              <w:t>1.678.372.641</w:t>
            </w:r>
          </w:p>
        </w:tc>
      </w:tr>
    </w:tbl>
    <w:p w:rsidR="00CD34A0" w:rsidRPr="00A748ED" w:rsidRDefault="00CD34A0" w:rsidP="00A748ED">
      <w:pPr>
        <w:tabs>
          <w:tab w:val="left" w:pos="284"/>
          <w:tab w:val="left" w:pos="426"/>
        </w:tabs>
        <w:autoSpaceDE w:val="0"/>
        <w:autoSpaceDN w:val="0"/>
        <w:adjustRightInd w:val="0"/>
        <w:spacing w:after="120" w:line="360" w:lineRule="auto"/>
        <w:textAlignment w:val="center"/>
        <w:rPr>
          <w:rFonts w:ascii="Bodoni MT" w:eastAsia="Times New Roman" w:hAnsi="Bodoni MT" w:cs="Bodoni MT"/>
          <w:iCs/>
          <w:color w:val="000000"/>
          <w:sz w:val="18"/>
          <w:szCs w:val="18"/>
        </w:rPr>
      </w:pPr>
      <w:r w:rsidRPr="00A748ED">
        <w:rPr>
          <w:rFonts w:ascii="Bodoni MT" w:eastAsia="Times New Roman" w:hAnsi="Bodoni MT" w:cs="Bodoni MT"/>
          <w:iCs/>
          <w:color w:val="000000"/>
          <w:sz w:val="18"/>
          <w:szCs w:val="18"/>
        </w:rPr>
        <w:t>Fonte “Rapporto di gestione anno 2016” a cura dell’Ufficio del Controllo Interno di Gestione</w:t>
      </w:r>
    </w:p>
    <w:p w:rsidR="00A748ED" w:rsidRDefault="00A748ED" w:rsidP="00A748ED">
      <w:pPr>
        <w:pStyle w:val="Didascalia"/>
      </w:pPr>
      <w:bookmarkStart w:id="355" w:name="_Toc507422725"/>
      <w:r>
        <w:t xml:space="preserve">Grafico </w:t>
      </w:r>
      <w:r w:rsidR="00B90472">
        <w:fldChar w:fldCharType="begin"/>
      </w:r>
      <w:r w:rsidR="00B90472">
        <w:instrText xml:space="preserve"> SEQ Grafico \* ARABIC </w:instrText>
      </w:r>
      <w:r w:rsidR="00B90472">
        <w:fldChar w:fldCharType="separate"/>
      </w:r>
      <w:r w:rsidR="008616B3">
        <w:rPr>
          <w:noProof/>
        </w:rPr>
        <w:t>22</w:t>
      </w:r>
      <w:r w:rsidR="00B90472">
        <w:rPr>
          <w:noProof/>
        </w:rPr>
        <w:fldChar w:fldCharType="end"/>
      </w:r>
      <w:r>
        <w:t xml:space="preserve"> – Immobilizzazioni materiali</w:t>
      </w:r>
      <w:bookmarkEnd w:id="355"/>
    </w:p>
    <w:p w:rsidR="00CD34A0" w:rsidRPr="00CD34A0" w:rsidRDefault="00CD34A0" w:rsidP="00CD34A0">
      <w:pPr>
        <w:tabs>
          <w:tab w:val="left" w:pos="284"/>
          <w:tab w:val="left" w:pos="426"/>
        </w:tabs>
        <w:autoSpaceDE w:val="0"/>
        <w:autoSpaceDN w:val="0"/>
        <w:adjustRightInd w:val="0"/>
        <w:spacing w:after="120" w:line="360" w:lineRule="auto"/>
        <w:jc w:val="center"/>
        <w:textAlignment w:val="center"/>
        <w:rPr>
          <w:rFonts w:ascii="Bodoni MT" w:eastAsia="Times New Roman" w:hAnsi="Bodoni MT" w:cs="Bodoni MT"/>
          <w:iCs/>
          <w:color w:val="000000"/>
          <w:sz w:val="24"/>
          <w:szCs w:val="24"/>
        </w:rPr>
      </w:pPr>
      <w:r w:rsidRPr="00CD34A0">
        <w:rPr>
          <w:rFonts w:ascii="Calibri" w:eastAsia="Calibri" w:hAnsi="Calibri" w:cs="Times New Roman"/>
          <w:noProof/>
          <w:lang w:eastAsia="it-IT"/>
        </w:rPr>
        <w:drawing>
          <wp:inline distT="0" distB="0" distL="0" distR="0" wp14:anchorId="3D8EFE17" wp14:editId="31B69CB0">
            <wp:extent cx="4494362" cy="2242868"/>
            <wp:effectExtent l="0" t="0" r="1905" b="5080"/>
            <wp:docPr id="40" name="Grafico 4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1B3E6D-A882-49D9-81A8-0E454150CA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CD34A0" w:rsidRPr="00CD34A0" w:rsidRDefault="00CD34A0" w:rsidP="00A748ED">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b/>
          <w:bCs/>
          <w:iCs/>
          <w:color w:val="000000"/>
          <w:sz w:val="24"/>
          <w:szCs w:val="24"/>
        </w:rPr>
      </w:pPr>
      <w:r w:rsidRPr="00CD34A0">
        <w:rPr>
          <w:rFonts w:ascii="Bodoni MT" w:eastAsia="Times New Roman" w:hAnsi="Bodoni MT" w:cs="Bodoni MT"/>
          <w:iCs/>
          <w:color w:val="000000"/>
          <w:sz w:val="24"/>
          <w:szCs w:val="24"/>
        </w:rPr>
        <w:lastRenderedPageBreak/>
        <w:t>Il totale delle Immobilizzazioni materiali rappresenta il 48,43% del valore complessivo dell</w:t>
      </w:r>
      <w:r w:rsidR="00302EFC">
        <w:rPr>
          <w:rFonts w:ascii="Bodoni MT" w:eastAsia="Times New Roman" w:hAnsi="Bodoni MT" w:cs="Bodoni MT"/>
          <w:iCs/>
          <w:color w:val="000000"/>
          <w:sz w:val="24"/>
          <w:szCs w:val="24"/>
        </w:rPr>
        <w:t>e Immobilizzazioni che è pari a</w:t>
      </w:r>
      <w:r w:rsidRPr="00CD34A0">
        <w:rPr>
          <w:rFonts w:ascii="Bodoni MT" w:eastAsia="Times New Roman" w:hAnsi="Bodoni MT" w:cs="Bodoni MT"/>
          <w:iCs/>
          <w:color w:val="000000"/>
          <w:sz w:val="24"/>
          <w:szCs w:val="24"/>
        </w:rPr>
        <w:t xml:space="preserve"> </w:t>
      </w:r>
      <w:r w:rsidRPr="00302EFC">
        <w:rPr>
          <w:rFonts w:ascii="Bodoni MT" w:eastAsia="Times New Roman" w:hAnsi="Bodoni MT" w:cs="Bodoni MT"/>
          <w:b/>
          <w:iCs/>
          <w:color w:val="000000"/>
          <w:sz w:val="24"/>
          <w:szCs w:val="24"/>
        </w:rPr>
        <w:t>€</w:t>
      </w:r>
      <w:r w:rsidRPr="00CD34A0">
        <w:rPr>
          <w:rFonts w:ascii="Bodoni MT" w:eastAsia="Times New Roman" w:hAnsi="Bodoni MT" w:cs="Bodoni MT"/>
          <w:b/>
          <w:bCs/>
          <w:iCs/>
          <w:color w:val="000000"/>
          <w:sz w:val="24"/>
          <w:szCs w:val="24"/>
        </w:rPr>
        <w:t xml:space="preserve"> 3.465.498.889.</w:t>
      </w:r>
    </w:p>
    <w:p w:rsidR="00CD34A0" w:rsidRPr="00A748ED" w:rsidRDefault="00A748ED" w:rsidP="00A748ED">
      <w:pPr>
        <w:pStyle w:val="Didascalia"/>
        <w:rPr>
          <w:rFonts w:eastAsia="Times New Roman" w:cs="Bodoni MT"/>
          <w:bCs w:val="0"/>
          <w:iCs/>
          <w:color w:val="000000"/>
          <w:sz w:val="24"/>
          <w:szCs w:val="24"/>
        </w:rPr>
      </w:pPr>
      <w:bookmarkStart w:id="356" w:name="_Toc507422566"/>
      <w:r>
        <w:t xml:space="preserve">Tabella </w:t>
      </w:r>
      <w:r w:rsidR="00B90472">
        <w:fldChar w:fldCharType="begin"/>
      </w:r>
      <w:r w:rsidR="00B90472">
        <w:instrText xml:space="preserve"> SEQ Tabella \* ARABIC </w:instrText>
      </w:r>
      <w:r w:rsidR="00B90472">
        <w:fldChar w:fldCharType="separate"/>
      </w:r>
      <w:r w:rsidR="008616B3">
        <w:rPr>
          <w:noProof/>
        </w:rPr>
        <w:t>98</w:t>
      </w:r>
      <w:r w:rsidR="00B90472">
        <w:rPr>
          <w:noProof/>
        </w:rPr>
        <w:fldChar w:fldCharType="end"/>
      </w:r>
      <w:r>
        <w:t xml:space="preserve"> - </w:t>
      </w:r>
      <w:r w:rsidRPr="00A748ED">
        <w:rPr>
          <w:rFonts w:eastAsia="Times New Roman" w:cs="Bodoni MT"/>
          <w:bCs w:val="0"/>
          <w:iCs/>
          <w:color w:val="000000"/>
          <w:sz w:val="24"/>
          <w:szCs w:val="24"/>
        </w:rPr>
        <w:t>Totale immobilizzazioni</w:t>
      </w:r>
      <w:bookmarkEnd w:id="356"/>
      <w:r w:rsidRPr="00A748ED">
        <w:rPr>
          <w:rFonts w:eastAsia="Times New Roman" w:cs="Bodoni MT"/>
          <w:bCs w:val="0"/>
          <w:iCs/>
          <w:color w:val="000000"/>
          <w:sz w:val="24"/>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48"/>
        <w:gridCol w:w="2785"/>
        <w:gridCol w:w="2345"/>
      </w:tblGrid>
      <w:tr w:rsidR="00CD34A0" w:rsidRPr="00CD34A0" w:rsidTr="00A748ED">
        <w:trPr>
          <w:trHeight w:val="270"/>
          <w:jc w:val="center"/>
        </w:trPr>
        <w:tc>
          <w:tcPr>
            <w:tcW w:w="2377" w:type="pct"/>
            <w:shd w:val="clear" w:color="auto" w:fill="95B3D7" w:themeFill="accent1" w:themeFillTint="99"/>
            <w:noWrap/>
            <w:hideMark/>
          </w:tcPr>
          <w:p w:rsidR="00CD34A0" w:rsidRPr="00A748ED"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 xml:space="preserve">Immobilizzazioni Materiali </w:t>
            </w:r>
          </w:p>
        </w:tc>
        <w:tc>
          <w:tcPr>
            <w:tcW w:w="1424"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20"/>
                <w:szCs w:val="20"/>
                <w:lang w:eastAsia="it-IT"/>
              </w:rPr>
            </w:pPr>
            <w:r w:rsidRPr="00A748ED">
              <w:rPr>
                <w:rFonts w:eastAsia="Times New Roman" w:cstheme="minorHAnsi"/>
                <w:color w:val="000000"/>
                <w:sz w:val="20"/>
                <w:szCs w:val="20"/>
                <w:lang w:eastAsia="it-IT"/>
              </w:rPr>
              <w:t xml:space="preserve">1.678.372.641,00 </w:t>
            </w:r>
          </w:p>
        </w:tc>
        <w:tc>
          <w:tcPr>
            <w:tcW w:w="1200"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20"/>
                <w:szCs w:val="20"/>
                <w:lang w:eastAsia="it-IT"/>
              </w:rPr>
            </w:pPr>
            <w:r w:rsidRPr="00A748ED">
              <w:rPr>
                <w:rFonts w:eastAsia="Times New Roman" w:cstheme="minorHAnsi"/>
                <w:color w:val="000000"/>
                <w:sz w:val="20"/>
                <w:szCs w:val="20"/>
                <w:lang w:eastAsia="it-IT"/>
              </w:rPr>
              <w:t>48,43%</w:t>
            </w:r>
          </w:p>
        </w:tc>
      </w:tr>
      <w:tr w:rsidR="00CD34A0" w:rsidRPr="00CD34A0" w:rsidTr="00A748ED">
        <w:trPr>
          <w:trHeight w:val="270"/>
          <w:jc w:val="center"/>
        </w:trPr>
        <w:tc>
          <w:tcPr>
            <w:tcW w:w="2377" w:type="pct"/>
            <w:shd w:val="clear" w:color="auto" w:fill="95B3D7" w:themeFill="accent1" w:themeFillTint="99"/>
            <w:noWrap/>
            <w:hideMark/>
          </w:tcPr>
          <w:p w:rsidR="00CD34A0" w:rsidRPr="00A748ED"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Immobilizzazioni Finanziarie</w:t>
            </w:r>
          </w:p>
        </w:tc>
        <w:tc>
          <w:tcPr>
            <w:tcW w:w="1424"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18"/>
                <w:szCs w:val="18"/>
                <w:lang w:eastAsia="it-IT"/>
              </w:rPr>
            </w:pPr>
            <w:r w:rsidRPr="00A748ED">
              <w:rPr>
                <w:rFonts w:eastAsia="Times New Roman" w:cstheme="minorHAnsi"/>
                <w:color w:val="000000"/>
                <w:sz w:val="18"/>
                <w:szCs w:val="18"/>
                <w:lang w:eastAsia="it-IT"/>
              </w:rPr>
              <w:t xml:space="preserve">1.764.629.321,00 </w:t>
            </w:r>
          </w:p>
        </w:tc>
        <w:tc>
          <w:tcPr>
            <w:tcW w:w="1200"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20"/>
                <w:szCs w:val="20"/>
                <w:lang w:eastAsia="it-IT"/>
              </w:rPr>
            </w:pPr>
            <w:r w:rsidRPr="00A748ED">
              <w:rPr>
                <w:rFonts w:eastAsia="Times New Roman" w:cstheme="minorHAnsi"/>
                <w:color w:val="000000"/>
                <w:sz w:val="20"/>
                <w:szCs w:val="20"/>
                <w:lang w:eastAsia="it-IT"/>
              </w:rPr>
              <w:t>50,92%</w:t>
            </w:r>
          </w:p>
        </w:tc>
      </w:tr>
      <w:tr w:rsidR="00CD34A0" w:rsidRPr="00CD34A0" w:rsidTr="00A748ED">
        <w:trPr>
          <w:trHeight w:val="270"/>
          <w:jc w:val="center"/>
        </w:trPr>
        <w:tc>
          <w:tcPr>
            <w:tcW w:w="2377" w:type="pct"/>
            <w:shd w:val="clear" w:color="auto" w:fill="95B3D7" w:themeFill="accent1" w:themeFillTint="99"/>
            <w:noWrap/>
            <w:hideMark/>
          </w:tcPr>
          <w:p w:rsidR="00CD34A0" w:rsidRPr="00A748ED"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A748ED">
              <w:rPr>
                <w:rFonts w:ascii="Bodoni MT" w:eastAsia="Times New Roman" w:hAnsi="Bodoni MT" w:cs="Times New Roman"/>
                <w:color w:val="FFFFFF" w:themeColor="background1"/>
                <w:sz w:val="20"/>
                <w:szCs w:val="20"/>
                <w:lang w:eastAsia="it-IT"/>
              </w:rPr>
              <w:t xml:space="preserve">Immobilizzazioni Immateriali </w:t>
            </w:r>
          </w:p>
        </w:tc>
        <w:tc>
          <w:tcPr>
            <w:tcW w:w="1424"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18"/>
                <w:szCs w:val="18"/>
                <w:lang w:eastAsia="it-IT"/>
              </w:rPr>
            </w:pPr>
            <w:r w:rsidRPr="00A748ED">
              <w:rPr>
                <w:rFonts w:eastAsia="Times New Roman" w:cstheme="minorHAnsi"/>
                <w:color w:val="000000"/>
                <w:sz w:val="18"/>
                <w:szCs w:val="18"/>
                <w:lang w:eastAsia="it-IT"/>
              </w:rPr>
              <w:t xml:space="preserve">22.496.927,00 </w:t>
            </w:r>
          </w:p>
        </w:tc>
        <w:tc>
          <w:tcPr>
            <w:tcW w:w="1200" w:type="pct"/>
            <w:shd w:val="clear" w:color="auto" w:fill="auto"/>
            <w:noWrap/>
            <w:vAlign w:val="center"/>
            <w:hideMark/>
          </w:tcPr>
          <w:p w:rsidR="00CD34A0" w:rsidRPr="00A748ED" w:rsidRDefault="00CD34A0" w:rsidP="00A748ED">
            <w:pPr>
              <w:spacing w:after="0" w:line="240" w:lineRule="auto"/>
              <w:jc w:val="right"/>
              <w:rPr>
                <w:rFonts w:eastAsia="Times New Roman" w:cstheme="minorHAnsi"/>
                <w:color w:val="000000"/>
                <w:sz w:val="20"/>
                <w:szCs w:val="20"/>
                <w:lang w:eastAsia="it-IT"/>
              </w:rPr>
            </w:pPr>
            <w:r w:rsidRPr="00A748ED">
              <w:rPr>
                <w:rFonts w:eastAsia="Times New Roman" w:cstheme="minorHAnsi"/>
                <w:color w:val="000000"/>
                <w:sz w:val="20"/>
                <w:szCs w:val="20"/>
                <w:lang w:eastAsia="it-IT"/>
              </w:rPr>
              <w:t>0,65%</w:t>
            </w:r>
          </w:p>
        </w:tc>
      </w:tr>
      <w:tr w:rsidR="00CD34A0" w:rsidRPr="00CD34A0" w:rsidTr="00A748ED">
        <w:trPr>
          <w:trHeight w:val="270"/>
          <w:jc w:val="center"/>
        </w:trPr>
        <w:tc>
          <w:tcPr>
            <w:tcW w:w="2377" w:type="pct"/>
            <w:shd w:val="clear" w:color="auto" w:fill="95B3D7" w:themeFill="accent1" w:themeFillTint="99"/>
            <w:noWrap/>
            <w:hideMark/>
          </w:tcPr>
          <w:p w:rsidR="00CD34A0" w:rsidRPr="00A748ED" w:rsidRDefault="00CD34A0" w:rsidP="00CD34A0">
            <w:pPr>
              <w:spacing w:after="0" w:line="240" w:lineRule="auto"/>
              <w:rPr>
                <w:rFonts w:ascii="Bodoni MT" w:eastAsia="Times New Roman" w:hAnsi="Bodoni MT" w:cs="Times New Roman"/>
                <w:b/>
                <w:bCs/>
                <w:color w:val="FFFFFF" w:themeColor="background1"/>
                <w:sz w:val="20"/>
                <w:szCs w:val="20"/>
                <w:lang w:eastAsia="it-IT"/>
              </w:rPr>
            </w:pPr>
            <w:r w:rsidRPr="00A748ED">
              <w:rPr>
                <w:rFonts w:ascii="Bodoni MT" w:eastAsia="Times New Roman" w:hAnsi="Bodoni MT" w:cs="Times New Roman"/>
                <w:b/>
                <w:bCs/>
                <w:color w:val="FFFFFF" w:themeColor="background1"/>
                <w:sz w:val="20"/>
                <w:szCs w:val="20"/>
                <w:lang w:eastAsia="it-IT"/>
              </w:rPr>
              <w:t>Totale Immobilizzazioni</w:t>
            </w:r>
          </w:p>
        </w:tc>
        <w:tc>
          <w:tcPr>
            <w:tcW w:w="1424" w:type="pct"/>
            <w:shd w:val="clear" w:color="auto" w:fill="FFFFFF" w:themeFill="background1"/>
            <w:noWrap/>
            <w:vAlign w:val="center"/>
            <w:hideMark/>
          </w:tcPr>
          <w:p w:rsidR="00CD34A0" w:rsidRPr="00A748ED" w:rsidRDefault="00CD34A0" w:rsidP="00A748ED">
            <w:pPr>
              <w:spacing w:after="0" w:line="240" w:lineRule="auto"/>
              <w:jc w:val="right"/>
              <w:rPr>
                <w:rFonts w:eastAsia="Times New Roman" w:cstheme="minorHAnsi"/>
                <w:b/>
                <w:bCs/>
                <w:color w:val="000000"/>
                <w:sz w:val="20"/>
                <w:szCs w:val="20"/>
                <w:lang w:eastAsia="it-IT"/>
              </w:rPr>
            </w:pPr>
            <w:r w:rsidRPr="00A748ED">
              <w:rPr>
                <w:rFonts w:eastAsia="Times New Roman" w:cstheme="minorHAnsi"/>
                <w:b/>
                <w:bCs/>
                <w:color w:val="000000"/>
                <w:sz w:val="20"/>
                <w:szCs w:val="20"/>
                <w:lang w:eastAsia="it-IT"/>
              </w:rPr>
              <w:t xml:space="preserve">3.465.498.889,00 </w:t>
            </w:r>
          </w:p>
        </w:tc>
        <w:tc>
          <w:tcPr>
            <w:tcW w:w="1200" w:type="pct"/>
            <w:shd w:val="clear" w:color="auto" w:fill="FFFFFF" w:themeFill="background1"/>
            <w:noWrap/>
            <w:vAlign w:val="center"/>
            <w:hideMark/>
          </w:tcPr>
          <w:p w:rsidR="00CD34A0" w:rsidRPr="00A748ED" w:rsidRDefault="00CD34A0" w:rsidP="00A748ED">
            <w:pPr>
              <w:spacing w:after="0" w:line="240" w:lineRule="auto"/>
              <w:jc w:val="right"/>
              <w:rPr>
                <w:rFonts w:eastAsia="Times New Roman" w:cstheme="minorHAnsi"/>
                <w:b/>
                <w:bCs/>
                <w:color w:val="000000"/>
                <w:sz w:val="20"/>
                <w:szCs w:val="20"/>
                <w:lang w:eastAsia="it-IT"/>
              </w:rPr>
            </w:pPr>
            <w:r w:rsidRPr="00A748ED">
              <w:rPr>
                <w:rFonts w:eastAsia="Times New Roman" w:cstheme="minorHAnsi"/>
                <w:b/>
                <w:bCs/>
                <w:color w:val="000000"/>
                <w:sz w:val="20"/>
                <w:szCs w:val="20"/>
                <w:lang w:eastAsia="it-IT"/>
              </w:rPr>
              <w:t>100%</w:t>
            </w:r>
          </w:p>
        </w:tc>
      </w:tr>
    </w:tbl>
    <w:p w:rsidR="00CD34A0" w:rsidRPr="00CD34A0" w:rsidRDefault="00A748ED" w:rsidP="00A748ED">
      <w:pPr>
        <w:pStyle w:val="Didascalia"/>
        <w:rPr>
          <w:rFonts w:eastAsia="Times New Roman" w:cs="Bodoni MT"/>
          <w:b w:val="0"/>
          <w:bCs w:val="0"/>
          <w:iCs/>
          <w:color w:val="000000"/>
          <w:sz w:val="24"/>
          <w:szCs w:val="24"/>
        </w:rPr>
      </w:pPr>
      <w:bookmarkStart w:id="357" w:name="_Toc507422726"/>
      <w:r>
        <w:t xml:space="preserve">Grafico </w:t>
      </w:r>
      <w:r w:rsidR="00B90472">
        <w:fldChar w:fldCharType="begin"/>
      </w:r>
      <w:r w:rsidR="00B90472">
        <w:instrText xml:space="preserve"> SEQ Grafico \* ARABIC </w:instrText>
      </w:r>
      <w:r w:rsidR="00B90472">
        <w:fldChar w:fldCharType="separate"/>
      </w:r>
      <w:r w:rsidR="008616B3">
        <w:rPr>
          <w:noProof/>
        </w:rPr>
        <w:t>23</w:t>
      </w:r>
      <w:r w:rsidR="00B90472">
        <w:rPr>
          <w:noProof/>
        </w:rPr>
        <w:fldChar w:fldCharType="end"/>
      </w:r>
      <w:r>
        <w:t xml:space="preserve"> – Totale immobilizzazioni</w:t>
      </w:r>
      <w:bookmarkEnd w:id="357"/>
    </w:p>
    <w:p w:rsidR="00CD34A0" w:rsidRPr="00CD34A0" w:rsidRDefault="00CD34A0" w:rsidP="00CD34A0">
      <w:pPr>
        <w:tabs>
          <w:tab w:val="left" w:pos="284"/>
          <w:tab w:val="left" w:pos="426"/>
        </w:tabs>
        <w:autoSpaceDE w:val="0"/>
        <w:autoSpaceDN w:val="0"/>
        <w:adjustRightInd w:val="0"/>
        <w:spacing w:after="120" w:line="360" w:lineRule="auto"/>
        <w:jc w:val="center"/>
        <w:textAlignment w:val="center"/>
        <w:rPr>
          <w:rFonts w:ascii="Bodoni MT" w:eastAsia="Times New Roman" w:hAnsi="Bodoni MT" w:cs="Bodoni MT"/>
          <w:iCs/>
          <w:color w:val="000000"/>
          <w:sz w:val="24"/>
          <w:szCs w:val="24"/>
        </w:rPr>
      </w:pPr>
      <w:r w:rsidRPr="00CD34A0">
        <w:rPr>
          <w:rFonts w:ascii="Calibri" w:eastAsia="Calibri" w:hAnsi="Calibri" w:cs="Times New Roman"/>
          <w:noProof/>
          <w:lang w:eastAsia="it-IT"/>
        </w:rPr>
        <w:drawing>
          <wp:inline distT="0" distB="0" distL="0" distR="0" wp14:anchorId="45A5C7BB" wp14:editId="03EC28D4">
            <wp:extent cx="4511615" cy="2458529"/>
            <wp:effectExtent l="0" t="0" r="3810" b="18415"/>
            <wp:docPr id="41" name="Grafico 4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E1904F-7BE8-4E6D-806A-D582842AFF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D34A0" w:rsidRPr="00A748ED" w:rsidRDefault="00CD34A0" w:rsidP="00CD34A0">
      <w:pPr>
        <w:tabs>
          <w:tab w:val="left" w:pos="284"/>
          <w:tab w:val="left" w:pos="426"/>
        </w:tabs>
        <w:autoSpaceDE w:val="0"/>
        <w:autoSpaceDN w:val="0"/>
        <w:adjustRightInd w:val="0"/>
        <w:spacing w:after="120" w:line="360" w:lineRule="auto"/>
        <w:jc w:val="center"/>
        <w:textAlignment w:val="center"/>
        <w:rPr>
          <w:rFonts w:ascii="Bodoni MT" w:eastAsia="Times New Roman" w:hAnsi="Bodoni MT" w:cs="Bodoni MT"/>
          <w:iCs/>
          <w:color w:val="000000"/>
          <w:sz w:val="18"/>
          <w:szCs w:val="18"/>
        </w:rPr>
      </w:pPr>
      <w:r w:rsidRPr="00A748ED">
        <w:rPr>
          <w:rFonts w:ascii="Bodoni MT" w:eastAsia="Times New Roman" w:hAnsi="Bodoni MT" w:cs="Bodoni MT"/>
          <w:iCs/>
          <w:color w:val="000000"/>
          <w:sz w:val="18"/>
          <w:szCs w:val="18"/>
        </w:rPr>
        <w:t>Fonte “Rapporto di gestione anno 2016” a cure dell’Ufficio del Controllo Interno di Gestione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Per effetto del complesso delle operazioni sin qui riferite </w:t>
      </w:r>
      <w:r w:rsidRPr="00CD34A0">
        <w:rPr>
          <w:rFonts w:ascii="Bodoni MT" w:eastAsia="Times New Roman" w:hAnsi="Bodoni MT" w:cs="Bodoni MT"/>
          <w:b/>
          <w:iCs/>
          <w:color w:val="000000"/>
          <w:sz w:val="24"/>
          <w:szCs w:val="24"/>
        </w:rPr>
        <w:t>i dati di apertura all’</w:t>
      </w:r>
      <w:r w:rsidR="008B0C9C">
        <w:rPr>
          <w:rFonts w:ascii="Bodoni MT" w:eastAsia="Times New Roman" w:hAnsi="Bodoni MT" w:cs="Bodoni MT"/>
          <w:b/>
          <w:iCs/>
          <w:color w:val="000000"/>
          <w:sz w:val="24"/>
          <w:szCs w:val="24"/>
        </w:rPr>
        <w:t>01/01/</w:t>
      </w:r>
      <w:r w:rsidRPr="00CD34A0">
        <w:rPr>
          <w:rFonts w:ascii="Bodoni MT" w:eastAsia="Times New Roman" w:hAnsi="Bodoni MT" w:cs="Bodoni MT"/>
          <w:b/>
          <w:iCs/>
          <w:color w:val="000000"/>
          <w:sz w:val="24"/>
          <w:szCs w:val="24"/>
        </w:rPr>
        <w:t>2016 non coincidono con i dati esposti</w:t>
      </w:r>
      <w:r w:rsidR="008B0C9C">
        <w:rPr>
          <w:rFonts w:ascii="Bodoni MT" w:eastAsia="Times New Roman" w:hAnsi="Bodoni MT" w:cs="Bodoni MT"/>
          <w:b/>
          <w:iCs/>
          <w:color w:val="000000"/>
          <w:sz w:val="24"/>
          <w:szCs w:val="24"/>
        </w:rPr>
        <w:t xml:space="preserve"> nel Conto del Patrimonio al 31/12/</w:t>
      </w:r>
      <w:r w:rsidRPr="00CD34A0">
        <w:rPr>
          <w:rFonts w:ascii="Bodoni MT" w:eastAsia="Times New Roman" w:hAnsi="Bodoni MT" w:cs="Bodoni MT"/>
          <w:b/>
          <w:iCs/>
          <w:color w:val="000000"/>
          <w:sz w:val="24"/>
          <w:szCs w:val="24"/>
        </w:rPr>
        <w:t>2015</w:t>
      </w:r>
      <w:r w:rsidRPr="00CD34A0">
        <w:rPr>
          <w:rFonts w:ascii="Bodoni MT" w:eastAsia="Times New Roman" w:hAnsi="Bodoni MT" w:cs="Bodoni MT"/>
          <w:iCs/>
          <w:color w:val="000000"/>
          <w:sz w:val="24"/>
          <w:szCs w:val="24"/>
        </w:rPr>
        <w:t xml:space="preserve"> allegato al Rendiconto Generale della Regione per l’esercizio 2015.</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Di seguito viene riportato il </w:t>
      </w:r>
      <w:r w:rsidRPr="00CD34A0">
        <w:rPr>
          <w:rFonts w:ascii="Bodoni MT" w:eastAsia="Times New Roman" w:hAnsi="Bodoni MT" w:cs="Bodoni MT"/>
          <w:b/>
          <w:iCs/>
          <w:color w:val="000000"/>
          <w:sz w:val="24"/>
          <w:szCs w:val="24"/>
        </w:rPr>
        <w:t>prospetto di raccordo</w:t>
      </w:r>
      <w:r w:rsidRPr="00CD34A0">
        <w:rPr>
          <w:rFonts w:ascii="Bodoni MT" w:eastAsia="Times New Roman" w:hAnsi="Bodoni MT" w:cs="Bodoni MT"/>
          <w:iCs/>
          <w:color w:val="000000"/>
          <w:sz w:val="24"/>
          <w:szCs w:val="24"/>
        </w:rPr>
        <w:t xml:space="preserve"> tra l’ultimo conto del patrimonio al 31/12/2015 ed</w:t>
      </w:r>
      <w:r w:rsidR="00495973">
        <w:rPr>
          <w:rFonts w:ascii="Bodoni MT" w:eastAsia="Times New Roman" w:hAnsi="Bodoni MT" w:cs="Bodoni MT"/>
          <w:iCs/>
          <w:color w:val="000000"/>
          <w:sz w:val="24"/>
          <w:szCs w:val="24"/>
        </w:rPr>
        <w:t xml:space="preserve"> il primo Stato Patrimoniale all’</w:t>
      </w:r>
      <w:r w:rsidRPr="00CD34A0">
        <w:rPr>
          <w:rFonts w:ascii="Bodoni MT" w:eastAsia="Times New Roman" w:hAnsi="Bodoni MT" w:cs="Bodoni MT"/>
          <w:iCs/>
          <w:color w:val="000000"/>
          <w:sz w:val="24"/>
          <w:szCs w:val="24"/>
        </w:rPr>
        <w:t xml:space="preserve">01/01/2016. </w:t>
      </w:r>
      <w:r w:rsidR="00AF6918">
        <w:rPr>
          <w:rFonts w:ascii="Bodoni MT" w:eastAsia="Times New Roman" w:hAnsi="Bodoni MT" w:cs="Bodoni MT"/>
          <w:iCs/>
          <w:color w:val="000000"/>
          <w:sz w:val="24"/>
          <w:szCs w:val="24"/>
        </w:rPr>
        <w:t xml:space="preserve">Per effetto delle richiamate </w:t>
      </w:r>
      <w:r w:rsidRPr="00CD34A0">
        <w:rPr>
          <w:rFonts w:ascii="Bodoni MT" w:eastAsia="Times New Roman" w:hAnsi="Bodoni MT" w:cs="Bodoni MT"/>
          <w:iCs/>
          <w:color w:val="000000"/>
          <w:sz w:val="24"/>
          <w:szCs w:val="24"/>
        </w:rPr>
        <w:t xml:space="preserve">operazioni di riclassificazione/rivalutazione delle poste patrimoniali ha determinato </w:t>
      </w:r>
      <w:r w:rsidRPr="0051474F">
        <w:rPr>
          <w:rFonts w:ascii="Bodoni MT" w:eastAsia="Times New Roman" w:hAnsi="Bodoni MT" w:cs="Bodoni MT"/>
          <w:b/>
          <w:iCs/>
          <w:color w:val="000000"/>
          <w:sz w:val="24"/>
          <w:szCs w:val="24"/>
        </w:rPr>
        <w:t>una differenza positiva dell’attivo sul pa</w:t>
      </w:r>
      <w:r w:rsidR="00495973" w:rsidRPr="0051474F">
        <w:rPr>
          <w:rFonts w:ascii="Bodoni MT" w:eastAsia="Times New Roman" w:hAnsi="Bodoni MT" w:cs="Bodoni MT"/>
          <w:b/>
          <w:iCs/>
          <w:color w:val="000000"/>
          <w:sz w:val="24"/>
          <w:szCs w:val="24"/>
        </w:rPr>
        <w:t>ssivo tra i due esercizi pari a</w:t>
      </w:r>
      <w:r w:rsidRPr="0051474F">
        <w:rPr>
          <w:rFonts w:ascii="Bodoni MT" w:eastAsia="Times New Roman" w:hAnsi="Bodoni MT" w:cs="Bodoni MT"/>
          <w:b/>
          <w:iCs/>
          <w:color w:val="000000"/>
          <w:sz w:val="24"/>
          <w:szCs w:val="24"/>
        </w:rPr>
        <w:t xml:space="preserve"> € 1.724.856.210</w:t>
      </w:r>
      <w:r w:rsidRPr="00CD34A0">
        <w:rPr>
          <w:rFonts w:ascii="Bodoni MT" w:eastAsia="Times New Roman" w:hAnsi="Bodoni MT" w:cs="Bodoni MT"/>
          <w:iCs/>
          <w:color w:val="000000"/>
          <w:sz w:val="24"/>
          <w:szCs w:val="24"/>
        </w:rPr>
        <w:t xml:space="preserve"> dovuta, prevalentemente, all’incremento del valore delle immobilizzazioni sia materiali che finanziarie, come risco</w:t>
      </w:r>
      <w:r w:rsidR="008B0C9C">
        <w:rPr>
          <w:rFonts w:ascii="Bodoni MT" w:eastAsia="Times New Roman" w:hAnsi="Bodoni MT" w:cs="Bodoni MT"/>
          <w:iCs/>
          <w:color w:val="000000"/>
          <w:sz w:val="24"/>
          <w:szCs w:val="24"/>
        </w:rPr>
        <w:t>ntriamo nella tabella che segue.</w:t>
      </w:r>
    </w:p>
    <w:p w:rsidR="00DA0C2B" w:rsidRPr="00CD34A0" w:rsidRDefault="00DA0C2B"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p>
    <w:p w:rsidR="00D4493F" w:rsidRDefault="00D4493F" w:rsidP="00A748ED">
      <w:pPr>
        <w:pStyle w:val="Didascalia"/>
        <w:keepNext/>
        <w:sectPr w:rsidR="00D4493F" w:rsidSect="00CD34A0">
          <w:headerReference w:type="default" r:id="rId77"/>
          <w:type w:val="oddPage"/>
          <w:pgSz w:w="11906" w:h="16838"/>
          <w:pgMar w:top="1417" w:right="1134" w:bottom="1134" w:left="1134" w:header="708" w:footer="708" w:gutter="0"/>
          <w:cols w:space="708"/>
          <w:docGrid w:linePitch="360"/>
        </w:sectPr>
      </w:pPr>
    </w:p>
    <w:p w:rsidR="00A748ED" w:rsidRDefault="00A748ED" w:rsidP="00A748ED">
      <w:pPr>
        <w:pStyle w:val="Didascalia"/>
        <w:keepNext/>
      </w:pPr>
      <w:bookmarkStart w:id="358" w:name="_Toc507422567"/>
      <w:r>
        <w:lastRenderedPageBreak/>
        <w:t xml:space="preserve">Tabella </w:t>
      </w:r>
      <w:r w:rsidR="00B90472">
        <w:fldChar w:fldCharType="begin"/>
      </w:r>
      <w:r w:rsidR="00B90472">
        <w:instrText xml:space="preserve"> SEQ Tabella \* ARABIC </w:instrText>
      </w:r>
      <w:r w:rsidR="00B90472">
        <w:fldChar w:fldCharType="separate"/>
      </w:r>
      <w:r w:rsidR="008616B3">
        <w:rPr>
          <w:noProof/>
        </w:rPr>
        <w:t>99</w:t>
      </w:r>
      <w:r w:rsidR="00B90472">
        <w:rPr>
          <w:noProof/>
        </w:rPr>
        <w:fldChar w:fldCharType="end"/>
      </w:r>
      <w:r>
        <w:t xml:space="preserve"> - </w:t>
      </w:r>
      <w:r w:rsidR="00DA0C2B">
        <w:t xml:space="preserve">Prospetto </w:t>
      </w:r>
      <w:r>
        <w:t xml:space="preserve">di </w:t>
      </w:r>
      <w:r w:rsidR="00DA0C2B">
        <w:t xml:space="preserve">raccordo </w:t>
      </w:r>
      <w:r w:rsidR="00DA0C2B" w:rsidRPr="00DA0C2B">
        <w:rPr>
          <w:rFonts w:eastAsia="Times New Roman" w:cs="Calibri"/>
          <w:bCs w:val="0"/>
          <w:color w:val="auto"/>
          <w:lang w:eastAsia="it-IT"/>
        </w:rPr>
        <w:t>tra conto del patrimonio al 31.12.2015 e stato patrimoniale</w:t>
      </w:r>
      <w:bookmarkEnd w:id="358"/>
      <w:r w:rsidR="00DA0C2B" w:rsidRPr="00DA0C2B">
        <w:rPr>
          <w:rFonts w:eastAsia="Times New Roman" w:cs="Calibri"/>
          <w:bCs w:val="0"/>
          <w:color w:val="auto"/>
          <w:lang w:eastAsia="it-IT"/>
        </w:rPr>
        <w:t xml:space="preserve"> </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8"/>
        <w:gridCol w:w="456"/>
        <w:gridCol w:w="5875"/>
        <w:gridCol w:w="1170"/>
        <w:gridCol w:w="1169"/>
        <w:gridCol w:w="1307"/>
      </w:tblGrid>
      <w:tr w:rsidR="00A748ED" w:rsidRPr="00A748ED" w:rsidTr="00DA0C2B">
        <w:trPr>
          <w:trHeight w:val="162"/>
          <w:jc w:val="center"/>
        </w:trPr>
        <w:tc>
          <w:tcPr>
            <w:tcW w:w="3252" w:type="pct"/>
            <w:gridSpan w:val="3"/>
            <w:shd w:val="clear" w:color="auto" w:fill="0F243E" w:themeFill="text2" w:themeFillShade="80"/>
            <w:noWrap/>
            <w:vAlign w:val="center"/>
            <w:hideMark/>
          </w:tcPr>
          <w:p w:rsidR="00A748ED" w:rsidRPr="00A748ED" w:rsidRDefault="00A748ED" w:rsidP="00D4493F">
            <w:pPr>
              <w:spacing w:after="0" w:line="240" w:lineRule="auto"/>
              <w:jc w:val="center"/>
              <w:rPr>
                <w:rFonts w:ascii="Bodoni MT" w:eastAsia="Times New Roman" w:hAnsi="Bodoni MT" w:cs="Calibri"/>
                <w:b/>
                <w:bCs/>
                <w:sz w:val="18"/>
                <w:szCs w:val="18"/>
                <w:lang w:eastAsia="it-IT"/>
              </w:rPr>
            </w:pPr>
            <w:r w:rsidRPr="00AE50D9">
              <w:rPr>
                <w:rFonts w:ascii="Bodoni MT" w:eastAsia="Times New Roman" w:hAnsi="Bodoni MT" w:cs="Calibri"/>
                <w:b/>
                <w:bCs/>
                <w:color w:val="FFFFFF" w:themeColor="background1"/>
                <w:sz w:val="18"/>
                <w:szCs w:val="18"/>
                <w:lang w:eastAsia="it-IT"/>
              </w:rPr>
              <w:t>ATTIVO</w:t>
            </w:r>
          </w:p>
        </w:tc>
        <w:tc>
          <w:tcPr>
            <w:tcW w:w="557" w:type="pct"/>
            <w:shd w:val="clear" w:color="auto" w:fill="0F243E" w:themeFill="text2" w:themeFillShade="80"/>
            <w:vAlign w:val="center"/>
            <w:hideMark/>
          </w:tcPr>
          <w:p w:rsidR="00A748ED" w:rsidRPr="00A748ED" w:rsidRDefault="00A748ED"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01/01/2016</w:t>
            </w:r>
          </w:p>
        </w:tc>
        <w:tc>
          <w:tcPr>
            <w:tcW w:w="557" w:type="pct"/>
            <w:shd w:val="clear" w:color="auto" w:fill="0F243E" w:themeFill="text2" w:themeFillShade="80"/>
            <w:vAlign w:val="center"/>
            <w:hideMark/>
          </w:tcPr>
          <w:p w:rsidR="00A748ED" w:rsidRPr="00A748ED" w:rsidRDefault="00A748ED"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31/12/2015</w:t>
            </w:r>
          </w:p>
        </w:tc>
        <w:tc>
          <w:tcPr>
            <w:tcW w:w="633" w:type="pct"/>
            <w:shd w:val="clear" w:color="auto" w:fill="0F243E" w:themeFill="text2" w:themeFillShade="80"/>
            <w:noWrap/>
            <w:vAlign w:val="center"/>
            <w:hideMark/>
          </w:tcPr>
          <w:p w:rsidR="00A748ED" w:rsidRPr="00A748ED" w:rsidRDefault="00A748ED"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Differenza</w:t>
            </w:r>
          </w:p>
        </w:tc>
      </w:tr>
      <w:tr w:rsidR="00D4493F" w:rsidRPr="00A748ED" w:rsidTr="00DA0C2B">
        <w:trPr>
          <w:trHeight w:val="372"/>
          <w:jc w:val="center"/>
        </w:trPr>
        <w:tc>
          <w:tcPr>
            <w:tcW w:w="5000" w:type="pct"/>
            <w:gridSpan w:val="6"/>
            <w:shd w:val="clear" w:color="auto" w:fill="0F243E" w:themeFill="text2" w:themeFillShade="80"/>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b/>
                <w:bCs/>
                <w:sz w:val="18"/>
                <w:szCs w:val="18"/>
                <w:lang w:eastAsia="it-IT"/>
              </w:rPr>
              <w:t xml:space="preserve">A) CREDITI </w:t>
            </w:r>
            <w:r w:rsidR="0052128D" w:rsidRPr="00A748ED">
              <w:rPr>
                <w:rFonts w:ascii="Bodoni MT" w:eastAsia="Times New Roman" w:hAnsi="Bodoni MT" w:cs="Calibri"/>
                <w:b/>
                <w:bCs/>
                <w:sz w:val="18"/>
                <w:szCs w:val="18"/>
                <w:lang w:eastAsia="it-IT"/>
              </w:rPr>
              <w:t>VS</w:t>
            </w:r>
            <w:r w:rsidRPr="00A748ED">
              <w:rPr>
                <w:rFonts w:ascii="Bodoni MT" w:eastAsia="Times New Roman" w:hAnsi="Bodoni MT" w:cs="Calibri"/>
                <w:b/>
                <w:bCs/>
                <w:sz w:val="18"/>
                <w:szCs w:val="18"/>
                <w:lang w:eastAsia="it-IT"/>
              </w:rPr>
              <w:t>. LO STATO ED ALTRE AMMINISTRAZIONI PUBBLICHE PER LA PARTECIPAZIONE AL FONDO DI DOTAZIONE</w:t>
            </w:r>
            <w:r w:rsidRPr="00A748ED">
              <w:rPr>
                <w:rFonts w:ascii="Bodoni MT" w:eastAsia="Times New Roman" w:hAnsi="Bodoni MT" w:cs="Calibri"/>
                <w:color w:val="000000"/>
                <w:sz w:val="18"/>
                <w:szCs w:val="18"/>
                <w:lang w:eastAsia="it-IT"/>
              </w:rPr>
              <w:t>-</w:t>
            </w:r>
          </w:p>
        </w:tc>
      </w:tr>
      <w:tr w:rsidR="00D4493F" w:rsidRPr="00A748ED" w:rsidTr="00DA0C2B">
        <w:trPr>
          <w:trHeight w:val="315"/>
          <w:jc w:val="center"/>
        </w:trPr>
        <w:tc>
          <w:tcPr>
            <w:tcW w:w="183" w:type="pct"/>
            <w:shd w:val="clear" w:color="auto" w:fill="95B3D7" w:themeFill="accent1" w:themeFillTint="99"/>
            <w:noWrap/>
            <w:vAlign w:val="center"/>
            <w:hideMark/>
          </w:tcPr>
          <w:p w:rsidR="00D4493F" w:rsidRPr="00AE50D9"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AE50D9"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AE50D9"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AE50D9">
              <w:rPr>
                <w:rFonts w:ascii="Bodoni MT" w:eastAsia="Times New Roman" w:hAnsi="Bodoni MT" w:cs="Calibri"/>
                <w:b/>
                <w:bCs/>
                <w:color w:val="FFFFFF" w:themeColor="background1"/>
                <w:sz w:val="18"/>
                <w:szCs w:val="18"/>
                <w:lang w:eastAsia="it-IT"/>
              </w:rPr>
              <w:t>TOTALE CREDITI vs PARTECIPANTI (A)</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r>
      <w:tr w:rsidR="004550DF" w:rsidRPr="00A748ED" w:rsidTr="00DA0C2B">
        <w:trPr>
          <w:trHeight w:val="300"/>
          <w:jc w:val="center"/>
        </w:trPr>
        <w:tc>
          <w:tcPr>
            <w:tcW w:w="5000" w:type="pct"/>
            <w:gridSpan w:val="6"/>
            <w:shd w:val="clear" w:color="auto" w:fill="0F243E" w:themeFill="text2" w:themeFillShade="80"/>
            <w:noWrap/>
            <w:vAlign w:val="center"/>
            <w:hideMark/>
          </w:tcPr>
          <w:p w:rsidR="004550DF" w:rsidRPr="00A748ED" w:rsidRDefault="004550DF" w:rsidP="004550D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b/>
                <w:bCs/>
                <w:sz w:val="18"/>
                <w:szCs w:val="18"/>
                <w:lang w:eastAsia="it-IT"/>
              </w:rPr>
              <w:t>B) IMMOBILIZZAZIONI</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Immobilizzazioni immateriali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Costi di impianto e di ampliamento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Costi di ricerca sviluppo e pubblicità</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3</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Diritti di brevetto ed utilizzazione opere dell'ingegno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14.491.003</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48.804.300</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34.313.297</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4</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Concessioni, licenze, marchi e diritti simile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5</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Avviamento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6</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Immobilizzazioni in corso ed acconti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3.315.053</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3.315.053</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9</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4.690.871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14.464.711</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9.773.839</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immobilizzazioni immateriali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22.496.927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63.269.011</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r w:rsidR="00D4493F" w:rsidRPr="00A748ED">
              <w:rPr>
                <w:rFonts w:ascii="Bodoni MT" w:eastAsia="Times New Roman" w:hAnsi="Bodoni MT" w:cs="Calibri"/>
                <w:b/>
                <w:bCs/>
                <w:sz w:val="18"/>
                <w:szCs w:val="18"/>
                <w:lang w:eastAsia="it-IT"/>
              </w:rPr>
              <w:t>40.772.083</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Immobilizzazioni 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II</w:t>
            </w: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Beni demaniali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130.643.146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130.643.146</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1.1</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Terreni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3.252.004</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3.252.004</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1.2</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Fabbricati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18.580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18.580</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1.3</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Infrastrutture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127.372.562</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127.372.562</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1.9</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beni demaniali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53"/>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III</w:t>
            </w: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Altre immobilizzazioni 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1.377.471.798</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793.724.397</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583.747.401</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2.1</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Terreni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33.908.160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102.324.800</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68.416.640</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a) </w:t>
            </w:r>
            <w:r w:rsidRPr="004550DF">
              <w:rPr>
                <w:rFonts w:ascii="Bodoni MT" w:eastAsia="Times New Roman" w:hAnsi="Bodoni MT" w:cs="Calibri"/>
                <w:iCs/>
                <w:color w:val="FFFFFF" w:themeColor="background1"/>
                <w:sz w:val="18"/>
                <w:szCs w:val="18"/>
                <w:lang w:eastAsia="it-IT"/>
              </w:rPr>
              <w:t>di cui in leasing finanziario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2.2</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Fabbricati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953.411.304</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668.769.047</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284.642.257</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a) </w:t>
            </w:r>
            <w:r w:rsidRPr="004550DF">
              <w:rPr>
                <w:rFonts w:ascii="Bodoni MT" w:eastAsia="Times New Roman" w:hAnsi="Bodoni MT" w:cs="Calibri"/>
                <w:iCs/>
                <w:color w:val="FFFFFF" w:themeColor="background1"/>
                <w:sz w:val="18"/>
                <w:szCs w:val="18"/>
                <w:lang w:eastAsia="it-IT"/>
              </w:rPr>
              <w:t>di cui in leasing finanziario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2.3</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Impianti e macchinari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161.954</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162.454</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500</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a) </w:t>
            </w:r>
            <w:r w:rsidRPr="004550DF">
              <w:rPr>
                <w:rFonts w:ascii="Bodoni MT" w:eastAsia="Times New Roman" w:hAnsi="Bodoni MT" w:cs="Calibri"/>
                <w:iCs/>
                <w:color w:val="FFFFFF" w:themeColor="background1"/>
                <w:sz w:val="18"/>
                <w:szCs w:val="18"/>
                <w:lang w:eastAsia="it-IT"/>
              </w:rPr>
              <w:t>di cui in leasing finanziario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2.4</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Attrezzature industriali e commerciali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1.110.013</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979.356</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130.657</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2.5</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Mezzi di trasporto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11.503.761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11.498.495</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5.266</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2.6</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Macchine per ufficio e hardware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2.060.186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1.927.993</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132.193</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2.7</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Mobili e arredi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1.078.018</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723.733</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354.285</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2.8</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Infrastrutture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2.9</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Diritti reali di godimento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2.99</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beni 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374.238.402</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7.338.519</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366.899.883</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3</w:t>
            </w: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Immobilizzazioni in corso ed acconti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170.257.697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170.257.697</w:t>
            </w:r>
          </w:p>
        </w:tc>
      </w:tr>
      <w:tr w:rsidR="00D4493F" w:rsidRPr="00A748ED" w:rsidTr="00DA0C2B">
        <w:trPr>
          <w:trHeight w:val="300"/>
          <w:jc w:val="center"/>
        </w:trPr>
        <w:tc>
          <w:tcPr>
            <w:tcW w:w="183"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immobilizzazioni materiali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1.678.372.641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793.724.397</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884.648.244</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IV</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Immobilizzazioni Finanziarie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Partecipazioni in</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1.665.612.572</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424.478.606</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1.241.133.966</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a) </w:t>
            </w:r>
            <w:r w:rsidRPr="004550DF">
              <w:rPr>
                <w:rFonts w:ascii="Bodoni MT" w:eastAsia="Times New Roman" w:hAnsi="Bodoni MT" w:cs="Calibri"/>
                <w:iCs/>
                <w:color w:val="FFFFFF" w:themeColor="background1"/>
                <w:sz w:val="18"/>
                <w:szCs w:val="18"/>
                <w:lang w:eastAsia="it-IT"/>
              </w:rPr>
              <w:t>imprese controllate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535.712.994</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410.784.498</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124.928.495</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b) </w:t>
            </w:r>
            <w:r w:rsidRPr="004550DF">
              <w:rPr>
                <w:rFonts w:ascii="Bodoni MT" w:eastAsia="Times New Roman" w:hAnsi="Bodoni MT" w:cs="Calibri"/>
                <w:iCs/>
                <w:color w:val="FFFFFF" w:themeColor="background1"/>
                <w:sz w:val="18"/>
                <w:szCs w:val="18"/>
                <w:lang w:eastAsia="it-IT"/>
              </w:rPr>
              <w:t>imprese partecipate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5.882.998</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7.694.108</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1.811.110</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c) </w:t>
            </w:r>
            <w:r w:rsidRPr="004550DF">
              <w:rPr>
                <w:rFonts w:ascii="Bodoni MT" w:eastAsia="Times New Roman" w:hAnsi="Bodoni MT" w:cs="Calibri"/>
                <w:iCs/>
                <w:color w:val="FFFFFF" w:themeColor="background1"/>
                <w:sz w:val="18"/>
                <w:szCs w:val="18"/>
                <w:lang w:eastAsia="it-IT"/>
              </w:rPr>
              <w:t>altri soggetti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1.124.016.580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6.000.000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1.118.016.580</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Crediti verso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93.016.749</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164.378.484</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71.361.735</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 altre amministrazioni pubbliche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8.000.000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8.000.000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b) </w:t>
            </w:r>
            <w:r w:rsidRPr="004550DF">
              <w:rPr>
                <w:rFonts w:ascii="Bodoni MT" w:eastAsia="Times New Roman" w:hAnsi="Bodoni MT" w:cs="Calibri"/>
                <w:iCs/>
                <w:color w:val="FFFFFF" w:themeColor="background1"/>
                <w:sz w:val="18"/>
                <w:szCs w:val="18"/>
                <w:lang w:eastAsia="it-IT"/>
              </w:rPr>
              <w:t>imprese controllate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c) </w:t>
            </w:r>
            <w:r w:rsidRPr="004550DF">
              <w:rPr>
                <w:rFonts w:ascii="Bodoni MT" w:eastAsia="Times New Roman" w:hAnsi="Bodoni MT" w:cs="Calibri"/>
                <w:iCs/>
                <w:color w:val="FFFFFF" w:themeColor="background1"/>
                <w:sz w:val="18"/>
                <w:szCs w:val="18"/>
                <w:lang w:eastAsia="it-IT"/>
              </w:rPr>
              <w:t>imprese partecipate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d) </w:t>
            </w:r>
            <w:r w:rsidRPr="004550DF">
              <w:rPr>
                <w:rFonts w:ascii="Bodoni MT" w:eastAsia="Times New Roman" w:hAnsi="Bodoni MT" w:cs="Calibri"/>
                <w:iCs/>
                <w:color w:val="FFFFFF" w:themeColor="background1"/>
                <w:sz w:val="18"/>
                <w:szCs w:val="18"/>
                <w:lang w:eastAsia="it-IT"/>
              </w:rPr>
              <w:t>altri soggetti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85.016.749</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156.378.484</w:t>
            </w:r>
          </w:p>
        </w:tc>
        <w:tc>
          <w:tcPr>
            <w:tcW w:w="633" w:type="pct"/>
            <w:shd w:val="clear" w:color="auto" w:fill="auto"/>
            <w:noWrap/>
            <w:vAlign w:val="center"/>
            <w:hideMark/>
          </w:tcPr>
          <w:p w:rsidR="00D4493F" w:rsidRPr="00A748ED" w:rsidRDefault="004550DF"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71.361.735</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3</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titoli</w:t>
            </w:r>
          </w:p>
        </w:tc>
        <w:tc>
          <w:tcPr>
            <w:tcW w:w="557" w:type="pct"/>
            <w:shd w:val="clear" w:color="auto" w:fill="auto"/>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6.000.000</w:t>
            </w:r>
          </w:p>
        </w:tc>
        <w:tc>
          <w:tcPr>
            <w:tcW w:w="557" w:type="pct"/>
            <w:shd w:val="clear" w:color="auto" w:fill="auto"/>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6.000.000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2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immobilizzazioni finanziarie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1.764.629.321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594.857.090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1.169.772.231</w:t>
            </w:r>
          </w:p>
        </w:tc>
      </w:tr>
      <w:tr w:rsidR="00AE50D9" w:rsidRPr="00A748ED" w:rsidTr="00DA0C2B">
        <w:trPr>
          <w:trHeight w:val="315"/>
          <w:jc w:val="center"/>
        </w:trPr>
        <w:tc>
          <w:tcPr>
            <w:tcW w:w="3252" w:type="pct"/>
            <w:gridSpan w:val="3"/>
            <w:shd w:val="clear" w:color="auto" w:fill="95B3D7" w:themeFill="accent1" w:themeFillTint="99"/>
            <w:noWrap/>
            <w:vAlign w:val="center"/>
            <w:hideMark/>
          </w:tcPr>
          <w:p w:rsidR="00AE50D9" w:rsidRPr="004550DF" w:rsidRDefault="00AE50D9" w:rsidP="00AE50D9">
            <w:pPr>
              <w:spacing w:after="0" w:line="240" w:lineRule="auto"/>
              <w:jc w:val="right"/>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IMMOBILIZZAZIONI (B)</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3.465.498.889</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1.451.850.498</w:t>
            </w:r>
          </w:p>
        </w:tc>
        <w:tc>
          <w:tcPr>
            <w:tcW w:w="633"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2.013.648.392</w:t>
            </w:r>
          </w:p>
        </w:tc>
      </w:tr>
      <w:tr w:rsidR="004550DF" w:rsidRPr="00A748ED" w:rsidTr="00DA0C2B">
        <w:trPr>
          <w:trHeight w:val="300"/>
          <w:jc w:val="center"/>
        </w:trPr>
        <w:tc>
          <w:tcPr>
            <w:tcW w:w="5000" w:type="pct"/>
            <w:gridSpan w:val="6"/>
            <w:shd w:val="clear" w:color="auto" w:fill="0F243E" w:themeFill="text2" w:themeFillShade="80"/>
            <w:noWrap/>
            <w:vAlign w:val="center"/>
            <w:hideMark/>
          </w:tcPr>
          <w:p w:rsidR="004550DF" w:rsidRPr="00A748ED" w:rsidRDefault="004550DF" w:rsidP="004550D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b/>
                <w:bCs/>
                <w:sz w:val="18"/>
                <w:szCs w:val="18"/>
                <w:lang w:eastAsia="it-IT"/>
              </w:rPr>
              <w:t>C) ATTIVO CIRCOLANTE</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Rimanenze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3.600.366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3.600.366</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rimanenze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3.600.366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3.600.366</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II</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Crediti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Crediti di natura tributaria</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387.558.651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351.517.284</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36.041.367</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Crediti da tributi destinati al finanziamento della sanità</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118.170.704</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118.170.704</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b</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Altri crediti da tributi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269.387.947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233.346.580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36.041.367</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Crediti da Fondi perequativi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tcBorders>
              <w:bottom w:val="single" w:sz="4" w:space="0" w:color="auto"/>
            </w:tcBorders>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Crediti per trasferimenti e contributi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432.125.392</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425.083.666</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7.041.726</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tcBorders>
              <w:right w:val="single" w:sz="4" w:space="0" w:color="auto"/>
            </w:tcBorders>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verso amministrazioni pubbliche</w:t>
            </w:r>
          </w:p>
        </w:tc>
        <w:tc>
          <w:tcPr>
            <w:tcW w:w="557" w:type="pct"/>
            <w:tcBorders>
              <w:left w:val="single" w:sz="4" w:space="0" w:color="auto"/>
            </w:tcBorders>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299.850.107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292.808.381</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7.041.726</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tcBorders>
              <w:right w:val="single" w:sz="4" w:space="0" w:color="auto"/>
            </w:tcBorders>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D4493F" w:rsidRPr="004550DF" w:rsidRDefault="004550D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 xml:space="preserve">b) </w:t>
            </w:r>
            <w:r w:rsidRPr="004550DF">
              <w:rPr>
                <w:rFonts w:ascii="Bodoni MT" w:eastAsia="Times New Roman" w:hAnsi="Bodoni MT" w:cs="Calibri"/>
                <w:iCs/>
                <w:color w:val="FFFFFF" w:themeColor="background1"/>
                <w:sz w:val="18"/>
                <w:szCs w:val="18"/>
                <w:lang w:eastAsia="it-IT"/>
              </w:rPr>
              <w:t>imprese controllate</w:t>
            </w:r>
          </w:p>
        </w:tc>
        <w:tc>
          <w:tcPr>
            <w:tcW w:w="557" w:type="pct"/>
            <w:tcBorders>
              <w:left w:val="single" w:sz="4" w:space="0" w:color="auto"/>
            </w:tcBorders>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tcBorders>
              <w:top w:val="single" w:sz="4" w:space="0" w:color="auto"/>
            </w:tcBorders>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imprese partecipate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d</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verso altri soggetti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132.275.285</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132.275.285</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3</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Verso clienti ed utenti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2.929.020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1.802.209</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1.126.811</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4</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Crediti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72.735.666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99.292.549</w:t>
            </w:r>
          </w:p>
        </w:tc>
        <w:tc>
          <w:tcPr>
            <w:tcW w:w="633" w:type="pct"/>
            <w:shd w:val="clear" w:color="auto" w:fill="auto"/>
            <w:noWrap/>
            <w:vAlign w:val="center"/>
            <w:hideMark/>
          </w:tcPr>
          <w:p w:rsidR="00D4493F" w:rsidRPr="00A748ED" w:rsidRDefault="00AE50D9"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26.556.883</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verso l'erario</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b</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per attività svolta per c/terzi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1.326.850</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1.326.850</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altri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71.408.816</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97.965.699</w:t>
            </w:r>
          </w:p>
        </w:tc>
        <w:tc>
          <w:tcPr>
            <w:tcW w:w="633" w:type="pct"/>
            <w:shd w:val="clear" w:color="auto" w:fill="auto"/>
            <w:noWrap/>
            <w:vAlign w:val="center"/>
            <w:hideMark/>
          </w:tcPr>
          <w:p w:rsidR="00D4493F" w:rsidRPr="00A748ED" w:rsidRDefault="00AE50D9" w:rsidP="00D4493F">
            <w:pPr>
              <w:spacing w:after="0" w:line="240" w:lineRule="auto"/>
              <w:jc w:val="center"/>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D4493F" w:rsidRPr="00A748ED">
              <w:rPr>
                <w:rFonts w:ascii="Bodoni MT" w:eastAsia="Times New Roman" w:hAnsi="Bodoni MT" w:cs="Calibri"/>
                <w:sz w:val="18"/>
                <w:szCs w:val="18"/>
                <w:lang w:eastAsia="it-IT"/>
              </w:rPr>
              <w:t>26.556.883</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crediti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895.348.729</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877.695.708</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17.653.021</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III</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Attività finanziarie che non costituiscono immobilizzi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Partecipazioni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titoli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attività finanziarie che non costituiscono immobilizzi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IV</w:t>
            </w: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iCs/>
                <w:color w:val="FFFFFF" w:themeColor="background1"/>
                <w:sz w:val="18"/>
                <w:szCs w:val="18"/>
                <w:lang w:eastAsia="it-IT"/>
              </w:rPr>
              <w:t>Disponibilità liquide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Conto di tesoreria</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340.832.737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340.832.737</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Istituto tesoriere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4550DF">
            <w:pPr>
              <w:spacing w:after="0" w:line="240" w:lineRule="auto"/>
              <w:rPr>
                <w:rFonts w:ascii="Bodoni MT" w:eastAsia="Times New Roman" w:hAnsi="Bodoni MT" w:cs="Calibri"/>
                <w:iCs/>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b</w:t>
            </w:r>
            <w:r w:rsidR="004550DF" w:rsidRPr="004550DF">
              <w:rPr>
                <w:rFonts w:ascii="Bodoni MT" w:eastAsia="Times New Roman" w:hAnsi="Bodoni MT" w:cs="Calibri"/>
                <w:color w:val="FFFFFF" w:themeColor="background1"/>
                <w:sz w:val="18"/>
                <w:szCs w:val="18"/>
                <w:lang w:eastAsia="it-IT"/>
              </w:rPr>
              <w:t xml:space="preserve">) </w:t>
            </w:r>
            <w:r w:rsidRPr="004550DF">
              <w:rPr>
                <w:rFonts w:ascii="Bodoni MT" w:eastAsia="Times New Roman" w:hAnsi="Bodoni MT" w:cs="Calibri"/>
                <w:iCs/>
                <w:color w:val="FFFFFF" w:themeColor="background1"/>
                <w:sz w:val="18"/>
                <w:szCs w:val="18"/>
                <w:lang w:eastAsia="it-IT"/>
              </w:rPr>
              <w:t>presso Banca d'Italia</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340.832.737</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340.832.737</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depositi bancari e postali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474.628.361</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474.628.361</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3</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Denaro e valori in cassa</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4</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Altri conti presso la tesoreria statale intestati all'ente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15"/>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disponibilità liquide</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815.461.098</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340.832.737</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474.628.361</w:t>
            </w:r>
          </w:p>
        </w:tc>
      </w:tr>
      <w:tr w:rsidR="00AE50D9" w:rsidRPr="00A748ED" w:rsidTr="00DA0C2B">
        <w:trPr>
          <w:trHeight w:val="315"/>
          <w:jc w:val="center"/>
        </w:trPr>
        <w:tc>
          <w:tcPr>
            <w:tcW w:w="3252" w:type="pct"/>
            <w:gridSpan w:val="3"/>
            <w:shd w:val="clear" w:color="auto" w:fill="95B3D7" w:themeFill="accent1" w:themeFillTint="99"/>
            <w:noWrap/>
            <w:vAlign w:val="center"/>
            <w:hideMark/>
          </w:tcPr>
          <w:p w:rsidR="00AE50D9" w:rsidRPr="004550DF" w:rsidRDefault="00AE50D9" w:rsidP="00AE50D9">
            <w:pPr>
              <w:spacing w:after="0" w:line="240" w:lineRule="auto"/>
              <w:jc w:val="right"/>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ATTIVO CIRCOLANTE (C)</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1.714.410.193</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1.218.528.445</w:t>
            </w:r>
          </w:p>
        </w:tc>
        <w:tc>
          <w:tcPr>
            <w:tcW w:w="633"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495.881.748</w:t>
            </w:r>
          </w:p>
        </w:tc>
      </w:tr>
      <w:tr w:rsidR="004550DF" w:rsidRPr="00A748ED" w:rsidTr="00DA0C2B">
        <w:trPr>
          <w:trHeight w:val="300"/>
          <w:jc w:val="center"/>
        </w:trPr>
        <w:tc>
          <w:tcPr>
            <w:tcW w:w="5000" w:type="pct"/>
            <w:gridSpan w:val="6"/>
            <w:shd w:val="clear" w:color="auto" w:fill="0F243E" w:themeFill="text2" w:themeFillShade="80"/>
            <w:noWrap/>
            <w:vAlign w:val="center"/>
            <w:hideMark/>
          </w:tcPr>
          <w:p w:rsidR="004550DF" w:rsidRPr="00A748ED" w:rsidRDefault="004550DF" w:rsidP="004550D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b/>
                <w:bCs/>
                <w:sz w:val="18"/>
                <w:szCs w:val="18"/>
                <w:lang w:eastAsia="it-IT"/>
              </w:rPr>
              <w:t>D) RATEI E RISCONTI</w:t>
            </w:r>
          </w:p>
        </w:tc>
      </w:tr>
      <w:tr w:rsidR="00D4493F" w:rsidRPr="00A748ED" w:rsidTr="00DA0C2B">
        <w:trPr>
          <w:trHeight w:val="300"/>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1</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Ratei attivi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D4493F" w:rsidRPr="00A748ED" w:rsidTr="00DA0C2B">
        <w:trPr>
          <w:trHeight w:val="315"/>
          <w:jc w:val="center"/>
        </w:trPr>
        <w:tc>
          <w:tcPr>
            <w:tcW w:w="183"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p>
        </w:tc>
        <w:tc>
          <w:tcPr>
            <w:tcW w:w="221" w:type="pct"/>
            <w:shd w:val="clear" w:color="auto" w:fill="95B3D7" w:themeFill="accent1" w:themeFillTint="99"/>
            <w:noWrap/>
            <w:vAlign w:val="center"/>
            <w:hideMark/>
          </w:tcPr>
          <w:p w:rsidR="00D4493F" w:rsidRPr="004550DF" w:rsidRDefault="00D4493F" w:rsidP="00D4493F">
            <w:pPr>
              <w:spacing w:after="0" w:line="240" w:lineRule="auto"/>
              <w:jc w:val="center"/>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2</w:t>
            </w:r>
          </w:p>
        </w:tc>
        <w:tc>
          <w:tcPr>
            <w:tcW w:w="2848" w:type="pct"/>
            <w:shd w:val="clear" w:color="auto" w:fill="95B3D7" w:themeFill="accent1" w:themeFillTint="99"/>
            <w:noWrap/>
            <w:vAlign w:val="center"/>
            <w:hideMark/>
          </w:tcPr>
          <w:p w:rsidR="00D4493F" w:rsidRPr="004550DF" w:rsidRDefault="00D4493F" w:rsidP="00D4493F">
            <w:pPr>
              <w:spacing w:after="0" w:line="240" w:lineRule="auto"/>
              <w:rPr>
                <w:rFonts w:ascii="Bodoni MT" w:eastAsia="Times New Roman" w:hAnsi="Bodoni MT" w:cs="Calibri"/>
                <w:color w:val="FFFFFF" w:themeColor="background1"/>
                <w:sz w:val="18"/>
                <w:szCs w:val="18"/>
                <w:lang w:eastAsia="it-IT"/>
              </w:rPr>
            </w:pPr>
            <w:r w:rsidRPr="004550DF">
              <w:rPr>
                <w:rFonts w:ascii="Bodoni MT" w:eastAsia="Times New Roman" w:hAnsi="Bodoni MT" w:cs="Calibri"/>
                <w:color w:val="FFFFFF" w:themeColor="background1"/>
                <w:sz w:val="18"/>
                <w:szCs w:val="18"/>
                <w:lang w:eastAsia="it-IT"/>
              </w:rPr>
              <w:t>Risconti attivi</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557"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color w:val="000000"/>
                <w:sz w:val="18"/>
                <w:szCs w:val="18"/>
                <w:lang w:eastAsia="it-IT"/>
              </w:rPr>
            </w:pPr>
            <w:r w:rsidRPr="00A748ED">
              <w:rPr>
                <w:rFonts w:ascii="Bodoni MT" w:eastAsia="Times New Roman" w:hAnsi="Bodoni MT" w:cs="Calibri"/>
                <w:color w:val="000000"/>
                <w:sz w:val="18"/>
                <w:szCs w:val="18"/>
                <w:lang w:eastAsia="it-IT"/>
              </w:rPr>
              <w:t>-</w:t>
            </w:r>
          </w:p>
        </w:tc>
        <w:tc>
          <w:tcPr>
            <w:tcW w:w="633" w:type="pct"/>
            <w:shd w:val="clear" w:color="auto" w:fill="auto"/>
            <w:noWrap/>
            <w:vAlign w:val="center"/>
            <w:hideMark/>
          </w:tcPr>
          <w:p w:rsidR="00D4493F" w:rsidRPr="00A748ED" w:rsidRDefault="00D4493F"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AE50D9" w:rsidRPr="00A748ED" w:rsidTr="00DA0C2B">
        <w:trPr>
          <w:trHeight w:val="315"/>
          <w:jc w:val="center"/>
        </w:trPr>
        <w:tc>
          <w:tcPr>
            <w:tcW w:w="3252" w:type="pct"/>
            <w:gridSpan w:val="3"/>
            <w:shd w:val="clear" w:color="auto" w:fill="95B3D7" w:themeFill="accent1" w:themeFillTint="99"/>
            <w:noWrap/>
            <w:vAlign w:val="center"/>
            <w:hideMark/>
          </w:tcPr>
          <w:p w:rsidR="00AE50D9" w:rsidRPr="004550DF" w:rsidRDefault="00AE50D9" w:rsidP="00AE50D9">
            <w:pPr>
              <w:spacing w:after="0" w:line="240" w:lineRule="auto"/>
              <w:jc w:val="right"/>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RATEI E RISCONTI</w:t>
            </w:r>
            <w:r>
              <w:rPr>
                <w:rFonts w:ascii="Bodoni MT" w:eastAsia="Times New Roman" w:hAnsi="Bodoni MT" w:cs="Calibri"/>
                <w:b/>
                <w:bCs/>
                <w:color w:val="FFFFFF" w:themeColor="background1"/>
                <w:sz w:val="18"/>
                <w:szCs w:val="18"/>
                <w:lang w:eastAsia="it-IT"/>
              </w:rPr>
              <w:t xml:space="preserve"> </w:t>
            </w:r>
            <w:r w:rsidRPr="004550DF">
              <w:rPr>
                <w:rFonts w:ascii="Bodoni MT" w:eastAsia="Times New Roman" w:hAnsi="Bodoni MT" w:cs="Calibri"/>
                <w:b/>
                <w:bCs/>
                <w:color w:val="FFFFFF" w:themeColor="background1"/>
                <w:sz w:val="18"/>
                <w:szCs w:val="18"/>
                <w:lang w:eastAsia="it-IT"/>
              </w:rPr>
              <w:t>(D)</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w:t>
            </w:r>
          </w:p>
        </w:tc>
        <w:tc>
          <w:tcPr>
            <w:tcW w:w="633"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sz w:val="18"/>
                <w:szCs w:val="18"/>
                <w:lang w:eastAsia="it-IT"/>
              </w:rPr>
            </w:pPr>
            <w:r w:rsidRPr="00A748ED">
              <w:rPr>
                <w:rFonts w:ascii="Bodoni MT" w:eastAsia="Times New Roman" w:hAnsi="Bodoni MT" w:cs="Calibri"/>
                <w:sz w:val="18"/>
                <w:szCs w:val="18"/>
                <w:lang w:eastAsia="it-IT"/>
              </w:rPr>
              <w:t>-</w:t>
            </w:r>
          </w:p>
        </w:tc>
      </w:tr>
      <w:tr w:rsidR="00AE50D9" w:rsidRPr="00A748ED" w:rsidTr="00DA0C2B">
        <w:trPr>
          <w:trHeight w:val="150"/>
          <w:jc w:val="center"/>
        </w:trPr>
        <w:tc>
          <w:tcPr>
            <w:tcW w:w="3252" w:type="pct"/>
            <w:gridSpan w:val="3"/>
            <w:shd w:val="clear" w:color="auto" w:fill="95B3D7" w:themeFill="accent1" w:themeFillTint="99"/>
            <w:noWrap/>
            <w:vAlign w:val="center"/>
            <w:hideMark/>
          </w:tcPr>
          <w:p w:rsidR="00AE50D9" w:rsidRPr="004550DF" w:rsidRDefault="00AE50D9" w:rsidP="00AE50D9">
            <w:pPr>
              <w:spacing w:after="0" w:line="240" w:lineRule="auto"/>
              <w:jc w:val="right"/>
              <w:rPr>
                <w:rFonts w:ascii="Bodoni MT" w:eastAsia="Times New Roman" w:hAnsi="Bodoni MT" w:cs="Calibri"/>
                <w:b/>
                <w:bCs/>
                <w:color w:val="FFFFFF" w:themeColor="background1"/>
                <w:sz w:val="18"/>
                <w:szCs w:val="18"/>
                <w:lang w:eastAsia="it-IT"/>
              </w:rPr>
            </w:pPr>
            <w:r w:rsidRPr="004550DF">
              <w:rPr>
                <w:rFonts w:ascii="Bodoni MT" w:eastAsia="Times New Roman" w:hAnsi="Bodoni MT" w:cs="Calibri"/>
                <w:b/>
                <w:bCs/>
                <w:color w:val="FFFFFF" w:themeColor="background1"/>
                <w:sz w:val="18"/>
                <w:szCs w:val="18"/>
                <w:lang w:eastAsia="it-IT"/>
              </w:rPr>
              <w:t>TOTALE DELL'ATTIVO (A+B+C+D)</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5.179.909.082</w:t>
            </w:r>
          </w:p>
        </w:tc>
        <w:tc>
          <w:tcPr>
            <w:tcW w:w="557"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2.670.378.943</w:t>
            </w:r>
          </w:p>
        </w:tc>
        <w:tc>
          <w:tcPr>
            <w:tcW w:w="633" w:type="pct"/>
            <w:shd w:val="clear" w:color="auto" w:fill="auto"/>
            <w:noWrap/>
            <w:vAlign w:val="center"/>
            <w:hideMark/>
          </w:tcPr>
          <w:p w:rsidR="00AE50D9" w:rsidRPr="00A748ED" w:rsidRDefault="00AE50D9" w:rsidP="00D4493F">
            <w:pPr>
              <w:spacing w:after="0" w:line="240" w:lineRule="auto"/>
              <w:jc w:val="center"/>
              <w:rPr>
                <w:rFonts w:ascii="Bodoni MT" w:eastAsia="Times New Roman" w:hAnsi="Bodoni MT" w:cs="Calibri"/>
                <w:b/>
                <w:bCs/>
                <w:sz w:val="18"/>
                <w:szCs w:val="18"/>
                <w:lang w:eastAsia="it-IT"/>
              </w:rPr>
            </w:pPr>
            <w:r w:rsidRPr="00A748ED">
              <w:rPr>
                <w:rFonts w:ascii="Bodoni MT" w:eastAsia="Times New Roman" w:hAnsi="Bodoni MT" w:cs="Calibri"/>
                <w:b/>
                <w:bCs/>
                <w:sz w:val="18"/>
                <w:szCs w:val="18"/>
                <w:lang w:eastAsia="it-IT"/>
              </w:rPr>
              <w:t>2.509.530.140</w:t>
            </w:r>
          </w:p>
        </w:tc>
      </w:tr>
    </w:tbl>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4550DF">
        <w:rPr>
          <w:rFonts w:ascii="Bodoni MT" w:eastAsia="Times New Roman" w:hAnsi="Bodoni MT" w:cs="Bodoni MT"/>
          <w:color w:val="000000"/>
          <w:sz w:val="18"/>
          <w:szCs w:val="18"/>
        </w:rPr>
        <w:t>Fonte RAS Rendiconto sulla gestione 2016 – Allegato 3.</w:t>
      </w:r>
      <w:r w:rsidRPr="00CD34A0">
        <w:rPr>
          <w:rFonts w:ascii="Bodoni MT" w:eastAsia="Times New Roman" w:hAnsi="Bodoni MT" w:cs="Bodoni MT"/>
          <w:i/>
          <w:color w:val="000000"/>
          <w:sz w:val="18"/>
          <w:szCs w:val="18"/>
        </w:rPr>
        <w:t>5</w:t>
      </w:r>
    </w:p>
    <w:p w:rsidR="00DA0C2B" w:rsidRDefault="00DA0C2B" w:rsidP="00302EFC">
      <w:pPr>
        <w:pStyle w:val="Didascalia"/>
        <w:rPr>
          <w:rFonts w:eastAsia="Times New Roman" w:cs="Bodoni MT"/>
          <w:iCs/>
          <w:color w:val="000000"/>
          <w:sz w:val="24"/>
          <w:szCs w:val="24"/>
        </w:rPr>
      </w:pPr>
      <w:r>
        <w:rPr>
          <w:rFonts w:eastAsia="Times New Roman" w:cs="Bodoni MT"/>
          <w:iCs/>
          <w:color w:val="000000"/>
          <w:sz w:val="24"/>
          <w:szCs w:val="24"/>
        </w:rPr>
        <w:br w:type="page"/>
      </w:r>
    </w:p>
    <w:p w:rsidR="00CD34A0" w:rsidRPr="00CD34A0" w:rsidRDefault="00CD34A0" w:rsidP="00302EFC">
      <w:pPr>
        <w:pStyle w:val="Didascalia"/>
        <w:rPr>
          <w:rFonts w:eastAsia="Times New Roman" w:cs="Bodoni MT"/>
          <w:iCs/>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7"/>
        <w:gridCol w:w="276"/>
        <w:gridCol w:w="5343"/>
        <w:gridCol w:w="1277"/>
        <w:gridCol w:w="1322"/>
        <w:gridCol w:w="1183"/>
      </w:tblGrid>
      <w:tr w:rsidR="00AE50D9" w:rsidRPr="00CD34A0" w:rsidTr="00DA0C2B">
        <w:trPr>
          <w:trHeight w:val="291"/>
        </w:trPr>
        <w:tc>
          <w:tcPr>
            <w:tcW w:w="3066" w:type="pct"/>
            <w:gridSpan w:val="3"/>
            <w:shd w:val="clear" w:color="auto" w:fill="0F243E" w:themeFill="text2" w:themeFillShade="80"/>
            <w:noWrap/>
            <w:vAlign w:val="center"/>
            <w:hideMark/>
          </w:tcPr>
          <w:p w:rsidR="00AE50D9" w:rsidRPr="00CD34A0" w:rsidRDefault="00AE50D9" w:rsidP="00AE50D9">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PASSIVO</w:t>
            </w:r>
          </w:p>
        </w:tc>
        <w:tc>
          <w:tcPr>
            <w:tcW w:w="653" w:type="pct"/>
            <w:shd w:val="clear" w:color="auto" w:fill="0F243E" w:themeFill="text2" w:themeFillShade="80"/>
            <w:vAlign w:val="center"/>
            <w:hideMark/>
          </w:tcPr>
          <w:p w:rsidR="00AE50D9" w:rsidRPr="00CD34A0" w:rsidRDefault="00AE50D9"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01/01/2016</w:t>
            </w:r>
          </w:p>
        </w:tc>
        <w:tc>
          <w:tcPr>
            <w:tcW w:w="676" w:type="pct"/>
            <w:shd w:val="clear" w:color="auto" w:fill="0F243E" w:themeFill="text2" w:themeFillShade="80"/>
            <w:vAlign w:val="center"/>
            <w:hideMark/>
          </w:tcPr>
          <w:p w:rsidR="00AE50D9" w:rsidRPr="00CD34A0" w:rsidRDefault="00AE50D9"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31/12/2015</w:t>
            </w:r>
          </w:p>
        </w:tc>
        <w:tc>
          <w:tcPr>
            <w:tcW w:w="605" w:type="pct"/>
            <w:shd w:val="clear" w:color="auto" w:fill="0F243E" w:themeFill="text2" w:themeFillShade="80"/>
            <w:noWrap/>
            <w:vAlign w:val="center"/>
            <w:hideMark/>
          </w:tcPr>
          <w:p w:rsidR="00AE50D9" w:rsidRPr="00CD34A0" w:rsidRDefault="00AE50D9"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Differenza</w:t>
            </w:r>
          </w:p>
        </w:tc>
      </w:tr>
      <w:tr w:rsidR="00AE50D9" w:rsidRPr="00CD34A0" w:rsidTr="00DA0C2B">
        <w:trPr>
          <w:trHeight w:val="126"/>
        </w:trPr>
        <w:tc>
          <w:tcPr>
            <w:tcW w:w="5000" w:type="pct"/>
            <w:gridSpan w:val="6"/>
            <w:shd w:val="clear" w:color="auto" w:fill="0F243E" w:themeFill="text2" w:themeFillShade="80"/>
            <w:noWrap/>
            <w:vAlign w:val="center"/>
            <w:hideMark/>
          </w:tcPr>
          <w:p w:rsidR="00AE50D9" w:rsidRPr="00CD34A0" w:rsidRDefault="00AE50D9" w:rsidP="00AE50D9">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b/>
                <w:bCs/>
                <w:sz w:val="18"/>
                <w:szCs w:val="18"/>
                <w:lang w:eastAsia="it-IT"/>
              </w:rPr>
              <w:t>A) PATRIMONIO NETTO</w:t>
            </w:r>
            <w:r w:rsidRPr="00CD34A0">
              <w:rPr>
                <w:rFonts w:ascii="Bodoni MT" w:eastAsia="Times New Roman" w:hAnsi="Bodoni MT" w:cs="Calibri"/>
                <w:sz w:val="18"/>
                <w:szCs w:val="18"/>
                <w:lang w:eastAsia="it-IT"/>
              </w:rPr>
              <w:t> </w:t>
            </w:r>
          </w:p>
        </w:tc>
      </w:tr>
      <w:tr w:rsidR="00AE50D9" w:rsidRPr="00CD34A0" w:rsidTr="00DA0C2B">
        <w:trPr>
          <w:trHeight w:val="300"/>
        </w:trPr>
        <w:tc>
          <w:tcPr>
            <w:tcW w:w="193" w:type="pct"/>
            <w:shd w:val="clear" w:color="auto" w:fill="95B3D7" w:themeFill="accent1" w:themeFillTint="99"/>
            <w:noWrap/>
            <w:vAlign w:val="center"/>
            <w:hideMark/>
          </w:tcPr>
          <w:p w:rsidR="00AE50D9" w:rsidRPr="006E784D" w:rsidRDefault="00AE50D9" w:rsidP="00AE50D9">
            <w:pPr>
              <w:spacing w:after="0" w:line="240" w:lineRule="auto"/>
              <w:jc w:val="center"/>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I</w:t>
            </w:r>
          </w:p>
        </w:tc>
        <w:tc>
          <w:tcPr>
            <w:tcW w:w="141"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bottom"/>
            <w:hideMark/>
          </w:tcPr>
          <w:p w:rsidR="00AE50D9" w:rsidRPr="006E784D" w:rsidRDefault="00AE50D9"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Fondo di dotazione</w:t>
            </w:r>
          </w:p>
        </w:tc>
        <w:tc>
          <w:tcPr>
            <w:tcW w:w="653" w:type="pct"/>
            <w:shd w:val="clear" w:color="auto" w:fill="auto"/>
            <w:noWrap/>
            <w:vAlign w:val="bottom"/>
            <w:hideMark/>
          </w:tcPr>
          <w:p w:rsidR="00AE50D9" w:rsidRPr="00CD34A0" w:rsidRDefault="00AE50D9" w:rsidP="00CD34A0">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xml:space="preserve">-15.945.678 </w:t>
            </w:r>
          </w:p>
        </w:tc>
        <w:tc>
          <w:tcPr>
            <w:tcW w:w="676" w:type="pct"/>
            <w:shd w:val="clear" w:color="auto" w:fill="auto"/>
            <w:noWrap/>
            <w:vAlign w:val="bottom"/>
            <w:hideMark/>
          </w:tcPr>
          <w:p w:rsidR="00AE50D9" w:rsidRPr="00CD34A0" w:rsidRDefault="006E784D" w:rsidP="00CD34A0">
            <w:pPr>
              <w:spacing w:after="0" w:line="240" w:lineRule="auto"/>
              <w:jc w:val="center"/>
              <w:rPr>
                <w:rFonts w:ascii="Bodoni MT" w:eastAsia="Times New Roman" w:hAnsi="Bodoni MT" w:cs="Calibri"/>
                <w:color w:val="000000"/>
                <w:sz w:val="18"/>
                <w:szCs w:val="18"/>
                <w:lang w:eastAsia="it-IT"/>
              </w:rPr>
            </w:pPr>
            <w:r>
              <w:rPr>
                <w:rFonts w:ascii="Bodoni MT" w:eastAsia="Times New Roman" w:hAnsi="Bodoni MT" w:cs="Calibri"/>
                <w:color w:val="000000"/>
                <w:sz w:val="18"/>
                <w:szCs w:val="18"/>
                <w:lang w:eastAsia="it-IT"/>
              </w:rPr>
              <w:t>-</w:t>
            </w:r>
          </w:p>
        </w:tc>
        <w:tc>
          <w:tcPr>
            <w:tcW w:w="605" w:type="pct"/>
            <w:shd w:val="clear" w:color="auto" w:fill="auto"/>
            <w:noWrap/>
            <w:vAlign w:val="bottom"/>
            <w:hideMark/>
          </w:tcPr>
          <w:p w:rsidR="00AE50D9" w:rsidRPr="00CD34A0" w:rsidRDefault="006E784D" w:rsidP="00CD34A0">
            <w:pPr>
              <w:spacing w:after="0" w:line="240" w:lineRule="auto"/>
              <w:rPr>
                <w:rFonts w:ascii="Bodoni MT" w:eastAsia="Times New Roman" w:hAnsi="Bodoni MT" w:cs="Calibri"/>
                <w:sz w:val="18"/>
                <w:szCs w:val="18"/>
                <w:lang w:eastAsia="it-IT"/>
              </w:rPr>
            </w:pPr>
            <w:r>
              <w:rPr>
                <w:rFonts w:ascii="Bodoni MT" w:eastAsia="Times New Roman" w:hAnsi="Bodoni MT" w:cs="Calibri"/>
                <w:sz w:val="18"/>
                <w:szCs w:val="18"/>
                <w:lang w:eastAsia="it-IT"/>
              </w:rPr>
              <w:t>-</w:t>
            </w:r>
            <w:r w:rsidR="00AE50D9" w:rsidRPr="00CD34A0">
              <w:rPr>
                <w:rFonts w:ascii="Bodoni MT" w:eastAsia="Times New Roman" w:hAnsi="Bodoni MT" w:cs="Calibri"/>
                <w:sz w:val="18"/>
                <w:szCs w:val="18"/>
                <w:lang w:eastAsia="it-IT"/>
              </w:rPr>
              <w:t xml:space="preserve">15.945.678 </w:t>
            </w:r>
          </w:p>
        </w:tc>
      </w:tr>
      <w:tr w:rsidR="00AE50D9" w:rsidRPr="00CD34A0" w:rsidTr="00DA0C2B">
        <w:trPr>
          <w:trHeight w:val="300"/>
        </w:trPr>
        <w:tc>
          <w:tcPr>
            <w:tcW w:w="193"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II</w:t>
            </w:r>
          </w:p>
        </w:tc>
        <w:tc>
          <w:tcPr>
            <w:tcW w:w="141"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bottom"/>
            <w:hideMark/>
          </w:tcPr>
          <w:p w:rsidR="00AE50D9" w:rsidRPr="006E784D" w:rsidRDefault="00AE50D9"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xml:space="preserve">Riserve </w:t>
            </w:r>
          </w:p>
        </w:tc>
        <w:tc>
          <w:tcPr>
            <w:tcW w:w="653" w:type="pct"/>
            <w:shd w:val="clear" w:color="auto" w:fill="auto"/>
            <w:noWrap/>
            <w:vAlign w:val="bottom"/>
          </w:tcPr>
          <w:p w:rsidR="00AE50D9" w:rsidRPr="00CD34A0" w:rsidRDefault="006E784D"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p>
        </w:tc>
        <w:tc>
          <w:tcPr>
            <w:tcW w:w="676" w:type="pct"/>
            <w:shd w:val="clear" w:color="auto" w:fill="auto"/>
            <w:noWrap/>
            <w:vAlign w:val="bottom"/>
          </w:tcPr>
          <w:p w:rsidR="00AE50D9" w:rsidRPr="00CD34A0" w:rsidRDefault="006E784D"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p>
        </w:tc>
        <w:tc>
          <w:tcPr>
            <w:tcW w:w="605" w:type="pct"/>
            <w:shd w:val="clear" w:color="auto" w:fill="auto"/>
            <w:noWrap/>
            <w:vAlign w:val="bottom"/>
          </w:tcPr>
          <w:p w:rsidR="00AE50D9" w:rsidRPr="00CD34A0" w:rsidRDefault="00AE50D9" w:rsidP="00CD34A0">
            <w:pPr>
              <w:spacing w:after="0" w:line="240" w:lineRule="auto"/>
              <w:rPr>
                <w:rFonts w:ascii="Bodoni MT" w:eastAsia="Times New Roman" w:hAnsi="Bodoni MT" w:cs="Calibri"/>
                <w:sz w:val="18"/>
                <w:szCs w:val="18"/>
                <w:lang w:eastAsia="it-IT"/>
              </w:rPr>
            </w:pPr>
          </w:p>
        </w:tc>
      </w:tr>
      <w:tr w:rsidR="006E784D" w:rsidRPr="00CD34A0" w:rsidTr="00DA0C2B">
        <w:trPr>
          <w:trHeight w:val="300"/>
        </w:trPr>
        <w:tc>
          <w:tcPr>
            <w:tcW w:w="193"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p>
        </w:tc>
        <w:tc>
          <w:tcPr>
            <w:tcW w:w="2732"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iCs/>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xml:space="preserve">a) </w:t>
            </w:r>
            <w:r w:rsidRPr="006E784D">
              <w:rPr>
                <w:rFonts w:ascii="Bodoni MT" w:eastAsia="Times New Roman" w:hAnsi="Bodoni MT" w:cs="Calibri"/>
                <w:iCs/>
                <w:color w:val="FFFFFF" w:themeColor="background1"/>
                <w:sz w:val="18"/>
                <w:szCs w:val="18"/>
                <w:lang w:eastAsia="it-IT"/>
              </w:rPr>
              <w:t>da risultato economico di esercizi precedenti</w:t>
            </w:r>
          </w:p>
        </w:tc>
        <w:tc>
          <w:tcPr>
            <w:tcW w:w="653"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76"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05"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r>
      <w:tr w:rsidR="006E784D" w:rsidRPr="00CD34A0" w:rsidTr="00DA0C2B">
        <w:trPr>
          <w:trHeight w:val="300"/>
        </w:trPr>
        <w:tc>
          <w:tcPr>
            <w:tcW w:w="193"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p>
        </w:tc>
        <w:tc>
          <w:tcPr>
            <w:tcW w:w="2732"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iCs/>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xml:space="preserve">b) </w:t>
            </w:r>
            <w:r w:rsidRPr="006E784D">
              <w:rPr>
                <w:rFonts w:ascii="Bodoni MT" w:eastAsia="Times New Roman" w:hAnsi="Bodoni MT" w:cs="Calibri"/>
                <w:iCs/>
                <w:color w:val="FFFFFF" w:themeColor="background1"/>
                <w:sz w:val="18"/>
                <w:szCs w:val="18"/>
                <w:lang w:eastAsia="it-IT"/>
              </w:rPr>
              <w:t>da capitale</w:t>
            </w:r>
          </w:p>
        </w:tc>
        <w:tc>
          <w:tcPr>
            <w:tcW w:w="653"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76"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05"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r>
      <w:tr w:rsidR="006E784D" w:rsidRPr="00CD34A0" w:rsidTr="00DA0C2B">
        <w:trPr>
          <w:trHeight w:val="300"/>
        </w:trPr>
        <w:tc>
          <w:tcPr>
            <w:tcW w:w="193"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p>
        </w:tc>
        <w:tc>
          <w:tcPr>
            <w:tcW w:w="2732"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iCs/>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xml:space="preserve">c) </w:t>
            </w:r>
            <w:r w:rsidRPr="006E784D">
              <w:rPr>
                <w:rFonts w:ascii="Bodoni MT" w:eastAsia="Times New Roman" w:hAnsi="Bodoni MT" w:cs="Calibri"/>
                <w:iCs/>
                <w:color w:val="FFFFFF" w:themeColor="background1"/>
                <w:sz w:val="18"/>
                <w:szCs w:val="18"/>
                <w:lang w:eastAsia="it-IT"/>
              </w:rPr>
              <w:t>da permessi di costruire</w:t>
            </w:r>
          </w:p>
        </w:tc>
        <w:tc>
          <w:tcPr>
            <w:tcW w:w="653"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76"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05"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r>
      <w:tr w:rsidR="006E784D" w:rsidRPr="00CD34A0" w:rsidTr="00DA0C2B">
        <w:trPr>
          <w:trHeight w:val="300"/>
        </w:trPr>
        <w:tc>
          <w:tcPr>
            <w:tcW w:w="193"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III</w:t>
            </w:r>
          </w:p>
        </w:tc>
        <w:tc>
          <w:tcPr>
            <w:tcW w:w="141"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bottom"/>
            <w:hideMark/>
          </w:tcPr>
          <w:p w:rsidR="006E784D" w:rsidRPr="006E784D" w:rsidRDefault="006E784D" w:rsidP="006E784D">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Risultato economico dell'esercizio</w:t>
            </w:r>
          </w:p>
        </w:tc>
        <w:tc>
          <w:tcPr>
            <w:tcW w:w="653"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76"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c>
          <w:tcPr>
            <w:tcW w:w="605" w:type="pct"/>
            <w:shd w:val="clear" w:color="auto" w:fill="auto"/>
            <w:noWrap/>
            <w:vAlign w:val="center"/>
          </w:tcPr>
          <w:p w:rsidR="006E784D" w:rsidRPr="006E784D" w:rsidRDefault="006E784D" w:rsidP="006E784D">
            <w:pPr>
              <w:spacing w:after="0" w:line="240" w:lineRule="auto"/>
              <w:jc w:val="center"/>
            </w:pPr>
            <w:r w:rsidRPr="006E784D">
              <w:rPr>
                <w:rFonts w:ascii="Bodoni MT" w:eastAsia="Times New Roman" w:hAnsi="Bodoni MT" w:cs="Calibri"/>
                <w:bCs/>
                <w:sz w:val="18"/>
                <w:szCs w:val="18"/>
                <w:lang w:eastAsia="it-IT"/>
              </w:rPr>
              <w:t>-</w:t>
            </w:r>
          </w:p>
        </w:tc>
      </w:tr>
      <w:tr w:rsidR="00AE50D9" w:rsidRPr="00CD34A0" w:rsidTr="00DA0C2B">
        <w:trPr>
          <w:trHeight w:val="315"/>
        </w:trPr>
        <w:tc>
          <w:tcPr>
            <w:tcW w:w="3066" w:type="pct"/>
            <w:gridSpan w:val="3"/>
            <w:shd w:val="clear" w:color="auto" w:fill="95B3D7" w:themeFill="accent1" w:themeFillTint="99"/>
            <w:noWrap/>
            <w:vAlign w:val="center"/>
            <w:hideMark/>
          </w:tcPr>
          <w:p w:rsidR="00AE50D9" w:rsidRPr="006E784D" w:rsidRDefault="00AE50D9" w:rsidP="006E784D">
            <w:pPr>
              <w:spacing w:after="0" w:line="240" w:lineRule="auto"/>
              <w:jc w:val="right"/>
              <w:rPr>
                <w:rFonts w:ascii="Bodoni MT" w:eastAsia="Times New Roman" w:hAnsi="Bodoni MT" w:cs="Calibri"/>
                <w:b/>
                <w:bCs/>
                <w:color w:val="FFFFFF" w:themeColor="background1"/>
                <w:sz w:val="18"/>
                <w:szCs w:val="18"/>
                <w:lang w:eastAsia="it-IT"/>
              </w:rPr>
            </w:pPr>
            <w:r w:rsidRPr="006E784D">
              <w:rPr>
                <w:rFonts w:ascii="Bodoni MT" w:eastAsia="Times New Roman" w:hAnsi="Bodoni MT" w:cs="Calibri"/>
                <w:b/>
                <w:bCs/>
                <w:color w:val="FFFFFF" w:themeColor="background1"/>
                <w:sz w:val="18"/>
                <w:szCs w:val="18"/>
                <w:lang w:eastAsia="it-IT"/>
              </w:rPr>
              <w:t>TOTALE PATRIMONIO NETTO (A)</w:t>
            </w:r>
          </w:p>
        </w:tc>
        <w:tc>
          <w:tcPr>
            <w:tcW w:w="653" w:type="pct"/>
            <w:shd w:val="clear" w:color="auto" w:fill="auto"/>
            <w:noWrap/>
            <w:vAlign w:val="bottom"/>
            <w:hideMark/>
          </w:tcPr>
          <w:p w:rsidR="00AE50D9" w:rsidRPr="00CD34A0" w:rsidRDefault="00AE50D9"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 xml:space="preserve">-15.945.678 </w:t>
            </w:r>
          </w:p>
        </w:tc>
        <w:tc>
          <w:tcPr>
            <w:tcW w:w="676" w:type="pct"/>
            <w:shd w:val="clear" w:color="auto" w:fill="auto"/>
            <w:noWrap/>
            <w:vAlign w:val="bottom"/>
            <w:hideMark/>
          </w:tcPr>
          <w:p w:rsidR="00AE50D9" w:rsidRPr="00CD34A0" w:rsidRDefault="006E784D"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p>
        </w:tc>
        <w:tc>
          <w:tcPr>
            <w:tcW w:w="605" w:type="pct"/>
            <w:shd w:val="clear" w:color="auto" w:fill="auto"/>
            <w:noWrap/>
            <w:vAlign w:val="bottom"/>
            <w:hideMark/>
          </w:tcPr>
          <w:p w:rsidR="00AE50D9" w:rsidRPr="00CD34A0" w:rsidRDefault="006E784D"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r w:rsidR="00AE50D9" w:rsidRPr="00CD34A0">
              <w:rPr>
                <w:rFonts w:ascii="Bodoni MT" w:eastAsia="Times New Roman" w:hAnsi="Bodoni MT" w:cs="Calibri"/>
                <w:b/>
                <w:bCs/>
                <w:sz w:val="18"/>
                <w:szCs w:val="18"/>
                <w:lang w:eastAsia="it-IT"/>
              </w:rPr>
              <w:t xml:space="preserve">15.945.678 </w:t>
            </w:r>
          </w:p>
        </w:tc>
      </w:tr>
      <w:tr w:rsidR="006E784D" w:rsidRPr="00CD34A0" w:rsidTr="00DA0C2B">
        <w:trPr>
          <w:trHeight w:val="300"/>
        </w:trPr>
        <w:tc>
          <w:tcPr>
            <w:tcW w:w="5000" w:type="pct"/>
            <w:gridSpan w:val="6"/>
            <w:shd w:val="clear" w:color="auto" w:fill="0F243E" w:themeFill="text2" w:themeFillShade="80"/>
            <w:noWrap/>
            <w:vAlign w:val="center"/>
            <w:hideMark/>
          </w:tcPr>
          <w:p w:rsidR="006E784D" w:rsidRPr="00CD34A0" w:rsidRDefault="006E784D" w:rsidP="006E784D">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b/>
                <w:bCs/>
                <w:sz w:val="18"/>
                <w:szCs w:val="18"/>
                <w:lang w:eastAsia="it-IT"/>
              </w:rPr>
              <w:t>B) FONDI PER RISCHI ED ONERI</w:t>
            </w:r>
          </w:p>
        </w:tc>
      </w:tr>
      <w:tr w:rsidR="00AE50D9" w:rsidRPr="00CD34A0" w:rsidTr="00DA0C2B">
        <w:trPr>
          <w:trHeight w:val="248"/>
        </w:trPr>
        <w:tc>
          <w:tcPr>
            <w:tcW w:w="193"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6E784D"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1</w:t>
            </w:r>
          </w:p>
        </w:tc>
        <w:tc>
          <w:tcPr>
            <w:tcW w:w="2732" w:type="pct"/>
            <w:shd w:val="clear" w:color="auto" w:fill="95B3D7" w:themeFill="accent1" w:themeFillTint="99"/>
            <w:noWrap/>
            <w:vAlign w:val="center"/>
            <w:hideMark/>
          </w:tcPr>
          <w:p w:rsidR="00AE50D9" w:rsidRPr="006E784D" w:rsidRDefault="00AE50D9" w:rsidP="00F27D5F">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Per trattamento di quiescenza</w:t>
            </w:r>
          </w:p>
        </w:tc>
        <w:tc>
          <w:tcPr>
            <w:tcW w:w="653"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280"/>
        </w:trPr>
        <w:tc>
          <w:tcPr>
            <w:tcW w:w="193"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6E784D"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2</w:t>
            </w:r>
          </w:p>
        </w:tc>
        <w:tc>
          <w:tcPr>
            <w:tcW w:w="2732" w:type="pct"/>
            <w:shd w:val="clear" w:color="auto" w:fill="95B3D7" w:themeFill="accent1" w:themeFillTint="99"/>
            <w:noWrap/>
            <w:vAlign w:val="center"/>
            <w:hideMark/>
          </w:tcPr>
          <w:p w:rsidR="00AE50D9" w:rsidRPr="006E784D" w:rsidRDefault="00AE50D9" w:rsidP="00F27D5F">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Per imposte</w:t>
            </w:r>
          </w:p>
        </w:tc>
        <w:tc>
          <w:tcPr>
            <w:tcW w:w="653"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114"/>
        </w:trPr>
        <w:tc>
          <w:tcPr>
            <w:tcW w:w="193" w:type="pct"/>
            <w:shd w:val="clear" w:color="auto" w:fill="95B3D7" w:themeFill="accent1" w:themeFillTint="99"/>
            <w:noWrap/>
            <w:vAlign w:val="bottom"/>
            <w:hideMark/>
          </w:tcPr>
          <w:p w:rsidR="00AE50D9" w:rsidRPr="006E784D" w:rsidRDefault="00AE50D9" w:rsidP="00CD34A0">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6E784D"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3</w:t>
            </w:r>
          </w:p>
        </w:tc>
        <w:tc>
          <w:tcPr>
            <w:tcW w:w="2732" w:type="pct"/>
            <w:shd w:val="clear" w:color="auto" w:fill="95B3D7" w:themeFill="accent1" w:themeFillTint="99"/>
            <w:noWrap/>
            <w:vAlign w:val="center"/>
            <w:hideMark/>
          </w:tcPr>
          <w:p w:rsidR="00AE50D9" w:rsidRPr="006E784D" w:rsidRDefault="00AE50D9" w:rsidP="00F27D5F">
            <w:pPr>
              <w:spacing w:after="0" w:line="240" w:lineRule="auto"/>
              <w:rPr>
                <w:rFonts w:ascii="Bodoni MT" w:eastAsia="Times New Roman" w:hAnsi="Bodoni MT" w:cs="Calibri"/>
                <w:color w:val="FFFFFF" w:themeColor="background1"/>
                <w:sz w:val="18"/>
                <w:szCs w:val="18"/>
                <w:lang w:eastAsia="it-IT"/>
              </w:rPr>
            </w:pPr>
            <w:r w:rsidRPr="006E784D">
              <w:rPr>
                <w:rFonts w:ascii="Bodoni MT" w:eastAsia="Times New Roman" w:hAnsi="Bodoni MT" w:cs="Calibri"/>
                <w:color w:val="FFFFFF" w:themeColor="background1"/>
                <w:sz w:val="18"/>
                <w:szCs w:val="18"/>
                <w:lang w:eastAsia="it-IT"/>
              </w:rPr>
              <w:t>Altri</w:t>
            </w:r>
          </w:p>
        </w:tc>
        <w:tc>
          <w:tcPr>
            <w:tcW w:w="653"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508.997.953</w:t>
            </w:r>
          </w:p>
        </w:tc>
        <w:tc>
          <w:tcPr>
            <w:tcW w:w="676"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508.997.953</w:t>
            </w:r>
          </w:p>
        </w:tc>
      </w:tr>
      <w:tr w:rsidR="00AE50D9" w:rsidRPr="00CD34A0" w:rsidTr="00DA0C2B">
        <w:trPr>
          <w:trHeight w:val="162"/>
        </w:trPr>
        <w:tc>
          <w:tcPr>
            <w:tcW w:w="3066" w:type="pct"/>
            <w:gridSpan w:val="3"/>
            <w:shd w:val="clear" w:color="auto" w:fill="95B3D7" w:themeFill="accent1" w:themeFillTint="99"/>
            <w:noWrap/>
            <w:vAlign w:val="bottom"/>
            <w:hideMark/>
          </w:tcPr>
          <w:p w:rsidR="00AE50D9" w:rsidRPr="006E784D" w:rsidRDefault="00AE50D9" w:rsidP="00CD34A0">
            <w:pPr>
              <w:spacing w:after="0" w:line="240" w:lineRule="auto"/>
              <w:jc w:val="right"/>
              <w:rPr>
                <w:rFonts w:ascii="Bodoni MT" w:eastAsia="Times New Roman" w:hAnsi="Bodoni MT" w:cs="Calibri"/>
                <w:b/>
                <w:bCs/>
                <w:color w:val="FFFFFF" w:themeColor="background1"/>
                <w:sz w:val="18"/>
                <w:szCs w:val="18"/>
                <w:lang w:eastAsia="it-IT"/>
              </w:rPr>
            </w:pPr>
            <w:r w:rsidRPr="006E784D">
              <w:rPr>
                <w:rFonts w:ascii="Bodoni MT" w:eastAsia="Times New Roman" w:hAnsi="Bodoni MT" w:cs="Calibri"/>
                <w:b/>
                <w:bCs/>
                <w:color w:val="FFFFFF" w:themeColor="background1"/>
                <w:sz w:val="18"/>
                <w:szCs w:val="18"/>
                <w:lang w:eastAsia="it-IT"/>
              </w:rPr>
              <w:t>TOTALE FONDI RISCHI ED ONERI (B)</w:t>
            </w:r>
          </w:p>
        </w:tc>
        <w:tc>
          <w:tcPr>
            <w:tcW w:w="653"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508.997.953</w:t>
            </w:r>
          </w:p>
        </w:tc>
        <w:tc>
          <w:tcPr>
            <w:tcW w:w="676"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05" w:type="pct"/>
            <w:shd w:val="clear" w:color="auto" w:fill="auto"/>
            <w:noWrap/>
            <w:vAlign w:val="center"/>
            <w:hideMark/>
          </w:tcPr>
          <w:p w:rsidR="00AE50D9" w:rsidRPr="00CD34A0" w:rsidRDefault="00AE50D9" w:rsidP="006E784D">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508.997.953</w:t>
            </w:r>
          </w:p>
        </w:tc>
      </w:tr>
      <w:tr w:rsidR="00F27D5F" w:rsidRPr="00CD34A0" w:rsidTr="00DA0C2B">
        <w:trPr>
          <w:trHeight w:val="267"/>
        </w:trPr>
        <w:tc>
          <w:tcPr>
            <w:tcW w:w="5000" w:type="pct"/>
            <w:gridSpan w:val="6"/>
            <w:shd w:val="clear" w:color="auto" w:fill="0F243E" w:themeFill="text2" w:themeFillShade="80"/>
            <w:noWrap/>
            <w:vAlign w:val="center"/>
            <w:hideMark/>
          </w:tcPr>
          <w:p w:rsidR="00F27D5F" w:rsidRPr="00CD34A0" w:rsidRDefault="00F27D5F"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b/>
                <w:bCs/>
                <w:sz w:val="18"/>
                <w:szCs w:val="18"/>
                <w:lang w:eastAsia="it-IT"/>
              </w:rPr>
              <w:t>C)</w:t>
            </w:r>
            <w:r w:rsidR="0052128D">
              <w:rPr>
                <w:rFonts w:ascii="Bodoni MT" w:eastAsia="Times New Roman" w:hAnsi="Bodoni MT" w:cs="Calibri"/>
                <w:b/>
                <w:bCs/>
                <w:sz w:val="18"/>
                <w:szCs w:val="18"/>
                <w:lang w:eastAsia="it-IT"/>
              </w:rPr>
              <w:t xml:space="preserve"> </w:t>
            </w:r>
            <w:r w:rsidRPr="00CD34A0">
              <w:rPr>
                <w:rFonts w:ascii="Bodoni MT" w:eastAsia="Times New Roman" w:hAnsi="Bodoni MT" w:cs="Calibri"/>
                <w:b/>
                <w:bCs/>
                <w:sz w:val="18"/>
                <w:szCs w:val="18"/>
                <w:lang w:eastAsia="it-IT"/>
              </w:rPr>
              <w:t>TRATTAMENTO DI FINE RAPPORTO</w:t>
            </w:r>
            <w:r w:rsidRPr="00CD34A0">
              <w:rPr>
                <w:rFonts w:ascii="Bodoni MT" w:eastAsia="Times New Roman" w:hAnsi="Bodoni MT" w:cs="Calibri"/>
                <w:color w:val="000000"/>
                <w:sz w:val="18"/>
                <w:szCs w:val="18"/>
                <w:lang w:eastAsia="it-IT"/>
              </w:rPr>
              <w:t>-</w:t>
            </w:r>
          </w:p>
        </w:tc>
      </w:tr>
      <w:tr w:rsidR="00F27D5F" w:rsidRPr="00CD34A0" w:rsidTr="00DA0C2B">
        <w:trPr>
          <w:trHeight w:val="315"/>
        </w:trPr>
        <w:tc>
          <w:tcPr>
            <w:tcW w:w="3066" w:type="pct"/>
            <w:gridSpan w:val="3"/>
            <w:shd w:val="clear" w:color="auto" w:fill="95B3D7" w:themeFill="accent1" w:themeFillTint="99"/>
            <w:noWrap/>
            <w:vAlign w:val="bottom"/>
            <w:hideMark/>
          </w:tcPr>
          <w:p w:rsidR="00F27D5F" w:rsidRPr="00F27D5F" w:rsidRDefault="00F27D5F" w:rsidP="00AE50D9">
            <w:pPr>
              <w:spacing w:after="0" w:line="240" w:lineRule="auto"/>
              <w:jc w:val="right"/>
              <w:rPr>
                <w:rFonts w:ascii="Bodoni MT" w:eastAsia="Times New Roman" w:hAnsi="Bodoni MT" w:cs="Calibri"/>
                <w:b/>
                <w:bCs/>
                <w:color w:val="FFFFFF" w:themeColor="background1"/>
                <w:sz w:val="18"/>
                <w:szCs w:val="18"/>
                <w:lang w:eastAsia="it-IT"/>
              </w:rPr>
            </w:pPr>
            <w:r w:rsidRPr="00F27D5F">
              <w:rPr>
                <w:rFonts w:ascii="Bodoni MT" w:eastAsia="Times New Roman" w:hAnsi="Bodoni MT" w:cs="Calibri"/>
                <w:b/>
                <w:bCs/>
                <w:color w:val="FFFFFF" w:themeColor="background1"/>
                <w:sz w:val="18"/>
                <w:szCs w:val="18"/>
                <w:lang w:eastAsia="it-IT"/>
              </w:rPr>
              <w:t>TOTALE T.F.R. (C)</w:t>
            </w:r>
          </w:p>
        </w:tc>
        <w:tc>
          <w:tcPr>
            <w:tcW w:w="653" w:type="pct"/>
            <w:shd w:val="clear" w:color="auto" w:fill="auto"/>
            <w:noWrap/>
            <w:vAlign w:val="center"/>
            <w:hideMark/>
          </w:tcPr>
          <w:p w:rsidR="00F27D5F" w:rsidRPr="00CD34A0" w:rsidRDefault="00F27D5F"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76" w:type="pct"/>
            <w:shd w:val="clear" w:color="auto" w:fill="auto"/>
            <w:noWrap/>
            <w:vAlign w:val="center"/>
            <w:hideMark/>
          </w:tcPr>
          <w:p w:rsidR="00F27D5F" w:rsidRPr="00CD34A0" w:rsidRDefault="00F27D5F"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05" w:type="pct"/>
            <w:shd w:val="clear" w:color="auto" w:fill="auto"/>
            <w:noWrap/>
            <w:vAlign w:val="center"/>
            <w:hideMark/>
          </w:tcPr>
          <w:p w:rsidR="00F27D5F" w:rsidRPr="00CD34A0" w:rsidRDefault="00F27D5F"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F27D5F" w:rsidRPr="00CD34A0" w:rsidTr="00DA0C2B">
        <w:trPr>
          <w:trHeight w:val="300"/>
        </w:trPr>
        <w:tc>
          <w:tcPr>
            <w:tcW w:w="5000" w:type="pct"/>
            <w:gridSpan w:val="6"/>
            <w:shd w:val="clear" w:color="auto" w:fill="0F243E" w:themeFill="text2" w:themeFillShade="80"/>
            <w:noWrap/>
            <w:vAlign w:val="center"/>
            <w:hideMark/>
          </w:tcPr>
          <w:p w:rsidR="00F27D5F" w:rsidRPr="00CD34A0" w:rsidRDefault="00F27D5F"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b/>
                <w:bCs/>
                <w:sz w:val="18"/>
                <w:szCs w:val="18"/>
                <w:u w:val="single"/>
                <w:lang w:eastAsia="it-IT"/>
              </w:rPr>
              <w:t>D) DEBITI</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1</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Debiti da finanziamento</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1.143.873.404</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1.126.728.518</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17.144.886</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6E784D"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xml:space="preserve">a) </w:t>
            </w:r>
            <w:r w:rsidR="00AE50D9" w:rsidRPr="00F27D5F">
              <w:rPr>
                <w:rFonts w:ascii="Bodoni MT" w:eastAsia="Times New Roman" w:hAnsi="Bodoni MT" w:cs="Calibri"/>
                <w:iCs/>
                <w:color w:val="FFFFFF" w:themeColor="background1"/>
                <w:sz w:val="18"/>
                <w:szCs w:val="18"/>
                <w:lang w:eastAsia="it-IT"/>
              </w:rPr>
              <w:t>prestiti obbligazionari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779.279.825</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779.279.825</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b</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v/ altre amministrazioni pubbliche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c</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verso banche e tesoriere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strike/>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verso altri finanziatori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364.593.579</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347.448.693</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17.144.886</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2</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Debiti verso fornitori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122.245.669</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122.245.669</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3</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Acconti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4</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Debiti per trasferimenti e contributi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1.342.069.448</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1.342.140.200</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          70.752</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strike/>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a</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enti finanziati dal servizio sanitario nazionale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strike/>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b</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altre amministrazioni pubbliche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1.229.443.041</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1.229.443.768</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727</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c</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imprese controllate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53.600.362</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53.600.362</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lang w:eastAsia="it-IT"/>
              </w:rPr>
            </w:pPr>
            <w:r w:rsidRPr="00F27D5F">
              <w:rPr>
                <w:rFonts w:ascii="Bodoni MT" w:eastAsia="Times New Roman" w:hAnsi="Bodoni MT"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imprese partecipate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7.868.175</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7.868.175</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lang w:eastAsia="it-IT"/>
              </w:rPr>
            </w:pPr>
            <w:r w:rsidRPr="00F27D5F">
              <w:rPr>
                <w:rFonts w:ascii="Bodoni MT" w:eastAsia="Times New Roman" w:hAnsi="Bodoni MT"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e</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altri soggetti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51.157.870</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51.227.895</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          70.025</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5</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xml:space="preserve">Altri debiti </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1.804.120.765</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1.804.120.765</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a</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tributari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1.949.828</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1.949.828</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b</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verso istituti di previdenza e sicurezza sociale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0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c</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per attività svolta per c/terzi (2)</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15"/>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iCs/>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d</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iCs/>
                <w:color w:val="FFFFFF" w:themeColor="background1"/>
                <w:sz w:val="18"/>
                <w:szCs w:val="18"/>
                <w:lang w:eastAsia="it-IT"/>
              </w:rPr>
              <w:t>altri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1.802.170.937</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1.802.170.937</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315"/>
        </w:trPr>
        <w:tc>
          <w:tcPr>
            <w:tcW w:w="3066" w:type="pct"/>
            <w:gridSpan w:val="3"/>
            <w:shd w:val="clear" w:color="auto" w:fill="95B3D7" w:themeFill="accent1" w:themeFillTint="99"/>
            <w:noWrap/>
            <w:vAlign w:val="center"/>
            <w:hideMark/>
          </w:tcPr>
          <w:p w:rsidR="00AE50D9" w:rsidRPr="00F27D5F" w:rsidRDefault="00AE50D9" w:rsidP="00F27D5F">
            <w:pPr>
              <w:spacing w:after="0" w:line="240" w:lineRule="auto"/>
              <w:jc w:val="right"/>
              <w:rPr>
                <w:rFonts w:ascii="Bodoni MT" w:eastAsia="Times New Roman" w:hAnsi="Bodoni MT" w:cs="Calibri"/>
                <w:b/>
                <w:bCs/>
                <w:color w:val="FFFFFF" w:themeColor="background1"/>
                <w:sz w:val="18"/>
                <w:szCs w:val="18"/>
                <w:lang w:eastAsia="it-IT"/>
              </w:rPr>
            </w:pPr>
            <w:r w:rsidRPr="00F27D5F">
              <w:rPr>
                <w:rFonts w:ascii="Bodoni MT" w:eastAsia="Times New Roman" w:hAnsi="Bodoni MT" w:cs="Calibri"/>
                <w:b/>
                <w:bCs/>
                <w:color w:val="FFFFFF" w:themeColor="background1"/>
                <w:sz w:val="18"/>
                <w:szCs w:val="18"/>
                <w:lang w:eastAsia="it-IT"/>
              </w:rPr>
              <w:t>TOTALE DEBITI (D)</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4.412.309.286</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4.395.235.152</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17.074.134</w:t>
            </w:r>
          </w:p>
        </w:tc>
      </w:tr>
      <w:tr w:rsidR="00F27D5F" w:rsidRPr="00F27D5F" w:rsidTr="00DA0C2B">
        <w:trPr>
          <w:trHeight w:val="300"/>
        </w:trPr>
        <w:tc>
          <w:tcPr>
            <w:tcW w:w="5000" w:type="pct"/>
            <w:gridSpan w:val="6"/>
            <w:shd w:val="clear" w:color="auto" w:fill="0F243E" w:themeFill="text2" w:themeFillShade="80"/>
            <w:noWrap/>
            <w:vAlign w:val="bottom"/>
            <w:hideMark/>
          </w:tcPr>
          <w:p w:rsidR="00F27D5F" w:rsidRPr="00F27D5F" w:rsidRDefault="00F27D5F" w:rsidP="00F27D5F">
            <w:pPr>
              <w:spacing w:after="0" w:line="240" w:lineRule="auto"/>
              <w:jc w:val="center"/>
              <w:rPr>
                <w:rFonts w:ascii="Bodoni MT" w:eastAsia="Times New Roman" w:hAnsi="Bodoni MT" w:cs="Calibri"/>
                <w:sz w:val="18"/>
                <w:szCs w:val="18"/>
                <w:lang w:eastAsia="it-IT"/>
              </w:rPr>
            </w:pPr>
            <w:r w:rsidRPr="00F27D5F">
              <w:rPr>
                <w:rFonts w:ascii="Bodoni MT" w:eastAsia="Times New Roman" w:hAnsi="Bodoni MT" w:cs="Calibri"/>
                <w:b/>
                <w:bCs/>
                <w:sz w:val="18"/>
                <w:szCs w:val="18"/>
                <w:lang w:eastAsia="it-IT"/>
              </w:rPr>
              <w:t>E) RATEI E RISCONTI E CONTRIBUTI AGLI INVESTIMENTI</w:t>
            </w:r>
          </w:p>
        </w:tc>
      </w:tr>
      <w:tr w:rsidR="00AE50D9" w:rsidRPr="00CD34A0" w:rsidTr="00DA0C2B">
        <w:trPr>
          <w:trHeight w:val="18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I</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xml:space="preserve">Ratei passivi </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9.254.492</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9.254.492</w:t>
            </w:r>
          </w:p>
        </w:tc>
      </w:tr>
      <w:tr w:rsidR="00AE50D9" w:rsidRPr="00CD34A0" w:rsidTr="00DA0C2B">
        <w:trPr>
          <w:trHeight w:val="24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II</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Risconti passivi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265.293.029</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131"/>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1</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xml:space="preserve">Contributi agli investimenti </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p>
        </w:tc>
      </w:tr>
      <w:tr w:rsidR="00AE50D9" w:rsidRPr="00CD34A0" w:rsidTr="00DA0C2B">
        <w:trPr>
          <w:trHeight w:val="190"/>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a</w:t>
            </w:r>
            <w:r w:rsidR="006E784D" w:rsidRPr="00F27D5F">
              <w:rPr>
                <w:rFonts w:ascii="Bodoni MT" w:eastAsia="Times New Roman" w:hAnsi="Bodoni MT" w:cs="Calibri"/>
                <w:color w:val="FFFFFF" w:themeColor="background1"/>
                <w:sz w:val="18"/>
                <w:szCs w:val="18"/>
                <w:lang w:eastAsia="it-IT"/>
              </w:rPr>
              <w:t xml:space="preserve">) </w:t>
            </w:r>
            <w:r w:rsidRPr="00F27D5F">
              <w:rPr>
                <w:rFonts w:ascii="Bodoni MT" w:eastAsia="Times New Roman" w:hAnsi="Bodoni MT" w:cs="Calibri"/>
                <w:color w:val="FFFFFF" w:themeColor="background1"/>
                <w:sz w:val="18"/>
                <w:szCs w:val="18"/>
                <w:lang w:eastAsia="it-IT"/>
              </w:rPr>
              <w:t>da altre amministrazioni pubbliche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108"/>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2732" w:type="pct"/>
            <w:shd w:val="clear" w:color="auto" w:fill="95B3D7" w:themeFill="accent1" w:themeFillTint="99"/>
            <w:noWrap/>
            <w:vAlign w:val="center"/>
            <w:hideMark/>
          </w:tcPr>
          <w:p w:rsidR="00AE50D9" w:rsidRPr="00F27D5F" w:rsidRDefault="006E784D"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xml:space="preserve">b) </w:t>
            </w:r>
            <w:r w:rsidR="00AE50D9" w:rsidRPr="00F27D5F">
              <w:rPr>
                <w:rFonts w:ascii="Bodoni MT" w:eastAsia="Times New Roman" w:hAnsi="Bodoni MT" w:cs="Calibri"/>
                <w:color w:val="FFFFFF" w:themeColor="background1"/>
                <w:sz w:val="18"/>
                <w:szCs w:val="18"/>
                <w:lang w:eastAsia="it-IT"/>
              </w:rPr>
              <w:t>da altri soggetti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p>
        </w:tc>
      </w:tr>
      <w:tr w:rsidR="00AE50D9" w:rsidRPr="00CD34A0" w:rsidTr="00DA0C2B">
        <w:trPr>
          <w:trHeight w:val="154"/>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2</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Concessioni pluriennali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r>
      <w:tr w:rsidR="00AE50D9" w:rsidRPr="00CD34A0" w:rsidTr="00DA0C2B">
        <w:trPr>
          <w:trHeight w:val="228"/>
        </w:trPr>
        <w:tc>
          <w:tcPr>
            <w:tcW w:w="193" w:type="pct"/>
            <w:shd w:val="clear" w:color="auto" w:fill="95B3D7" w:themeFill="accent1" w:themeFillTint="99"/>
            <w:noWrap/>
            <w:vAlign w:val="bottom"/>
            <w:hideMark/>
          </w:tcPr>
          <w:p w:rsidR="00AE50D9" w:rsidRPr="00F27D5F" w:rsidRDefault="00AE50D9" w:rsidP="00CD34A0">
            <w:pPr>
              <w:spacing w:after="0" w:line="240" w:lineRule="auto"/>
              <w:rPr>
                <w:rFonts w:ascii="Calibri" w:eastAsia="Times New Roman" w:hAnsi="Calibri" w:cs="Calibri"/>
                <w:color w:val="FFFFFF" w:themeColor="background1"/>
                <w:lang w:eastAsia="it-IT"/>
              </w:rPr>
            </w:pPr>
            <w:r w:rsidRPr="00F27D5F">
              <w:rPr>
                <w:rFonts w:ascii="Calibri" w:eastAsia="Times New Roman" w:hAnsi="Calibri" w:cs="Calibri"/>
                <w:color w:val="FFFFFF" w:themeColor="background1"/>
                <w:lang w:eastAsia="it-IT"/>
              </w:rPr>
              <w:t> </w:t>
            </w:r>
          </w:p>
        </w:tc>
        <w:tc>
          <w:tcPr>
            <w:tcW w:w="141" w:type="pct"/>
            <w:shd w:val="clear" w:color="auto" w:fill="95B3D7" w:themeFill="accent1" w:themeFillTint="99"/>
            <w:noWrap/>
            <w:vAlign w:val="bottom"/>
            <w:hideMark/>
          </w:tcPr>
          <w:p w:rsidR="00AE50D9" w:rsidRPr="00F27D5F" w:rsidRDefault="00AE50D9" w:rsidP="00CD34A0">
            <w:pPr>
              <w:spacing w:after="0" w:line="240" w:lineRule="auto"/>
              <w:jc w:val="right"/>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3</w:t>
            </w:r>
          </w:p>
        </w:tc>
        <w:tc>
          <w:tcPr>
            <w:tcW w:w="2732" w:type="pct"/>
            <w:shd w:val="clear" w:color="auto" w:fill="95B3D7" w:themeFill="accent1" w:themeFillTint="99"/>
            <w:noWrap/>
            <w:vAlign w:val="center"/>
            <w:hideMark/>
          </w:tcPr>
          <w:p w:rsidR="00AE50D9" w:rsidRPr="00F27D5F" w:rsidRDefault="00AE50D9" w:rsidP="00F27D5F">
            <w:pPr>
              <w:spacing w:after="0" w:line="240" w:lineRule="auto"/>
              <w:rPr>
                <w:rFonts w:ascii="Bodoni MT" w:eastAsia="Times New Roman" w:hAnsi="Bodoni MT" w:cs="Calibri"/>
                <w:color w:val="FFFFFF" w:themeColor="background1"/>
                <w:sz w:val="18"/>
                <w:szCs w:val="18"/>
                <w:lang w:eastAsia="it-IT"/>
              </w:rPr>
            </w:pPr>
            <w:r w:rsidRPr="00F27D5F">
              <w:rPr>
                <w:rFonts w:ascii="Bodoni MT" w:eastAsia="Times New Roman" w:hAnsi="Bodoni MT" w:cs="Calibri"/>
                <w:color w:val="FFFFFF" w:themeColor="background1"/>
                <w:sz w:val="18"/>
                <w:szCs w:val="18"/>
                <w:lang w:eastAsia="it-IT"/>
              </w:rPr>
              <w:t>Altri risconti passivi</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265.293.029</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265.293.029</w:t>
            </w:r>
          </w:p>
        </w:tc>
      </w:tr>
      <w:tr w:rsidR="00AE50D9" w:rsidRPr="00CD34A0" w:rsidTr="00DA0C2B">
        <w:trPr>
          <w:trHeight w:val="218"/>
        </w:trPr>
        <w:tc>
          <w:tcPr>
            <w:tcW w:w="3066" w:type="pct"/>
            <w:gridSpan w:val="3"/>
            <w:shd w:val="clear" w:color="auto" w:fill="95B3D7" w:themeFill="accent1" w:themeFillTint="99"/>
            <w:noWrap/>
            <w:vAlign w:val="center"/>
            <w:hideMark/>
          </w:tcPr>
          <w:p w:rsidR="00AE50D9" w:rsidRPr="00F27D5F" w:rsidRDefault="00AE50D9" w:rsidP="00F27D5F">
            <w:pPr>
              <w:spacing w:after="0" w:line="240" w:lineRule="auto"/>
              <w:jc w:val="right"/>
              <w:rPr>
                <w:rFonts w:ascii="Bodoni MT" w:eastAsia="Times New Roman" w:hAnsi="Bodoni MT" w:cs="Calibri"/>
                <w:b/>
                <w:bCs/>
                <w:color w:val="FFFFFF" w:themeColor="background1"/>
                <w:sz w:val="18"/>
                <w:szCs w:val="18"/>
                <w:lang w:eastAsia="it-IT"/>
              </w:rPr>
            </w:pPr>
            <w:r w:rsidRPr="00F27D5F">
              <w:rPr>
                <w:rFonts w:ascii="Bodoni MT" w:eastAsia="Times New Roman" w:hAnsi="Bodoni MT" w:cs="Calibri"/>
                <w:b/>
                <w:bCs/>
                <w:color w:val="FFFFFF" w:themeColor="background1"/>
                <w:sz w:val="18"/>
                <w:szCs w:val="18"/>
                <w:lang w:eastAsia="it-IT"/>
              </w:rPr>
              <w:t>TOTALE RATEI E RISCONTI (E)</w:t>
            </w:r>
          </w:p>
        </w:tc>
        <w:tc>
          <w:tcPr>
            <w:tcW w:w="653"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274.547.521</w:t>
            </w:r>
          </w:p>
        </w:tc>
        <w:tc>
          <w:tcPr>
            <w:tcW w:w="676"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c>
          <w:tcPr>
            <w:tcW w:w="605" w:type="pct"/>
            <w:shd w:val="clear" w:color="auto" w:fill="auto"/>
            <w:noWrap/>
            <w:vAlign w:val="center"/>
            <w:hideMark/>
          </w:tcPr>
          <w:p w:rsidR="00AE50D9" w:rsidRPr="00CD34A0" w:rsidRDefault="00AE50D9"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274.547.521</w:t>
            </w:r>
          </w:p>
        </w:tc>
      </w:tr>
      <w:tr w:rsidR="006E784D" w:rsidRPr="00CD34A0" w:rsidTr="00DA0C2B">
        <w:trPr>
          <w:trHeight w:val="136"/>
        </w:trPr>
        <w:tc>
          <w:tcPr>
            <w:tcW w:w="3066" w:type="pct"/>
            <w:gridSpan w:val="3"/>
            <w:shd w:val="clear" w:color="auto" w:fill="95B3D7" w:themeFill="accent1" w:themeFillTint="99"/>
            <w:noWrap/>
            <w:vAlign w:val="center"/>
            <w:hideMark/>
          </w:tcPr>
          <w:p w:rsidR="006E784D" w:rsidRPr="00F27D5F" w:rsidRDefault="006E784D" w:rsidP="00F27D5F">
            <w:pPr>
              <w:spacing w:after="0" w:line="240" w:lineRule="auto"/>
              <w:jc w:val="right"/>
              <w:rPr>
                <w:rFonts w:ascii="Bodoni MT" w:eastAsia="Times New Roman" w:hAnsi="Bodoni MT" w:cs="Calibri"/>
                <w:b/>
                <w:bCs/>
                <w:color w:val="FFFFFF" w:themeColor="background1"/>
                <w:sz w:val="18"/>
                <w:szCs w:val="18"/>
                <w:lang w:eastAsia="it-IT"/>
              </w:rPr>
            </w:pPr>
            <w:r w:rsidRPr="00F27D5F">
              <w:rPr>
                <w:rFonts w:ascii="Bodoni MT" w:eastAsia="Times New Roman" w:hAnsi="Bodoni MT" w:cs="Calibri"/>
                <w:b/>
                <w:bCs/>
                <w:color w:val="FFFFFF" w:themeColor="background1"/>
                <w:sz w:val="18"/>
                <w:szCs w:val="18"/>
                <w:lang w:eastAsia="it-IT"/>
              </w:rPr>
              <w:t>TOTALE DEL PASSIVO (A+B+C+D+E)</w:t>
            </w:r>
          </w:p>
        </w:tc>
        <w:tc>
          <w:tcPr>
            <w:tcW w:w="653" w:type="pct"/>
            <w:shd w:val="clear" w:color="auto" w:fill="auto"/>
            <w:noWrap/>
            <w:vAlign w:val="center"/>
            <w:hideMark/>
          </w:tcPr>
          <w:p w:rsidR="006E784D" w:rsidRPr="00CD34A0" w:rsidRDefault="006E784D"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5.179.909.082</w:t>
            </w:r>
          </w:p>
        </w:tc>
        <w:tc>
          <w:tcPr>
            <w:tcW w:w="676" w:type="pct"/>
            <w:shd w:val="clear" w:color="auto" w:fill="auto"/>
            <w:noWrap/>
            <w:vAlign w:val="center"/>
            <w:hideMark/>
          </w:tcPr>
          <w:p w:rsidR="006E784D" w:rsidRPr="00CD34A0" w:rsidRDefault="006E784D"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4.395.235.152</w:t>
            </w:r>
          </w:p>
        </w:tc>
        <w:tc>
          <w:tcPr>
            <w:tcW w:w="605" w:type="pct"/>
            <w:shd w:val="clear" w:color="auto" w:fill="auto"/>
            <w:noWrap/>
            <w:vAlign w:val="center"/>
            <w:hideMark/>
          </w:tcPr>
          <w:p w:rsidR="006E784D" w:rsidRPr="00CD34A0" w:rsidRDefault="006E784D" w:rsidP="00F27D5F">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784.673.930</w:t>
            </w:r>
          </w:p>
        </w:tc>
      </w:tr>
    </w:tbl>
    <w:p w:rsidR="00CD34A0" w:rsidRPr="006E784D"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6E784D">
        <w:rPr>
          <w:rFonts w:ascii="Bodoni MT" w:eastAsia="Times New Roman" w:hAnsi="Bodoni MT" w:cs="Bodoni MT"/>
          <w:color w:val="000000"/>
          <w:sz w:val="18"/>
          <w:szCs w:val="18"/>
        </w:rPr>
        <w:t>Fonte RAS Rendiconto sulla gestione 2016 – Allegato 3.5</w:t>
      </w:r>
    </w:p>
    <w:p w:rsidR="00CD34A0" w:rsidRPr="00CD34A0" w:rsidRDefault="00F27D5F" w:rsidP="00F27D5F">
      <w:pPr>
        <w:pStyle w:val="Titolo3"/>
        <w:jc w:val="both"/>
        <w:rPr>
          <w:rFonts w:eastAsia="Times New Roman"/>
        </w:rPr>
      </w:pPr>
      <w:bookmarkStart w:id="359" w:name="_Toc507422695"/>
      <w:r w:rsidRPr="00CD34A0">
        <w:rPr>
          <w:rFonts w:eastAsia="Times New Roman"/>
        </w:rPr>
        <w:lastRenderedPageBreak/>
        <w:t>Lo Stato patrimoniale finale al 31/12/2016 (consistenza finale)</w:t>
      </w:r>
      <w:bookmarkEnd w:id="359"/>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iCs/>
          <w:color w:val="000000"/>
          <w:sz w:val="24"/>
          <w:szCs w:val="24"/>
        </w:rPr>
      </w:pPr>
      <w:r w:rsidRPr="00CD34A0">
        <w:rPr>
          <w:rFonts w:ascii="Bodoni MT" w:eastAsia="Times New Roman" w:hAnsi="Bodoni MT" w:cs="Bodoni MT"/>
          <w:iCs/>
          <w:color w:val="000000"/>
          <w:sz w:val="24"/>
          <w:szCs w:val="24"/>
        </w:rPr>
        <w:t>Il prospetto che segue riporta le risultanze dello Stato Patrimoniale al 31 dicembre 2016 raffrontato alla riclassificazione effettuata al</w:t>
      </w:r>
      <w:r w:rsidR="00DA0C2B">
        <w:rPr>
          <w:rFonts w:ascii="Bodoni MT" w:eastAsia="Times New Roman" w:hAnsi="Bodoni MT" w:cs="Bodoni MT"/>
          <w:iCs/>
          <w:color w:val="000000"/>
          <w:sz w:val="24"/>
          <w:szCs w:val="24"/>
        </w:rPr>
        <w:t>l’0</w:t>
      </w:r>
      <w:r w:rsidRPr="00CD34A0">
        <w:rPr>
          <w:rFonts w:ascii="Bodoni MT" w:eastAsia="Times New Roman" w:hAnsi="Bodoni MT" w:cs="Bodoni MT"/>
          <w:iCs/>
          <w:color w:val="000000"/>
          <w:sz w:val="24"/>
          <w:szCs w:val="24"/>
        </w:rPr>
        <w:t>1/01/2016.</w:t>
      </w:r>
      <w:r w:rsidRPr="00CD34A0">
        <w:rPr>
          <w:rFonts w:ascii="Bodoni MT" w:eastAsia="Times New Roman" w:hAnsi="Bodoni MT" w:cs="Bodoni MT"/>
          <w:b/>
          <w:iCs/>
          <w:color w:val="000000"/>
          <w:sz w:val="24"/>
          <w:szCs w:val="24"/>
        </w:rPr>
        <w:t xml:space="preserve">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highlight w:val="yellow"/>
        </w:rPr>
      </w:pPr>
      <w:r w:rsidRPr="00CD34A0">
        <w:rPr>
          <w:rFonts w:ascii="Bodoni MT" w:eastAsia="Times New Roman" w:hAnsi="Bodoni MT" w:cs="Bodoni MT"/>
          <w:b/>
          <w:iCs/>
          <w:color w:val="000000"/>
          <w:sz w:val="24"/>
          <w:szCs w:val="24"/>
        </w:rPr>
        <w:t>La gestione 2016, chiusa in positivo per € 901.719.362</w:t>
      </w:r>
      <w:r w:rsidRPr="00CD34A0">
        <w:rPr>
          <w:rFonts w:ascii="Bodoni MT" w:eastAsia="Times New Roman" w:hAnsi="Bodoni MT" w:cs="Bodoni MT"/>
          <w:iCs/>
          <w:color w:val="000000"/>
          <w:sz w:val="24"/>
          <w:szCs w:val="24"/>
        </w:rPr>
        <w:t xml:space="preserve"> unitamente ad una rivalutazione del fondo di dotazione (€ 204.377.720) ed alla voce “altre riserve” per € 8.958.185 (trattasi degli incrementi di valore delle società partecipate per utili conseguiti nel corso del 2016) </w:t>
      </w:r>
      <w:r w:rsidRPr="00CD34A0">
        <w:rPr>
          <w:rFonts w:ascii="Bodoni MT" w:eastAsia="Times New Roman" w:hAnsi="Bodoni MT" w:cs="Bodoni MT"/>
          <w:b/>
          <w:iCs/>
          <w:color w:val="000000"/>
          <w:sz w:val="24"/>
          <w:szCs w:val="24"/>
        </w:rPr>
        <w:t>aumentano notevolmente la consistenza del Patrimonio netto</w:t>
      </w:r>
      <w:r w:rsidR="003401A5">
        <w:rPr>
          <w:rFonts w:ascii="Bodoni MT" w:eastAsia="Times New Roman" w:hAnsi="Bodoni MT" w:cs="Bodoni MT"/>
          <w:iCs/>
          <w:color w:val="000000"/>
          <w:sz w:val="24"/>
          <w:szCs w:val="24"/>
        </w:rPr>
        <w:t xml:space="preserve"> che dal valore di</w:t>
      </w:r>
      <w:r w:rsidRPr="00CD34A0">
        <w:rPr>
          <w:rFonts w:ascii="Bodoni MT" w:eastAsia="Times New Roman" w:hAnsi="Bodoni MT" w:cs="Bodoni MT"/>
          <w:iCs/>
          <w:color w:val="000000"/>
          <w:sz w:val="24"/>
          <w:szCs w:val="24"/>
        </w:rPr>
        <w:t xml:space="preserve"> € </w:t>
      </w:r>
      <w:r w:rsidR="003401A5" w:rsidRPr="00CD34A0">
        <w:rPr>
          <w:rFonts w:ascii="Bodoni MT" w:eastAsia="Times New Roman" w:hAnsi="Bodoni MT" w:cs="Bodoni MT"/>
          <w:iCs/>
          <w:color w:val="000000"/>
          <w:sz w:val="24"/>
          <w:szCs w:val="24"/>
        </w:rPr>
        <w:t>-</w:t>
      </w:r>
      <w:r w:rsidRPr="00CD34A0">
        <w:rPr>
          <w:rFonts w:ascii="Bodoni MT" w:eastAsia="Times New Roman" w:hAnsi="Bodoni MT" w:cs="Bodoni MT"/>
          <w:iCs/>
          <w:color w:val="000000"/>
          <w:sz w:val="24"/>
          <w:szCs w:val="24"/>
        </w:rPr>
        <w:t>15.94</w:t>
      </w:r>
      <w:r w:rsidR="003401A5">
        <w:rPr>
          <w:rFonts w:ascii="Bodoni MT" w:eastAsia="Times New Roman" w:hAnsi="Bodoni MT" w:cs="Bodoni MT"/>
          <w:iCs/>
          <w:color w:val="000000"/>
          <w:sz w:val="24"/>
          <w:szCs w:val="24"/>
        </w:rPr>
        <w:t>5.678 (all’01/01/</w:t>
      </w:r>
      <w:r w:rsidR="00661193">
        <w:rPr>
          <w:rFonts w:ascii="Bodoni MT" w:eastAsia="Times New Roman" w:hAnsi="Bodoni MT" w:cs="Bodoni MT"/>
          <w:iCs/>
          <w:color w:val="000000"/>
          <w:sz w:val="24"/>
          <w:szCs w:val="24"/>
        </w:rPr>
        <w:t>2016), passa a € </w:t>
      </w:r>
      <w:r w:rsidR="003401A5">
        <w:rPr>
          <w:rFonts w:ascii="Bodoni MT" w:eastAsia="Times New Roman" w:hAnsi="Bodoni MT" w:cs="Bodoni MT"/>
          <w:iCs/>
          <w:color w:val="000000"/>
          <w:sz w:val="24"/>
          <w:szCs w:val="24"/>
        </w:rPr>
        <w:t>1.115.055.267 al 31/12/</w:t>
      </w:r>
      <w:r w:rsidRPr="00CD34A0">
        <w:rPr>
          <w:rFonts w:ascii="Bodoni MT" w:eastAsia="Times New Roman" w:hAnsi="Bodoni MT" w:cs="Bodoni MT"/>
          <w:iCs/>
          <w:color w:val="000000"/>
          <w:sz w:val="24"/>
          <w:szCs w:val="24"/>
        </w:rPr>
        <w:t xml:space="preserve">2016. </w:t>
      </w:r>
      <w:r w:rsidR="00C66656">
        <w:rPr>
          <w:rFonts w:ascii="Bodoni MT" w:eastAsia="Times New Roman" w:hAnsi="Bodoni MT" w:cs="Bodoni MT"/>
          <w:iCs/>
          <w:color w:val="000000"/>
          <w:sz w:val="24"/>
          <w:szCs w:val="24"/>
        </w:rPr>
        <w:t>Occorre riferire che la Regione ha ritenuto di inserire la nuova voce “altre riserve” (non contemplata nello schema di bilanci consuntivo MEF 2016) “…</w:t>
      </w:r>
      <w:r w:rsidR="00C66656" w:rsidRPr="00C66656">
        <w:rPr>
          <w:rFonts w:ascii="Bodoni MT" w:eastAsia="Times New Roman" w:hAnsi="Bodoni MT" w:cs="Bodoni MT"/>
          <w:i/>
          <w:iCs/>
          <w:color w:val="000000"/>
          <w:sz w:val="24"/>
          <w:szCs w:val="24"/>
        </w:rPr>
        <w:t>in armonia con le classificazioni del Piano dei conti patrimoniale, per iscrivere l’incremento di valore delle partecipazioni derivante da utili di esercizio</w:t>
      </w:r>
      <w:r w:rsidR="00C66656">
        <w:rPr>
          <w:rFonts w:ascii="Bodoni MT" w:eastAsia="Times New Roman" w:hAnsi="Bodoni MT" w:cs="Bodoni MT"/>
          <w:iCs/>
          <w:color w:val="000000"/>
          <w:sz w:val="24"/>
          <w:szCs w:val="24"/>
        </w:rPr>
        <w:t>”. Risulta che successivamente, nello schema di bilancio MEF 2017 la voce “altre riserve indisponibili” è stata inserita nel calcolo del patrimonio netto.</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Si riporta, di seguito, l’analisi</w:t>
      </w:r>
      <w:r w:rsidR="00DA0C2B">
        <w:rPr>
          <w:rFonts w:ascii="Bodoni MT" w:eastAsia="Times New Roman" w:hAnsi="Bodoni MT" w:cs="Bodoni MT"/>
          <w:iCs/>
          <w:color w:val="000000"/>
          <w:sz w:val="24"/>
          <w:szCs w:val="24"/>
        </w:rPr>
        <w:t xml:space="preserve"> dello Stato patrimoniale al 31/12/</w:t>
      </w:r>
      <w:r w:rsidRPr="00CD34A0">
        <w:rPr>
          <w:rFonts w:ascii="Bodoni MT" w:eastAsia="Times New Roman" w:hAnsi="Bodoni MT" w:cs="Bodoni MT"/>
          <w:iCs/>
          <w:color w:val="000000"/>
          <w:sz w:val="24"/>
          <w:szCs w:val="24"/>
        </w:rPr>
        <w:t>2016 e delle variazioni intervenute nel corso dell’esercizio, rispetto al valore riclassificato e rivalutato all’</w:t>
      </w:r>
      <w:r w:rsidR="00661193">
        <w:rPr>
          <w:rFonts w:ascii="Bodoni MT" w:eastAsia="Times New Roman" w:hAnsi="Bodoni MT" w:cs="Bodoni MT"/>
          <w:iCs/>
          <w:color w:val="000000"/>
          <w:sz w:val="24"/>
          <w:szCs w:val="24"/>
        </w:rPr>
        <w:t>0</w:t>
      </w:r>
      <w:r w:rsidR="003401A5">
        <w:rPr>
          <w:rFonts w:ascii="Bodoni MT" w:eastAsia="Times New Roman" w:hAnsi="Bodoni MT" w:cs="Bodoni MT"/>
          <w:iCs/>
          <w:color w:val="000000"/>
          <w:sz w:val="24"/>
          <w:szCs w:val="24"/>
        </w:rPr>
        <w:t>1/</w:t>
      </w:r>
      <w:r w:rsidR="00661193">
        <w:rPr>
          <w:rFonts w:ascii="Bodoni MT" w:eastAsia="Times New Roman" w:hAnsi="Bodoni MT" w:cs="Bodoni MT"/>
          <w:iCs/>
          <w:color w:val="000000"/>
          <w:sz w:val="24"/>
          <w:szCs w:val="24"/>
        </w:rPr>
        <w:t>0</w:t>
      </w:r>
      <w:r w:rsidR="003401A5">
        <w:rPr>
          <w:rFonts w:ascii="Bodoni MT" w:eastAsia="Times New Roman" w:hAnsi="Bodoni MT" w:cs="Bodoni MT"/>
          <w:iCs/>
          <w:color w:val="000000"/>
          <w:sz w:val="24"/>
          <w:szCs w:val="24"/>
        </w:rPr>
        <w:t>1/</w:t>
      </w:r>
      <w:r w:rsidRPr="00CD34A0">
        <w:rPr>
          <w:rFonts w:ascii="Bodoni MT" w:eastAsia="Times New Roman" w:hAnsi="Bodoni MT" w:cs="Bodoni MT"/>
          <w:iCs/>
          <w:color w:val="000000"/>
          <w:sz w:val="24"/>
          <w:szCs w:val="24"/>
        </w:rPr>
        <w:t>2016.</w:t>
      </w:r>
    </w:p>
    <w:p w:rsidR="00DA0C2B" w:rsidRDefault="00DA0C2B"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p>
    <w:p w:rsidR="00F55A2B" w:rsidRDefault="00F55A2B" w:rsidP="00661193">
      <w:pPr>
        <w:pStyle w:val="Didascalia"/>
        <w:sectPr w:rsidR="00F55A2B" w:rsidSect="00D4493F">
          <w:pgSz w:w="11906" w:h="16838"/>
          <w:pgMar w:top="1417" w:right="1134" w:bottom="1134" w:left="1134" w:header="708" w:footer="708" w:gutter="0"/>
          <w:cols w:space="708"/>
          <w:docGrid w:linePitch="360"/>
        </w:sectPr>
      </w:pPr>
    </w:p>
    <w:p w:rsidR="00661193" w:rsidRPr="00CD34A0" w:rsidRDefault="00661193" w:rsidP="00661193">
      <w:pPr>
        <w:pStyle w:val="Didascalia"/>
        <w:rPr>
          <w:rFonts w:eastAsia="Times New Roman" w:cs="Bodoni MT"/>
          <w:iCs/>
          <w:color w:val="000000"/>
          <w:sz w:val="24"/>
          <w:szCs w:val="24"/>
        </w:rPr>
      </w:pPr>
      <w:bookmarkStart w:id="360" w:name="_Toc507422568"/>
      <w:r>
        <w:lastRenderedPageBreak/>
        <w:t xml:space="preserve">Tabella </w:t>
      </w:r>
      <w:r w:rsidR="00B90472">
        <w:fldChar w:fldCharType="begin"/>
      </w:r>
      <w:r w:rsidR="00B90472">
        <w:instrText xml:space="preserve"> SEQ Tabella \* ARABIC </w:instrText>
      </w:r>
      <w:r w:rsidR="00B90472">
        <w:fldChar w:fldCharType="separate"/>
      </w:r>
      <w:r w:rsidR="008616B3">
        <w:rPr>
          <w:noProof/>
        </w:rPr>
        <w:t>100</w:t>
      </w:r>
      <w:r w:rsidR="00B90472">
        <w:rPr>
          <w:noProof/>
        </w:rPr>
        <w:fldChar w:fldCharType="end"/>
      </w:r>
      <w:r>
        <w:t xml:space="preserve"> </w:t>
      </w:r>
      <w:r w:rsidR="00F55A2B">
        <w:t>–</w:t>
      </w:r>
      <w:r w:rsidR="00066711">
        <w:t xml:space="preserve"> </w:t>
      </w:r>
      <w:r w:rsidR="00F55A2B">
        <w:t>Stato patrimoniale finale al 31/12/2016</w:t>
      </w:r>
      <w:bookmarkEnd w:id="3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3"/>
        <w:gridCol w:w="1001"/>
        <w:gridCol w:w="9548"/>
        <w:gridCol w:w="1650"/>
        <w:gridCol w:w="1385"/>
      </w:tblGrid>
      <w:tr w:rsidR="00F55A2B" w:rsidRPr="00F9003C" w:rsidTr="00AD001E">
        <w:trPr>
          <w:trHeight w:val="336"/>
          <w:jc w:val="center"/>
        </w:trPr>
        <w:tc>
          <w:tcPr>
            <w:tcW w:w="3948" w:type="pct"/>
            <w:gridSpan w:val="3"/>
            <w:shd w:val="clear" w:color="auto" w:fill="0F243E" w:themeFill="text2" w:themeFillShade="80"/>
            <w:noWrap/>
            <w:vAlign w:val="center"/>
            <w:hideMark/>
          </w:tcPr>
          <w:p w:rsidR="00F55A2B" w:rsidRPr="00F9003C" w:rsidRDefault="00F55A2B" w:rsidP="00F55A2B">
            <w:pPr>
              <w:spacing w:after="0" w:line="240" w:lineRule="auto"/>
              <w:jc w:val="center"/>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ATTIVO</w:t>
            </w:r>
          </w:p>
        </w:tc>
        <w:tc>
          <w:tcPr>
            <w:tcW w:w="572" w:type="pct"/>
            <w:shd w:val="clear" w:color="auto" w:fill="0F243E" w:themeFill="text2" w:themeFillShade="80"/>
            <w:vAlign w:val="center"/>
            <w:hideMark/>
          </w:tcPr>
          <w:p w:rsidR="00F55A2B" w:rsidRPr="00F9003C" w:rsidRDefault="00F55A2B" w:rsidP="00CD34A0">
            <w:pPr>
              <w:spacing w:after="0" w:line="240" w:lineRule="auto"/>
              <w:jc w:val="center"/>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31/12/2016</w:t>
            </w:r>
          </w:p>
        </w:tc>
        <w:tc>
          <w:tcPr>
            <w:tcW w:w="480" w:type="pct"/>
            <w:shd w:val="clear" w:color="auto" w:fill="0F243E" w:themeFill="text2" w:themeFillShade="80"/>
            <w:vAlign w:val="center"/>
            <w:hideMark/>
          </w:tcPr>
          <w:p w:rsidR="00F55A2B" w:rsidRPr="00F9003C" w:rsidRDefault="00F55A2B" w:rsidP="00CD34A0">
            <w:pPr>
              <w:spacing w:after="0" w:line="240" w:lineRule="auto"/>
              <w:jc w:val="center"/>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01/01/2016</w:t>
            </w:r>
          </w:p>
        </w:tc>
      </w:tr>
      <w:tr w:rsidR="00AD001E" w:rsidRPr="00F9003C" w:rsidTr="00AD001E">
        <w:trPr>
          <w:trHeight w:val="412"/>
          <w:jc w:val="center"/>
        </w:trPr>
        <w:tc>
          <w:tcPr>
            <w:tcW w:w="5000" w:type="pct"/>
            <w:gridSpan w:val="5"/>
            <w:shd w:val="clear" w:color="auto" w:fill="0F243E" w:themeFill="text2" w:themeFillShade="80"/>
            <w:noWrap/>
            <w:vAlign w:val="center"/>
            <w:hideMark/>
          </w:tcPr>
          <w:p w:rsidR="00AD001E" w:rsidRPr="00F9003C" w:rsidRDefault="00AD001E" w:rsidP="00AD001E">
            <w:pPr>
              <w:spacing w:after="0" w:line="240" w:lineRule="auto"/>
              <w:jc w:val="center"/>
              <w:rPr>
                <w:rFonts w:ascii="Bodoni MT" w:eastAsia="Times New Roman" w:hAnsi="Bodoni MT" w:cs="Calibri"/>
                <w:color w:val="FFFFFF" w:themeColor="background1"/>
                <w:sz w:val="18"/>
                <w:szCs w:val="18"/>
                <w:lang w:eastAsia="it-IT"/>
              </w:rPr>
            </w:pPr>
            <w:r w:rsidRPr="00F9003C">
              <w:rPr>
                <w:rFonts w:ascii="Bodoni MT" w:eastAsia="Times New Roman" w:hAnsi="Bodoni MT" w:cs="Calibri"/>
                <w:b/>
                <w:bCs/>
                <w:color w:val="FFFFFF" w:themeColor="background1"/>
                <w:sz w:val="18"/>
                <w:szCs w:val="18"/>
                <w:lang w:eastAsia="it-IT"/>
              </w:rPr>
              <w:t>A) CREDITI vs.LO STATO ED ALTRE AMMINISTRAZIONI PUBBLICHE PER LA PARTECIPAZIONE AL FONDO DI DOTAZIONE</w:t>
            </w:r>
          </w:p>
        </w:tc>
      </w:tr>
      <w:tr w:rsidR="00F55A2B" w:rsidRPr="00F9003C" w:rsidTr="00F55A2B">
        <w:trPr>
          <w:trHeight w:val="315"/>
          <w:jc w:val="center"/>
        </w:trPr>
        <w:tc>
          <w:tcPr>
            <w:tcW w:w="3948" w:type="pct"/>
            <w:gridSpan w:val="3"/>
            <w:shd w:val="clear" w:color="auto" w:fill="95B3D7" w:themeFill="accent1" w:themeFillTint="99"/>
            <w:noWrap/>
            <w:vAlign w:val="center"/>
            <w:hideMark/>
          </w:tcPr>
          <w:p w:rsidR="00F55A2B" w:rsidRPr="00F9003C" w:rsidRDefault="00F55A2B" w:rsidP="00F55A2B">
            <w:pPr>
              <w:spacing w:after="0" w:line="240" w:lineRule="auto"/>
              <w:jc w:val="right"/>
              <w:rPr>
                <w:rFonts w:ascii="Bodoni MT" w:eastAsia="Times New Roman" w:hAnsi="Bodoni MT" w:cs="Calibri"/>
                <w:b/>
                <w:bCs/>
                <w:color w:val="FFFFFF" w:themeColor="background1"/>
                <w:sz w:val="18"/>
                <w:szCs w:val="18"/>
                <w:lang w:eastAsia="it-IT"/>
              </w:rPr>
            </w:pPr>
            <w:r w:rsidRPr="00F9003C">
              <w:rPr>
                <w:rFonts w:ascii="Bodoni MT" w:eastAsia="Times New Roman" w:hAnsi="Bodoni MT" w:cs="Calibri"/>
                <w:b/>
                <w:bCs/>
                <w:color w:val="FFFFFF" w:themeColor="background1"/>
                <w:sz w:val="18"/>
                <w:szCs w:val="18"/>
                <w:lang w:eastAsia="it-IT"/>
              </w:rPr>
              <w:t>TOTALE CREDITI vs PARTECIPANTI (A)</w:t>
            </w:r>
          </w:p>
        </w:tc>
        <w:tc>
          <w:tcPr>
            <w:tcW w:w="572" w:type="pct"/>
            <w:shd w:val="clear" w:color="auto" w:fill="auto"/>
            <w:noWrap/>
            <w:vAlign w:val="center"/>
            <w:hideMark/>
          </w:tcPr>
          <w:p w:rsidR="00F55A2B" w:rsidRPr="00F9003C" w:rsidRDefault="00F55A2B"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0</w:t>
            </w:r>
          </w:p>
        </w:tc>
        <w:tc>
          <w:tcPr>
            <w:tcW w:w="480" w:type="pct"/>
            <w:shd w:val="clear" w:color="auto" w:fill="auto"/>
            <w:noWrap/>
            <w:vAlign w:val="center"/>
            <w:hideMark/>
          </w:tcPr>
          <w:p w:rsidR="00F55A2B" w:rsidRPr="00F9003C" w:rsidRDefault="00F55A2B"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0</w:t>
            </w:r>
          </w:p>
        </w:tc>
      </w:tr>
      <w:tr w:rsidR="00AD001E" w:rsidRPr="00F9003C" w:rsidTr="00AD001E">
        <w:trPr>
          <w:trHeight w:val="300"/>
          <w:jc w:val="center"/>
        </w:trPr>
        <w:tc>
          <w:tcPr>
            <w:tcW w:w="5000" w:type="pct"/>
            <w:gridSpan w:val="5"/>
            <w:shd w:val="clear" w:color="auto" w:fill="0F243E" w:themeFill="text2" w:themeFillShade="80"/>
            <w:noWrap/>
            <w:vAlign w:val="center"/>
            <w:hideMark/>
          </w:tcPr>
          <w:p w:rsidR="00AD001E" w:rsidRPr="00F9003C" w:rsidRDefault="00AD001E" w:rsidP="00AD001E">
            <w:pPr>
              <w:spacing w:after="0" w:line="240" w:lineRule="auto"/>
              <w:jc w:val="center"/>
              <w:rPr>
                <w:rFonts w:ascii="Bodoni MT" w:eastAsia="Times New Roman" w:hAnsi="Bodoni MT" w:cs="Calibri"/>
                <w:sz w:val="18"/>
                <w:szCs w:val="18"/>
                <w:lang w:eastAsia="it-IT"/>
              </w:rPr>
            </w:pPr>
            <w:r w:rsidRPr="00F9003C">
              <w:rPr>
                <w:rFonts w:ascii="Bodoni MT" w:eastAsia="Times New Roman" w:hAnsi="Bodoni MT" w:cs="Calibri"/>
                <w:b/>
                <w:bCs/>
                <w:sz w:val="18"/>
                <w:szCs w:val="18"/>
                <w:lang w:eastAsia="it-IT"/>
              </w:rPr>
              <w:t>B) IMMOBILIZZAZIONI</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w:t>
            </w: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Immobilizzazioni immateriali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sz w:val="18"/>
                <w:szCs w:val="18"/>
                <w:lang w:eastAsia="it-IT"/>
              </w:rPr>
            </w:pP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Costi di impianto e di ampliamento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294"/>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Costi di ricerca sviluppo e pubblicità</w:t>
            </w:r>
          </w:p>
        </w:tc>
        <w:tc>
          <w:tcPr>
            <w:tcW w:w="572" w:type="pct"/>
            <w:shd w:val="clear" w:color="auto" w:fill="auto"/>
            <w:noWrap/>
            <w:vAlign w:val="center"/>
            <w:hideMark/>
          </w:tcPr>
          <w:p w:rsidR="009C11CD" w:rsidRPr="00F9003C" w:rsidRDefault="009C11CD" w:rsidP="005A0737">
            <w:pPr>
              <w:spacing w:after="0" w:line="240" w:lineRule="auto"/>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5A0737">
            <w:pPr>
              <w:spacing w:after="0" w:line="240" w:lineRule="auto"/>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Diritti di brevetto ed utilizzazione opere dell'ingegno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12.515.434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14.491.003</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4</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Concessioni, licenze, marchi e diritti simile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5</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Avviamento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6</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Immobilizzazioni in corso ed acconti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47.569.001</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3.315.053</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9</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2.565.535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4.690.871</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immobilizzazioni immateriali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62.649.970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22.496.927</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 xml:space="preserve">Immobilizzazioni materiali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sz w:val="18"/>
                <w:szCs w:val="18"/>
                <w:lang w:eastAsia="it-IT"/>
              </w:rPr>
            </w:pP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II</w:t>
            </w: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Beni demaniali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125.237.240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130.643.146</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1.1</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Terreni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3.398.624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3.252.004</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1.2</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Fabbricati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18.023</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18.580</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1.3</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Infrastrutture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121.820.593</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127.372.562</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1.9</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beni demaniali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III</w:t>
            </w: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Altre immobilizzazioni materiali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1.520.125.336</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1.377.471.798</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2.1</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Terreni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36.265.183</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33.908.160</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di cui in leasing finanziario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2.2</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Fabbricati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931.701.817</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953.411.304</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di cui in leasing finanziario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2.3</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Impianti e macchinari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154.357</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161.954</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di cui in leasing finanziario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2.4</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Attrezzature industriali e commerciali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1.116.519</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1.110.013</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2.5</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Mezzi di trasporto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8.653.957</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11.503.761</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2.6</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Macchine per ufficio e hardware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2.282.363</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2.060.186</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2.7</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Mobili e arredi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1.004.274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1.078.018</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2.8</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Infrastrutture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10.540.515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2.9</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Diritti reali di godimento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2.99</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beni materiali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528.406.351</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374.238.402</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309" w:type="pct"/>
            <w:shd w:val="clear" w:color="auto" w:fill="95B3D7" w:themeFill="accent1" w:themeFillTint="99"/>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Immobilizzazioni in corso ed acconti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155.338.325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170.257.697</w:t>
            </w:r>
          </w:p>
        </w:tc>
      </w:tr>
      <w:tr w:rsidR="009C11CD" w:rsidRPr="00F9003C" w:rsidTr="004469B5">
        <w:trPr>
          <w:trHeight w:val="300"/>
          <w:jc w:val="center"/>
        </w:trPr>
        <w:tc>
          <w:tcPr>
            <w:tcW w:w="292"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vAlign w:val="center"/>
            <w:hideMark/>
          </w:tcPr>
          <w:p w:rsidR="009C11CD" w:rsidRPr="00B256F7" w:rsidRDefault="009C11CD" w:rsidP="004469B5">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immobilizzazioni materiali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1.800.700.901</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1.678.372.641</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IV</w:t>
            </w: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 xml:space="preserve">Immobilizzazioni Finanziarie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sz w:val="18"/>
                <w:szCs w:val="18"/>
                <w:lang w:eastAsia="it-IT"/>
              </w:rPr>
            </w:pP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Partecipazioni in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1.683.331.162</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1.665.612.572</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imprese controllate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549.322.395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535.712.994</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imprese partecipate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8.146.198</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5.882.998</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altri soggetti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1.125.862.569</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1.124.016.580</w:t>
            </w:r>
          </w:p>
        </w:tc>
      </w:tr>
      <w:tr w:rsidR="009C11CD" w:rsidRPr="00F9003C" w:rsidTr="004469B5">
        <w:trPr>
          <w:trHeight w:val="381"/>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Crediti verso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89.439.985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93.016.749</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 altre amministrazioni pubbliche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8.000.000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8.000.000</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imprese controllate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imprese partecipate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 xml:space="preserve">d) altri soggetti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81.439.985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85.016.749</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titoli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6.000.000</w:t>
            </w:r>
          </w:p>
        </w:tc>
        <w:tc>
          <w:tcPr>
            <w:tcW w:w="480" w:type="pct"/>
            <w:shd w:val="clear" w:color="auto" w:fill="auto"/>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6.000.000</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4469B5">
            <w:pPr>
              <w:spacing w:after="0" w:line="240" w:lineRule="auto"/>
              <w:jc w:val="right"/>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4469B5">
            <w:pPr>
              <w:spacing w:after="0" w:line="240" w:lineRule="auto"/>
              <w:jc w:val="right"/>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immobilizzazioni finanziarie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1.778.771.147</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1.764.629.321</w:t>
            </w:r>
          </w:p>
        </w:tc>
      </w:tr>
      <w:tr w:rsidR="009C11CD" w:rsidRPr="00F9003C" w:rsidTr="004469B5">
        <w:trPr>
          <w:trHeight w:val="315"/>
          <w:jc w:val="center"/>
        </w:trPr>
        <w:tc>
          <w:tcPr>
            <w:tcW w:w="3948" w:type="pct"/>
            <w:gridSpan w:val="3"/>
            <w:shd w:val="clear" w:color="auto" w:fill="95B3D7" w:themeFill="accent1" w:themeFillTint="99"/>
            <w:noWrap/>
            <w:vAlign w:val="center"/>
            <w:hideMark/>
          </w:tcPr>
          <w:p w:rsidR="009C11CD" w:rsidRPr="00B256F7" w:rsidRDefault="009C11CD" w:rsidP="004469B5">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IMMOBILIZZAZIONI (B)</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3.642.122.018</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3.465.498.889</w:t>
            </w:r>
          </w:p>
        </w:tc>
      </w:tr>
      <w:tr w:rsidR="00AD001E" w:rsidRPr="00F9003C" w:rsidTr="00AD001E">
        <w:trPr>
          <w:trHeight w:val="300"/>
          <w:jc w:val="center"/>
        </w:trPr>
        <w:tc>
          <w:tcPr>
            <w:tcW w:w="5000" w:type="pct"/>
            <w:gridSpan w:val="5"/>
            <w:shd w:val="clear" w:color="auto" w:fill="0F243E" w:themeFill="text2" w:themeFillShade="80"/>
            <w:noWrap/>
            <w:vAlign w:val="center"/>
            <w:hideMark/>
          </w:tcPr>
          <w:p w:rsidR="00AD001E" w:rsidRPr="00F9003C" w:rsidRDefault="00AD001E" w:rsidP="00AD001E">
            <w:pPr>
              <w:spacing w:after="0" w:line="240" w:lineRule="auto"/>
              <w:jc w:val="center"/>
              <w:rPr>
                <w:rFonts w:ascii="Bodoni MT" w:eastAsia="Times New Roman" w:hAnsi="Bodoni MT" w:cs="Calibri"/>
                <w:sz w:val="18"/>
                <w:szCs w:val="18"/>
                <w:lang w:eastAsia="it-IT"/>
              </w:rPr>
            </w:pPr>
            <w:r w:rsidRPr="00F9003C">
              <w:rPr>
                <w:rFonts w:ascii="Bodoni MT" w:eastAsia="Times New Roman" w:hAnsi="Bodoni MT" w:cs="Calibri"/>
                <w:b/>
                <w:bCs/>
                <w:sz w:val="18"/>
                <w:szCs w:val="18"/>
                <w:lang w:eastAsia="it-IT"/>
              </w:rPr>
              <w:t>C) ATTIVO CIRCOLANTE</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w:t>
            </w: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Rimanenze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3184780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3.600.366</w:t>
            </w:r>
          </w:p>
        </w:tc>
      </w:tr>
      <w:tr w:rsidR="00B12E35" w:rsidRPr="00F9003C" w:rsidTr="00B12E35">
        <w:trPr>
          <w:trHeight w:val="300"/>
          <w:jc w:val="center"/>
        </w:trPr>
        <w:tc>
          <w:tcPr>
            <w:tcW w:w="3948" w:type="pct"/>
            <w:gridSpan w:val="3"/>
            <w:shd w:val="clear" w:color="auto" w:fill="95B3D7" w:themeFill="accent1" w:themeFillTint="99"/>
            <w:noWrap/>
            <w:vAlign w:val="center"/>
            <w:hideMark/>
          </w:tcPr>
          <w:p w:rsidR="00B12E35" w:rsidRPr="00B256F7" w:rsidRDefault="00B12E35" w:rsidP="00B256F7">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rimanenze</w:t>
            </w:r>
          </w:p>
        </w:tc>
        <w:tc>
          <w:tcPr>
            <w:tcW w:w="572" w:type="pct"/>
            <w:shd w:val="clear" w:color="auto" w:fill="auto"/>
            <w:noWrap/>
            <w:vAlign w:val="center"/>
            <w:hideMark/>
          </w:tcPr>
          <w:p w:rsidR="00B12E35" w:rsidRPr="00F9003C" w:rsidRDefault="00B12E35"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3.184.780</w:t>
            </w:r>
          </w:p>
        </w:tc>
        <w:tc>
          <w:tcPr>
            <w:tcW w:w="480" w:type="pct"/>
            <w:shd w:val="clear" w:color="auto" w:fill="auto"/>
            <w:noWrap/>
            <w:vAlign w:val="center"/>
            <w:hideMark/>
          </w:tcPr>
          <w:p w:rsidR="00B12E35" w:rsidRPr="00F9003C" w:rsidRDefault="00B12E35"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3.600.366</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II</w:t>
            </w: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Crediti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sz w:val="18"/>
                <w:szCs w:val="18"/>
                <w:lang w:eastAsia="it-IT"/>
              </w:rPr>
            </w:pP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Crediti di natura tributaria</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651.572.074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387.558.651</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crediti da tributi destinati al finanziamento della sanità</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118.170.704</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altri crediti da tributi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651.572.074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269.387.947</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crediti da Fondi perequativi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Crediti per trasferimenti e contributi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1.133.155.518</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432.125.392</w:t>
            </w:r>
          </w:p>
        </w:tc>
      </w:tr>
      <w:tr w:rsidR="009C11CD" w:rsidRPr="00F9003C" w:rsidTr="004469B5">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4469B5">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verso amministrazioni pubbliche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1.006.845.894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299.850.107</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imprese controllate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imprese partecipate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d) verso altri soggetti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126.309.624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132.275.285</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Verso clienti ed utenti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3.549.520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2.929.020</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4</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Altri Crediti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52.494.080</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72.735.666</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verso l'erario</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per attività svolta per c/terzi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530.549</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1.326.850</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altri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51.963.531</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71.408.816</w:t>
            </w:r>
          </w:p>
        </w:tc>
      </w:tr>
      <w:tr w:rsidR="009C11CD" w:rsidRPr="00F9003C" w:rsidTr="00B256F7">
        <w:trPr>
          <w:trHeight w:val="300"/>
          <w:jc w:val="center"/>
        </w:trPr>
        <w:tc>
          <w:tcPr>
            <w:tcW w:w="3948" w:type="pct"/>
            <w:gridSpan w:val="3"/>
            <w:shd w:val="clear" w:color="auto" w:fill="95B3D7" w:themeFill="accent1" w:themeFillTint="99"/>
            <w:noWrap/>
            <w:vAlign w:val="center"/>
            <w:hideMark/>
          </w:tcPr>
          <w:p w:rsidR="009C11CD" w:rsidRPr="00B256F7"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crediti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1.840.771.192</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895.348.729</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III</w:t>
            </w: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Attività finanziarie che non costituiscono immobilizzazioni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sz w:val="18"/>
                <w:szCs w:val="18"/>
                <w:lang w:eastAsia="it-IT"/>
              </w:rPr>
            </w:pP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Partecipazioni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titoli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3948" w:type="pct"/>
            <w:gridSpan w:val="3"/>
            <w:shd w:val="clear" w:color="auto" w:fill="95B3D7" w:themeFill="accent1" w:themeFillTint="99"/>
            <w:noWrap/>
            <w:vAlign w:val="center"/>
            <w:hideMark/>
          </w:tcPr>
          <w:p w:rsidR="009C11CD" w:rsidRPr="00B256F7"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attività finanziarie che non costituiscono immobilizzi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Conto di tesoreria</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59.353.302</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340.832.737</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Istituto tesoriere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presso Banca d'Italia</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59.353.302</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340.832.737</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depositi bancari e postali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443.310.713</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474.628.361</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Denaro e valori in cassa</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00"/>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4</w:t>
            </w:r>
          </w:p>
        </w:tc>
        <w:tc>
          <w:tcPr>
            <w:tcW w:w="3309" w:type="pct"/>
            <w:shd w:val="clear" w:color="auto" w:fill="95B3D7" w:themeFill="accent1" w:themeFillTint="99"/>
            <w:noWrap/>
            <w:vAlign w:val="center"/>
            <w:hideMark/>
          </w:tcPr>
          <w:p w:rsidR="009C11CD" w:rsidRPr="00B256F7" w:rsidRDefault="009C11CD"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conti presso la tesoreria statale intestati all'ente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256F7">
        <w:trPr>
          <w:trHeight w:val="315"/>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disponibilità liquide</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color w:val="000000"/>
                <w:sz w:val="18"/>
                <w:szCs w:val="18"/>
                <w:lang w:eastAsia="it-IT"/>
              </w:rPr>
            </w:pPr>
            <w:r w:rsidRPr="00F9003C">
              <w:rPr>
                <w:rFonts w:ascii="Bodoni MT" w:eastAsia="Times New Roman" w:hAnsi="Bodoni MT" w:cs="Calibri"/>
                <w:b/>
                <w:bCs/>
                <w:color w:val="000000"/>
                <w:sz w:val="18"/>
                <w:szCs w:val="18"/>
                <w:lang w:eastAsia="it-IT"/>
              </w:rPr>
              <w:t>502664015</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815.461.098</w:t>
            </w:r>
          </w:p>
        </w:tc>
      </w:tr>
      <w:tr w:rsidR="009C11CD" w:rsidRPr="00F9003C" w:rsidTr="00B256F7">
        <w:trPr>
          <w:trHeight w:val="315"/>
          <w:jc w:val="center"/>
        </w:trPr>
        <w:tc>
          <w:tcPr>
            <w:tcW w:w="292"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256F7"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256F7"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ATTIVO CIRCOLANTE (C)</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2.346.619.987</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1.714.410.193</w:t>
            </w:r>
          </w:p>
        </w:tc>
      </w:tr>
      <w:tr w:rsidR="00F9003C" w:rsidRPr="00F9003C" w:rsidTr="00F9003C">
        <w:trPr>
          <w:trHeight w:val="300"/>
          <w:jc w:val="center"/>
        </w:trPr>
        <w:tc>
          <w:tcPr>
            <w:tcW w:w="5000" w:type="pct"/>
            <w:gridSpan w:val="5"/>
            <w:shd w:val="clear" w:color="auto" w:fill="0F243E" w:themeFill="text2" w:themeFillShade="80"/>
            <w:noWrap/>
            <w:vAlign w:val="center"/>
            <w:hideMark/>
          </w:tcPr>
          <w:p w:rsidR="00F9003C" w:rsidRPr="00F9003C" w:rsidRDefault="00F9003C" w:rsidP="00F9003C">
            <w:pPr>
              <w:spacing w:after="0" w:line="240" w:lineRule="auto"/>
              <w:jc w:val="center"/>
              <w:rPr>
                <w:rFonts w:ascii="Bodoni MT" w:eastAsia="Times New Roman" w:hAnsi="Bodoni MT" w:cs="Calibri"/>
                <w:sz w:val="18"/>
                <w:szCs w:val="18"/>
                <w:lang w:eastAsia="it-IT"/>
              </w:rPr>
            </w:pPr>
            <w:r w:rsidRPr="00F9003C">
              <w:rPr>
                <w:rFonts w:ascii="Bodoni MT" w:eastAsia="Times New Roman" w:hAnsi="Bodoni MT" w:cs="Calibri"/>
                <w:b/>
                <w:bCs/>
                <w:sz w:val="18"/>
                <w:szCs w:val="18"/>
                <w:lang w:eastAsia="it-IT"/>
              </w:rPr>
              <w:t>D) RATEI E RISCONTI</w:t>
            </w:r>
          </w:p>
        </w:tc>
      </w:tr>
      <w:tr w:rsidR="009C11CD" w:rsidRPr="00F9003C" w:rsidTr="00B12E35">
        <w:trPr>
          <w:trHeight w:val="300"/>
          <w:jc w:val="center"/>
        </w:trPr>
        <w:tc>
          <w:tcPr>
            <w:tcW w:w="292"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1</w:t>
            </w:r>
          </w:p>
        </w:tc>
        <w:tc>
          <w:tcPr>
            <w:tcW w:w="3309" w:type="pct"/>
            <w:shd w:val="clear" w:color="auto" w:fill="95B3D7" w:themeFill="accent1" w:themeFillTint="99"/>
            <w:noWrap/>
            <w:vAlign w:val="bottom"/>
            <w:hideMark/>
          </w:tcPr>
          <w:p w:rsidR="009C11CD" w:rsidRPr="00B12E35" w:rsidRDefault="009C11CD" w:rsidP="00CD34A0">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Ratei attivi </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12E35">
        <w:trPr>
          <w:trHeight w:val="315"/>
          <w:jc w:val="center"/>
        </w:trPr>
        <w:tc>
          <w:tcPr>
            <w:tcW w:w="292"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2</w:t>
            </w:r>
          </w:p>
        </w:tc>
        <w:tc>
          <w:tcPr>
            <w:tcW w:w="3309" w:type="pct"/>
            <w:shd w:val="clear" w:color="auto" w:fill="95B3D7" w:themeFill="accent1" w:themeFillTint="99"/>
            <w:noWrap/>
            <w:vAlign w:val="bottom"/>
            <w:hideMark/>
          </w:tcPr>
          <w:p w:rsidR="009C11CD" w:rsidRPr="00B12E35" w:rsidRDefault="009C11CD" w:rsidP="00CD34A0">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Risconti attivi</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236614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9C11CD" w:rsidRPr="00F9003C" w:rsidTr="00B12E35">
        <w:trPr>
          <w:trHeight w:val="315"/>
          <w:jc w:val="center"/>
        </w:trPr>
        <w:tc>
          <w:tcPr>
            <w:tcW w:w="292"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12E35"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12E35">
              <w:rPr>
                <w:rFonts w:ascii="Bodoni MT" w:eastAsia="Times New Roman" w:hAnsi="Bodoni MT" w:cs="Calibri"/>
                <w:b/>
                <w:bCs/>
                <w:color w:val="FFFFFF" w:themeColor="background1"/>
                <w:sz w:val="18"/>
                <w:szCs w:val="18"/>
                <w:lang w:eastAsia="it-IT"/>
              </w:rPr>
              <w:t>TOTALE RATEI E RISCONTI (D)</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236.614</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w:t>
            </w:r>
          </w:p>
        </w:tc>
      </w:tr>
      <w:tr w:rsidR="009C11CD" w:rsidRPr="00F9003C" w:rsidTr="00B12E35">
        <w:trPr>
          <w:trHeight w:val="315"/>
          <w:jc w:val="center"/>
        </w:trPr>
        <w:tc>
          <w:tcPr>
            <w:tcW w:w="292"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47" w:type="pct"/>
            <w:shd w:val="clear" w:color="auto" w:fill="95B3D7" w:themeFill="accent1" w:themeFillTint="99"/>
            <w:noWrap/>
            <w:vAlign w:val="center"/>
            <w:hideMark/>
          </w:tcPr>
          <w:p w:rsidR="009C11CD" w:rsidRPr="00B12E35" w:rsidRDefault="009C11CD" w:rsidP="005A0737">
            <w:pPr>
              <w:spacing w:after="0" w:line="240" w:lineRule="auto"/>
              <w:jc w:val="center"/>
              <w:rPr>
                <w:rFonts w:ascii="Bodoni MT" w:eastAsia="Times New Roman" w:hAnsi="Bodoni MT" w:cs="Calibri"/>
                <w:color w:val="FFFFFF" w:themeColor="background1"/>
                <w:sz w:val="18"/>
                <w:szCs w:val="18"/>
                <w:lang w:eastAsia="it-IT"/>
              </w:rPr>
            </w:pPr>
          </w:p>
        </w:tc>
        <w:tc>
          <w:tcPr>
            <w:tcW w:w="3309" w:type="pct"/>
            <w:shd w:val="clear" w:color="auto" w:fill="95B3D7" w:themeFill="accent1" w:themeFillTint="99"/>
            <w:noWrap/>
            <w:vAlign w:val="center"/>
            <w:hideMark/>
          </w:tcPr>
          <w:p w:rsidR="009C11CD" w:rsidRPr="00B12E35" w:rsidRDefault="009C11CD" w:rsidP="00F9003C">
            <w:pPr>
              <w:spacing w:after="0" w:line="240" w:lineRule="auto"/>
              <w:jc w:val="right"/>
              <w:rPr>
                <w:rFonts w:ascii="Bodoni MT" w:eastAsia="Times New Roman" w:hAnsi="Bodoni MT" w:cs="Calibri"/>
                <w:b/>
                <w:bCs/>
                <w:color w:val="FFFFFF" w:themeColor="background1"/>
                <w:sz w:val="18"/>
                <w:szCs w:val="18"/>
                <w:lang w:eastAsia="it-IT"/>
              </w:rPr>
            </w:pPr>
            <w:r w:rsidRPr="00B12E35">
              <w:rPr>
                <w:rFonts w:ascii="Bodoni MT" w:eastAsia="Times New Roman" w:hAnsi="Bodoni MT" w:cs="Calibri"/>
                <w:b/>
                <w:bCs/>
                <w:color w:val="FFFFFF" w:themeColor="background1"/>
                <w:sz w:val="18"/>
                <w:szCs w:val="18"/>
                <w:lang w:eastAsia="it-IT"/>
              </w:rPr>
              <w:t>TOTALE DELL'ATTIVO (A+B+C+D)</w:t>
            </w:r>
          </w:p>
        </w:tc>
        <w:tc>
          <w:tcPr>
            <w:tcW w:w="572"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5.988.978.619</w:t>
            </w:r>
          </w:p>
        </w:tc>
        <w:tc>
          <w:tcPr>
            <w:tcW w:w="480" w:type="pct"/>
            <w:shd w:val="clear" w:color="auto" w:fill="auto"/>
            <w:noWrap/>
            <w:vAlign w:val="center"/>
            <w:hideMark/>
          </w:tcPr>
          <w:p w:rsidR="009C11CD" w:rsidRPr="00F9003C" w:rsidRDefault="009C11CD" w:rsidP="00F55A2B">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5.179.909.082</w:t>
            </w:r>
          </w:p>
        </w:tc>
      </w:tr>
    </w:tbl>
    <w:p w:rsidR="00F55A2B" w:rsidRDefault="00F55A2B"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highlight w:val="yellow"/>
        </w:rPr>
        <w:sectPr w:rsidR="00F55A2B" w:rsidSect="00F55A2B">
          <w:pgSz w:w="16838" w:h="11906" w:orient="landscape"/>
          <w:pgMar w:top="1134" w:right="1417" w:bottom="1134" w:left="1134" w:header="708" w:footer="708"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9"/>
        <w:gridCol w:w="5759"/>
        <w:gridCol w:w="225"/>
        <w:gridCol w:w="1789"/>
        <w:gridCol w:w="72"/>
        <w:gridCol w:w="1504"/>
      </w:tblGrid>
      <w:tr w:rsidR="00F9003C" w:rsidRPr="00CD34A0" w:rsidTr="00B256F7">
        <w:trPr>
          <w:trHeight w:val="283"/>
          <w:jc w:val="center"/>
        </w:trPr>
        <w:tc>
          <w:tcPr>
            <w:tcW w:w="3279" w:type="pct"/>
            <w:gridSpan w:val="3"/>
            <w:shd w:val="clear" w:color="auto" w:fill="0F243E" w:themeFill="text2" w:themeFillShade="80"/>
            <w:noWrap/>
            <w:vAlign w:val="center"/>
            <w:hideMark/>
          </w:tcPr>
          <w:p w:rsidR="00F9003C" w:rsidRPr="00CD34A0" w:rsidRDefault="00F9003C" w:rsidP="00F9003C">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lastRenderedPageBreak/>
              <w:t>PASSIVO</w:t>
            </w:r>
          </w:p>
        </w:tc>
        <w:tc>
          <w:tcPr>
            <w:tcW w:w="952" w:type="pct"/>
            <w:gridSpan w:val="2"/>
            <w:shd w:val="clear" w:color="auto" w:fill="0F243E" w:themeFill="text2" w:themeFillShade="80"/>
            <w:vAlign w:val="center"/>
            <w:hideMark/>
          </w:tcPr>
          <w:p w:rsidR="00F9003C" w:rsidRPr="00CD34A0" w:rsidRDefault="00CC1DF7"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31/12</w:t>
            </w:r>
            <w:r w:rsidR="00F9003C" w:rsidRPr="00CD34A0">
              <w:rPr>
                <w:rFonts w:ascii="Bodoni MT" w:eastAsia="Times New Roman" w:hAnsi="Bodoni MT" w:cs="Calibri"/>
                <w:b/>
                <w:bCs/>
                <w:sz w:val="18"/>
                <w:szCs w:val="18"/>
                <w:lang w:eastAsia="it-IT"/>
              </w:rPr>
              <w:t>/2016</w:t>
            </w:r>
          </w:p>
        </w:tc>
        <w:tc>
          <w:tcPr>
            <w:tcW w:w="769" w:type="pct"/>
            <w:shd w:val="clear" w:color="auto" w:fill="0F243E" w:themeFill="text2" w:themeFillShade="80"/>
            <w:vAlign w:val="center"/>
            <w:hideMark/>
          </w:tcPr>
          <w:p w:rsidR="00F9003C" w:rsidRPr="00CD34A0" w:rsidRDefault="00F9003C"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01/01/2016</w:t>
            </w:r>
          </w:p>
        </w:tc>
      </w:tr>
      <w:tr w:rsidR="00B256F7" w:rsidRPr="00CD34A0" w:rsidTr="00B256F7">
        <w:trPr>
          <w:trHeight w:val="330"/>
          <w:jc w:val="center"/>
        </w:trPr>
        <w:tc>
          <w:tcPr>
            <w:tcW w:w="5000" w:type="pct"/>
            <w:gridSpan w:val="6"/>
            <w:shd w:val="clear" w:color="auto" w:fill="0F243E" w:themeFill="text2" w:themeFillShade="80"/>
            <w:noWrap/>
            <w:vAlign w:val="center"/>
            <w:hideMark/>
          </w:tcPr>
          <w:p w:rsidR="00B256F7" w:rsidRPr="00CD34A0" w:rsidRDefault="00B256F7" w:rsidP="00B256F7">
            <w:pPr>
              <w:spacing w:after="0" w:line="240" w:lineRule="auto"/>
              <w:jc w:val="center"/>
              <w:rPr>
                <w:rFonts w:ascii="Bodoni MT" w:eastAsia="Times New Roman" w:hAnsi="Bodoni MT" w:cs="Calibri"/>
                <w:b/>
                <w:bCs/>
                <w:sz w:val="18"/>
                <w:szCs w:val="18"/>
                <w:lang w:eastAsia="it-IT"/>
              </w:rPr>
            </w:pPr>
            <w:r w:rsidRPr="00B256F7">
              <w:rPr>
                <w:rFonts w:ascii="Bodoni MT" w:eastAsia="Times New Roman" w:hAnsi="Bodoni MT" w:cs="Calibri"/>
                <w:b/>
                <w:bCs/>
                <w:color w:val="FFFFFF" w:themeColor="background1"/>
                <w:sz w:val="18"/>
                <w:szCs w:val="18"/>
                <w:lang w:eastAsia="it-IT"/>
              </w:rPr>
              <w:t>A) PATRIMONIO NETTO</w:t>
            </w:r>
          </w:p>
        </w:tc>
      </w:tr>
      <w:tr w:rsidR="00F9003C" w:rsidRPr="00CD34A0" w:rsidTr="00B256F7">
        <w:trPr>
          <w:trHeight w:val="349"/>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F9003C">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Fondo di dotazione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204.377.720</w:t>
            </w:r>
          </w:p>
        </w:tc>
        <w:tc>
          <w:tcPr>
            <w:tcW w:w="769" w:type="pct"/>
            <w:shd w:val="clear" w:color="auto" w:fill="auto"/>
            <w:noWrap/>
            <w:vAlign w:val="center"/>
            <w:hideMark/>
          </w:tcPr>
          <w:p w:rsidR="00F9003C" w:rsidRPr="00F9003C" w:rsidRDefault="00B256F7" w:rsidP="00F9003C">
            <w:pPr>
              <w:spacing w:after="0" w:line="240" w:lineRule="auto"/>
              <w:jc w:val="right"/>
              <w:rPr>
                <w:rFonts w:ascii="Bodoni MT" w:eastAsia="Times New Roman" w:hAnsi="Bodoni MT" w:cs="Calibri"/>
                <w:color w:val="000000"/>
                <w:sz w:val="18"/>
                <w:szCs w:val="18"/>
                <w:lang w:eastAsia="it-IT"/>
              </w:rPr>
            </w:pPr>
            <w:r>
              <w:rPr>
                <w:rFonts w:ascii="Bodoni MT" w:eastAsia="Times New Roman" w:hAnsi="Bodoni MT" w:cs="Calibri"/>
                <w:color w:val="000000"/>
                <w:sz w:val="18"/>
                <w:szCs w:val="18"/>
                <w:lang w:eastAsia="it-IT"/>
              </w:rPr>
              <w:t>-</w:t>
            </w:r>
            <w:r w:rsidR="00F9003C" w:rsidRPr="00F9003C">
              <w:rPr>
                <w:rFonts w:ascii="Bodoni MT" w:eastAsia="Times New Roman" w:hAnsi="Bodoni MT" w:cs="Calibri"/>
                <w:color w:val="000000"/>
                <w:sz w:val="18"/>
                <w:szCs w:val="18"/>
                <w:lang w:eastAsia="it-IT"/>
              </w:rPr>
              <w:t>15.945.678</w:t>
            </w:r>
          </w:p>
        </w:tc>
      </w:tr>
      <w:tr w:rsidR="00F9003C" w:rsidRPr="00CD34A0" w:rsidTr="00B256F7">
        <w:trPr>
          <w:trHeight w:val="315"/>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Riserve </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8.958.185</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w:t>
            </w:r>
          </w:p>
        </w:tc>
      </w:tr>
      <w:tr w:rsidR="00F9003C" w:rsidRPr="00CD34A0" w:rsidTr="00B256F7">
        <w:trPr>
          <w:trHeight w:val="315"/>
          <w:jc w:val="center"/>
        </w:trPr>
        <w:tc>
          <w:tcPr>
            <w:tcW w:w="219" w:type="pct"/>
            <w:shd w:val="clear" w:color="auto" w:fill="95B3D7" w:themeFill="accent1" w:themeFillTint="99"/>
            <w:noWrap/>
            <w:vAlign w:val="center"/>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a) da risultato economico di esercizi precedenti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b) da capitale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c) da permessi di costruire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iCs/>
                <w:color w:val="FFFFFF" w:themeColor="background1"/>
                <w:sz w:val="18"/>
                <w:szCs w:val="18"/>
                <w:lang w:eastAsia="it-IT"/>
              </w:rPr>
              <w:t>da altre riserve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8.958.185</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Risultato economico dell'esercizio</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901.719.362</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B256F7" w:rsidRPr="00CD34A0" w:rsidTr="00B256F7">
        <w:trPr>
          <w:trHeight w:val="315"/>
          <w:jc w:val="center"/>
        </w:trPr>
        <w:tc>
          <w:tcPr>
            <w:tcW w:w="3279" w:type="pct"/>
            <w:gridSpan w:val="3"/>
            <w:shd w:val="clear" w:color="auto" w:fill="95B3D7" w:themeFill="accent1" w:themeFillTint="99"/>
            <w:noWrap/>
            <w:vAlign w:val="center"/>
            <w:hideMark/>
          </w:tcPr>
          <w:p w:rsidR="00B256F7" w:rsidRPr="00B256F7" w:rsidRDefault="00B256F7" w:rsidP="00CD34A0">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PATRIMONIO NETTO (A)</w:t>
            </w:r>
          </w:p>
        </w:tc>
        <w:tc>
          <w:tcPr>
            <w:tcW w:w="952" w:type="pct"/>
            <w:gridSpan w:val="2"/>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1.115.055.267</w:t>
            </w:r>
          </w:p>
        </w:tc>
        <w:tc>
          <w:tcPr>
            <w:tcW w:w="769" w:type="pct"/>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w:t>
            </w:r>
            <w:r w:rsidRPr="00F9003C">
              <w:rPr>
                <w:rFonts w:ascii="Bodoni MT" w:eastAsia="Times New Roman" w:hAnsi="Bodoni MT" w:cs="Calibri"/>
                <w:b/>
                <w:bCs/>
                <w:sz w:val="18"/>
                <w:szCs w:val="18"/>
                <w:lang w:eastAsia="it-IT"/>
              </w:rPr>
              <w:t>15.945.678</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B) FONDI PER RISCHI ED ONERI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Per trattamento di quiescenza</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Per imposte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060" w:type="pct"/>
            <w:gridSpan w:val="2"/>
            <w:shd w:val="clear" w:color="auto" w:fill="95B3D7" w:themeFill="accent1" w:themeFillTint="99"/>
            <w:noWrap/>
            <w:vAlign w:val="bottom"/>
            <w:hideMark/>
          </w:tcPr>
          <w:p w:rsidR="00F9003C" w:rsidRPr="00B256F7" w:rsidRDefault="00F9003C" w:rsidP="00CD34A0">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454.846.793</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508.997.953</w:t>
            </w:r>
          </w:p>
        </w:tc>
      </w:tr>
      <w:tr w:rsidR="00B256F7" w:rsidRPr="00CD34A0" w:rsidTr="00B256F7">
        <w:trPr>
          <w:trHeight w:val="315"/>
          <w:jc w:val="center"/>
        </w:trPr>
        <w:tc>
          <w:tcPr>
            <w:tcW w:w="3279" w:type="pct"/>
            <w:gridSpan w:val="3"/>
            <w:shd w:val="clear" w:color="auto" w:fill="95B3D7" w:themeFill="accent1" w:themeFillTint="99"/>
            <w:noWrap/>
            <w:vAlign w:val="center"/>
            <w:hideMark/>
          </w:tcPr>
          <w:p w:rsidR="00B256F7" w:rsidRPr="00B256F7" w:rsidRDefault="00B256F7" w:rsidP="00CD34A0">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FONDI RISCHI ED ONERI (B)</w:t>
            </w:r>
          </w:p>
        </w:tc>
        <w:tc>
          <w:tcPr>
            <w:tcW w:w="952" w:type="pct"/>
            <w:gridSpan w:val="2"/>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454.846.793</w:t>
            </w:r>
          </w:p>
        </w:tc>
        <w:tc>
          <w:tcPr>
            <w:tcW w:w="769" w:type="pct"/>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508.997.953</w:t>
            </w:r>
          </w:p>
        </w:tc>
      </w:tr>
      <w:tr w:rsidR="00B256F7" w:rsidRPr="00CD34A0" w:rsidTr="00B256F7">
        <w:trPr>
          <w:trHeight w:val="300"/>
          <w:jc w:val="center"/>
        </w:trPr>
        <w:tc>
          <w:tcPr>
            <w:tcW w:w="5000" w:type="pct"/>
            <w:gridSpan w:val="6"/>
            <w:shd w:val="clear" w:color="auto" w:fill="0F243E" w:themeFill="text2" w:themeFillShade="80"/>
            <w:noWrap/>
            <w:vAlign w:val="center"/>
            <w:hideMark/>
          </w:tcPr>
          <w:p w:rsidR="00B256F7" w:rsidRPr="00F9003C" w:rsidRDefault="00B256F7" w:rsidP="00B256F7">
            <w:pPr>
              <w:spacing w:after="0" w:line="240" w:lineRule="auto"/>
              <w:jc w:val="center"/>
              <w:rPr>
                <w:rFonts w:ascii="Bodoni MT" w:eastAsia="Times New Roman" w:hAnsi="Bodoni MT" w:cs="Calibri"/>
                <w:sz w:val="18"/>
                <w:szCs w:val="18"/>
                <w:lang w:eastAsia="it-IT"/>
              </w:rPr>
            </w:pPr>
            <w:r w:rsidRPr="00B256F7">
              <w:rPr>
                <w:rFonts w:ascii="Bodoni MT" w:eastAsia="Times New Roman" w:hAnsi="Bodoni MT" w:cs="Calibri"/>
                <w:b/>
                <w:bCs/>
                <w:color w:val="FFFFFF" w:themeColor="background1"/>
                <w:sz w:val="18"/>
                <w:szCs w:val="18"/>
                <w:lang w:eastAsia="it-IT"/>
              </w:rPr>
              <w:t>D) DEBITI (1)</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Debiti da finanziamento</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1.338.032.677</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1.143.873.404</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B256F7"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 xml:space="preserve">a) </w:t>
            </w:r>
            <w:r w:rsidR="00F9003C" w:rsidRPr="00B256F7">
              <w:rPr>
                <w:rFonts w:ascii="Bodoni MT" w:eastAsia="Times New Roman" w:hAnsi="Bodoni MT" w:cs="Calibri"/>
                <w:iCs/>
                <w:color w:val="FFFFFF" w:themeColor="background1"/>
                <w:sz w:val="18"/>
                <w:szCs w:val="18"/>
                <w:lang w:eastAsia="it-IT"/>
              </w:rPr>
              <w:t>prestiti obbligazionari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752.770.477</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779.279.825</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b</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v/ altre amministrazioni pubbliche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215.657.793</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c</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verso banche e tesoriere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d</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verso altri finanziatori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369.604.407</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364.593.579</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Debiti verso fornitori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15.491.492</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122.245.669</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Acconti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4</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Debiti per trasferimenti e contributi</w:t>
            </w:r>
          </w:p>
        </w:tc>
        <w:tc>
          <w:tcPr>
            <w:tcW w:w="952" w:type="pct"/>
            <w:gridSpan w:val="2"/>
            <w:shd w:val="clear" w:color="auto" w:fill="auto"/>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1.174.593.883</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1.342.069.448</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B256F7"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 xml:space="preserve">a) </w:t>
            </w:r>
            <w:r w:rsidR="00F9003C" w:rsidRPr="00B256F7">
              <w:rPr>
                <w:rFonts w:ascii="Bodoni MT" w:eastAsia="Times New Roman" w:hAnsi="Bodoni MT" w:cs="Calibri"/>
                <w:iCs/>
                <w:color w:val="FFFFFF" w:themeColor="background1"/>
                <w:sz w:val="18"/>
                <w:szCs w:val="18"/>
                <w:lang w:eastAsia="it-IT"/>
              </w:rPr>
              <w:t>enti finanziati dal servizio sanitario nazionale</w:t>
            </w:r>
          </w:p>
        </w:tc>
        <w:tc>
          <w:tcPr>
            <w:tcW w:w="952" w:type="pct"/>
            <w:gridSpan w:val="2"/>
            <w:shd w:val="clear" w:color="auto" w:fill="auto"/>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b</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altre amministrazioni pubbliche</w:t>
            </w:r>
          </w:p>
        </w:tc>
        <w:tc>
          <w:tcPr>
            <w:tcW w:w="952" w:type="pct"/>
            <w:gridSpan w:val="2"/>
            <w:shd w:val="clear" w:color="auto" w:fill="auto"/>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1.008.700.838</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1.229.443.041</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c</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imprese controllate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83.738.724</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53.600.362</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d</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imprese partecipate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3.695.105</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7.868.175</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e</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altri soggetti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78.459.216</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51.157.870</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5</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Altri debiti </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sz w:val="18"/>
                <w:szCs w:val="18"/>
                <w:lang w:eastAsia="it-IT"/>
              </w:rPr>
            </w:pPr>
            <w:r w:rsidRPr="00F9003C">
              <w:rPr>
                <w:rFonts w:ascii="Bodoni MT" w:eastAsia="Times New Roman" w:hAnsi="Bodoni MT" w:cs="Calibri"/>
                <w:sz w:val="18"/>
                <w:szCs w:val="18"/>
                <w:lang w:eastAsia="it-IT"/>
              </w:rPr>
              <w:t>1.572.730.826</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1.804.120.765</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a</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tributari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1.009.398</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1.949.828</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b</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verso istituti di previdenza e sicurezza sociale</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c</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per attività svolta per c/terzi (2)</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w:t>
            </w:r>
          </w:p>
        </w:tc>
      </w:tr>
      <w:tr w:rsidR="00F9003C" w:rsidRPr="00CD34A0" w:rsidTr="00B256F7">
        <w:trPr>
          <w:trHeight w:val="315"/>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bottom"/>
            <w:hideMark/>
          </w:tcPr>
          <w:p w:rsidR="00F9003C" w:rsidRPr="00B256F7" w:rsidRDefault="00F9003C" w:rsidP="00B256F7">
            <w:pPr>
              <w:spacing w:after="0" w:line="240" w:lineRule="auto"/>
              <w:rPr>
                <w:rFonts w:ascii="Bodoni MT" w:eastAsia="Times New Roman" w:hAnsi="Bodoni MT" w:cs="Calibri"/>
                <w:iCs/>
                <w:color w:val="FFFFFF" w:themeColor="background1"/>
                <w:sz w:val="18"/>
                <w:szCs w:val="18"/>
                <w:lang w:eastAsia="it-IT"/>
              </w:rPr>
            </w:pPr>
            <w:r w:rsidRPr="00B256F7">
              <w:rPr>
                <w:rFonts w:ascii="Bodoni MT" w:eastAsia="Times New Roman" w:hAnsi="Bodoni MT" w:cs="Calibri"/>
                <w:color w:val="FFFFFF" w:themeColor="background1"/>
                <w:lang w:eastAsia="it-IT"/>
              </w:rPr>
              <w:t>d</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iCs/>
                <w:color w:val="FFFFFF" w:themeColor="background1"/>
                <w:sz w:val="18"/>
                <w:szCs w:val="18"/>
                <w:lang w:eastAsia="it-IT"/>
              </w:rPr>
              <w:t>altri</w:t>
            </w:r>
          </w:p>
        </w:tc>
        <w:tc>
          <w:tcPr>
            <w:tcW w:w="952" w:type="pct"/>
            <w:gridSpan w:val="2"/>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iCs/>
                <w:sz w:val="18"/>
                <w:szCs w:val="18"/>
                <w:lang w:eastAsia="it-IT"/>
              </w:rPr>
            </w:pPr>
            <w:r w:rsidRPr="00F9003C">
              <w:rPr>
                <w:rFonts w:ascii="Bodoni MT" w:eastAsia="Times New Roman" w:hAnsi="Bodoni MT" w:cs="Calibri"/>
                <w:iCs/>
                <w:sz w:val="18"/>
                <w:szCs w:val="18"/>
                <w:lang w:eastAsia="it-IT"/>
              </w:rPr>
              <w:t>1.571.721.428</w:t>
            </w:r>
          </w:p>
        </w:tc>
        <w:tc>
          <w:tcPr>
            <w:tcW w:w="769" w:type="pct"/>
            <w:shd w:val="clear" w:color="auto" w:fill="auto"/>
            <w:noWrap/>
            <w:vAlign w:val="center"/>
            <w:hideMark/>
          </w:tcPr>
          <w:p w:rsidR="00F9003C" w:rsidRPr="00F9003C" w:rsidRDefault="00F9003C" w:rsidP="00F9003C">
            <w:pPr>
              <w:spacing w:after="0" w:line="240" w:lineRule="auto"/>
              <w:jc w:val="right"/>
              <w:rPr>
                <w:rFonts w:ascii="Bodoni MT" w:eastAsia="Times New Roman" w:hAnsi="Bodoni MT" w:cs="Calibri"/>
                <w:color w:val="000000"/>
                <w:sz w:val="18"/>
                <w:szCs w:val="18"/>
                <w:lang w:eastAsia="it-IT"/>
              </w:rPr>
            </w:pPr>
            <w:r w:rsidRPr="00F9003C">
              <w:rPr>
                <w:rFonts w:ascii="Bodoni MT" w:eastAsia="Times New Roman" w:hAnsi="Bodoni MT" w:cs="Calibri"/>
                <w:color w:val="000000"/>
                <w:sz w:val="18"/>
                <w:szCs w:val="18"/>
                <w:lang w:eastAsia="it-IT"/>
              </w:rPr>
              <w:t>1.802.170.937</w:t>
            </w:r>
          </w:p>
        </w:tc>
      </w:tr>
      <w:tr w:rsidR="00B256F7" w:rsidRPr="00CD34A0" w:rsidTr="00B256F7">
        <w:trPr>
          <w:trHeight w:val="315"/>
          <w:jc w:val="center"/>
        </w:trPr>
        <w:tc>
          <w:tcPr>
            <w:tcW w:w="3279" w:type="pct"/>
            <w:gridSpan w:val="3"/>
            <w:shd w:val="clear" w:color="auto" w:fill="95B3D7" w:themeFill="accent1" w:themeFillTint="99"/>
            <w:noWrap/>
            <w:vAlign w:val="center"/>
            <w:hideMark/>
          </w:tcPr>
          <w:p w:rsidR="00B256F7" w:rsidRPr="00B256F7" w:rsidRDefault="00B256F7" w:rsidP="00CD34A0">
            <w:pPr>
              <w:spacing w:after="0" w:line="240" w:lineRule="auto"/>
              <w:jc w:val="right"/>
              <w:rPr>
                <w:rFonts w:ascii="Bodoni MT" w:eastAsia="Times New Roman" w:hAnsi="Bodoni MT" w:cs="Calibri"/>
                <w:b/>
                <w:bCs/>
                <w:color w:val="FFFFFF" w:themeColor="background1"/>
                <w:sz w:val="18"/>
                <w:szCs w:val="18"/>
                <w:lang w:eastAsia="it-IT"/>
              </w:rPr>
            </w:pPr>
            <w:r>
              <w:rPr>
                <w:rFonts w:ascii="Bodoni MT" w:eastAsia="Times New Roman" w:hAnsi="Bodoni MT" w:cs="Calibri"/>
                <w:b/>
                <w:bCs/>
                <w:color w:val="FFFFFF" w:themeColor="background1"/>
                <w:sz w:val="18"/>
                <w:szCs w:val="18"/>
                <w:lang w:eastAsia="it-IT"/>
              </w:rPr>
              <w:t>TOTALE DEBITI (</w:t>
            </w:r>
            <w:r w:rsidRPr="00B256F7">
              <w:rPr>
                <w:rFonts w:ascii="Bodoni MT" w:eastAsia="Times New Roman" w:hAnsi="Bodoni MT" w:cs="Calibri"/>
                <w:b/>
                <w:bCs/>
                <w:color w:val="FFFFFF" w:themeColor="background1"/>
                <w:sz w:val="18"/>
                <w:szCs w:val="18"/>
                <w:lang w:eastAsia="it-IT"/>
              </w:rPr>
              <w:t>D)</w:t>
            </w:r>
          </w:p>
        </w:tc>
        <w:tc>
          <w:tcPr>
            <w:tcW w:w="952" w:type="pct"/>
            <w:gridSpan w:val="2"/>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4.100.848.878</w:t>
            </w:r>
          </w:p>
        </w:tc>
        <w:tc>
          <w:tcPr>
            <w:tcW w:w="769" w:type="pct"/>
            <w:shd w:val="clear" w:color="auto" w:fill="auto"/>
            <w:noWrap/>
            <w:vAlign w:val="center"/>
            <w:hideMark/>
          </w:tcPr>
          <w:p w:rsidR="00B256F7" w:rsidRPr="00F9003C" w:rsidRDefault="00B256F7" w:rsidP="00F9003C">
            <w:pPr>
              <w:spacing w:after="0" w:line="240" w:lineRule="auto"/>
              <w:jc w:val="right"/>
              <w:rPr>
                <w:rFonts w:ascii="Bodoni MT" w:eastAsia="Times New Roman" w:hAnsi="Bodoni MT" w:cs="Calibri"/>
                <w:b/>
                <w:bCs/>
                <w:sz w:val="18"/>
                <w:szCs w:val="18"/>
                <w:lang w:eastAsia="it-IT"/>
              </w:rPr>
            </w:pPr>
            <w:r w:rsidRPr="00F9003C">
              <w:rPr>
                <w:rFonts w:ascii="Bodoni MT" w:eastAsia="Times New Roman" w:hAnsi="Bodoni MT" w:cs="Calibri"/>
                <w:b/>
                <w:bCs/>
                <w:sz w:val="18"/>
                <w:szCs w:val="18"/>
                <w:lang w:eastAsia="it-IT"/>
              </w:rPr>
              <w:t>4.412.309.286</w:t>
            </w:r>
          </w:p>
        </w:tc>
      </w:tr>
      <w:tr w:rsidR="00B256F7" w:rsidRPr="00CD34A0" w:rsidTr="00B256F7">
        <w:trPr>
          <w:trHeight w:val="300"/>
          <w:jc w:val="center"/>
        </w:trPr>
        <w:tc>
          <w:tcPr>
            <w:tcW w:w="5000" w:type="pct"/>
            <w:gridSpan w:val="6"/>
            <w:shd w:val="clear" w:color="auto" w:fill="0F243E" w:themeFill="text2" w:themeFillShade="80"/>
            <w:noWrap/>
            <w:vAlign w:val="center"/>
            <w:hideMark/>
          </w:tcPr>
          <w:p w:rsidR="00B256F7" w:rsidRPr="00CD34A0" w:rsidRDefault="00B256F7" w:rsidP="00B256F7">
            <w:pPr>
              <w:spacing w:after="0" w:line="240" w:lineRule="auto"/>
              <w:jc w:val="center"/>
              <w:rPr>
                <w:rFonts w:ascii="Bodoni MT" w:eastAsia="Times New Roman" w:hAnsi="Bodoni MT" w:cs="Calibri"/>
                <w:sz w:val="18"/>
                <w:szCs w:val="18"/>
                <w:lang w:eastAsia="it-IT"/>
              </w:rPr>
            </w:pPr>
            <w:r w:rsidRPr="00B256F7">
              <w:rPr>
                <w:rFonts w:ascii="Bodoni MT" w:eastAsia="Times New Roman" w:hAnsi="Bodoni MT" w:cs="Calibri"/>
                <w:b/>
                <w:bCs/>
                <w:color w:val="FFFFFF" w:themeColor="background1"/>
                <w:sz w:val="18"/>
                <w:szCs w:val="18"/>
                <w:lang w:eastAsia="it-IT"/>
              </w:rPr>
              <w:t>E) RATEI E RISCONTI E CONTRIBUTI AGLI INVESTIMENTI</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Ratei passivi </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11.937.806</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9.254.492</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Risconti passivi</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306.289.875</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265.293.029</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 xml:space="preserve">Contributi agli investimenti </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lang w:eastAsia="it-IT"/>
              </w:rPr>
              <w:t>a</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color w:val="FFFFFF" w:themeColor="background1"/>
                <w:sz w:val="18"/>
                <w:szCs w:val="18"/>
                <w:lang w:eastAsia="it-IT"/>
              </w:rPr>
              <w:t>da altre amministrazioni pubbliche</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lang w:eastAsia="it-IT"/>
              </w:rPr>
              <w:t>b</w:t>
            </w:r>
            <w:r w:rsidR="00B256F7" w:rsidRPr="00B256F7">
              <w:rPr>
                <w:rFonts w:ascii="Bodoni MT" w:eastAsia="Times New Roman" w:hAnsi="Bodoni MT" w:cs="Calibri"/>
                <w:color w:val="FFFFFF" w:themeColor="background1"/>
                <w:lang w:eastAsia="it-IT"/>
              </w:rPr>
              <w:t xml:space="preserve">) </w:t>
            </w:r>
            <w:r w:rsidRPr="00B256F7">
              <w:rPr>
                <w:rFonts w:ascii="Bodoni MT" w:eastAsia="Times New Roman" w:hAnsi="Bodoni MT" w:cs="Calibri"/>
                <w:color w:val="FFFFFF" w:themeColor="background1"/>
                <w:sz w:val="18"/>
                <w:szCs w:val="18"/>
                <w:lang w:eastAsia="it-IT"/>
              </w:rPr>
              <w:t>da altri soggetti</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r>
      <w:tr w:rsidR="00F9003C" w:rsidRPr="00CD34A0" w:rsidTr="00B256F7">
        <w:trPr>
          <w:trHeight w:val="300"/>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Concessioni pluriennali</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w:t>
            </w:r>
          </w:p>
        </w:tc>
      </w:tr>
      <w:tr w:rsidR="00F9003C" w:rsidRPr="00CD34A0" w:rsidTr="00B256F7">
        <w:trPr>
          <w:trHeight w:val="315"/>
          <w:jc w:val="center"/>
        </w:trPr>
        <w:tc>
          <w:tcPr>
            <w:tcW w:w="219" w:type="pct"/>
            <w:shd w:val="clear" w:color="auto" w:fill="95B3D7" w:themeFill="accent1" w:themeFillTint="99"/>
            <w:noWrap/>
            <w:vAlign w:val="center"/>
            <w:hideMark/>
          </w:tcPr>
          <w:p w:rsidR="00F9003C" w:rsidRPr="00B256F7" w:rsidRDefault="00F9003C" w:rsidP="00B256F7">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w:t>
            </w:r>
          </w:p>
        </w:tc>
        <w:tc>
          <w:tcPr>
            <w:tcW w:w="3060" w:type="pct"/>
            <w:gridSpan w:val="2"/>
            <w:shd w:val="clear" w:color="auto" w:fill="95B3D7" w:themeFill="accent1" w:themeFillTint="99"/>
            <w:noWrap/>
            <w:vAlign w:val="center"/>
            <w:hideMark/>
          </w:tcPr>
          <w:p w:rsidR="00F9003C" w:rsidRPr="00B256F7" w:rsidRDefault="00F9003C"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Altri risconti passivi</w:t>
            </w:r>
          </w:p>
        </w:tc>
        <w:tc>
          <w:tcPr>
            <w:tcW w:w="952" w:type="pct"/>
            <w:gridSpan w:val="2"/>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sz w:val="18"/>
                <w:szCs w:val="18"/>
                <w:lang w:eastAsia="it-IT"/>
              </w:rPr>
            </w:pPr>
            <w:r w:rsidRPr="00CD34A0">
              <w:rPr>
                <w:rFonts w:ascii="Bodoni MT" w:eastAsia="Times New Roman" w:hAnsi="Bodoni MT" w:cs="Calibri"/>
                <w:sz w:val="18"/>
                <w:szCs w:val="18"/>
                <w:lang w:eastAsia="it-IT"/>
              </w:rPr>
              <w:t>306.289.875</w:t>
            </w:r>
          </w:p>
        </w:tc>
        <w:tc>
          <w:tcPr>
            <w:tcW w:w="769" w:type="pct"/>
            <w:shd w:val="clear" w:color="auto" w:fill="auto"/>
            <w:noWrap/>
            <w:vAlign w:val="center"/>
            <w:hideMark/>
          </w:tcPr>
          <w:p w:rsidR="00F9003C" w:rsidRPr="00CD34A0" w:rsidRDefault="00F9003C" w:rsidP="00B256F7">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265.293.029</w:t>
            </w:r>
          </w:p>
        </w:tc>
      </w:tr>
      <w:tr w:rsidR="00B256F7" w:rsidRPr="00CD34A0" w:rsidTr="00B256F7">
        <w:trPr>
          <w:trHeight w:val="315"/>
          <w:jc w:val="center"/>
        </w:trPr>
        <w:tc>
          <w:tcPr>
            <w:tcW w:w="3279" w:type="pct"/>
            <w:gridSpan w:val="3"/>
            <w:shd w:val="clear" w:color="auto" w:fill="95B3D7" w:themeFill="accent1" w:themeFillTint="99"/>
            <w:noWrap/>
            <w:vAlign w:val="center"/>
            <w:hideMark/>
          </w:tcPr>
          <w:p w:rsidR="00B256F7" w:rsidRPr="00B256F7" w:rsidRDefault="00B256F7" w:rsidP="00CD34A0">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RATEI E RISCONTI (E)</w:t>
            </w:r>
          </w:p>
        </w:tc>
        <w:tc>
          <w:tcPr>
            <w:tcW w:w="952" w:type="pct"/>
            <w:gridSpan w:val="2"/>
            <w:shd w:val="clear" w:color="auto" w:fill="auto"/>
            <w:noWrap/>
            <w:vAlign w:val="center"/>
            <w:hideMark/>
          </w:tcPr>
          <w:p w:rsidR="00B256F7" w:rsidRPr="00CD34A0" w:rsidRDefault="00B256F7"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318.227.681</w:t>
            </w:r>
          </w:p>
        </w:tc>
        <w:tc>
          <w:tcPr>
            <w:tcW w:w="769" w:type="pct"/>
            <w:shd w:val="clear" w:color="auto" w:fill="auto"/>
            <w:noWrap/>
            <w:vAlign w:val="center"/>
            <w:hideMark/>
          </w:tcPr>
          <w:p w:rsidR="00B256F7" w:rsidRPr="00CD34A0" w:rsidRDefault="00B256F7"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274.547.521</w:t>
            </w:r>
          </w:p>
        </w:tc>
      </w:tr>
      <w:tr w:rsidR="00B256F7" w:rsidRPr="00CD34A0" w:rsidTr="004469B5">
        <w:trPr>
          <w:trHeight w:val="315"/>
          <w:jc w:val="center"/>
        </w:trPr>
        <w:tc>
          <w:tcPr>
            <w:tcW w:w="3279" w:type="pct"/>
            <w:gridSpan w:val="3"/>
            <w:shd w:val="clear" w:color="auto" w:fill="95B3D7" w:themeFill="accent1" w:themeFillTint="99"/>
            <w:noWrap/>
            <w:vAlign w:val="center"/>
            <w:hideMark/>
          </w:tcPr>
          <w:p w:rsidR="00B256F7" w:rsidRPr="00B256F7" w:rsidRDefault="00B256F7" w:rsidP="004469B5">
            <w:pPr>
              <w:spacing w:after="0" w:line="240" w:lineRule="auto"/>
              <w:jc w:val="right"/>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t>TOTALE DEL PASSIVO (A+B+C+D+E)</w:t>
            </w:r>
          </w:p>
        </w:tc>
        <w:tc>
          <w:tcPr>
            <w:tcW w:w="952" w:type="pct"/>
            <w:gridSpan w:val="2"/>
            <w:shd w:val="clear" w:color="auto" w:fill="auto"/>
            <w:noWrap/>
            <w:vAlign w:val="center"/>
            <w:hideMark/>
          </w:tcPr>
          <w:p w:rsidR="00B256F7" w:rsidRPr="00CD34A0" w:rsidRDefault="00B256F7"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5.988.978.619</w:t>
            </w:r>
          </w:p>
        </w:tc>
        <w:tc>
          <w:tcPr>
            <w:tcW w:w="769" w:type="pct"/>
            <w:shd w:val="clear" w:color="auto" w:fill="auto"/>
            <w:noWrap/>
            <w:vAlign w:val="center"/>
            <w:hideMark/>
          </w:tcPr>
          <w:p w:rsidR="00B256F7" w:rsidRPr="00CD34A0" w:rsidRDefault="00B256F7" w:rsidP="00B256F7">
            <w:pPr>
              <w:spacing w:after="0" w:line="240" w:lineRule="auto"/>
              <w:jc w:val="right"/>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5.179.909.082</w:t>
            </w:r>
          </w:p>
        </w:tc>
      </w:tr>
      <w:tr w:rsidR="00CD34A0" w:rsidRPr="00CD34A0" w:rsidTr="004469B5">
        <w:trPr>
          <w:trHeight w:val="300"/>
          <w:jc w:val="center"/>
        </w:trPr>
        <w:tc>
          <w:tcPr>
            <w:tcW w:w="3164" w:type="pct"/>
            <w:gridSpan w:val="2"/>
            <w:shd w:val="clear" w:color="auto" w:fill="0F243E" w:themeFill="text2" w:themeFillShade="80"/>
            <w:noWrap/>
            <w:vAlign w:val="center"/>
            <w:hideMark/>
          </w:tcPr>
          <w:p w:rsidR="00CD34A0" w:rsidRPr="00B256F7" w:rsidRDefault="00CD34A0" w:rsidP="00CD34A0">
            <w:pPr>
              <w:spacing w:after="0" w:line="240" w:lineRule="auto"/>
              <w:jc w:val="center"/>
              <w:rPr>
                <w:rFonts w:ascii="Bodoni MT" w:eastAsia="Times New Roman" w:hAnsi="Bodoni MT" w:cs="Calibri"/>
                <w:b/>
                <w:bCs/>
                <w:color w:val="FFFFFF" w:themeColor="background1"/>
                <w:sz w:val="18"/>
                <w:szCs w:val="18"/>
                <w:lang w:eastAsia="it-IT"/>
              </w:rPr>
            </w:pPr>
            <w:r w:rsidRPr="00B256F7">
              <w:rPr>
                <w:rFonts w:ascii="Bodoni MT" w:eastAsia="Times New Roman" w:hAnsi="Bodoni MT" w:cs="Calibri"/>
                <w:b/>
                <w:bCs/>
                <w:color w:val="FFFFFF" w:themeColor="background1"/>
                <w:sz w:val="18"/>
                <w:szCs w:val="18"/>
                <w:lang w:eastAsia="it-IT"/>
              </w:rPr>
              <w:lastRenderedPageBreak/>
              <w:t>PASSIVO</w:t>
            </w:r>
          </w:p>
        </w:tc>
        <w:tc>
          <w:tcPr>
            <w:tcW w:w="1030" w:type="pct"/>
            <w:gridSpan w:val="2"/>
            <w:shd w:val="clear" w:color="auto" w:fill="0F243E" w:themeFill="text2" w:themeFillShade="80"/>
            <w:vAlign w:val="center"/>
            <w:hideMark/>
          </w:tcPr>
          <w:p w:rsidR="00CD34A0" w:rsidRPr="00CD34A0" w:rsidRDefault="00CC1DF7" w:rsidP="00CD34A0">
            <w:pPr>
              <w:spacing w:after="0" w:line="240" w:lineRule="auto"/>
              <w:jc w:val="center"/>
              <w:rPr>
                <w:rFonts w:ascii="Bodoni MT" w:eastAsia="Times New Roman" w:hAnsi="Bodoni MT" w:cs="Calibri"/>
                <w:b/>
                <w:bCs/>
                <w:sz w:val="18"/>
                <w:szCs w:val="18"/>
                <w:lang w:eastAsia="it-IT"/>
              </w:rPr>
            </w:pPr>
            <w:r>
              <w:rPr>
                <w:rFonts w:ascii="Bodoni MT" w:eastAsia="Times New Roman" w:hAnsi="Bodoni MT" w:cs="Calibri"/>
                <w:b/>
                <w:bCs/>
                <w:sz w:val="18"/>
                <w:szCs w:val="18"/>
                <w:lang w:eastAsia="it-IT"/>
              </w:rPr>
              <w:t>31/12</w:t>
            </w:r>
            <w:r w:rsidR="00CD34A0" w:rsidRPr="00CD34A0">
              <w:rPr>
                <w:rFonts w:ascii="Bodoni MT" w:eastAsia="Times New Roman" w:hAnsi="Bodoni MT" w:cs="Calibri"/>
                <w:b/>
                <w:bCs/>
                <w:sz w:val="18"/>
                <w:szCs w:val="18"/>
                <w:lang w:eastAsia="it-IT"/>
              </w:rPr>
              <w:t>/2016</w:t>
            </w:r>
          </w:p>
        </w:tc>
        <w:tc>
          <w:tcPr>
            <w:tcW w:w="806" w:type="pct"/>
            <w:gridSpan w:val="2"/>
            <w:shd w:val="clear" w:color="auto" w:fill="0F243E" w:themeFill="text2" w:themeFillShade="80"/>
            <w:vAlign w:val="center"/>
            <w:hideMark/>
          </w:tcPr>
          <w:p w:rsidR="00CD34A0" w:rsidRPr="00CD34A0" w:rsidRDefault="00CD34A0" w:rsidP="00CD34A0">
            <w:pPr>
              <w:spacing w:after="0" w:line="240" w:lineRule="auto"/>
              <w:jc w:val="center"/>
              <w:rPr>
                <w:rFonts w:ascii="Bodoni MT" w:eastAsia="Times New Roman" w:hAnsi="Bodoni MT" w:cs="Calibri"/>
                <w:b/>
                <w:bCs/>
                <w:sz w:val="18"/>
                <w:szCs w:val="18"/>
                <w:lang w:eastAsia="it-IT"/>
              </w:rPr>
            </w:pPr>
            <w:r w:rsidRPr="00CD34A0">
              <w:rPr>
                <w:rFonts w:ascii="Bodoni MT" w:eastAsia="Times New Roman" w:hAnsi="Bodoni MT" w:cs="Calibri"/>
                <w:b/>
                <w:bCs/>
                <w:sz w:val="18"/>
                <w:szCs w:val="18"/>
                <w:lang w:eastAsia="it-IT"/>
              </w:rPr>
              <w:t>01/01/2016</w:t>
            </w:r>
          </w:p>
        </w:tc>
      </w:tr>
      <w:tr w:rsidR="00CD34A0" w:rsidRPr="00CD34A0" w:rsidTr="004469B5">
        <w:trPr>
          <w:trHeight w:val="300"/>
          <w:jc w:val="center"/>
        </w:trPr>
        <w:tc>
          <w:tcPr>
            <w:tcW w:w="3164" w:type="pct"/>
            <w:gridSpan w:val="2"/>
            <w:shd w:val="clear" w:color="auto" w:fill="0F243E" w:themeFill="text2" w:themeFillShade="80"/>
            <w:noWrap/>
            <w:vAlign w:val="bottom"/>
            <w:hideMark/>
          </w:tcPr>
          <w:p w:rsidR="00CD34A0" w:rsidRPr="00B256F7" w:rsidRDefault="00CD34A0" w:rsidP="00CD34A0">
            <w:pPr>
              <w:spacing w:after="0" w:line="240" w:lineRule="auto"/>
              <w:jc w:val="center"/>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CONTI D'ORDINE</w:t>
            </w:r>
          </w:p>
        </w:tc>
        <w:tc>
          <w:tcPr>
            <w:tcW w:w="1030" w:type="pct"/>
            <w:gridSpan w:val="2"/>
            <w:shd w:val="clear" w:color="auto" w:fill="auto"/>
            <w:noWrap/>
            <w:vAlign w:val="bottom"/>
            <w:hideMark/>
          </w:tcPr>
          <w:p w:rsidR="00CD34A0" w:rsidRPr="00CD34A0" w:rsidRDefault="00CD34A0" w:rsidP="00CD34A0">
            <w:pPr>
              <w:spacing w:after="0" w:line="240" w:lineRule="auto"/>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c>
          <w:tcPr>
            <w:tcW w:w="806" w:type="pct"/>
            <w:gridSpan w:val="2"/>
            <w:shd w:val="clear" w:color="auto" w:fill="auto"/>
            <w:noWrap/>
            <w:vAlign w:val="bottom"/>
            <w:hideMark/>
          </w:tcPr>
          <w:p w:rsidR="00CD34A0" w:rsidRPr="00CD34A0" w:rsidRDefault="00CD34A0" w:rsidP="00CD34A0">
            <w:pPr>
              <w:spacing w:after="0" w:line="240" w:lineRule="auto"/>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1) Impegni su esercizi futuri</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2.113.542.418</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2) beni di terzi in uso</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1.810.969</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3) beni dati in uso a terzi</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4) garanzie prestate a amministrazioni pubbliche</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5) garanzie prestate a imprese controllate</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6) garanzie prestate a imprese partecipate</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B256F7">
            <w:pPr>
              <w:spacing w:after="0" w:line="240" w:lineRule="auto"/>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7) garanzie prestate a altre imprese</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122.011.507</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4469B5">
        <w:trPr>
          <w:trHeight w:val="300"/>
          <w:jc w:val="center"/>
        </w:trPr>
        <w:tc>
          <w:tcPr>
            <w:tcW w:w="3164" w:type="pct"/>
            <w:gridSpan w:val="2"/>
            <w:shd w:val="clear" w:color="auto" w:fill="95B3D7" w:themeFill="accent1" w:themeFillTint="99"/>
            <w:noWrap/>
            <w:vAlign w:val="center"/>
            <w:hideMark/>
          </w:tcPr>
          <w:p w:rsidR="00CD34A0" w:rsidRPr="00B256F7" w:rsidRDefault="00CD34A0" w:rsidP="004469B5">
            <w:pPr>
              <w:spacing w:after="0" w:line="240" w:lineRule="auto"/>
              <w:jc w:val="right"/>
              <w:rPr>
                <w:rFonts w:ascii="Bodoni MT" w:eastAsia="Times New Roman" w:hAnsi="Bodoni MT" w:cs="Calibri"/>
                <w:color w:val="FFFFFF" w:themeColor="background1"/>
                <w:sz w:val="18"/>
                <w:szCs w:val="18"/>
                <w:lang w:eastAsia="it-IT"/>
              </w:rPr>
            </w:pPr>
            <w:r w:rsidRPr="00B256F7">
              <w:rPr>
                <w:rFonts w:ascii="Bodoni MT" w:eastAsia="Times New Roman" w:hAnsi="Bodoni MT" w:cs="Calibri"/>
                <w:color w:val="FFFFFF" w:themeColor="background1"/>
                <w:sz w:val="18"/>
                <w:szCs w:val="18"/>
                <w:lang w:eastAsia="it-IT"/>
              </w:rPr>
              <w:t>TOTALE CONTI D'ORDINE</w:t>
            </w:r>
          </w:p>
        </w:tc>
        <w:tc>
          <w:tcPr>
            <w:tcW w:w="1030"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b/>
                <w:bCs/>
                <w:color w:val="000000"/>
                <w:sz w:val="18"/>
                <w:szCs w:val="18"/>
                <w:lang w:eastAsia="it-IT"/>
              </w:rPr>
            </w:pPr>
            <w:r w:rsidRPr="00CD34A0">
              <w:rPr>
                <w:rFonts w:ascii="Bodoni MT" w:eastAsia="Times New Roman" w:hAnsi="Bodoni MT" w:cs="Calibri"/>
                <w:b/>
                <w:bCs/>
                <w:color w:val="000000"/>
                <w:sz w:val="18"/>
                <w:szCs w:val="18"/>
                <w:lang w:eastAsia="it-IT"/>
              </w:rPr>
              <w:t>2.237.364.894</w:t>
            </w:r>
          </w:p>
        </w:tc>
        <w:tc>
          <w:tcPr>
            <w:tcW w:w="806" w:type="pct"/>
            <w:gridSpan w:val="2"/>
            <w:shd w:val="clear" w:color="auto" w:fill="auto"/>
            <w:noWrap/>
            <w:vAlign w:val="bottom"/>
            <w:hideMark/>
          </w:tcPr>
          <w:p w:rsidR="00CD34A0" w:rsidRPr="00CD34A0" w:rsidRDefault="00CD34A0" w:rsidP="00CD34A0">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bl>
    <w:p w:rsidR="00CD34A0" w:rsidRPr="00B256F7"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B256F7">
        <w:rPr>
          <w:rFonts w:ascii="Bodoni MT" w:eastAsia="Times New Roman" w:hAnsi="Bodoni MT" w:cs="Bodoni MT"/>
          <w:color w:val="000000"/>
          <w:sz w:val="18"/>
          <w:szCs w:val="18"/>
        </w:rPr>
        <w:t>Fonte RAS Rendiconto sulla gestione 2016 – Allegato 3.1</w:t>
      </w:r>
    </w:p>
    <w:p w:rsidR="00CD34A0" w:rsidRPr="00CD34A0" w:rsidRDefault="000303DB" w:rsidP="00B12E35">
      <w:pPr>
        <w:pStyle w:val="Titolo3"/>
        <w:rPr>
          <w:rFonts w:eastAsia="Times New Roman"/>
        </w:rPr>
      </w:pPr>
      <w:r>
        <w:rPr>
          <w:rFonts w:eastAsia="Times New Roman"/>
        </w:rPr>
        <w:t xml:space="preserve"> </w:t>
      </w:r>
      <w:bookmarkStart w:id="361" w:name="_Toc507422696"/>
      <w:r w:rsidR="00C3327F" w:rsidRPr="00CD34A0">
        <w:rPr>
          <w:rFonts w:eastAsia="Times New Roman"/>
        </w:rPr>
        <w:t xml:space="preserve">Gli </w:t>
      </w:r>
      <w:r w:rsidR="00C3327F">
        <w:rPr>
          <w:rFonts w:eastAsia="Times New Roman"/>
        </w:rPr>
        <w:t>elementi patrimoniali dell’</w:t>
      </w:r>
      <w:r w:rsidR="00C3327F" w:rsidRPr="00CD34A0">
        <w:rPr>
          <w:rFonts w:eastAsia="Times New Roman"/>
        </w:rPr>
        <w:t>attivo</w:t>
      </w:r>
      <w:bookmarkEnd w:id="361"/>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Il totale delle attività è pari a </w:t>
      </w:r>
      <w:r w:rsidRPr="004469B5">
        <w:rPr>
          <w:rFonts w:ascii="Bodoni MT" w:eastAsia="Times New Roman" w:hAnsi="Bodoni MT" w:cs="Bodoni MT"/>
          <w:b/>
          <w:iCs/>
          <w:color w:val="000000"/>
          <w:sz w:val="24"/>
          <w:szCs w:val="24"/>
        </w:rPr>
        <w:t>€</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b/>
          <w:bCs/>
          <w:iCs/>
          <w:color w:val="000000"/>
          <w:sz w:val="24"/>
          <w:szCs w:val="24"/>
        </w:rPr>
        <w:t>5.988.978.619.</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iCs/>
          <w:color w:val="000000"/>
          <w:sz w:val="24"/>
          <w:szCs w:val="24"/>
          <w:u w:val="single"/>
        </w:rPr>
      </w:pPr>
      <w:r w:rsidRPr="00302EFC">
        <w:rPr>
          <w:rFonts w:ascii="Bodoni MT" w:eastAsia="Times New Roman" w:hAnsi="Bodoni MT" w:cs="Bodoni MT"/>
          <w:b/>
          <w:bCs/>
          <w:iCs/>
          <w:color w:val="000000"/>
          <w:sz w:val="24"/>
          <w:szCs w:val="24"/>
        </w:rPr>
        <w:t>A) Crediti verso partecipanti.</w:t>
      </w:r>
      <w:r w:rsidR="00302EFC">
        <w:rPr>
          <w:rFonts w:ascii="Bodoni MT" w:eastAsia="Times New Roman" w:hAnsi="Bodoni MT" w:cs="Bodoni MT"/>
          <w:b/>
          <w:bCs/>
          <w:iCs/>
          <w:color w:val="000000"/>
          <w:sz w:val="24"/>
          <w:szCs w:val="24"/>
        </w:rPr>
        <w:t xml:space="preserve"> </w:t>
      </w:r>
      <w:r w:rsidRPr="00CD34A0">
        <w:rPr>
          <w:rFonts w:ascii="Bodoni MT" w:eastAsia="Times New Roman" w:hAnsi="Bodoni MT" w:cs="Bodoni MT"/>
          <w:bCs/>
          <w:iCs/>
          <w:color w:val="000000"/>
          <w:sz w:val="24"/>
          <w:szCs w:val="24"/>
        </w:rPr>
        <w:t>Non si registrano crediti</w:t>
      </w:r>
      <w:r w:rsidRPr="00CD34A0">
        <w:rPr>
          <w:rFonts w:ascii="Bodoni MT" w:eastAsia="Times New Roman" w:hAnsi="Bodoni MT" w:cs="Bodoni MT"/>
          <w:b/>
          <w:bCs/>
          <w:iCs/>
          <w:color w:val="000000"/>
          <w:sz w:val="24"/>
          <w:szCs w:val="24"/>
        </w:rPr>
        <w:t xml:space="preserve"> </w:t>
      </w:r>
      <w:r w:rsidRPr="00CD34A0">
        <w:rPr>
          <w:rFonts w:ascii="Bodoni MT" w:eastAsia="Times New Roman" w:hAnsi="Bodoni MT" w:cs="Bodoni MT"/>
          <w:bCs/>
          <w:iCs/>
          <w:color w:val="000000"/>
          <w:sz w:val="24"/>
          <w:szCs w:val="24"/>
        </w:rPr>
        <w:t>verso</w:t>
      </w:r>
      <w:r w:rsidRPr="00CD34A0">
        <w:rPr>
          <w:rFonts w:ascii="Bodoni MT" w:eastAsia="Times New Roman" w:hAnsi="Bodoni MT" w:cs="Bodoni MT"/>
          <w:b/>
          <w:bCs/>
          <w:iCs/>
          <w:color w:val="000000"/>
          <w:sz w:val="24"/>
          <w:szCs w:val="24"/>
        </w:rPr>
        <w:t xml:space="preserve"> </w:t>
      </w:r>
      <w:r w:rsidRPr="00CD34A0">
        <w:rPr>
          <w:rFonts w:ascii="Bodoni MT" w:eastAsia="Times New Roman" w:hAnsi="Bodoni MT" w:cs="Bodoni MT"/>
          <w:bCs/>
          <w:iCs/>
          <w:color w:val="000000"/>
          <w:sz w:val="24"/>
          <w:szCs w:val="24"/>
        </w:rPr>
        <w:t>lo Stato ed altre amministrazioni pubbliche per la partecipazione al fondo di dotazione.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bCs/>
          <w:iCs/>
          <w:color w:val="000000"/>
          <w:sz w:val="24"/>
          <w:szCs w:val="24"/>
        </w:rPr>
      </w:pPr>
      <w:r w:rsidRPr="00CD34A0">
        <w:rPr>
          <w:rFonts w:ascii="Bodoni MT" w:eastAsia="Times New Roman" w:hAnsi="Bodoni MT" w:cs="Bodoni MT"/>
          <w:b/>
          <w:iCs/>
          <w:color w:val="000000"/>
          <w:sz w:val="24"/>
          <w:szCs w:val="24"/>
        </w:rPr>
        <w:t>B)</w:t>
      </w:r>
      <w:r w:rsidRPr="00CD34A0">
        <w:rPr>
          <w:rFonts w:ascii="Bodoni MT" w:eastAsia="Times New Roman" w:hAnsi="Bodoni MT" w:cs="Bodoni MT"/>
          <w:b/>
          <w:iCs/>
          <w:color w:val="000000"/>
          <w:sz w:val="24"/>
          <w:szCs w:val="24"/>
          <w:u w:val="single"/>
        </w:rPr>
        <w:tab/>
      </w:r>
      <w:r w:rsidRPr="00302EFC">
        <w:rPr>
          <w:rFonts w:ascii="Bodoni MT" w:eastAsia="Times New Roman" w:hAnsi="Bodoni MT" w:cs="Bodoni MT"/>
          <w:b/>
          <w:iCs/>
          <w:color w:val="000000"/>
          <w:sz w:val="24"/>
          <w:szCs w:val="24"/>
        </w:rPr>
        <w:t xml:space="preserve"> Le immobilizzazioni.</w:t>
      </w:r>
      <w:r w:rsidR="00302EFC">
        <w:rPr>
          <w:rFonts w:ascii="Bodoni MT" w:eastAsia="Times New Roman" w:hAnsi="Bodoni MT" w:cs="Bodoni MT"/>
          <w:b/>
          <w:iCs/>
          <w:color w:val="000000"/>
          <w:sz w:val="24"/>
          <w:szCs w:val="24"/>
        </w:rPr>
        <w:t xml:space="preserve"> </w:t>
      </w:r>
      <w:r w:rsidRPr="00CD34A0">
        <w:rPr>
          <w:rFonts w:ascii="Bodoni MT" w:eastAsia="Times New Roman" w:hAnsi="Bodoni MT" w:cs="Bodoni MT"/>
          <w:b/>
          <w:iCs/>
          <w:color w:val="000000"/>
          <w:sz w:val="24"/>
          <w:szCs w:val="24"/>
        </w:rPr>
        <w:t>Le immobilizzazioni</w:t>
      </w:r>
      <w:r w:rsidRPr="00CD34A0">
        <w:rPr>
          <w:rFonts w:ascii="Bodoni MT" w:eastAsia="Times New Roman" w:hAnsi="Bodoni MT" w:cs="Bodoni MT"/>
          <w:iCs/>
          <w:color w:val="000000"/>
          <w:sz w:val="24"/>
          <w:szCs w:val="24"/>
        </w:rPr>
        <w:t>, al netto dei relativi fondi di ammortamento, ammontano a € 3.642.122.018, in aumento rispetto al valore iniziale (</w:t>
      </w:r>
      <w:r w:rsidRPr="00B12E35">
        <w:rPr>
          <w:rFonts w:ascii="Bodoni MT" w:eastAsia="Times New Roman" w:hAnsi="Bodoni MT" w:cs="Bodoni MT"/>
          <w:b/>
          <w:iCs/>
          <w:color w:val="000000"/>
          <w:sz w:val="24"/>
          <w:szCs w:val="24"/>
        </w:rPr>
        <w:t>€</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b/>
          <w:bCs/>
          <w:iCs/>
          <w:color w:val="000000"/>
          <w:sz w:val="24"/>
          <w:szCs w:val="24"/>
        </w:rPr>
        <w:t>3.465.498.889</w:t>
      </w:r>
      <w:r w:rsidRPr="00CD34A0">
        <w:rPr>
          <w:rFonts w:ascii="Bodoni MT" w:eastAsia="Times New Roman" w:hAnsi="Bodoni MT" w:cs="Bodoni MT"/>
          <w:iCs/>
          <w:color w:val="000000"/>
          <w:sz w:val="24"/>
          <w:szCs w:val="24"/>
        </w:rPr>
        <w:t xml:space="preserve">), e sono rappresentate da immobilizzazioni immateriali per </w:t>
      </w:r>
      <w:r w:rsidRPr="003401A5">
        <w:rPr>
          <w:rFonts w:ascii="Bodoni MT" w:eastAsia="Times New Roman" w:hAnsi="Bodoni MT" w:cs="Bodoni MT"/>
          <w:b/>
          <w:iCs/>
          <w:color w:val="000000"/>
          <w:sz w:val="24"/>
          <w:szCs w:val="24"/>
        </w:rPr>
        <w:t>€</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b/>
          <w:bCs/>
          <w:iCs/>
          <w:color w:val="000000"/>
          <w:sz w:val="24"/>
          <w:szCs w:val="24"/>
        </w:rPr>
        <w:t>62.649.970</w:t>
      </w:r>
      <w:r w:rsidRPr="00CD34A0">
        <w:rPr>
          <w:rFonts w:ascii="Bodoni MT" w:eastAsia="Times New Roman" w:hAnsi="Bodoni MT" w:cs="Bodoni MT"/>
          <w:iCs/>
          <w:color w:val="000000"/>
          <w:sz w:val="24"/>
          <w:szCs w:val="24"/>
        </w:rPr>
        <w:t xml:space="preserve">, da immobilizzazioni materiali per </w:t>
      </w:r>
      <w:r w:rsidRPr="003401A5">
        <w:rPr>
          <w:rFonts w:ascii="Bodoni MT" w:eastAsia="Times New Roman" w:hAnsi="Bodoni MT" w:cs="Bodoni MT"/>
          <w:b/>
          <w:iCs/>
          <w:color w:val="000000"/>
          <w:sz w:val="24"/>
          <w:szCs w:val="24"/>
        </w:rPr>
        <w:t>€</w:t>
      </w:r>
      <w:r w:rsidRPr="00CD34A0">
        <w:rPr>
          <w:rFonts w:ascii="Bodoni MT" w:eastAsia="Times New Roman" w:hAnsi="Bodoni MT" w:cs="Bodoni MT"/>
          <w:iCs/>
          <w:color w:val="000000"/>
          <w:sz w:val="24"/>
          <w:szCs w:val="24"/>
        </w:rPr>
        <w:t xml:space="preserve"> </w:t>
      </w:r>
      <w:r w:rsidRPr="00CD34A0">
        <w:rPr>
          <w:rFonts w:ascii="Bodoni MT" w:eastAsia="Times New Roman" w:hAnsi="Bodoni MT" w:cs="Bodoni MT"/>
          <w:b/>
          <w:bCs/>
          <w:iCs/>
          <w:color w:val="000000"/>
          <w:sz w:val="24"/>
          <w:szCs w:val="24"/>
        </w:rPr>
        <w:t xml:space="preserve">1.800.700.901 </w:t>
      </w:r>
      <w:r w:rsidRPr="00CD34A0">
        <w:rPr>
          <w:rFonts w:ascii="Bodoni MT" w:eastAsia="Times New Roman" w:hAnsi="Bodoni MT" w:cs="Bodoni MT"/>
          <w:iCs/>
          <w:color w:val="000000"/>
          <w:sz w:val="24"/>
          <w:szCs w:val="24"/>
        </w:rPr>
        <w:t xml:space="preserve">e da immobilizzazioni finanziarie per </w:t>
      </w:r>
      <w:r w:rsidRPr="003401A5">
        <w:rPr>
          <w:rFonts w:ascii="Bodoni MT" w:eastAsia="Times New Roman" w:hAnsi="Bodoni MT" w:cs="Bodoni MT"/>
          <w:b/>
          <w:iCs/>
          <w:color w:val="000000"/>
          <w:sz w:val="24"/>
          <w:szCs w:val="24"/>
        </w:rPr>
        <w:t>€</w:t>
      </w:r>
      <w:r w:rsidRPr="003401A5">
        <w:rPr>
          <w:rFonts w:ascii="Bodoni MT" w:eastAsia="Times New Roman" w:hAnsi="Bodoni MT" w:cs="Calibri"/>
          <w:b/>
          <w:bCs/>
          <w:color w:val="000000"/>
          <w:sz w:val="18"/>
          <w:szCs w:val="18"/>
          <w:lang w:eastAsia="it-IT"/>
        </w:rPr>
        <w:t xml:space="preserve"> </w:t>
      </w:r>
      <w:r w:rsidR="00B12E35">
        <w:rPr>
          <w:rFonts w:ascii="Bodoni MT" w:eastAsia="Times New Roman" w:hAnsi="Bodoni MT" w:cs="Bodoni MT"/>
          <w:b/>
          <w:bCs/>
          <w:iCs/>
          <w:color w:val="000000"/>
          <w:sz w:val="24"/>
          <w:szCs w:val="24"/>
        </w:rPr>
        <w:t>1.778.771.147</w:t>
      </w:r>
      <w:r w:rsidRPr="00CD34A0">
        <w:rPr>
          <w:rFonts w:ascii="Bodoni MT" w:eastAsia="Times New Roman" w:hAnsi="Bodoni MT" w:cs="Bodoni MT"/>
          <w:b/>
          <w:bCs/>
          <w:iCs/>
          <w:color w:val="000000"/>
          <w:sz w:val="24"/>
          <w:szCs w:val="24"/>
        </w:rPr>
        <w:t xml:space="preserve">.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Cs/>
          <w:iCs/>
          <w:color w:val="000000"/>
          <w:sz w:val="24"/>
          <w:szCs w:val="24"/>
        </w:rPr>
        <w:t xml:space="preserve">Merita apposito approfondimento la voce di </w:t>
      </w:r>
      <w:r w:rsidRPr="00CD34A0">
        <w:rPr>
          <w:rFonts w:ascii="Bodoni MT" w:eastAsia="Times New Roman" w:hAnsi="Bodoni MT" w:cs="Bodoni MT"/>
          <w:b/>
          <w:bCs/>
          <w:iCs/>
          <w:color w:val="000000"/>
          <w:sz w:val="24"/>
          <w:szCs w:val="24"/>
        </w:rPr>
        <w:t>partecipazione in “altri soggetti</w:t>
      </w:r>
      <w:r w:rsidRPr="00CD34A0">
        <w:rPr>
          <w:rFonts w:ascii="Bodoni MT" w:eastAsia="Times New Roman" w:hAnsi="Bodoni MT" w:cs="Bodoni MT"/>
          <w:bCs/>
          <w:iCs/>
          <w:color w:val="000000"/>
          <w:sz w:val="24"/>
          <w:szCs w:val="24"/>
        </w:rPr>
        <w:t>” oltre alle partecipazioni in imprese ed in società, perché rappresen</w:t>
      </w:r>
      <w:r w:rsidR="00B12E35">
        <w:rPr>
          <w:rFonts w:ascii="Bodoni MT" w:eastAsia="Times New Roman" w:hAnsi="Bodoni MT" w:cs="Bodoni MT"/>
          <w:bCs/>
          <w:iCs/>
          <w:color w:val="000000"/>
          <w:sz w:val="24"/>
          <w:szCs w:val="24"/>
        </w:rPr>
        <w:t>ta l’importo più significativo pari a € </w:t>
      </w:r>
      <w:r w:rsidRPr="00CD34A0">
        <w:rPr>
          <w:rFonts w:ascii="Bodoni MT" w:eastAsia="Times New Roman" w:hAnsi="Bodoni MT" w:cs="Bodoni MT"/>
          <w:bCs/>
          <w:iCs/>
          <w:color w:val="000000"/>
          <w:sz w:val="24"/>
          <w:szCs w:val="24"/>
        </w:rPr>
        <w:t>1.125.862.569)</w:t>
      </w:r>
      <w:r w:rsidRPr="00CD34A0">
        <w:rPr>
          <w:rFonts w:ascii="Bodoni MT" w:eastAsia="Times New Roman" w:hAnsi="Bodoni MT" w:cs="Bodoni MT"/>
          <w:iCs/>
          <w:color w:val="000000"/>
          <w:sz w:val="24"/>
          <w:szCs w:val="24"/>
        </w:rPr>
        <w:t xml:space="preserve">.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b/>
          <w:iCs/>
          <w:color w:val="000000"/>
          <w:sz w:val="24"/>
          <w:szCs w:val="24"/>
        </w:rPr>
        <w:t>Le immobilizzazioni immateriali</w:t>
      </w:r>
      <w:r w:rsidRPr="00CD34A0">
        <w:rPr>
          <w:rFonts w:ascii="Bodoni MT" w:eastAsia="Times New Roman" w:hAnsi="Bodoni MT" w:cs="Bodoni MT"/>
          <w:iCs/>
          <w:color w:val="000000"/>
          <w:sz w:val="24"/>
          <w:szCs w:val="24"/>
        </w:rPr>
        <w:t>. Per quanto concerne i criteri adottati per la valutazione degli elementi patrimoniali, si precisa che le</w:t>
      </w:r>
      <w:r w:rsidRPr="00CD34A0">
        <w:rPr>
          <w:rFonts w:ascii="Bodoni MT" w:eastAsia="Times New Roman" w:hAnsi="Bodoni MT" w:cs="Bodoni MT"/>
          <w:b/>
          <w:iCs/>
          <w:color w:val="000000"/>
          <w:sz w:val="24"/>
          <w:szCs w:val="24"/>
        </w:rPr>
        <w:t xml:space="preserve"> immobilizzazioni immateriali</w:t>
      </w:r>
      <w:r w:rsidRPr="00CD34A0">
        <w:rPr>
          <w:rFonts w:ascii="Bodoni MT" w:eastAsia="Times New Roman" w:hAnsi="Bodoni MT" w:cs="Bodoni MT"/>
          <w:iCs/>
          <w:color w:val="000000"/>
          <w:sz w:val="24"/>
          <w:szCs w:val="24"/>
        </w:rPr>
        <w:t>, costituite da oneri pluriennali di vario genere, sono state oggetto di specifica ricostruzione, considerando unicamente le spese in conto capitale sostenute per il loro acquisto avvenute nei precedenti 5 esercizi. Ciò in quanto l’aliquota di ammortamento adottata è del 20% annuo ed il valore netto contabile al termine del quinto anno di vita risulta pari a zero. Il valore di ricostruzione, dato dal costo storico al netto del fondo di ammortamento accantonato, esprime in bilancio il valore residuo contabile.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Il trattamento differente rispetto alle immobilizzazioni materiali, dove la ricostruzione ha interessato il singolo bene, è dovuto alle caratteristiche di intangibilità (non sono soggette ad </w:t>
      </w:r>
      <w:r w:rsidRPr="00CD34A0">
        <w:rPr>
          <w:rFonts w:ascii="Bodoni MT" w:eastAsia="Times New Roman" w:hAnsi="Bodoni MT" w:cs="Bodoni MT"/>
          <w:iCs/>
          <w:color w:val="000000"/>
          <w:sz w:val="24"/>
          <w:szCs w:val="24"/>
        </w:rPr>
        <w:lastRenderedPageBreak/>
        <w:t>individuazione fisica, etichettatura, etc.) ed in questo contesto</w:t>
      </w:r>
      <w:r w:rsidRPr="00CD34A0">
        <w:rPr>
          <w:rFonts w:ascii="Bodoni MT" w:eastAsia="Times New Roman" w:hAnsi="Bodoni MT" w:cs="Bodoni MT"/>
          <w:i/>
          <w:iCs/>
          <w:color w:val="000000"/>
          <w:sz w:val="24"/>
          <w:szCs w:val="24"/>
        </w:rPr>
        <w:t>, “è stata data prevalenza all’aspetto sostanziale, non rilevando beni immateriali completamente ammortizzati</w:t>
      </w:r>
      <w:r w:rsidRPr="00CD34A0">
        <w:rPr>
          <w:rFonts w:ascii="Bodoni MT" w:eastAsia="Times New Roman" w:hAnsi="Bodoni MT" w:cs="Bodoni MT"/>
          <w:iCs/>
          <w:color w:val="000000"/>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Cs/>
          <w:color w:val="000000"/>
          <w:sz w:val="24"/>
          <w:szCs w:val="24"/>
        </w:rPr>
      </w:pPr>
      <w:r w:rsidRPr="00CD34A0">
        <w:rPr>
          <w:rFonts w:ascii="Bodoni MT" w:eastAsia="Times New Roman" w:hAnsi="Bodoni MT" w:cs="Bodoni MT"/>
          <w:iCs/>
          <w:color w:val="000000"/>
          <w:sz w:val="24"/>
          <w:szCs w:val="24"/>
        </w:rPr>
        <w:t xml:space="preserve">Il loro valore </w:t>
      </w:r>
      <w:r w:rsidRPr="00CD34A0">
        <w:rPr>
          <w:rFonts w:ascii="Bodoni MT" w:eastAsia="Times New Roman" w:hAnsi="Bodoni MT" w:cs="Bodoni MT"/>
          <w:b/>
          <w:iCs/>
          <w:color w:val="000000"/>
          <w:sz w:val="24"/>
          <w:szCs w:val="24"/>
        </w:rPr>
        <w:t>si discosta dal valore iscritto nel conto del patrimonio</w:t>
      </w:r>
      <w:r w:rsidRPr="00CD34A0">
        <w:rPr>
          <w:rFonts w:ascii="Bodoni MT" w:eastAsia="Times New Roman" w:hAnsi="Bodoni MT" w:cs="Bodoni MT"/>
          <w:iCs/>
          <w:color w:val="000000"/>
          <w:sz w:val="24"/>
          <w:szCs w:val="24"/>
        </w:rPr>
        <w:t xml:space="preserve"> in quanto la nuova valorizzazione è avvenuta al costo storico, al netto del fondo di ammortamento.</w:t>
      </w:r>
    </w:p>
    <w:p w:rsidR="00B12E35" w:rsidRDefault="00B12E35" w:rsidP="00B12E35">
      <w:pPr>
        <w:pStyle w:val="Didascalia"/>
        <w:keepNext/>
      </w:pPr>
      <w:bookmarkStart w:id="362" w:name="_Toc507422569"/>
      <w:r>
        <w:t xml:space="preserve">Tabella </w:t>
      </w:r>
      <w:r w:rsidR="00B90472">
        <w:fldChar w:fldCharType="begin"/>
      </w:r>
      <w:r w:rsidR="00B90472">
        <w:instrText xml:space="preserve"> SEQ Tabella \* ARABIC </w:instrText>
      </w:r>
      <w:r w:rsidR="00B90472">
        <w:fldChar w:fldCharType="separate"/>
      </w:r>
      <w:r w:rsidR="008616B3">
        <w:rPr>
          <w:noProof/>
        </w:rPr>
        <w:t>101</w:t>
      </w:r>
      <w:r w:rsidR="00B90472">
        <w:rPr>
          <w:noProof/>
        </w:rPr>
        <w:fldChar w:fldCharType="end"/>
      </w:r>
      <w:r>
        <w:t xml:space="preserve"> – Immobilizzazioni immateriali</w:t>
      </w:r>
      <w:bookmarkEnd w:id="3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4"/>
        <w:gridCol w:w="1246"/>
        <w:gridCol w:w="1246"/>
        <w:gridCol w:w="1240"/>
        <w:gridCol w:w="1042"/>
      </w:tblGrid>
      <w:tr w:rsidR="00B12E35" w:rsidRPr="00B12E35" w:rsidTr="00B12E35">
        <w:trPr>
          <w:trHeight w:val="300"/>
          <w:jc w:val="center"/>
        </w:trPr>
        <w:tc>
          <w:tcPr>
            <w:tcW w:w="2559" w:type="pct"/>
            <w:shd w:val="clear" w:color="auto" w:fill="0F243E" w:themeFill="text2" w:themeFillShade="80"/>
            <w:noWrap/>
            <w:vAlign w:val="bottom"/>
            <w:hideMark/>
          </w:tcPr>
          <w:p w:rsidR="00CD34A0" w:rsidRPr="00B12E35" w:rsidRDefault="00B12E35" w:rsidP="00CD34A0">
            <w:pPr>
              <w:spacing w:after="0" w:line="240" w:lineRule="auto"/>
              <w:jc w:val="center"/>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 xml:space="preserve">VOCI </w:t>
            </w:r>
          </w:p>
        </w:tc>
        <w:tc>
          <w:tcPr>
            <w:tcW w:w="637" w:type="pct"/>
            <w:shd w:val="clear" w:color="auto" w:fill="0F243E" w:themeFill="text2" w:themeFillShade="80"/>
            <w:noWrap/>
            <w:vAlign w:val="bottom"/>
            <w:hideMark/>
          </w:tcPr>
          <w:p w:rsidR="00CD34A0" w:rsidRPr="00B12E35" w:rsidRDefault="00B12E35" w:rsidP="00CD34A0">
            <w:pPr>
              <w:spacing w:after="0" w:line="240" w:lineRule="auto"/>
              <w:jc w:val="center"/>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31/12/2016</w:t>
            </w:r>
          </w:p>
        </w:tc>
        <w:tc>
          <w:tcPr>
            <w:tcW w:w="637" w:type="pct"/>
            <w:shd w:val="clear" w:color="auto" w:fill="0F243E" w:themeFill="text2" w:themeFillShade="80"/>
            <w:noWrap/>
            <w:vAlign w:val="bottom"/>
            <w:hideMark/>
          </w:tcPr>
          <w:p w:rsidR="00CD34A0" w:rsidRPr="00B12E35" w:rsidRDefault="00B12E35" w:rsidP="00CD34A0">
            <w:pPr>
              <w:spacing w:after="0" w:line="240" w:lineRule="auto"/>
              <w:jc w:val="center"/>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31/12/2015</w:t>
            </w:r>
          </w:p>
        </w:tc>
        <w:tc>
          <w:tcPr>
            <w:tcW w:w="634" w:type="pct"/>
            <w:shd w:val="clear" w:color="auto" w:fill="0F243E" w:themeFill="text2" w:themeFillShade="80"/>
            <w:noWrap/>
            <w:vAlign w:val="bottom"/>
            <w:hideMark/>
          </w:tcPr>
          <w:p w:rsidR="00CD34A0" w:rsidRPr="00B12E35" w:rsidRDefault="00B12E35" w:rsidP="00CD34A0">
            <w:pPr>
              <w:spacing w:after="0" w:line="240" w:lineRule="auto"/>
              <w:jc w:val="center"/>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VAR</w:t>
            </w:r>
          </w:p>
        </w:tc>
        <w:tc>
          <w:tcPr>
            <w:tcW w:w="533" w:type="pct"/>
            <w:shd w:val="clear" w:color="auto" w:fill="0F243E" w:themeFill="text2" w:themeFillShade="80"/>
            <w:noWrap/>
            <w:vAlign w:val="bottom"/>
            <w:hideMark/>
          </w:tcPr>
          <w:p w:rsidR="00CD34A0" w:rsidRPr="00B12E35" w:rsidRDefault="00B12E35" w:rsidP="00CD34A0">
            <w:pPr>
              <w:spacing w:after="0" w:line="240" w:lineRule="auto"/>
              <w:jc w:val="center"/>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VAR%</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1 Costi di impianto e di ampliamento</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 xml:space="preserve">2 Costi di ricerca sviluppo e pubblicità </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 xml:space="preserve">3 Diritti di brevetto e utilizz.opere ingegno </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12.515.434</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14.491.003</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-1.975.570</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-14%</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4 Concessioni, licenze, marchi e diritti simili</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5 Avviamento</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0</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 xml:space="preserve">6 Immobilizzazioni in corso ed acconti </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47.569.001</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3.315.053</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44.253.948</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1335%</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color w:val="FFFFFF" w:themeColor="background1"/>
                <w:sz w:val="20"/>
                <w:szCs w:val="20"/>
                <w:lang w:eastAsia="it-IT"/>
              </w:rPr>
            </w:pPr>
            <w:r w:rsidRPr="00B12E35">
              <w:rPr>
                <w:rFonts w:ascii="Bodoni MT" w:eastAsia="Times New Roman" w:hAnsi="Bodoni MT" w:cs="Calibri"/>
                <w:color w:val="FFFFFF" w:themeColor="background1"/>
                <w:sz w:val="20"/>
                <w:szCs w:val="20"/>
                <w:lang w:eastAsia="it-IT"/>
              </w:rPr>
              <w:t xml:space="preserve">9 Altre </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2.565.535</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4.690.871</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-2.125.336</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color w:val="000000"/>
                <w:sz w:val="20"/>
                <w:szCs w:val="20"/>
                <w:lang w:eastAsia="it-IT"/>
              </w:rPr>
            </w:pPr>
            <w:r w:rsidRPr="00B12E35">
              <w:rPr>
                <w:rFonts w:eastAsia="Times New Roman" w:cstheme="minorHAnsi"/>
                <w:color w:val="000000"/>
                <w:sz w:val="20"/>
                <w:szCs w:val="20"/>
                <w:lang w:eastAsia="it-IT"/>
              </w:rPr>
              <w:t>-45%</w:t>
            </w:r>
          </w:p>
        </w:tc>
      </w:tr>
      <w:tr w:rsidR="00CD34A0" w:rsidRPr="00B12E35" w:rsidTr="004469B5">
        <w:trPr>
          <w:trHeight w:val="300"/>
          <w:jc w:val="center"/>
        </w:trPr>
        <w:tc>
          <w:tcPr>
            <w:tcW w:w="2559" w:type="pct"/>
            <w:shd w:val="clear" w:color="auto" w:fill="95B3D7" w:themeFill="accent1" w:themeFillTint="99"/>
            <w:noWrap/>
            <w:vAlign w:val="center"/>
            <w:hideMark/>
          </w:tcPr>
          <w:p w:rsidR="00CD34A0" w:rsidRPr="00B12E35" w:rsidRDefault="00CD34A0" w:rsidP="004469B5">
            <w:pPr>
              <w:spacing w:after="0" w:line="240" w:lineRule="auto"/>
              <w:rPr>
                <w:rFonts w:ascii="Bodoni MT" w:eastAsia="Times New Roman" w:hAnsi="Bodoni MT" w:cs="Calibri"/>
                <w:b/>
                <w:bCs/>
                <w:color w:val="FFFFFF" w:themeColor="background1"/>
                <w:sz w:val="20"/>
                <w:szCs w:val="20"/>
                <w:lang w:eastAsia="it-IT"/>
              </w:rPr>
            </w:pPr>
            <w:r w:rsidRPr="00B12E35">
              <w:rPr>
                <w:rFonts w:ascii="Bodoni MT" w:eastAsia="Times New Roman" w:hAnsi="Bodoni MT" w:cs="Calibri"/>
                <w:b/>
                <w:bCs/>
                <w:color w:val="FFFFFF" w:themeColor="background1"/>
                <w:sz w:val="20"/>
                <w:szCs w:val="20"/>
                <w:lang w:eastAsia="it-IT"/>
              </w:rPr>
              <w:t xml:space="preserve">Totale immobilizzazioni immateriali </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b/>
                <w:bCs/>
                <w:color w:val="000000"/>
                <w:sz w:val="20"/>
                <w:szCs w:val="20"/>
                <w:lang w:eastAsia="it-IT"/>
              </w:rPr>
            </w:pPr>
            <w:r w:rsidRPr="00B12E35">
              <w:rPr>
                <w:rFonts w:eastAsia="Times New Roman" w:cstheme="minorHAnsi"/>
                <w:b/>
                <w:bCs/>
                <w:color w:val="000000"/>
                <w:sz w:val="20"/>
                <w:szCs w:val="20"/>
                <w:lang w:eastAsia="it-IT"/>
              </w:rPr>
              <w:t>62.649.970</w:t>
            </w:r>
          </w:p>
        </w:tc>
        <w:tc>
          <w:tcPr>
            <w:tcW w:w="637" w:type="pct"/>
            <w:shd w:val="clear" w:color="auto" w:fill="auto"/>
            <w:noWrap/>
            <w:vAlign w:val="center"/>
            <w:hideMark/>
          </w:tcPr>
          <w:p w:rsidR="00CD34A0" w:rsidRPr="00B12E35" w:rsidRDefault="00CD34A0" w:rsidP="00B12E35">
            <w:pPr>
              <w:spacing w:after="0" w:line="240" w:lineRule="auto"/>
              <w:jc w:val="right"/>
              <w:rPr>
                <w:rFonts w:eastAsia="Times New Roman" w:cstheme="minorHAnsi"/>
                <w:b/>
                <w:bCs/>
                <w:color w:val="000000"/>
                <w:sz w:val="20"/>
                <w:szCs w:val="20"/>
                <w:lang w:eastAsia="it-IT"/>
              </w:rPr>
            </w:pPr>
            <w:r w:rsidRPr="00B12E35">
              <w:rPr>
                <w:rFonts w:eastAsia="Times New Roman" w:cstheme="minorHAnsi"/>
                <w:b/>
                <w:bCs/>
                <w:color w:val="000000"/>
                <w:sz w:val="20"/>
                <w:szCs w:val="20"/>
                <w:lang w:eastAsia="it-IT"/>
              </w:rPr>
              <w:t>22.496.927</w:t>
            </w:r>
          </w:p>
        </w:tc>
        <w:tc>
          <w:tcPr>
            <w:tcW w:w="634" w:type="pct"/>
            <w:shd w:val="clear" w:color="auto" w:fill="auto"/>
            <w:noWrap/>
            <w:vAlign w:val="center"/>
            <w:hideMark/>
          </w:tcPr>
          <w:p w:rsidR="00CD34A0" w:rsidRPr="00B12E35" w:rsidRDefault="00CD34A0" w:rsidP="00B12E35">
            <w:pPr>
              <w:spacing w:after="0" w:line="240" w:lineRule="auto"/>
              <w:jc w:val="right"/>
              <w:rPr>
                <w:rFonts w:eastAsia="Times New Roman" w:cstheme="minorHAnsi"/>
                <w:b/>
                <w:bCs/>
                <w:color w:val="000000"/>
                <w:sz w:val="20"/>
                <w:szCs w:val="20"/>
                <w:lang w:eastAsia="it-IT"/>
              </w:rPr>
            </w:pPr>
            <w:r w:rsidRPr="00B12E35">
              <w:rPr>
                <w:rFonts w:eastAsia="Times New Roman" w:cstheme="minorHAnsi"/>
                <w:b/>
                <w:bCs/>
                <w:color w:val="000000"/>
                <w:sz w:val="20"/>
                <w:szCs w:val="20"/>
                <w:lang w:eastAsia="it-IT"/>
              </w:rPr>
              <w:t>40.153.043</w:t>
            </w:r>
          </w:p>
        </w:tc>
        <w:tc>
          <w:tcPr>
            <w:tcW w:w="533" w:type="pct"/>
            <w:shd w:val="clear" w:color="auto" w:fill="auto"/>
            <w:noWrap/>
            <w:vAlign w:val="center"/>
            <w:hideMark/>
          </w:tcPr>
          <w:p w:rsidR="00CD34A0" w:rsidRPr="00B12E35" w:rsidRDefault="00CD34A0" w:rsidP="00B12E35">
            <w:pPr>
              <w:spacing w:after="0" w:line="240" w:lineRule="auto"/>
              <w:jc w:val="right"/>
              <w:rPr>
                <w:rFonts w:eastAsia="Times New Roman" w:cstheme="minorHAnsi"/>
                <w:b/>
                <w:bCs/>
                <w:color w:val="000000"/>
                <w:sz w:val="20"/>
                <w:szCs w:val="20"/>
                <w:lang w:eastAsia="it-IT"/>
              </w:rPr>
            </w:pPr>
            <w:r w:rsidRPr="00B12E35">
              <w:rPr>
                <w:rFonts w:eastAsia="Times New Roman" w:cstheme="minorHAnsi"/>
                <w:b/>
                <w:bCs/>
                <w:color w:val="000000"/>
                <w:sz w:val="20"/>
                <w:szCs w:val="20"/>
                <w:lang w:eastAsia="it-IT"/>
              </w:rPr>
              <w:t>178,50%</w:t>
            </w:r>
          </w:p>
        </w:tc>
      </w:tr>
    </w:tbl>
    <w:p w:rsidR="00CD34A0" w:rsidRPr="00B12E35"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B12E35">
        <w:rPr>
          <w:rFonts w:ascii="Bodoni MT" w:eastAsia="Times New Roman" w:hAnsi="Bodoni MT" w:cs="Bodoni MT"/>
          <w:color w:val="000000"/>
          <w:sz w:val="18"/>
          <w:szCs w:val="18"/>
        </w:rPr>
        <w:t>Fonte RAS Rendiconto sulla gestione 2016 – Allegato 3.3</w:t>
      </w:r>
    </w:p>
    <w:p w:rsidR="00CD34A0" w:rsidRDefault="00CD34A0" w:rsidP="00B12E35">
      <w:pPr>
        <w:pStyle w:val="CdcTesto"/>
        <w:spacing w:before="360"/>
        <w:rPr>
          <w:rFonts w:eastAsia="Times New Roman"/>
          <w:b/>
        </w:rPr>
      </w:pPr>
      <w:r w:rsidRPr="00CD34A0">
        <w:rPr>
          <w:rFonts w:eastAsia="Times New Roman"/>
          <w:b/>
        </w:rPr>
        <w:t xml:space="preserve">Le immobilizzazioni materiali.  </w:t>
      </w:r>
      <w:r w:rsidRPr="00CD34A0">
        <w:rPr>
          <w:rFonts w:eastAsia="Times New Roman"/>
        </w:rPr>
        <w:t>Nell’ambito delle immobilizzazioni materiali</w:t>
      </w:r>
      <w:r w:rsidRPr="00CD34A0">
        <w:rPr>
          <w:rFonts w:eastAsia="Times New Roman"/>
          <w:b/>
        </w:rPr>
        <w:t xml:space="preserve"> i beni demaniali</w:t>
      </w:r>
      <w:r w:rsidRPr="00CD34A0">
        <w:rPr>
          <w:rFonts w:eastAsia="Times New Roman"/>
        </w:rPr>
        <w:t xml:space="preserve"> sono stati oggetto di una complessa ricostruzione che ha interessato gli uffici della DG Enti locali e finanze ed anche gli enti concessionari e/o delegati alla realizzazione delle opere di proprietà della Regione. Si tratta principalmente di beni del demanio idrico realizzati/gestiti d</w:t>
      </w:r>
      <w:r w:rsidR="00B12E35">
        <w:rPr>
          <w:rFonts w:eastAsia="Times New Roman"/>
        </w:rPr>
        <w:t>ai consorzi di bonifica ed Enas</w:t>
      </w:r>
      <w:r w:rsidRPr="00CD34A0">
        <w:rPr>
          <w:rFonts w:eastAsia="Times New Roman"/>
        </w:rPr>
        <w:t xml:space="preserve">. Non essendo stato possibile per gli uffici regionali concludere il lavoro di ricostruzione di tutti i beni demaniali, si procederà – come già detto - all’iscrizione di ulteriori beni al termine del lavoro di ricostruzione. </w:t>
      </w:r>
      <w:r w:rsidRPr="00CD34A0">
        <w:rPr>
          <w:rFonts w:eastAsia="Times New Roman"/>
          <w:b/>
        </w:rPr>
        <w:t>Il loro valore si discosta dal valore iscritto nel conto del patrimonio.</w:t>
      </w:r>
    </w:p>
    <w:p w:rsidR="00B12E35" w:rsidRPr="00CD34A0" w:rsidRDefault="00B12E35" w:rsidP="00DA0C2B">
      <w:pPr>
        <w:pStyle w:val="Didascalia"/>
        <w:spacing w:before="120"/>
        <w:rPr>
          <w:rFonts w:eastAsia="Times New Roman"/>
        </w:rPr>
      </w:pPr>
      <w:bookmarkStart w:id="363" w:name="_Toc507422570"/>
      <w:r>
        <w:t xml:space="preserve">Tabella </w:t>
      </w:r>
      <w:r w:rsidR="00B90472">
        <w:fldChar w:fldCharType="begin"/>
      </w:r>
      <w:r w:rsidR="00B90472">
        <w:instrText xml:space="preserve"> SEQ Tabella \* ARABIC </w:instrText>
      </w:r>
      <w:r w:rsidR="00B90472">
        <w:fldChar w:fldCharType="separate"/>
      </w:r>
      <w:r w:rsidR="008616B3">
        <w:rPr>
          <w:noProof/>
        </w:rPr>
        <w:t>102</w:t>
      </w:r>
      <w:r w:rsidR="00B90472">
        <w:rPr>
          <w:noProof/>
        </w:rPr>
        <w:fldChar w:fldCharType="end"/>
      </w:r>
      <w:r>
        <w:t xml:space="preserve"> – Immobilizzazioni materia</w:t>
      </w:r>
      <w:r w:rsidR="008E2869">
        <w:t>l</w:t>
      </w:r>
      <w:r>
        <w:t>i</w:t>
      </w:r>
      <w:bookmarkEnd w:id="3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2"/>
        <w:gridCol w:w="1791"/>
        <w:gridCol w:w="1791"/>
        <w:gridCol w:w="1557"/>
        <w:gridCol w:w="1087"/>
      </w:tblGrid>
      <w:tr w:rsidR="00B12E35" w:rsidRPr="00B12E35" w:rsidTr="00B12E35">
        <w:trPr>
          <w:trHeight w:val="300"/>
          <w:jc w:val="center"/>
        </w:trPr>
        <w:tc>
          <w:tcPr>
            <w:tcW w:w="1816" w:type="pct"/>
            <w:shd w:val="clear" w:color="auto" w:fill="0F243E" w:themeFill="text2" w:themeFillShade="80"/>
            <w:noWrap/>
            <w:vAlign w:val="center"/>
            <w:hideMark/>
          </w:tcPr>
          <w:p w:rsidR="00CD34A0" w:rsidRPr="00B12E35" w:rsidRDefault="00CD34A0"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Voci</w:t>
            </w:r>
          </w:p>
        </w:tc>
        <w:tc>
          <w:tcPr>
            <w:tcW w:w="916" w:type="pct"/>
            <w:shd w:val="clear" w:color="auto" w:fill="0F243E" w:themeFill="text2" w:themeFillShade="80"/>
            <w:noWrap/>
            <w:vAlign w:val="center"/>
            <w:hideMark/>
          </w:tcPr>
          <w:p w:rsidR="00CD34A0" w:rsidRPr="00B12E35" w:rsidRDefault="00CD34A0"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31/12/2016</w:t>
            </w:r>
          </w:p>
        </w:tc>
        <w:tc>
          <w:tcPr>
            <w:tcW w:w="916" w:type="pct"/>
            <w:shd w:val="clear" w:color="auto" w:fill="0F243E" w:themeFill="text2" w:themeFillShade="80"/>
            <w:noWrap/>
            <w:vAlign w:val="center"/>
            <w:hideMark/>
          </w:tcPr>
          <w:p w:rsidR="00CD34A0" w:rsidRPr="00B12E35" w:rsidRDefault="00CD34A0"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31/12/2015</w:t>
            </w:r>
          </w:p>
        </w:tc>
        <w:tc>
          <w:tcPr>
            <w:tcW w:w="796" w:type="pct"/>
            <w:shd w:val="clear" w:color="auto" w:fill="0F243E" w:themeFill="text2" w:themeFillShade="80"/>
            <w:noWrap/>
            <w:vAlign w:val="center"/>
            <w:hideMark/>
          </w:tcPr>
          <w:p w:rsidR="00CD34A0" w:rsidRPr="00B12E35" w:rsidRDefault="00CD34A0"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Var</w:t>
            </w:r>
          </w:p>
        </w:tc>
        <w:tc>
          <w:tcPr>
            <w:tcW w:w="557" w:type="pct"/>
            <w:shd w:val="clear" w:color="auto" w:fill="0F243E" w:themeFill="text2" w:themeFillShade="80"/>
            <w:noWrap/>
            <w:vAlign w:val="center"/>
            <w:hideMark/>
          </w:tcPr>
          <w:p w:rsidR="00CD34A0" w:rsidRPr="00B12E35" w:rsidRDefault="00CD34A0"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Var%</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1 Beni demaniali</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 </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1.1 Terreni </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3.398.624</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3.252.004</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146.620</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1.2 Fabbricati </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18.023</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18.580</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-557</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-3%</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1.3 Infrastrutture</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121.820.593</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127.372.562</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-5.551.970</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-4%</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1.9 Altri beni demaniali </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color w:val="000000"/>
                <w:sz w:val="18"/>
                <w:szCs w:val="18"/>
                <w:lang w:eastAsia="it-IT"/>
              </w:rPr>
            </w:pPr>
            <w:r w:rsidRPr="00CD34A0">
              <w:rPr>
                <w:rFonts w:ascii="Bodoni MT" w:eastAsia="Times New Roman" w:hAnsi="Bodoni MT" w:cs="Calibri"/>
                <w:color w:val="000000"/>
                <w:sz w:val="18"/>
                <w:szCs w:val="18"/>
                <w:lang w:eastAsia="it-IT"/>
              </w:rPr>
              <w:t>0%</w:t>
            </w:r>
          </w:p>
        </w:tc>
      </w:tr>
      <w:tr w:rsidR="00CD34A0" w:rsidRPr="00CD34A0" w:rsidTr="00B12E35">
        <w:trPr>
          <w:trHeight w:val="300"/>
          <w:jc w:val="center"/>
        </w:trPr>
        <w:tc>
          <w:tcPr>
            <w:tcW w:w="1816" w:type="pct"/>
            <w:shd w:val="clear" w:color="auto" w:fill="95B3D7" w:themeFill="accent1" w:themeFillTint="99"/>
            <w:noWrap/>
            <w:vAlign w:val="center"/>
            <w:hideMark/>
          </w:tcPr>
          <w:p w:rsidR="00CD34A0" w:rsidRPr="00B12E35" w:rsidRDefault="00DA0C2B" w:rsidP="00B12E35">
            <w:pPr>
              <w:spacing w:after="0" w:line="240" w:lineRule="auto"/>
              <w:rPr>
                <w:rFonts w:ascii="Bodoni MT" w:eastAsia="Times New Roman" w:hAnsi="Bodoni MT" w:cs="Calibri"/>
                <w:b/>
                <w:color w:val="FFFFFF" w:themeColor="background1"/>
                <w:sz w:val="18"/>
                <w:szCs w:val="18"/>
                <w:lang w:eastAsia="it-IT"/>
              </w:rPr>
            </w:pPr>
            <w:r>
              <w:rPr>
                <w:rFonts w:ascii="Bodoni MT" w:eastAsia="Times New Roman" w:hAnsi="Bodoni MT" w:cs="Calibri"/>
                <w:b/>
                <w:color w:val="FFFFFF" w:themeColor="background1"/>
                <w:sz w:val="18"/>
                <w:szCs w:val="18"/>
                <w:lang w:eastAsia="it-IT"/>
              </w:rPr>
              <w:t xml:space="preserve">TOTALE </w:t>
            </w:r>
            <w:r w:rsidR="00CD34A0" w:rsidRPr="00B12E35">
              <w:rPr>
                <w:rFonts w:ascii="Bodoni MT" w:eastAsia="Times New Roman" w:hAnsi="Bodoni MT" w:cs="Calibri"/>
                <w:b/>
                <w:color w:val="FFFFFF" w:themeColor="background1"/>
                <w:sz w:val="18"/>
                <w:szCs w:val="18"/>
                <w:lang w:eastAsia="it-IT"/>
              </w:rPr>
              <w:t xml:space="preserve">Beni demaniali </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b/>
                <w:color w:val="000000"/>
                <w:sz w:val="18"/>
                <w:szCs w:val="18"/>
                <w:lang w:eastAsia="it-IT"/>
              </w:rPr>
            </w:pPr>
            <w:r w:rsidRPr="00CD34A0">
              <w:rPr>
                <w:rFonts w:ascii="Bodoni MT" w:eastAsia="Times New Roman" w:hAnsi="Bodoni MT" w:cs="Calibri"/>
                <w:b/>
                <w:color w:val="000000"/>
                <w:sz w:val="18"/>
                <w:szCs w:val="18"/>
                <w:lang w:eastAsia="it-IT"/>
              </w:rPr>
              <w:t>125.237.239</w:t>
            </w:r>
          </w:p>
        </w:tc>
        <w:tc>
          <w:tcPr>
            <w:tcW w:w="91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b/>
                <w:color w:val="000000"/>
                <w:sz w:val="18"/>
                <w:szCs w:val="18"/>
                <w:lang w:eastAsia="it-IT"/>
              </w:rPr>
            </w:pPr>
            <w:r w:rsidRPr="00CD34A0">
              <w:rPr>
                <w:rFonts w:ascii="Bodoni MT" w:eastAsia="Times New Roman" w:hAnsi="Bodoni MT" w:cs="Calibri"/>
                <w:b/>
                <w:color w:val="000000"/>
                <w:sz w:val="18"/>
                <w:szCs w:val="18"/>
                <w:lang w:eastAsia="it-IT"/>
              </w:rPr>
              <w:t>130.643.146</w:t>
            </w:r>
          </w:p>
        </w:tc>
        <w:tc>
          <w:tcPr>
            <w:tcW w:w="796"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b/>
                <w:color w:val="000000"/>
                <w:sz w:val="18"/>
                <w:szCs w:val="18"/>
                <w:lang w:eastAsia="it-IT"/>
              </w:rPr>
            </w:pPr>
            <w:r w:rsidRPr="00CD34A0">
              <w:rPr>
                <w:rFonts w:ascii="Bodoni MT" w:eastAsia="Times New Roman" w:hAnsi="Bodoni MT" w:cs="Calibri"/>
                <w:b/>
                <w:color w:val="000000"/>
                <w:sz w:val="18"/>
                <w:szCs w:val="18"/>
                <w:lang w:eastAsia="it-IT"/>
              </w:rPr>
              <w:t>-5.405.907</w:t>
            </w:r>
          </w:p>
        </w:tc>
        <w:tc>
          <w:tcPr>
            <w:tcW w:w="557" w:type="pct"/>
            <w:shd w:val="clear" w:color="auto" w:fill="auto"/>
            <w:noWrap/>
            <w:vAlign w:val="center"/>
            <w:hideMark/>
          </w:tcPr>
          <w:p w:rsidR="00CD34A0" w:rsidRPr="00CD34A0" w:rsidRDefault="00CD34A0" w:rsidP="00B12E35">
            <w:pPr>
              <w:spacing w:after="0" w:line="240" w:lineRule="auto"/>
              <w:jc w:val="right"/>
              <w:rPr>
                <w:rFonts w:ascii="Bodoni MT" w:eastAsia="Times New Roman" w:hAnsi="Bodoni MT" w:cs="Calibri"/>
                <w:b/>
                <w:color w:val="000000"/>
                <w:sz w:val="18"/>
                <w:szCs w:val="18"/>
                <w:lang w:eastAsia="it-IT"/>
              </w:rPr>
            </w:pPr>
            <w:r w:rsidRPr="00CD34A0">
              <w:rPr>
                <w:rFonts w:ascii="Bodoni MT" w:eastAsia="Times New Roman" w:hAnsi="Bodoni MT" w:cs="Calibri"/>
                <w:b/>
                <w:color w:val="000000"/>
                <w:sz w:val="18"/>
                <w:szCs w:val="18"/>
                <w:lang w:eastAsia="it-IT"/>
              </w:rPr>
              <w:t>-4,10%</w:t>
            </w:r>
          </w:p>
        </w:tc>
      </w:tr>
    </w:tbl>
    <w:p w:rsidR="00CD34A0" w:rsidRPr="00B12E35"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iCs/>
          <w:color w:val="000000"/>
          <w:sz w:val="24"/>
          <w:szCs w:val="24"/>
        </w:rPr>
      </w:pPr>
      <w:r w:rsidRPr="00B12E35">
        <w:rPr>
          <w:rFonts w:ascii="Bodoni MT" w:eastAsia="Times New Roman" w:hAnsi="Bodoni MT" w:cs="Bodoni MT"/>
          <w:color w:val="000000"/>
          <w:sz w:val="18"/>
          <w:szCs w:val="18"/>
        </w:rPr>
        <w:t>Fonte RAS Rendiconto sulla gestione 2016 – Allegato 3.3</w:t>
      </w:r>
    </w:p>
    <w:p w:rsidR="00CD34A0" w:rsidRPr="00CD34A0" w:rsidRDefault="00CD34A0" w:rsidP="00302EFC">
      <w:pPr>
        <w:pStyle w:val="CdcTesto"/>
        <w:spacing w:before="360"/>
        <w:rPr>
          <w:rFonts w:eastAsia="Times New Roman"/>
        </w:rPr>
      </w:pPr>
      <w:r w:rsidRPr="00CD34A0">
        <w:rPr>
          <w:rFonts w:eastAsia="Times New Roman"/>
          <w:b/>
        </w:rPr>
        <w:t xml:space="preserve">Relativamente ai beni immobili </w:t>
      </w:r>
      <w:r w:rsidRPr="00CD34A0">
        <w:rPr>
          <w:rFonts w:eastAsia="Times New Roman"/>
        </w:rPr>
        <w:t>“</w:t>
      </w:r>
      <w:r w:rsidRPr="00535EB3">
        <w:rPr>
          <w:rFonts w:eastAsia="Times New Roman"/>
          <w:i/>
        </w:rPr>
        <w:t xml:space="preserve">La ricostruzione del patrimonio immobiliare della Regione, costituito da terreni e fabbricati, è stata effettuata considerando le risultanze catastali, quelle dalla conservatoria dei registri immobiliari ed anche tutti quegli atti di acquisizione della proprietà i cui </w:t>
      </w:r>
      <w:r w:rsidRPr="00535EB3">
        <w:rPr>
          <w:rFonts w:eastAsia="Times New Roman"/>
          <w:i/>
        </w:rPr>
        <w:lastRenderedPageBreak/>
        <w:t>trasferimenti sono ancora da regolarizzare</w:t>
      </w:r>
      <w:r w:rsidRPr="00CD34A0">
        <w:rPr>
          <w:rFonts w:eastAsia="Times New Roman"/>
        </w:rPr>
        <w:t>”. I terreni sono iscritti al costo di acquisto o al valore catastale</w:t>
      </w:r>
      <w:r w:rsidRPr="00CD34A0">
        <w:rPr>
          <w:rFonts w:eastAsia="Times New Roman"/>
          <w:vertAlign w:val="superscript"/>
        </w:rPr>
        <w:footnoteReference w:id="215"/>
      </w:r>
      <w:r w:rsidRPr="00CD34A0">
        <w:rPr>
          <w:rFonts w:eastAsia="Times New Roman"/>
        </w:rPr>
        <w:t>. I fabbricati sono iscritti al costo d’acquisto o di produzione o al valore catastale, al netto del fondo ammortamento, relativa</w:t>
      </w:r>
      <w:r w:rsidR="00495973">
        <w:rPr>
          <w:rFonts w:eastAsia="Times New Roman"/>
        </w:rPr>
        <w:t>mente a quelli già in essere all’0</w:t>
      </w:r>
      <w:r w:rsidR="00EE5D78">
        <w:rPr>
          <w:rFonts w:eastAsia="Times New Roman"/>
        </w:rPr>
        <w:t>1/</w:t>
      </w:r>
      <w:r w:rsidR="00495973">
        <w:rPr>
          <w:rFonts w:eastAsia="Times New Roman"/>
        </w:rPr>
        <w:t>0</w:t>
      </w:r>
      <w:r w:rsidR="00EE5D78">
        <w:rPr>
          <w:rFonts w:eastAsia="Times New Roman"/>
        </w:rPr>
        <w:t>1/</w:t>
      </w:r>
      <w:r w:rsidRPr="00CD34A0">
        <w:rPr>
          <w:rFonts w:eastAsia="Times New Roman"/>
        </w:rPr>
        <w:t>2016, ed al costo di acquisto o di produzione, al netto del fondo di ammortamento, relativamente a quelli acquistati nell’esercizio 2016</w:t>
      </w:r>
      <w:r w:rsidRPr="00B12E35">
        <w:rPr>
          <w:rFonts w:eastAsia="Times New Roman"/>
          <w:vertAlign w:val="superscript"/>
        </w:rPr>
        <w:footnoteReference w:id="216"/>
      </w:r>
      <w:r w:rsidR="00EE5D78">
        <w:rPr>
          <w:rFonts w:eastAsia="Times New Roman"/>
        </w:rPr>
        <w:t>.</w:t>
      </w:r>
      <w:r w:rsidRPr="00B12E35">
        <w:rPr>
          <w:rFonts w:eastAsia="Times New Roman"/>
          <w:vertAlign w:val="superscript"/>
        </w:rPr>
        <w:t>.</w:t>
      </w:r>
      <w:r w:rsidRPr="00CD34A0">
        <w:rPr>
          <w:rFonts w:eastAsia="Times New Roman"/>
        </w:rPr>
        <w:t xml:space="preserve"> </w:t>
      </w:r>
    </w:p>
    <w:p w:rsidR="00CD34A0" w:rsidRPr="00CD34A0" w:rsidRDefault="00CD34A0" w:rsidP="00B12E35">
      <w:pPr>
        <w:pStyle w:val="CdcTesto"/>
        <w:rPr>
          <w:rFonts w:eastAsia="Times New Roman"/>
        </w:rPr>
      </w:pPr>
      <w:r w:rsidRPr="00CD34A0">
        <w:rPr>
          <w:rFonts w:eastAsia="Times New Roman"/>
        </w:rPr>
        <w:t xml:space="preserve">Quando non è risultato disponibile il costo storico e tantomeno la rendita catastale (ad esempio quando le procedure di accatastamento sono ancora in corso), si è comunque proceduto ad iscrivere il bene nel sistema, valorizzando sia il bene sia il relativo fondo all’importo simbolico di € 0,01. Tale modalità consente di individuare con immediatezza i beni per i quali, ai sensi del punto 9.2 del Principio contabile applicato 4/3, </w:t>
      </w:r>
      <w:r w:rsidRPr="00CD34A0">
        <w:rPr>
          <w:rFonts w:eastAsia="Times New Roman"/>
          <w:b/>
        </w:rPr>
        <w:t>sarà necessario concludere le operazioni di valorizzazione attraverso il metodo catastale o tramite perizia</w:t>
      </w:r>
      <w:r w:rsidRPr="00CD34A0">
        <w:rPr>
          <w:rFonts w:eastAsia="Times New Roman"/>
        </w:rPr>
        <w:t>.</w:t>
      </w:r>
    </w:p>
    <w:p w:rsidR="00CD34A0" w:rsidRPr="00CD34A0" w:rsidRDefault="00CD34A0" w:rsidP="00B12E35">
      <w:pPr>
        <w:pStyle w:val="CdcTesto"/>
        <w:rPr>
          <w:rFonts w:eastAsia="Times New Roman"/>
        </w:rPr>
      </w:pPr>
      <w:r w:rsidRPr="00CD34A0">
        <w:rPr>
          <w:rFonts w:eastAsia="Times New Roman"/>
          <w:b/>
        </w:rPr>
        <w:t>Le altre immobilizzazioni materiali</w:t>
      </w:r>
      <w:r w:rsidRPr="00CD34A0">
        <w:rPr>
          <w:rFonts w:eastAsia="Times New Roman"/>
        </w:rPr>
        <w:t xml:space="preserve"> – tutte le restanti categorie – sono iscritte in base al costo di acquisto o di produzione, al netto del fondo di ammortamento. Sono costituite da mobili, arredi, attrezzature, automezzi, etc. e dagli impianti di uso comune nello svolgimento delle attività. Trattandosi di beni inventariali gestiti attraverso la rete dei consegnatari della D.G. degli Enti locali e finanze, si è ritenuto di non dover procedere all’inventariazione straordinaria. “La ricostruzione effettuata ha comportato unicamente l’analisi e la codifica dei singoli beni rispetto alle nuove esigenze. </w:t>
      </w:r>
      <w:r w:rsidRPr="00CD34A0">
        <w:rPr>
          <w:rFonts w:eastAsia="Times New Roman"/>
          <w:b/>
        </w:rPr>
        <w:t>Il loro valore non si discosta dal precedente valore iscritto nel conto del patrimonio</w:t>
      </w:r>
      <w:r w:rsidRPr="00CD34A0">
        <w:rPr>
          <w:rFonts w:eastAsia="Times New Roman"/>
        </w:rPr>
        <w:t>”.</w:t>
      </w:r>
    </w:p>
    <w:p w:rsidR="00B12E35" w:rsidRDefault="00B12E35" w:rsidP="00B12E35">
      <w:pPr>
        <w:pStyle w:val="Didascalia"/>
      </w:pPr>
      <w:r>
        <w:br w:type="page"/>
      </w:r>
    </w:p>
    <w:p w:rsidR="00CD34A0" w:rsidRPr="00CD34A0" w:rsidRDefault="00B12E35" w:rsidP="00B12E35">
      <w:pPr>
        <w:pStyle w:val="Didascalia"/>
        <w:rPr>
          <w:rFonts w:eastAsia="Times New Roman" w:cs="Bodoni MT"/>
          <w:iCs/>
          <w:color w:val="000000"/>
          <w:sz w:val="24"/>
          <w:szCs w:val="24"/>
        </w:rPr>
      </w:pPr>
      <w:bookmarkStart w:id="364" w:name="_Toc507422571"/>
      <w:r>
        <w:lastRenderedPageBreak/>
        <w:t xml:space="preserve">Tabella </w:t>
      </w:r>
      <w:r w:rsidR="00B90472">
        <w:fldChar w:fldCharType="begin"/>
      </w:r>
      <w:r w:rsidR="00B90472">
        <w:instrText xml:space="preserve"> SEQ Tabella \* ARABIC </w:instrText>
      </w:r>
      <w:r w:rsidR="00B90472">
        <w:fldChar w:fldCharType="separate"/>
      </w:r>
      <w:r w:rsidR="008616B3">
        <w:rPr>
          <w:noProof/>
        </w:rPr>
        <w:t>103</w:t>
      </w:r>
      <w:r w:rsidR="00B90472">
        <w:rPr>
          <w:noProof/>
        </w:rPr>
        <w:fldChar w:fldCharType="end"/>
      </w:r>
      <w:r>
        <w:t xml:space="preserve"> – Immobilizzazioni materiali (altre)</w:t>
      </w:r>
      <w:bookmarkEnd w:id="3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1375"/>
        <w:gridCol w:w="1377"/>
        <w:gridCol w:w="1216"/>
        <w:gridCol w:w="712"/>
      </w:tblGrid>
      <w:tr w:rsidR="00CD34A0" w:rsidRPr="00CD34A0" w:rsidTr="00AD4582">
        <w:trPr>
          <w:trHeight w:val="300"/>
          <w:jc w:val="center"/>
        </w:trPr>
        <w:tc>
          <w:tcPr>
            <w:tcW w:w="2606" w:type="pct"/>
            <w:shd w:val="clear" w:color="auto" w:fill="0F243E" w:themeFill="text2" w:themeFillShade="80"/>
            <w:noWrap/>
            <w:vAlign w:val="center"/>
            <w:hideMark/>
          </w:tcPr>
          <w:p w:rsidR="00CD34A0" w:rsidRPr="00B12E35" w:rsidRDefault="00B12E35"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VOCI</w:t>
            </w:r>
          </w:p>
        </w:tc>
        <w:tc>
          <w:tcPr>
            <w:tcW w:w="703" w:type="pct"/>
            <w:shd w:val="clear" w:color="auto" w:fill="0F243E" w:themeFill="text2" w:themeFillShade="80"/>
            <w:noWrap/>
            <w:vAlign w:val="center"/>
            <w:hideMark/>
          </w:tcPr>
          <w:p w:rsidR="00CD34A0" w:rsidRPr="00B12E35" w:rsidRDefault="00B12E35"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31/12/2016</w:t>
            </w:r>
          </w:p>
        </w:tc>
        <w:tc>
          <w:tcPr>
            <w:tcW w:w="704" w:type="pct"/>
            <w:shd w:val="clear" w:color="auto" w:fill="0F243E" w:themeFill="text2" w:themeFillShade="80"/>
            <w:noWrap/>
            <w:vAlign w:val="center"/>
            <w:hideMark/>
          </w:tcPr>
          <w:p w:rsidR="00CD34A0" w:rsidRPr="00B12E35" w:rsidRDefault="00B12E35"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31/12/2015</w:t>
            </w:r>
          </w:p>
        </w:tc>
        <w:tc>
          <w:tcPr>
            <w:tcW w:w="622" w:type="pct"/>
            <w:shd w:val="clear" w:color="auto" w:fill="0F243E" w:themeFill="text2" w:themeFillShade="80"/>
            <w:noWrap/>
            <w:vAlign w:val="center"/>
            <w:hideMark/>
          </w:tcPr>
          <w:p w:rsidR="00CD34A0" w:rsidRPr="00B12E35" w:rsidRDefault="00B12E35"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VAR</w:t>
            </w:r>
          </w:p>
        </w:tc>
        <w:tc>
          <w:tcPr>
            <w:tcW w:w="364" w:type="pct"/>
            <w:shd w:val="clear" w:color="auto" w:fill="0F243E" w:themeFill="text2" w:themeFillShade="80"/>
            <w:noWrap/>
            <w:vAlign w:val="center"/>
            <w:hideMark/>
          </w:tcPr>
          <w:p w:rsidR="00CD34A0" w:rsidRPr="00B12E35" w:rsidRDefault="00B12E35" w:rsidP="00B12E35">
            <w:pPr>
              <w:spacing w:after="0" w:line="240" w:lineRule="auto"/>
              <w:jc w:val="center"/>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VAR%</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2 Altre immobilizzazioni materiali</w:t>
            </w:r>
          </w:p>
        </w:tc>
        <w:tc>
          <w:tcPr>
            <w:tcW w:w="703" w:type="pct"/>
            <w:shd w:val="clear" w:color="auto" w:fill="auto"/>
            <w:noWrap/>
            <w:vAlign w:val="bottom"/>
            <w:hideMark/>
          </w:tcPr>
          <w:p w:rsidR="00CD34A0" w:rsidRPr="00B12E35" w:rsidRDefault="00CD34A0" w:rsidP="00CD34A0">
            <w:pPr>
              <w:spacing w:after="0" w:line="240" w:lineRule="auto"/>
              <w:rPr>
                <w:rFonts w:eastAsia="Times New Roman" w:cstheme="minorHAnsi"/>
                <w:color w:val="000000"/>
                <w:sz w:val="18"/>
                <w:szCs w:val="18"/>
                <w:lang w:eastAsia="it-IT"/>
              </w:rPr>
            </w:pPr>
            <w:r w:rsidRPr="00B12E35">
              <w:rPr>
                <w:rFonts w:eastAsia="Times New Roman" w:cstheme="minorHAnsi"/>
                <w:color w:val="000000"/>
                <w:sz w:val="18"/>
                <w:szCs w:val="18"/>
                <w:lang w:eastAsia="it-IT"/>
              </w:rPr>
              <w:t> </w:t>
            </w:r>
          </w:p>
        </w:tc>
        <w:tc>
          <w:tcPr>
            <w:tcW w:w="704" w:type="pct"/>
            <w:shd w:val="clear" w:color="auto" w:fill="auto"/>
            <w:noWrap/>
            <w:vAlign w:val="bottom"/>
            <w:hideMark/>
          </w:tcPr>
          <w:p w:rsidR="00CD34A0" w:rsidRPr="00B12E35" w:rsidRDefault="00CD34A0" w:rsidP="00CD34A0">
            <w:pPr>
              <w:spacing w:after="0" w:line="240" w:lineRule="auto"/>
              <w:rPr>
                <w:rFonts w:eastAsia="Times New Roman" w:cstheme="minorHAnsi"/>
                <w:color w:val="000000"/>
                <w:sz w:val="18"/>
                <w:szCs w:val="18"/>
                <w:lang w:eastAsia="it-IT"/>
              </w:rPr>
            </w:pPr>
            <w:r w:rsidRPr="00B12E35">
              <w:rPr>
                <w:rFonts w:eastAsia="Times New Roman" w:cstheme="minorHAnsi"/>
                <w:color w:val="000000"/>
                <w:sz w:val="18"/>
                <w:szCs w:val="18"/>
                <w:lang w:eastAsia="it-IT"/>
              </w:rPr>
              <w:t> </w:t>
            </w:r>
          </w:p>
        </w:tc>
        <w:tc>
          <w:tcPr>
            <w:tcW w:w="622" w:type="pct"/>
            <w:shd w:val="clear" w:color="auto" w:fill="auto"/>
            <w:noWrap/>
            <w:vAlign w:val="bottom"/>
            <w:hideMark/>
          </w:tcPr>
          <w:p w:rsidR="00CD34A0" w:rsidRPr="00B12E35" w:rsidRDefault="00CD34A0" w:rsidP="00CD34A0">
            <w:pPr>
              <w:spacing w:after="0" w:line="240" w:lineRule="auto"/>
              <w:rPr>
                <w:rFonts w:eastAsia="Times New Roman" w:cstheme="minorHAnsi"/>
                <w:color w:val="000000"/>
                <w:sz w:val="18"/>
                <w:szCs w:val="18"/>
                <w:lang w:eastAsia="it-IT"/>
              </w:rPr>
            </w:pPr>
            <w:r w:rsidRPr="00B12E35">
              <w:rPr>
                <w:rFonts w:eastAsia="Times New Roman" w:cstheme="minorHAnsi"/>
                <w:color w:val="000000"/>
                <w:sz w:val="18"/>
                <w:szCs w:val="18"/>
                <w:lang w:eastAsia="it-IT"/>
              </w:rPr>
              <w:t> </w:t>
            </w:r>
          </w:p>
        </w:tc>
        <w:tc>
          <w:tcPr>
            <w:tcW w:w="364" w:type="pct"/>
            <w:shd w:val="clear" w:color="auto" w:fill="auto"/>
            <w:noWrap/>
            <w:vAlign w:val="bottom"/>
            <w:hideMark/>
          </w:tcPr>
          <w:p w:rsidR="00CD34A0" w:rsidRPr="00B12E35" w:rsidRDefault="00CD34A0" w:rsidP="00CD34A0">
            <w:pPr>
              <w:spacing w:after="0" w:line="240" w:lineRule="auto"/>
              <w:rPr>
                <w:rFonts w:eastAsia="Times New Roman" w:cstheme="minorHAnsi"/>
                <w:color w:val="000000"/>
                <w:sz w:val="18"/>
                <w:szCs w:val="18"/>
                <w:lang w:eastAsia="it-IT"/>
              </w:rPr>
            </w:pPr>
            <w:r w:rsidRPr="00B12E35">
              <w:rPr>
                <w:rFonts w:eastAsia="Times New Roman" w:cstheme="minorHAnsi"/>
                <w:color w:val="000000"/>
                <w:sz w:val="18"/>
                <w:szCs w:val="18"/>
                <w:lang w:eastAsia="it-IT"/>
              </w:rPr>
              <w:t> </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2.1 Terreni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36.265.183</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33.908.160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2.357.024</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7%</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iCs/>
                <w:color w:val="FFFFFF" w:themeColor="background1"/>
                <w:sz w:val="18"/>
                <w:szCs w:val="18"/>
                <w:lang w:eastAsia="it-IT"/>
              </w:rPr>
            </w:pPr>
            <w:r w:rsidRPr="00B12E35">
              <w:rPr>
                <w:rFonts w:ascii="Bodoni MT" w:eastAsia="Times New Roman" w:hAnsi="Bodoni MT" w:cs="Calibri"/>
                <w:iCs/>
                <w:color w:val="FFFFFF" w:themeColor="background1"/>
                <w:sz w:val="18"/>
                <w:szCs w:val="18"/>
                <w:lang w:eastAsia="it-IT"/>
              </w:rPr>
              <w:t xml:space="preserve">di cui in leasing finanziario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2.2 Fabbricati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931.701.817</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953.411.304</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-21.709.486</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iCs/>
                <w:color w:val="FFFFFF" w:themeColor="background1"/>
                <w:sz w:val="18"/>
                <w:szCs w:val="18"/>
                <w:lang w:eastAsia="it-IT"/>
              </w:rPr>
            </w:pPr>
            <w:r w:rsidRPr="00B12E35">
              <w:rPr>
                <w:rFonts w:ascii="Bodoni MT" w:eastAsia="Times New Roman" w:hAnsi="Bodoni MT" w:cs="Calibri"/>
                <w:iCs/>
                <w:color w:val="FFFFFF" w:themeColor="background1"/>
                <w:sz w:val="18"/>
                <w:szCs w:val="18"/>
                <w:lang w:eastAsia="it-IT"/>
              </w:rPr>
              <w:t xml:space="preserve">di cui in leasing finanziario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2.3 Impianti e macchinari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154.357</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161.954</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-7.597</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-5%</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iCs/>
                <w:color w:val="FFFFFF" w:themeColor="background1"/>
                <w:sz w:val="18"/>
                <w:szCs w:val="18"/>
                <w:lang w:eastAsia="it-IT"/>
              </w:rPr>
            </w:pPr>
            <w:r w:rsidRPr="00B12E35">
              <w:rPr>
                <w:rFonts w:ascii="Bodoni MT" w:eastAsia="Times New Roman" w:hAnsi="Bodoni MT" w:cs="Calibri"/>
                <w:iCs/>
                <w:color w:val="FFFFFF" w:themeColor="background1"/>
                <w:sz w:val="18"/>
                <w:szCs w:val="18"/>
                <w:lang w:eastAsia="it-IT"/>
              </w:rPr>
              <w:t xml:space="preserve">di cui in leasing finanziario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2.4 Attrezzature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1.116.519</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1.110.013</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6.507</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iCs/>
                <w:color w:val="FFFFFF" w:themeColor="background1"/>
                <w:sz w:val="18"/>
                <w:szCs w:val="18"/>
                <w:lang w:eastAsia="it-IT"/>
              </w:rPr>
            </w:pPr>
            <w:r w:rsidRPr="00B12E35">
              <w:rPr>
                <w:rFonts w:ascii="Bodoni MT" w:eastAsia="Times New Roman" w:hAnsi="Bodoni MT" w:cs="Calibri"/>
                <w:iCs/>
                <w:color w:val="FFFFFF" w:themeColor="background1"/>
                <w:sz w:val="18"/>
                <w:szCs w:val="18"/>
                <w:lang w:eastAsia="it-IT"/>
              </w:rPr>
              <w:t xml:space="preserve">di cui in leasing finanziario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2.5 Mezzi di trasporto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8.653.957</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11.503.761</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-2.849.804</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-25%</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iCs/>
                <w:color w:val="FFFFFF" w:themeColor="background1"/>
                <w:sz w:val="18"/>
                <w:szCs w:val="18"/>
                <w:lang w:eastAsia="it-IT"/>
              </w:rPr>
            </w:pPr>
            <w:r w:rsidRPr="00B12E35">
              <w:rPr>
                <w:rFonts w:ascii="Bodoni MT" w:eastAsia="Times New Roman" w:hAnsi="Bodoni MT" w:cs="Calibri"/>
                <w:iCs/>
                <w:color w:val="FFFFFF" w:themeColor="background1"/>
                <w:sz w:val="18"/>
                <w:szCs w:val="18"/>
                <w:lang w:eastAsia="it-IT"/>
              </w:rPr>
              <w:t xml:space="preserve">di cui in leasing finanziario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iCs/>
                <w:color w:val="000000"/>
                <w:sz w:val="18"/>
                <w:szCs w:val="18"/>
                <w:lang w:eastAsia="it-IT"/>
              </w:rPr>
            </w:pPr>
            <w:r w:rsidRPr="00B12E35">
              <w:rPr>
                <w:rFonts w:eastAsia="Times New Roman" w:cstheme="minorHAnsi"/>
                <w:iCs/>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2.6 Macchine per ufficio e hardware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2.282.363</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2.060.186</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222.177</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11%</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2.7 Mobili e arredi 1.004.274 1.078.018 -73.744 -7%</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1.004.274</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1.078.018</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-73.744</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-7%</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2.8 Infrastrutture 10.540.515 0 10.540.515</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10.540.515</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10.540.515</w:t>
            </w:r>
          </w:p>
        </w:tc>
        <w:tc>
          <w:tcPr>
            <w:tcW w:w="364" w:type="pct"/>
            <w:shd w:val="clear" w:color="auto" w:fill="auto"/>
            <w:noWrap/>
            <w:vAlign w:val="bottom"/>
            <w:hideMark/>
          </w:tcPr>
          <w:p w:rsidR="00CD34A0" w:rsidRPr="00B12E35" w:rsidRDefault="00CD34A0" w:rsidP="00CD34A0">
            <w:pPr>
              <w:spacing w:after="0" w:line="240" w:lineRule="auto"/>
              <w:rPr>
                <w:rFonts w:eastAsia="Times New Roman" w:cstheme="minorHAnsi"/>
                <w:color w:val="000000"/>
                <w:sz w:val="18"/>
                <w:szCs w:val="18"/>
                <w:lang w:eastAsia="it-IT"/>
              </w:rPr>
            </w:pPr>
            <w:r w:rsidRPr="00B12E35">
              <w:rPr>
                <w:rFonts w:eastAsia="Times New Roman" w:cstheme="minorHAnsi"/>
                <w:color w:val="000000"/>
                <w:sz w:val="18"/>
                <w:szCs w:val="18"/>
                <w:lang w:eastAsia="it-IT"/>
              </w:rPr>
              <w:t> </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2.9 Diritti reali di godimento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0</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0</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0</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0%</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2.10 Altri beni materiali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528.406.351</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374.238.402</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154.167.949</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41%</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color w:val="FFFFFF" w:themeColor="background1"/>
                <w:sz w:val="18"/>
                <w:szCs w:val="18"/>
                <w:lang w:eastAsia="it-IT"/>
              </w:rPr>
            </w:pPr>
            <w:r w:rsidRPr="00B12E35">
              <w:rPr>
                <w:rFonts w:ascii="Bodoni MT" w:eastAsia="Times New Roman" w:hAnsi="Bodoni MT" w:cs="Calibri"/>
                <w:color w:val="FFFFFF" w:themeColor="background1"/>
                <w:sz w:val="18"/>
                <w:szCs w:val="18"/>
                <w:lang w:eastAsia="it-IT"/>
              </w:rPr>
              <w:t xml:space="preserve">3 Immobilizzazioni in corso ed acconti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155.338.325</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170.257.697</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-14.919.372</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color w:val="000000"/>
                <w:sz w:val="18"/>
                <w:szCs w:val="18"/>
                <w:lang w:eastAsia="it-IT"/>
              </w:rPr>
            </w:pPr>
            <w:r w:rsidRPr="00B12E35">
              <w:rPr>
                <w:rFonts w:eastAsia="Times New Roman" w:cstheme="minorHAnsi"/>
                <w:color w:val="000000"/>
                <w:sz w:val="18"/>
                <w:szCs w:val="18"/>
                <w:lang w:eastAsia="it-IT"/>
              </w:rPr>
              <w:t>-9%</w:t>
            </w:r>
          </w:p>
        </w:tc>
      </w:tr>
      <w:tr w:rsidR="00CD34A0" w:rsidRPr="00CD34A0" w:rsidTr="00AD4582">
        <w:trPr>
          <w:trHeight w:val="300"/>
          <w:jc w:val="center"/>
        </w:trPr>
        <w:tc>
          <w:tcPr>
            <w:tcW w:w="2606" w:type="pct"/>
            <w:shd w:val="clear" w:color="auto" w:fill="95B3D7" w:themeFill="accent1" w:themeFillTint="99"/>
            <w:noWrap/>
            <w:vAlign w:val="center"/>
            <w:hideMark/>
          </w:tcPr>
          <w:p w:rsidR="00CD34A0" w:rsidRPr="00B12E35" w:rsidRDefault="00CD34A0" w:rsidP="00B12E35">
            <w:pPr>
              <w:spacing w:after="0" w:line="240" w:lineRule="auto"/>
              <w:rPr>
                <w:rFonts w:ascii="Bodoni MT" w:eastAsia="Times New Roman" w:hAnsi="Bodoni MT" w:cs="Calibri"/>
                <w:b/>
                <w:bCs/>
                <w:color w:val="FFFFFF" w:themeColor="background1"/>
                <w:sz w:val="18"/>
                <w:szCs w:val="18"/>
                <w:lang w:eastAsia="it-IT"/>
              </w:rPr>
            </w:pPr>
            <w:r w:rsidRPr="00B12E35">
              <w:rPr>
                <w:rFonts w:ascii="Bodoni MT" w:eastAsia="Times New Roman" w:hAnsi="Bodoni MT" w:cs="Calibri"/>
                <w:b/>
                <w:bCs/>
                <w:color w:val="FFFFFF" w:themeColor="background1"/>
                <w:sz w:val="18"/>
                <w:szCs w:val="18"/>
                <w:lang w:eastAsia="it-IT"/>
              </w:rPr>
              <w:t xml:space="preserve">Altre immobilizzazioni materiali </w:t>
            </w:r>
          </w:p>
        </w:tc>
        <w:tc>
          <w:tcPr>
            <w:tcW w:w="703" w:type="pct"/>
            <w:shd w:val="clear" w:color="auto" w:fill="auto"/>
            <w:noWrap/>
            <w:vAlign w:val="bottom"/>
            <w:hideMark/>
          </w:tcPr>
          <w:p w:rsidR="00CD34A0" w:rsidRPr="00B12E35" w:rsidRDefault="00CD34A0" w:rsidP="00CD34A0">
            <w:pPr>
              <w:spacing w:after="0" w:line="240" w:lineRule="auto"/>
              <w:jc w:val="right"/>
              <w:rPr>
                <w:rFonts w:eastAsia="Times New Roman" w:cstheme="minorHAnsi"/>
                <w:b/>
                <w:bCs/>
                <w:color w:val="000000"/>
                <w:sz w:val="18"/>
                <w:szCs w:val="18"/>
                <w:lang w:eastAsia="it-IT"/>
              </w:rPr>
            </w:pPr>
            <w:r w:rsidRPr="00B12E35">
              <w:rPr>
                <w:rFonts w:eastAsia="Times New Roman" w:cstheme="minorHAnsi"/>
                <w:b/>
                <w:bCs/>
                <w:color w:val="000000"/>
                <w:sz w:val="18"/>
                <w:szCs w:val="18"/>
                <w:lang w:eastAsia="it-IT"/>
              </w:rPr>
              <w:t>1.675.463.661</w:t>
            </w:r>
          </w:p>
        </w:tc>
        <w:tc>
          <w:tcPr>
            <w:tcW w:w="704" w:type="pct"/>
            <w:shd w:val="clear" w:color="auto" w:fill="auto"/>
            <w:noWrap/>
            <w:vAlign w:val="bottom"/>
            <w:hideMark/>
          </w:tcPr>
          <w:p w:rsidR="00CD34A0" w:rsidRPr="00B12E35" w:rsidRDefault="00CD34A0" w:rsidP="00CD34A0">
            <w:pPr>
              <w:spacing w:after="0" w:line="240" w:lineRule="auto"/>
              <w:jc w:val="right"/>
              <w:rPr>
                <w:rFonts w:eastAsia="Times New Roman" w:cstheme="minorHAnsi"/>
                <w:b/>
                <w:bCs/>
                <w:color w:val="000000"/>
                <w:sz w:val="18"/>
                <w:szCs w:val="18"/>
                <w:lang w:eastAsia="it-IT"/>
              </w:rPr>
            </w:pPr>
            <w:r w:rsidRPr="00B12E35">
              <w:rPr>
                <w:rFonts w:eastAsia="Times New Roman" w:cstheme="minorHAnsi"/>
                <w:b/>
                <w:bCs/>
                <w:color w:val="000000"/>
                <w:sz w:val="18"/>
                <w:szCs w:val="18"/>
                <w:lang w:eastAsia="it-IT"/>
              </w:rPr>
              <w:t>1.547.729.495</w:t>
            </w:r>
          </w:p>
        </w:tc>
        <w:tc>
          <w:tcPr>
            <w:tcW w:w="622" w:type="pct"/>
            <w:shd w:val="clear" w:color="auto" w:fill="auto"/>
            <w:noWrap/>
            <w:vAlign w:val="bottom"/>
            <w:hideMark/>
          </w:tcPr>
          <w:p w:rsidR="00CD34A0" w:rsidRPr="00B12E35" w:rsidRDefault="00CD34A0" w:rsidP="00CD34A0">
            <w:pPr>
              <w:spacing w:after="0" w:line="240" w:lineRule="auto"/>
              <w:jc w:val="right"/>
              <w:rPr>
                <w:rFonts w:eastAsia="Times New Roman" w:cstheme="minorHAnsi"/>
                <w:b/>
                <w:bCs/>
                <w:color w:val="000000"/>
                <w:sz w:val="18"/>
                <w:szCs w:val="18"/>
                <w:lang w:eastAsia="it-IT"/>
              </w:rPr>
            </w:pPr>
            <w:r w:rsidRPr="00B12E35">
              <w:rPr>
                <w:rFonts w:eastAsia="Times New Roman" w:cstheme="minorHAnsi"/>
                <w:b/>
                <w:bCs/>
                <w:color w:val="000000"/>
                <w:sz w:val="18"/>
                <w:szCs w:val="18"/>
                <w:lang w:eastAsia="it-IT"/>
              </w:rPr>
              <w:t>127.734.169</w:t>
            </w:r>
          </w:p>
        </w:tc>
        <w:tc>
          <w:tcPr>
            <w:tcW w:w="364" w:type="pct"/>
            <w:shd w:val="clear" w:color="auto" w:fill="auto"/>
            <w:noWrap/>
            <w:vAlign w:val="bottom"/>
            <w:hideMark/>
          </w:tcPr>
          <w:p w:rsidR="00CD34A0" w:rsidRPr="00B12E35" w:rsidRDefault="00CD34A0" w:rsidP="00CD34A0">
            <w:pPr>
              <w:spacing w:after="0" w:line="240" w:lineRule="auto"/>
              <w:jc w:val="right"/>
              <w:rPr>
                <w:rFonts w:eastAsia="Times New Roman" w:cstheme="minorHAnsi"/>
                <w:b/>
                <w:bCs/>
                <w:color w:val="000000"/>
                <w:sz w:val="18"/>
                <w:szCs w:val="18"/>
                <w:lang w:eastAsia="it-IT"/>
              </w:rPr>
            </w:pPr>
            <w:r w:rsidRPr="00B12E35">
              <w:rPr>
                <w:rFonts w:eastAsia="Times New Roman" w:cstheme="minorHAnsi"/>
                <w:b/>
                <w:bCs/>
                <w:color w:val="000000"/>
                <w:sz w:val="18"/>
                <w:szCs w:val="18"/>
                <w:lang w:eastAsia="it-IT"/>
              </w:rPr>
              <w:t>8,3%</w:t>
            </w:r>
          </w:p>
        </w:tc>
      </w:tr>
    </w:tbl>
    <w:p w:rsidR="00AD4582" w:rsidRDefault="00AD458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1375"/>
        <w:gridCol w:w="1377"/>
        <w:gridCol w:w="1216"/>
        <w:gridCol w:w="712"/>
      </w:tblGrid>
      <w:tr w:rsidR="00DA0C2B" w:rsidRPr="00CD34A0" w:rsidTr="00AD4582">
        <w:trPr>
          <w:trHeight w:val="300"/>
          <w:jc w:val="center"/>
        </w:trPr>
        <w:tc>
          <w:tcPr>
            <w:tcW w:w="2606" w:type="pct"/>
            <w:shd w:val="clear" w:color="auto" w:fill="95B3D7" w:themeFill="accent1" w:themeFillTint="99"/>
            <w:noWrap/>
            <w:vAlign w:val="center"/>
          </w:tcPr>
          <w:p w:rsidR="00DA0C2B" w:rsidRPr="00B12E35" w:rsidRDefault="00DA0C2B" w:rsidP="00DA0C2B">
            <w:pPr>
              <w:spacing w:after="0" w:line="240" w:lineRule="auto"/>
              <w:rPr>
                <w:rFonts w:ascii="Bodoni MT" w:eastAsia="Times New Roman" w:hAnsi="Bodoni MT" w:cs="Calibri"/>
                <w:b/>
                <w:bCs/>
                <w:color w:val="FFFFFF" w:themeColor="background1"/>
                <w:sz w:val="18"/>
                <w:szCs w:val="18"/>
                <w:lang w:eastAsia="it-IT"/>
              </w:rPr>
            </w:pPr>
            <w:r w:rsidRPr="00844CFC">
              <w:rPr>
                <w:rFonts w:ascii="Bodoni MT" w:eastAsia="Times New Roman" w:hAnsi="Bodoni MT" w:cs="Calibri"/>
                <w:b/>
                <w:bCs/>
                <w:color w:val="FFFFFF" w:themeColor="background1"/>
                <w:lang w:eastAsia="it-IT"/>
              </w:rPr>
              <w:t xml:space="preserve">Totale immobilizzazioni materiali </w:t>
            </w:r>
            <w:r>
              <w:rPr>
                <w:rFonts w:ascii="Bodoni MT" w:eastAsia="Times New Roman" w:hAnsi="Bodoni MT" w:cs="Calibri"/>
                <w:b/>
                <w:bCs/>
                <w:color w:val="FFFFFF" w:themeColor="background1"/>
                <w:lang w:eastAsia="it-IT"/>
              </w:rPr>
              <w:t>generale</w:t>
            </w:r>
          </w:p>
        </w:tc>
        <w:tc>
          <w:tcPr>
            <w:tcW w:w="703" w:type="pct"/>
            <w:shd w:val="clear" w:color="auto" w:fill="auto"/>
            <w:noWrap/>
            <w:vAlign w:val="bottom"/>
          </w:tcPr>
          <w:p w:rsidR="00DA0C2B" w:rsidRPr="00844CFC" w:rsidRDefault="00DA0C2B" w:rsidP="00DA0C2B">
            <w:pPr>
              <w:spacing w:after="0" w:line="240" w:lineRule="auto"/>
              <w:jc w:val="right"/>
              <w:rPr>
                <w:rFonts w:eastAsia="Times New Roman" w:cstheme="minorHAnsi"/>
                <w:b/>
                <w:bCs/>
                <w:color w:val="000000"/>
                <w:sz w:val="18"/>
                <w:szCs w:val="18"/>
                <w:lang w:eastAsia="it-IT"/>
              </w:rPr>
            </w:pPr>
            <w:r w:rsidRPr="00844CFC">
              <w:rPr>
                <w:rFonts w:eastAsia="Times New Roman" w:cstheme="minorHAnsi"/>
                <w:b/>
                <w:bCs/>
                <w:color w:val="000000"/>
                <w:sz w:val="18"/>
                <w:szCs w:val="18"/>
                <w:lang w:eastAsia="it-IT"/>
              </w:rPr>
              <w:t>1.800.700.901</w:t>
            </w:r>
          </w:p>
        </w:tc>
        <w:tc>
          <w:tcPr>
            <w:tcW w:w="704" w:type="pct"/>
            <w:shd w:val="clear" w:color="auto" w:fill="auto"/>
            <w:noWrap/>
            <w:vAlign w:val="bottom"/>
          </w:tcPr>
          <w:p w:rsidR="00DA0C2B" w:rsidRPr="00844CFC" w:rsidRDefault="00DA0C2B" w:rsidP="00DA0C2B">
            <w:pPr>
              <w:spacing w:after="0" w:line="240" w:lineRule="auto"/>
              <w:jc w:val="right"/>
              <w:rPr>
                <w:rFonts w:eastAsia="Times New Roman" w:cstheme="minorHAnsi"/>
                <w:b/>
                <w:bCs/>
                <w:color w:val="000000"/>
                <w:sz w:val="18"/>
                <w:szCs w:val="18"/>
                <w:lang w:eastAsia="it-IT"/>
              </w:rPr>
            </w:pPr>
            <w:r w:rsidRPr="00844CFC">
              <w:rPr>
                <w:rFonts w:eastAsia="Times New Roman" w:cstheme="minorHAnsi"/>
                <w:b/>
                <w:bCs/>
                <w:color w:val="000000"/>
                <w:sz w:val="18"/>
                <w:szCs w:val="18"/>
                <w:lang w:eastAsia="it-IT"/>
              </w:rPr>
              <w:t>1.678.327.641</w:t>
            </w:r>
          </w:p>
        </w:tc>
        <w:tc>
          <w:tcPr>
            <w:tcW w:w="622" w:type="pct"/>
            <w:shd w:val="clear" w:color="auto" w:fill="auto"/>
            <w:noWrap/>
            <w:vAlign w:val="bottom"/>
          </w:tcPr>
          <w:p w:rsidR="00DA0C2B" w:rsidRPr="00844CFC" w:rsidRDefault="00DA0C2B" w:rsidP="00DA0C2B">
            <w:pPr>
              <w:spacing w:after="0" w:line="240" w:lineRule="auto"/>
              <w:jc w:val="right"/>
              <w:rPr>
                <w:rFonts w:eastAsia="Times New Roman" w:cstheme="minorHAnsi"/>
                <w:b/>
                <w:bCs/>
                <w:color w:val="000000"/>
                <w:sz w:val="18"/>
                <w:szCs w:val="18"/>
                <w:lang w:eastAsia="it-IT"/>
              </w:rPr>
            </w:pPr>
            <w:r w:rsidRPr="00844CFC">
              <w:rPr>
                <w:rFonts w:eastAsia="Times New Roman" w:cstheme="minorHAnsi"/>
                <w:b/>
                <w:bCs/>
                <w:color w:val="000000"/>
                <w:sz w:val="18"/>
                <w:szCs w:val="18"/>
                <w:lang w:eastAsia="it-IT"/>
              </w:rPr>
              <w:t>122.328.260</w:t>
            </w:r>
          </w:p>
        </w:tc>
        <w:tc>
          <w:tcPr>
            <w:tcW w:w="364" w:type="pct"/>
            <w:shd w:val="clear" w:color="auto" w:fill="auto"/>
            <w:noWrap/>
            <w:vAlign w:val="bottom"/>
          </w:tcPr>
          <w:p w:rsidR="00DA0C2B" w:rsidRPr="00844CFC" w:rsidRDefault="00DA0C2B" w:rsidP="00DA0C2B">
            <w:pPr>
              <w:spacing w:after="0" w:line="240" w:lineRule="auto"/>
              <w:jc w:val="right"/>
              <w:rPr>
                <w:rFonts w:eastAsia="Times New Roman" w:cstheme="minorHAnsi"/>
                <w:b/>
                <w:bCs/>
                <w:color w:val="000000"/>
                <w:sz w:val="18"/>
                <w:szCs w:val="18"/>
                <w:lang w:eastAsia="it-IT"/>
              </w:rPr>
            </w:pPr>
            <w:r w:rsidRPr="00844CFC">
              <w:rPr>
                <w:rFonts w:eastAsia="Times New Roman" w:cstheme="minorHAnsi"/>
                <w:b/>
                <w:bCs/>
                <w:color w:val="000000"/>
                <w:sz w:val="18"/>
                <w:szCs w:val="18"/>
                <w:lang w:eastAsia="it-IT"/>
              </w:rPr>
              <w:t>7,3%</w:t>
            </w:r>
          </w:p>
        </w:tc>
      </w:tr>
    </w:tbl>
    <w:p w:rsidR="00CD34A0" w:rsidRPr="00844CFC"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18"/>
          <w:szCs w:val="18"/>
        </w:rPr>
      </w:pPr>
      <w:r w:rsidRPr="00844CFC">
        <w:rPr>
          <w:rFonts w:ascii="Bodoni MT" w:eastAsia="Times New Roman" w:hAnsi="Bodoni MT" w:cs="Bodoni MT"/>
          <w:color w:val="000000"/>
          <w:sz w:val="18"/>
          <w:szCs w:val="18"/>
        </w:rPr>
        <w:t>Fonte RAS Rendiconto sulla gestione 2016 – Allegato 3.3</w:t>
      </w:r>
    </w:p>
    <w:p w:rsidR="00844CFC" w:rsidRPr="00CD34A0" w:rsidRDefault="00844CFC"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p>
    <w:p w:rsidR="00CD34A0" w:rsidRPr="00CD34A0" w:rsidRDefault="00CD34A0" w:rsidP="00CD34A0">
      <w:pPr>
        <w:spacing w:after="160" w:line="259" w:lineRule="auto"/>
        <w:rPr>
          <w:rFonts w:ascii="Bodoni MT" w:eastAsia="Times New Roman" w:hAnsi="Bodoni MT" w:cs="Bodoni MT"/>
          <w:b/>
          <w:color w:val="000000"/>
          <w:sz w:val="24"/>
          <w:szCs w:val="24"/>
        </w:rPr>
        <w:sectPr w:rsidR="00CD34A0" w:rsidRPr="00CD34A0" w:rsidSect="00D4493F">
          <w:pgSz w:w="11906" w:h="16838"/>
          <w:pgMar w:top="1417" w:right="1134" w:bottom="1134" w:left="1134" w:header="708" w:footer="708" w:gutter="0"/>
          <w:cols w:space="708"/>
          <w:docGrid w:linePitch="360"/>
        </w:sectPr>
      </w:pPr>
    </w:p>
    <w:p w:rsidR="00CD34A0" w:rsidRPr="00CD34A0" w:rsidRDefault="00844CFC" w:rsidP="00844CFC">
      <w:pPr>
        <w:pStyle w:val="Didascalia"/>
        <w:rPr>
          <w:rFonts w:eastAsia="Times New Roman" w:cs="Bodoni MT"/>
          <w:b w:val="0"/>
          <w:color w:val="000000"/>
          <w:sz w:val="24"/>
          <w:szCs w:val="24"/>
        </w:rPr>
      </w:pPr>
      <w:bookmarkStart w:id="365" w:name="_Toc507422572"/>
      <w:r>
        <w:lastRenderedPageBreak/>
        <w:t xml:space="preserve">Tabella </w:t>
      </w:r>
      <w:r w:rsidR="00B90472">
        <w:fldChar w:fldCharType="begin"/>
      </w:r>
      <w:r w:rsidR="00B90472">
        <w:instrText xml:space="preserve"> SEQ Tabella \* ARABIC </w:instrText>
      </w:r>
      <w:r w:rsidR="00B90472">
        <w:fldChar w:fldCharType="separate"/>
      </w:r>
      <w:r w:rsidR="008616B3">
        <w:rPr>
          <w:noProof/>
        </w:rPr>
        <w:t>104</w:t>
      </w:r>
      <w:r w:rsidR="00B90472">
        <w:rPr>
          <w:noProof/>
        </w:rPr>
        <w:fldChar w:fldCharType="end"/>
      </w:r>
      <w:r>
        <w:t xml:space="preserve"> – Movimentazione delle immobilizzazioni materiali</w:t>
      </w:r>
      <w:bookmarkEnd w:id="365"/>
    </w:p>
    <w:tbl>
      <w:tblPr>
        <w:tblW w:w="15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200"/>
        <w:gridCol w:w="1098"/>
        <w:gridCol w:w="1149"/>
        <w:gridCol w:w="1200"/>
        <w:gridCol w:w="1060"/>
        <w:gridCol w:w="1120"/>
        <w:gridCol w:w="1149"/>
        <w:gridCol w:w="1060"/>
        <w:gridCol w:w="1200"/>
        <w:gridCol w:w="1200"/>
      </w:tblGrid>
      <w:tr w:rsidR="00CD34A0" w:rsidRPr="00CD34A0" w:rsidTr="00844CFC">
        <w:trPr>
          <w:trHeight w:val="675"/>
          <w:jc w:val="center"/>
        </w:trPr>
        <w:tc>
          <w:tcPr>
            <w:tcW w:w="360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sz w:val="16"/>
                <w:szCs w:val="16"/>
                <w:lang w:eastAsia="it-IT"/>
              </w:rPr>
            </w:pPr>
            <w:r w:rsidRPr="00844CFC">
              <w:rPr>
                <w:rFonts w:ascii="Bodoni MT" w:eastAsia="Times New Roman" w:hAnsi="Bodoni MT" w:cs="Times New Roman"/>
                <w:b/>
                <w:bCs/>
                <w:iCs/>
                <w:sz w:val="16"/>
                <w:szCs w:val="16"/>
                <w:lang w:eastAsia="it-IT"/>
              </w:rPr>
              <w:t>VOCI</w:t>
            </w:r>
          </w:p>
        </w:tc>
        <w:tc>
          <w:tcPr>
            <w:tcW w:w="120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COSTO STORICO 31/12/2015</w:t>
            </w:r>
          </w:p>
        </w:tc>
        <w:tc>
          <w:tcPr>
            <w:tcW w:w="1098"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sz w:val="16"/>
                <w:szCs w:val="16"/>
                <w:lang w:eastAsia="it-IT"/>
              </w:rPr>
            </w:pPr>
            <w:r w:rsidRPr="00844CFC">
              <w:rPr>
                <w:rFonts w:ascii="Bodoni MT" w:eastAsia="Times New Roman" w:hAnsi="Bodoni MT" w:cs="Times New Roman"/>
                <w:b/>
                <w:bCs/>
                <w:iCs/>
                <w:sz w:val="16"/>
                <w:szCs w:val="16"/>
                <w:lang w:eastAsia="it-IT"/>
              </w:rPr>
              <w:t>INCREMENTI</w:t>
            </w:r>
          </w:p>
        </w:tc>
        <w:tc>
          <w:tcPr>
            <w:tcW w:w="1149"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sz w:val="16"/>
                <w:szCs w:val="16"/>
                <w:lang w:eastAsia="it-IT"/>
              </w:rPr>
            </w:pPr>
            <w:r w:rsidRPr="00844CFC">
              <w:rPr>
                <w:rFonts w:ascii="Bodoni MT" w:eastAsia="Times New Roman" w:hAnsi="Bodoni MT" w:cs="Times New Roman"/>
                <w:b/>
                <w:bCs/>
                <w:iCs/>
                <w:sz w:val="16"/>
                <w:szCs w:val="16"/>
                <w:lang w:eastAsia="it-IT"/>
              </w:rPr>
              <w:t>DECREMENTI</w:t>
            </w:r>
          </w:p>
        </w:tc>
        <w:tc>
          <w:tcPr>
            <w:tcW w:w="120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COSTO STORICO 31/12/2016</w:t>
            </w:r>
          </w:p>
        </w:tc>
        <w:tc>
          <w:tcPr>
            <w:tcW w:w="106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FONDO AMM.TO 31/12/2015</w:t>
            </w:r>
          </w:p>
        </w:tc>
        <w:tc>
          <w:tcPr>
            <w:tcW w:w="112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QUOTA AMM.TO 2016</w:t>
            </w:r>
          </w:p>
        </w:tc>
        <w:tc>
          <w:tcPr>
            <w:tcW w:w="1149"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DECREMENTI F.DO AMM.TO</w:t>
            </w:r>
          </w:p>
        </w:tc>
        <w:tc>
          <w:tcPr>
            <w:tcW w:w="106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FONDO AMM.TO 31/12/2016</w:t>
            </w:r>
          </w:p>
        </w:tc>
        <w:tc>
          <w:tcPr>
            <w:tcW w:w="120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VNC 31/12/2015</w:t>
            </w:r>
          </w:p>
        </w:tc>
        <w:tc>
          <w:tcPr>
            <w:tcW w:w="1200" w:type="dxa"/>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color w:val="000000"/>
                <w:sz w:val="20"/>
                <w:szCs w:val="20"/>
                <w:lang w:eastAsia="it-IT"/>
              </w:rPr>
            </w:pPr>
            <w:r w:rsidRPr="00844CFC">
              <w:rPr>
                <w:rFonts w:ascii="Bodoni MT" w:eastAsia="Times New Roman" w:hAnsi="Bodoni MT" w:cs="Times New Roman"/>
                <w:b/>
                <w:bCs/>
                <w:iCs/>
                <w:sz w:val="16"/>
                <w:szCs w:val="16"/>
                <w:lang w:eastAsia="it-IT"/>
              </w:rPr>
              <w:t>VNC 31/12/2016</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1      </w:t>
            </w:r>
            <w:r w:rsidR="00CD34A0" w:rsidRPr="00844CFC">
              <w:rPr>
                <w:rFonts w:ascii="Bodoni MT" w:eastAsia="Times New Roman" w:hAnsi="Bodoni MT" w:cs="Times New Roman"/>
                <w:color w:val="FFFFFF" w:themeColor="background1"/>
                <w:sz w:val="16"/>
                <w:szCs w:val="16"/>
                <w:lang w:eastAsia="it-IT"/>
              </w:rPr>
              <w:t>Beni demaniali</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restart"/>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restart"/>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1.1   </w:t>
            </w:r>
            <w:r w:rsidR="00CD34A0" w:rsidRPr="00844CFC">
              <w:rPr>
                <w:rFonts w:ascii="Bodoni MT" w:eastAsia="Times New Roman" w:hAnsi="Bodoni MT" w:cs="Times New Roman"/>
                <w:color w:val="FFFFFF" w:themeColor="background1"/>
                <w:sz w:val="16"/>
                <w:szCs w:val="16"/>
                <w:lang w:eastAsia="it-IT"/>
              </w:rPr>
              <w:t>Terreni</w:t>
            </w:r>
            <w:r w:rsidRPr="00844CFC">
              <w:rPr>
                <w:rFonts w:ascii="Bodoni MT" w:eastAsia="Times New Roman" w:hAnsi="Bodoni MT" w:cs="Times New Roman"/>
                <w:color w:val="FFFFFF" w:themeColor="background1"/>
                <w:sz w:val="16"/>
                <w:szCs w:val="16"/>
                <w:lang w:eastAsia="it-IT"/>
              </w:rPr>
              <w:t xml:space="preserve"> </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3.252.004</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146.620</w:t>
            </w: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3.398.624</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3.252.004</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3.398.624</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1.2   </w:t>
            </w:r>
            <w:r w:rsidR="00CD34A0" w:rsidRPr="00844CFC">
              <w:rPr>
                <w:rFonts w:ascii="Bodoni MT" w:eastAsia="Times New Roman" w:hAnsi="Bodoni MT" w:cs="Times New Roman"/>
                <w:color w:val="FFFFFF" w:themeColor="background1"/>
                <w:sz w:val="16"/>
                <w:szCs w:val="16"/>
                <w:lang w:eastAsia="it-IT"/>
              </w:rPr>
              <w:t>Fabbricati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18.580</w:t>
            </w:r>
          </w:p>
        </w:tc>
        <w:tc>
          <w:tcPr>
            <w:tcW w:w="1098"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18.580</w:t>
            </w:r>
          </w:p>
        </w:tc>
        <w:tc>
          <w:tcPr>
            <w:tcW w:w="1060"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557</w:t>
            </w: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557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18.580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18.023</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1.3   </w:t>
            </w:r>
            <w:r w:rsidR="00CD34A0" w:rsidRPr="00844CFC">
              <w:rPr>
                <w:rFonts w:ascii="Bodoni MT" w:eastAsia="Times New Roman" w:hAnsi="Bodoni MT" w:cs="Times New Roman"/>
                <w:color w:val="FFFFFF" w:themeColor="background1"/>
                <w:sz w:val="16"/>
                <w:szCs w:val="16"/>
                <w:lang w:eastAsia="it-IT"/>
              </w:rPr>
              <w:t>Infrastrutture</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205.487.520</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630.000</w:t>
            </w: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206.117.520</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78.114.958</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6.181.970</w:t>
            </w: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84.296.927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127.372.562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121.820.593</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1.9   </w:t>
            </w:r>
            <w:r w:rsidR="00CD34A0" w:rsidRPr="00844CFC">
              <w:rPr>
                <w:rFonts w:ascii="Bodoni MT" w:eastAsia="Times New Roman" w:hAnsi="Bodoni MT" w:cs="Times New Roman"/>
                <w:color w:val="FFFFFF" w:themeColor="background1"/>
                <w:sz w:val="16"/>
                <w:szCs w:val="16"/>
                <w:lang w:eastAsia="it-IT"/>
              </w:rPr>
              <w:t>Altri beni demaniali</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vMerge/>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r>
      <w:tr w:rsidR="00CD34A0" w:rsidRPr="00CD34A0" w:rsidTr="00495973">
        <w:trPr>
          <w:trHeight w:val="280"/>
          <w:jc w:val="center"/>
        </w:trPr>
        <w:tc>
          <w:tcPr>
            <w:tcW w:w="3600" w:type="dxa"/>
            <w:shd w:val="clear" w:color="auto" w:fill="95B3D7" w:themeFill="accent1" w:themeFillTint="99"/>
            <w:vAlign w:val="center"/>
            <w:hideMark/>
          </w:tcPr>
          <w:p w:rsidR="00CD34A0" w:rsidRPr="008E2869" w:rsidRDefault="008E2869" w:rsidP="00844CFC">
            <w:pPr>
              <w:spacing w:after="0" w:line="240" w:lineRule="auto"/>
              <w:rPr>
                <w:rFonts w:ascii="Bodoni MT" w:eastAsia="Times New Roman" w:hAnsi="Bodoni MT" w:cs="Times New Roman"/>
                <w:b/>
                <w:bCs/>
                <w:iCs/>
                <w:color w:val="FFFFFF" w:themeColor="background1"/>
                <w:sz w:val="16"/>
                <w:szCs w:val="16"/>
                <w:lang w:eastAsia="it-IT"/>
              </w:rPr>
            </w:pPr>
            <w:r w:rsidRPr="008E2869">
              <w:rPr>
                <w:rFonts w:ascii="Bodoni MT" w:eastAsia="Times New Roman" w:hAnsi="Bodoni MT" w:cs="Times New Roman"/>
                <w:b/>
                <w:bCs/>
                <w:iCs/>
                <w:color w:val="FFFFFF" w:themeColor="background1"/>
                <w:sz w:val="16"/>
                <w:szCs w:val="16"/>
                <w:lang w:eastAsia="it-IT"/>
              </w:rPr>
              <w:t>TOTALE BENI DEMANIALI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208.758.104</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776.620</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209.534.724</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78.114.958</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6.182.527</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0</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84.297.485</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130.643.146</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125.237.240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      </w:t>
            </w:r>
            <w:r w:rsidR="00CD34A0" w:rsidRPr="00844CFC">
              <w:rPr>
                <w:rFonts w:ascii="Bodoni MT" w:eastAsia="Times New Roman" w:hAnsi="Bodoni MT" w:cs="Times New Roman"/>
                <w:color w:val="FFFFFF" w:themeColor="background1"/>
                <w:sz w:val="16"/>
                <w:szCs w:val="16"/>
                <w:lang w:eastAsia="it-IT"/>
              </w:rPr>
              <w:t>Altre immobilizzazioni materiali</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2.1   </w:t>
            </w:r>
            <w:r w:rsidR="00CD34A0" w:rsidRPr="00844CFC">
              <w:rPr>
                <w:rFonts w:ascii="Bodoni MT" w:eastAsia="Times New Roman" w:hAnsi="Bodoni MT" w:cs="Times New Roman"/>
                <w:color w:val="FFFFFF" w:themeColor="background1"/>
                <w:sz w:val="16"/>
                <w:szCs w:val="16"/>
                <w:lang w:eastAsia="it-IT"/>
              </w:rPr>
              <w:t>Terreni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33.908.160</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2.358.634</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1.610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36.265.183</w:t>
            </w:r>
          </w:p>
        </w:tc>
        <w:tc>
          <w:tcPr>
            <w:tcW w:w="1060"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120"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149"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33.908.160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36.265.183</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i/>
                <w:iCs/>
                <w:color w:val="FFFFFF" w:themeColor="background1"/>
                <w:sz w:val="16"/>
                <w:szCs w:val="16"/>
                <w:lang w:eastAsia="it-IT"/>
              </w:rPr>
            </w:pPr>
            <w:r w:rsidRPr="00844CFC">
              <w:rPr>
                <w:rFonts w:ascii="Bodoni MT" w:eastAsia="Times New Roman" w:hAnsi="Bodoni MT" w:cs="Times New Roman"/>
                <w:i/>
                <w:iCs/>
                <w:color w:val="FFFFFF" w:themeColor="background1"/>
                <w:sz w:val="16"/>
                <w:szCs w:val="16"/>
                <w:lang w:eastAsia="it-IT"/>
              </w:rPr>
              <w:t xml:space="preserve">a     </w:t>
            </w:r>
            <w:r w:rsidR="00CD34A0" w:rsidRPr="00844CFC">
              <w:rPr>
                <w:rFonts w:ascii="Bodoni MT" w:eastAsia="Times New Roman" w:hAnsi="Bodoni MT" w:cs="Times New Roman"/>
                <w:i/>
                <w:iCs/>
                <w:color w:val="FFFFFF" w:themeColor="background1"/>
                <w:sz w:val="16"/>
                <w:szCs w:val="16"/>
                <w:lang w:eastAsia="it-IT"/>
              </w:rPr>
              <w:t>di cui in leasing finanziario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tcPr>
          <w:p w:rsidR="00CD34A0" w:rsidRPr="00844CFC" w:rsidRDefault="00CD34A0" w:rsidP="00495973">
            <w:pPr>
              <w:spacing w:after="0" w:line="240" w:lineRule="auto"/>
              <w:jc w:val="right"/>
              <w:rPr>
                <w:rFonts w:eastAsia="Times New Roman" w:cs="Times New Roman"/>
                <w:iCs/>
                <w:color w:val="000000"/>
                <w:sz w:val="16"/>
                <w:szCs w:val="16"/>
                <w:lang w:eastAsia="it-IT"/>
              </w:rPr>
            </w:pP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tcPr>
          <w:p w:rsidR="00CD34A0" w:rsidRPr="00844CFC" w:rsidRDefault="00CD34A0" w:rsidP="00495973">
            <w:pPr>
              <w:spacing w:after="0" w:line="240" w:lineRule="auto"/>
              <w:jc w:val="right"/>
              <w:rPr>
                <w:rFonts w:eastAsia="Times New Roman" w:cs="Times New Roman"/>
                <w:iCs/>
                <w:color w:val="000000"/>
                <w:sz w:val="16"/>
                <w:szCs w:val="16"/>
                <w:lang w:eastAsia="it-IT"/>
              </w:rPr>
            </w:pPr>
          </w:p>
        </w:tc>
        <w:tc>
          <w:tcPr>
            <w:tcW w:w="1200" w:type="dxa"/>
            <w:shd w:val="clear" w:color="auto" w:fill="auto"/>
            <w:noWrap/>
            <w:vAlign w:val="center"/>
          </w:tcPr>
          <w:p w:rsidR="00CD34A0" w:rsidRPr="00844CFC" w:rsidRDefault="00CD34A0" w:rsidP="00495973">
            <w:pPr>
              <w:spacing w:after="0" w:line="240" w:lineRule="auto"/>
              <w:jc w:val="right"/>
              <w:rPr>
                <w:rFonts w:eastAsia="Times New Roman" w:cs="Times New Roman"/>
                <w:iCs/>
                <w:color w:val="000000"/>
                <w:sz w:val="16"/>
                <w:szCs w:val="16"/>
                <w:lang w:eastAsia="it-IT"/>
              </w:rPr>
            </w:pPr>
          </w:p>
        </w:tc>
        <w:tc>
          <w:tcPr>
            <w:tcW w:w="1200" w:type="dxa"/>
            <w:shd w:val="clear" w:color="auto" w:fill="auto"/>
            <w:noWrap/>
            <w:vAlign w:val="center"/>
          </w:tcPr>
          <w:p w:rsidR="00CD34A0" w:rsidRPr="00844CFC" w:rsidRDefault="00CD34A0" w:rsidP="00495973">
            <w:pPr>
              <w:spacing w:after="0" w:line="240" w:lineRule="auto"/>
              <w:jc w:val="right"/>
              <w:rPr>
                <w:rFonts w:eastAsia="Times New Roman" w:cs="Times New Roman"/>
                <w:iCs/>
                <w:color w:val="000000"/>
                <w:sz w:val="16"/>
                <w:szCs w:val="16"/>
                <w:lang w:eastAsia="it-IT"/>
              </w:rPr>
            </w:pP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2.2   </w:t>
            </w:r>
            <w:r w:rsidR="00CD34A0" w:rsidRPr="00844CFC">
              <w:rPr>
                <w:rFonts w:ascii="Bodoni MT" w:eastAsia="Times New Roman" w:hAnsi="Bodoni MT" w:cs="Times New Roman"/>
                <w:color w:val="FFFFFF" w:themeColor="background1"/>
                <w:sz w:val="16"/>
                <w:szCs w:val="16"/>
                <w:lang w:eastAsia="it-IT"/>
              </w:rPr>
              <w:t>Fabbricati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1.254.436.258</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6.132.287</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5.786.512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1.254.782.034</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301.024.954</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23.261.832</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1.206.570</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323.080.216</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953.411.304</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931.701.817</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i/>
                <w:iCs/>
                <w:color w:val="FFFFFF" w:themeColor="background1"/>
                <w:sz w:val="16"/>
                <w:szCs w:val="16"/>
                <w:lang w:eastAsia="it-IT"/>
              </w:rPr>
            </w:pPr>
            <w:r w:rsidRPr="00844CFC">
              <w:rPr>
                <w:rFonts w:ascii="Bodoni MT" w:eastAsia="Times New Roman" w:hAnsi="Bodoni MT" w:cs="Times New Roman"/>
                <w:i/>
                <w:iCs/>
                <w:color w:val="FFFFFF" w:themeColor="background1"/>
                <w:sz w:val="16"/>
                <w:szCs w:val="16"/>
                <w:lang w:eastAsia="it-IT"/>
              </w:rPr>
              <w:t xml:space="preserve">a     </w:t>
            </w:r>
            <w:r w:rsidR="00CD34A0" w:rsidRPr="00844CFC">
              <w:rPr>
                <w:rFonts w:ascii="Bodoni MT" w:eastAsia="Times New Roman" w:hAnsi="Bodoni MT" w:cs="Times New Roman"/>
                <w:i/>
                <w:iCs/>
                <w:color w:val="FFFFFF" w:themeColor="background1"/>
                <w:sz w:val="16"/>
                <w:szCs w:val="16"/>
                <w:lang w:eastAsia="it-IT"/>
              </w:rPr>
              <w:t xml:space="preserve"> di cui in leasing finanziario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2.3    </w:t>
            </w:r>
            <w:r w:rsidR="00CD34A0" w:rsidRPr="00844CFC">
              <w:rPr>
                <w:rFonts w:ascii="Bodoni MT" w:eastAsia="Times New Roman" w:hAnsi="Bodoni MT" w:cs="Times New Roman"/>
                <w:color w:val="FFFFFF" w:themeColor="background1"/>
                <w:sz w:val="16"/>
                <w:szCs w:val="16"/>
                <w:lang w:eastAsia="it-IT"/>
              </w:rPr>
              <w:t>Impianti e macchinari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279.568</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1.610</w:t>
            </w:r>
          </w:p>
        </w:tc>
        <w:tc>
          <w:tcPr>
            <w:tcW w:w="1149"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281.179</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117.614</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9.207</w:t>
            </w:r>
          </w:p>
        </w:tc>
        <w:tc>
          <w:tcPr>
            <w:tcW w:w="1149" w:type="dxa"/>
            <w:shd w:val="clear" w:color="auto" w:fill="auto"/>
            <w:vAlign w:val="center"/>
            <w:hideMark/>
          </w:tcPr>
          <w:p w:rsidR="00CD34A0" w:rsidRPr="00844CFC" w:rsidRDefault="00CD34A0" w:rsidP="00495973">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 </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126.821</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161.954</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154.357</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i/>
                <w:iCs/>
                <w:color w:val="FFFFFF" w:themeColor="background1"/>
                <w:sz w:val="16"/>
                <w:szCs w:val="16"/>
                <w:lang w:eastAsia="it-IT"/>
              </w:rPr>
            </w:pPr>
            <w:r w:rsidRPr="00844CFC">
              <w:rPr>
                <w:rFonts w:ascii="Bodoni MT" w:eastAsia="Times New Roman" w:hAnsi="Bodoni MT" w:cs="Times New Roman"/>
                <w:i/>
                <w:iCs/>
                <w:color w:val="FFFFFF" w:themeColor="background1"/>
                <w:sz w:val="16"/>
                <w:szCs w:val="16"/>
                <w:lang w:eastAsia="it-IT"/>
              </w:rPr>
              <w:t xml:space="preserve">a      </w:t>
            </w:r>
            <w:r w:rsidR="00CD34A0" w:rsidRPr="00844CFC">
              <w:rPr>
                <w:rFonts w:ascii="Bodoni MT" w:eastAsia="Times New Roman" w:hAnsi="Bodoni MT" w:cs="Times New Roman"/>
                <w:i/>
                <w:iCs/>
                <w:color w:val="FFFFFF" w:themeColor="background1"/>
                <w:sz w:val="16"/>
                <w:szCs w:val="16"/>
                <w:lang w:eastAsia="it-IT"/>
              </w:rPr>
              <w:t>di cui in leasing finanziario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2.4   </w:t>
            </w:r>
            <w:r w:rsidR="00CD34A0" w:rsidRPr="00844CFC">
              <w:rPr>
                <w:rFonts w:ascii="Bodoni MT" w:eastAsia="Times New Roman" w:hAnsi="Bodoni MT" w:cs="Times New Roman"/>
                <w:color w:val="FFFFFF" w:themeColor="background1"/>
                <w:sz w:val="16"/>
                <w:szCs w:val="16"/>
                <w:lang w:eastAsia="it-IT"/>
              </w:rPr>
              <w:t>Attrezzature</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4.183.451</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110.803</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2.638</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4.291.616</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3.073.438</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103.440</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1.782</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3.175.097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1.110.013</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1.116.519</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i/>
                <w:iCs/>
                <w:color w:val="FFFFFF" w:themeColor="background1"/>
                <w:sz w:val="16"/>
                <w:szCs w:val="16"/>
                <w:lang w:eastAsia="it-IT"/>
              </w:rPr>
            </w:pPr>
            <w:r w:rsidRPr="00844CFC">
              <w:rPr>
                <w:rFonts w:ascii="Bodoni MT" w:eastAsia="Times New Roman" w:hAnsi="Bodoni MT" w:cs="Times New Roman"/>
                <w:i/>
                <w:iCs/>
                <w:color w:val="FFFFFF" w:themeColor="background1"/>
                <w:sz w:val="16"/>
                <w:szCs w:val="16"/>
                <w:lang w:eastAsia="it-IT"/>
              </w:rPr>
              <w:t xml:space="preserve">a     </w:t>
            </w:r>
            <w:r w:rsidR="00CD34A0" w:rsidRPr="00844CFC">
              <w:rPr>
                <w:rFonts w:ascii="Bodoni MT" w:eastAsia="Times New Roman" w:hAnsi="Bodoni MT" w:cs="Times New Roman"/>
                <w:i/>
                <w:iCs/>
                <w:color w:val="FFFFFF" w:themeColor="background1"/>
                <w:sz w:val="16"/>
                <w:szCs w:val="16"/>
                <w:lang w:eastAsia="it-IT"/>
              </w:rPr>
              <w:t xml:space="preserve"> di cui in leasing finanziario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2.5    </w:t>
            </w:r>
            <w:r w:rsidR="00CD34A0" w:rsidRPr="00844CFC">
              <w:rPr>
                <w:rFonts w:ascii="Bodoni MT" w:eastAsia="Times New Roman" w:hAnsi="Bodoni MT" w:cs="Times New Roman"/>
                <w:color w:val="FFFFFF" w:themeColor="background1"/>
                <w:sz w:val="16"/>
                <w:szCs w:val="16"/>
                <w:lang w:eastAsia="it-IT"/>
              </w:rPr>
              <w:t>Mezzi di trasporto</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43.165.892</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892.950</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1.267.372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42.791.469</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31.662.131</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3.742.753</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1.267.372</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34.137.512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11.503.761</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8.653.957</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i/>
                <w:iCs/>
                <w:color w:val="FFFFFF" w:themeColor="background1"/>
                <w:sz w:val="16"/>
                <w:szCs w:val="16"/>
                <w:lang w:eastAsia="it-IT"/>
              </w:rPr>
            </w:pPr>
            <w:r w:rsidRPr="00844CFC">
              <w:rPr>
                <w:rFonts w:ascii="Bodoni MT" w:eastAsia="Times New Roman" w:hAnsi="Bodoni MT" w:cs="Times New Roman"/>
                <w:i/>
                <w:iCs/>
                <w:color w:val="FFFFFF" w:themeColor="background1"/>
                <w:sz w:val="16"/>
                <w:szCs w:val="16"/>
                <w:lang w:eastAsia="it-IT"/>
              </w:rPr>
              <w:t xml:space="preserve">a       </w:t>
            </w:r>
            <w:r w:rsidR="00CD34A0" w:rsidRPr="00844CFC">
              <w:rPr>
                <w:rFonts w:ascii="Bodoni MT" w:eastAsia="Times New Roman" w:hAnsi="Bodoni MT" w:cs="Times New Roman"/>
                <w:i/>
                <w:iCs/>
                <w:color w:val="FFFFFF" w:themeColor="background1"/>
                <w:sz w:val="16"/>
                <w:szCs w:val="16"/>
                <w:lang w:eastAsia="it-IT"/>
              </w:rPr>
              <w:t>di cui in leasing finanziario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2.6    </w:t>
            </w:r>
            <w:r w:rsidR="00CD34A0" w:rsidRPr="00844CFC">
              <w:rPr>
                <w:rFonts w:ascii="Bodoni MT" w:eastAsia="Times New Roman" w:hAnsi="Bodoni MT" w:cs="Times New Roman"/>
                <w:color w:val="FFFFFF" w:themeColor="background1"/>
                <w:sz w:val="16"/>
                <w:szCs w:val="16"/>
                <w:lang w:eastAsia="it-IT"/>
              </w:rPr>
              <w:t>Macchine per ufficio e hardware</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10.563.151</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1.216.744</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91.421</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11.688.474</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8.502.965</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994.566</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91.420</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9.406.112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2.060.186</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2.282.363</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2.7   </w:t>
            </w:r>
            <w:r w:rsidR="00CD34A0" w:rsidRPr="00844CFC">
              <w:rPr>
                <w:rFonts w:ascii="Bodoni MT" w:eastAsia="Times New Roman" w:hAnsi="Bodoni MT" w:cs="Times New Roman"/>
                <w:color w:val="FFFFFF" w:themeColor="background1"/>
                <w:sz w:val="16"/>
                <w:szCs w:val="16"/>
                <w:lang w:eastAsia="it-IT"/>
              </w:rPr>
              <w:t xml:space="preserve"> Mobili e arredi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21.164.980</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180.477</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72.718</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21.272.739</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20.086.962</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254.015</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72.513</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20.268.465</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1.078.018</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1.004.274</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2.8    </w:t>
            </w:r>
            <w:r w:rsidR="00CD34A0" w:rsidRPr="00844CFC">
              <w:rPr>
                <w:rFonts w:ascii="Bodoni MT" w:eastAsia="Times New Roman" w:hAnsi="Bodoni MT" w:cs="Times New Roman"/>
                <w:color w:val="FFFFFF" w:themeColor="background1"/>
                <w:sz w:val="16"/>
                <w:szCs w:val="16"/>
                <w:lang w:eastAsia="it-IT"/>
              </w:rPr>
              <w:t>Infrastrutture</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14.054.019</w:t>
            </w: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14.054.019</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3.513.505</w:t>
            </w: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3.513.505</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10.540.515</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2.9    </w:t>
            </w:r>
            <w:r w:rsidR="00CD34A0" w:rsidRPr="00844CFC">
              <w:rPr>
                <w:rFonts w:ascii="Bodoni MT" w:eastAsia="Times New Roman" w:hAnsi="Bodoni MT" w:cs="Times New Roman"/>
                <w:color w:val="FFFFFF" w:themeColor="background1"/>
                <w:sz w:val="16"/>
                <w:szCs w:val="16"/>
                <w:lang w:eastAsia="it-IT"/>
              </w:rPr>
              <w:t>Diritti reali di godimento</w:t>
            </w:r>
          </w:p>
        </w:tc>
        <w:tc>
          <w:tcPr>
            <w:tcW w:w="120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98"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iCs/>
                <w:color w:val="000000"/>
                <w:sz w:val="16"/>
                <w:szCs w:val="16"/>
                <w:lang w:eastAsia="it-IT"/>
              </w:rPr>
            </w:pPr>
            <w:r w:rsidRPr="00844CFC">
              <w:rPr>
                <w:rFonts w:eastAsia="Times New Roman" w:cs="Times New Roman"/>
                <w:iCs/>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2.99   </w:t>
            </w:r>
            <w:r w:rsidR="00CD34A0" w:rsidRPr="00844CFC">
              <w:rPr>
                <w:rFonts w:ascii="Bodoni MT" w:eastAsia="Times New Roman" w:hAnsi="Bodoni MT" w:cs="Times New Roman"/>
                <w:color w:val="FFFFFF" w:themeColor="background1"/>
                <w:sz w:val="16"/>
                <w:szCs w:val="16"/>
                <w:lang w:eastAsia="it-IT"/>
              </w:rPr>
              <w:t>Altri beni materiali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477.426.485</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154.552.680</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631.979.164</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103.188.083</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384.730</w:t>
            </w: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103.572.813</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374.238.402</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528.406.351</w:t>
            </w:r>
          </w:p>
        </w:tc>
      </w:tr>
      <w:tr w:rsidR="00CD34A0" w:rsidRPr="00CD34A0" w:rsidTr="00495973">
        <w:trPr>
          <w:trHeight w:val="270"/>
          <w:jc w:val="center"/>
        </w:trPr>
        <w:tc>
          <w:tcPr>
            <w:tcW w:w="3600" w:type="dxa"/>
            <w:shd w:val="clear" w:color="auto" w:fill="95B3D7" w:themeFill="accent1" w:themeFillTint="99"/>
            <w:vAlign w:val="center"/>
            <w:hideMark/>
          </w:tcPr>
          <w:p w:rsidR="00CD34A0" w:rsidRPr="00844CFC" w:rsidRDefault="00844CFC" w:rsidP="00844CFC">
            <w:pPr>
              <w:spacing w:after="0" w:line="240" w:lineRule="auto"/>
              <w:rPr>
                <w:rFonts w:ascii="Bodoni MT" w:eastAsia="Times New Roman" w:hAnsi="Bodoni MT" w:cs="Times New Roman"/>
                <w:color w:val="FFFFFF" w:themeColor="background1"/>
                <w:sz w:val="16"/>
                <w:szCs w:val="16"/>
                <w:lang w:eastAsia="it-IT"/>
              </w:rPr>
            </w:pPr>
            <w:r w:rsidRPr="00844CFC">
              <w:rPr>
                <w:rFonts w:ascii="Bodoni MT" w:eastAsia="Times New Roman" w:hAnsi="Bodoni MT" w:cs="Times New Roman"/>
                <w:color w:val="FFFFFF" w:themeColor="background1"/>
                <w:sz w:val="16"/>
                <w:szCs w:val="16"/>
                <w:lang w:eastAsia="it-IT"/>
              </w:rPr>
              <w:t xml:space="preserve">3        </w:t>
            </w:r>
            <w:r w:rsidR="00CD34A0" w:rsidRPr="00844CFC">
              <w:rPr>
                <w:rFonts w:ascii="Bodoni MT" w:eastAsia="Times New Roman" w:hAnsi="Bodoni MT" w:cs="Times New Roman"/>
                <w:color w:val="FFFFFF" w:themeColor="background1"/>
                <w:sz w:val="16"/>
                <w:szCs w:val="16"/>
                <w:lang w:eastAsia="it-IT"/>
              </w:rPr>
              <w:t>Immobilizzaz.in corso ed acconti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170.257.697</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5.790.082</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20.709.454</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155.338.325</w:t>
            </w:r>
          </w:p>
        </w:tc>
        <w:tc>
          <w:tcPr>
            <w:tcW w:w="106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20"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149" w:type="dxa"/>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170.257.697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color w:val="000000"/>
                <w:sz w:val="16"/>
                <w:szCs w:val="16"/>
                <w:lang w:eastAsia="it-IT"/>
              </w:rPr>
            </w:pPr>
            <w:r w:rsidRPr="00844CFC">
              <w:rPr>
                <w:rFonts w:eastAsia="Times New Roman" w:cs="Times New Roman"/>
                <w:color w:val="000000"/>
                <w:sz w:val="16"/>
                <w:szCs w:val="16"/>
                <w:lang w:eastAsia="it-IT"/>
              </w:rPr>
              <w:t>155.338.325</w:t>
            </w:r>
          </w:p>
        </w:tc>
      </w:tr>
      <w:tr w:rsidR="00CD34A0" w:rsidRPr="00CD34A0" w:rsidTr="00495973">
        <w:trPr>
          <w:trHeight w:val="255"/>
          <w:jc w:val="center"/>
        </w:trPr>
        <w:tc>
          <w:tcPr>
            <w:tcW w:w="3600" w:type="dxa"/>
            <w:shd w:val="clear" w:color="auto" w:fill="95B3D7" w:themeFill="accent1" w:themeFillTint="99"/>
            <w:vAlign w:val="center"/>
            <w:hideMark/>
          </w:tcPr>
          <w:p w:rsidR="00CD34A0" w:rsidRPr="00844CFC" w:rsidRDefault="008E2869" w:rsidP="00844CFC">
            <w:pPr>
              <w:spacing w:after="0" w:line="240" w:lineRule="auto"/>
              <w:rPr>
                <w:rFonts w:ascii="Bodoni MT" w:eastAsia="Times New Roman" w:hAnsi="Bodoni MT" w:cs="Times New Roman"/>
                <w:b/>
                <w:bCs/>
                <w:i/>
                <w:iCs/>
                <w:color w:val="FFFFFF" w:themeColor="background1"/>
                <w:sz w:val="16"/>
                <w:szCs w:val="16"/>
                <w:lang w:eastAsia="it-IT"/>
              </w:rPr>
            </w:pPr>
            <w:r>
              <w:rPr>
                <w:rFonts w:ascii="Bodoni MT" w:eastAsia="Times New Roman" w:hAnsi="Bodoni MT" w:cs="Times New Roman"/>
                <w:b/>
                <w:bCs/>
                <w:i/>
                <w:iCs/>
                <w:color w:val="FFFFFF" w:themeColor="background1"/>
                <w:sz w:val="16"/>
                <w:szCs w:val="16"/>
                <w:lang w:eastAsia="it-IT"/>
              </w:rPr>
              <w:t xml:space="preserve">TOTALE </w:t>
            </w:r>
            <w:r w:rsidRPr="00844CFC">
              <w:rPr>
                <w:rFonts w:ascii="Bodoni MT" w:eastAsia="Times New Roman" w:hAnsi="Bodoni MT" w:cs="Times New Roman"/>
                <w:b/>
                <w:bCs/>
                <w:i/>
                <w:iCs/>
                <w:color w:val="FFFFFF" w:themeColor="background1"/>
                <w:sz w:val="16"/>
                <w:szCs w:val="16"/>
                <w:lang w:eastAsia="it-IT"/>
              </w:rPr>
              <w:t>ALTRE IMMOBILIZZAZIONI MATERIALI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2.015.385.643</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185.290.286</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27.931.727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2.172.744.202</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467.656.148</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32.264.049</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2.639.657</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497.280.540</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1.547.729.495</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1.675.463.662</w:t>
            </w:r>
          </w:p>
        </w:tc>
      </w:tr>
      <w:tr w:rsidR="00CD34A0" w:rsidRPr="00CD34A0" w:rsidTr="00495973">
        <w:trPr>
          <w:trHeight w:val="255"/>
          <w:jc w:val="center"/>
        </w:trPr>
        <w:tc>
          <w:tcPr>
            <w:tcW w:w="3600" w:type="dxa"/>
            <w:shd w:val="clear" w:color="auto" w:fill="95B3D7" w:themeFill="accent1" w:themeFillTint="99"/>
            <w:vAlign w:val="center"/>
            <w:hideMark/>
          </w:tcPr>
          <w:p w:rsidR="00CD34A0" w:rsidRPr="00844CFC" w:rsidRDefault="008E2869" w:rsidP="00844CFC">
            <w:pPr>
              <w:spacing w:after="0" w:line="240" w:lineRule="auto"/>
              <w:rPr>
                <w:rFonts w:ascii="Bodoni MT" w:eastAsia="Times New Roman" w:hAnsi="Bodoni MT" w:cs="Times New Roman"/>
                <w:b/>
                <w:bCs/>
                <w:i/>
                <w:iCs/>
                <w:color w:val="FFFFFF" w:themeColor="background1"/>
                <w:sz w:val="16"/>
                <w:szCs w:val="16"/>
                <w:lang w:eastAsia="it-IT"/>
              </w:rPr>
            </w:pPr>
            <w:r w:rsidRPr="00844CFC">
              <w:rPr>
                <w:rFonts w:ascii="Bodoni MT" w:eastAsia="Times New Roman" w:hAnsi="Bodoni MT" w:cs="Times New Roman"/>
                <w:b/>
                <w:bCs/>
                <w:i/>
                <w:iCs/>
                <w:color w:val="FFFFFF" w:themeColor="background1"/>
                <w:sz w:val="16"/>
                <w:szCs w:val="16"/>
                <w:lang w:eastAsia="it-IT"/>
              </w:rPr>
              <w:t xml:space="preserve">TOTALE </w:t>
            </w:r>
            <w:r>
              <w:rPr>
                <w:rFonts w:ascii="Bodoni MT" w:eastAsia="Times New Roman" w:hAnsi="Bodoni MT" w:cs="Times New Roman"/>
                <w:b/>
                <w:bCs/>
                <w:i/>
                <w:iCs/>
                <w:color w:val="FFFFFF" w:themeColor="background1"/>
                <w:sz w:val="16"/>
                <w:szCs w:val="16"/>
                <w:lang w:eastAsia="it-IT"/>
              </w:rPr>
              <w:t xml:space="preserve">GENERALE </w:t>
            </w:r>
            <w:r w:rsidRPr="00844CFC">
              <w:rPr>
                <w:rFonts w:ascii="Bodoni MT" w:eastAsia="Times New Roman" w:hAnsi="Bodoni MT" w:cs="Times New Roman"/>
                <w:b/>
                <w:bCs/>
                <w:i/>
                <w:iCs/>
                <w:color w:val="FFFFFF" w:themeColor="background1"/>
                <w:sz w:val="16"/>
                <w:szCs w:val="16"/>
                <w:lang w:eastAsia="it-IT"/>
              </w:rPr>
              <w:t>IMMOBILIZZAZIONI MATERIALI</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2.224.143.747</w:t>
            </w:r>
          </w:p>
        </w:tc>
        <w:tc>
          <w:tcPr>
            <w:tcW w:w="1098"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186.066.906</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27.931.727</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2.382.278.926</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545.771.106</w:t>
            </w:r>
          </w:p>
        </w:tc>
        <w:tc>
          <w:tcPr>
            <w:tcW w:w="112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38.446.576</w:t>
            </w:r>
          </w:p>
        </w:tc>
        <w:tc>
          <w:tcPr>
            <w:tcW w:w="1149"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2.639.657</w:t>
            </w:r>
          </w:p>
        </w:tc>
        <w:tc>
          <w:tcPr>
            <w:tcW w:w="106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581.578.025</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1.678.372.641</w:t>
            </w:r>
          </w:p>
        </w:tc>
        <w:tc>
          <w:tcPr>
            <w:tcW w:w="1200" w:type="dxa"/>
            <w:shd w:val="clear" w:color="auto" w:fill="auto"/>
            <w:noWrap/>
            <w:vAlign w:val="center"/>
            <w:hideMark/>
          </w:tcPr>
          <w:p w:rsidR="00CD34A0" w:rsidRPr="00844CFC" w:rsidRDefault="00CD34A0" w:rsidP="00495973">
            <w:pPr>
              <w:spacing w:after="0" w:line="240" w:lineRule="auto"/>
              <w:jc w:val="right"/>
              <w:rPr>
                <w:rFonts w:eastAsia="Times New Roman" w:cs="Times New Roman"/>
                <w:b/>
                <w:bCs/>
                <w:iCs/>
                <w:color w:val="000000"/>
                <w:sz w:val="16"/>
                <w:szCs w:val="16"/>
                <w:lang w:eastAsia="it-IT"/>
              </w:rPr>
            </w:pPr>
            <w:r w:rsidRPr="00844CFC">
              <w:rPr>
                <w:rFonts w:eastAsia="Times New Roman" w:cs="Times New Roman"/>
                <w:b/>
                <w:bCs/>
                <w:iCs/>
                <w:color w:val="000000"/>
                <w:sz w:val="16"/>
                <w:szCs w:val="16"/>
                <w:lang w:eastAsia="it-IT"/>
              </w:rPr>
              <w:t>1.800.700.901</w:t>
            </w:r>
          </w:p>
        </w:tc>
      </w:tr>
    </w:tbl>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sectPr w:rsidR="00CD34A0" w:rsidRPr="00CD34A0" w:rsidSect="00CD34A0">
          <w:pgSz w:w="16838" w:h="11906" w:orient="landscape"/>
          <w:pgMar w:top="1134" w:right="1134" w:bottom="1134" w:left="1418" w:header="709" w:footer="709" w:gutter="0"/>
          <w:cols w:space="708"/>
          <w:docGrid w:linePitch="360"/>
        </w:sectPr>
      </w:pPr>
    </w:p>
    <w:p w:rsidR="00346270" w:rsidRDefault="00346270" w:rsidP="00346270">
      <w:pPr>
        <w:pStyle w:val="Titolo4"/>
        <w:ind w:left="993" w:hanging="993"/>
        <w:rPr>
          <w:rFonts w:eastAsia="Times New Roman"/>
        </w:rPr>
      </w:pPr>
      <w:bookmarkStart w:id="366" w:name="_Toc507422697"/>
      <w:r>
        <w:rPr>
          <w:rFonts w:eastAsia="Times New Roman"/>
        </w:rPr>
        <w:lastRenderedPageBreak/>
        <w:t>Le immobilizzazioni finanziarie</w:t>
      </w:r>
      <w:r w:rsidR="008C5DDA">
        <w:rPr>
          <w:rFonts w:eastAsia="Times New Roman"/>
        </w:rPr>
        <w:t xml:space="preserve"> in generale</w:t>
      </w:r>
      <w:bookmarkEnd w:id="366"/>
    </w:p>
    <w:p w:rsidR="00CD34A0" w:rsidRPr="00CD34A0" w:rsidRDefault="00AF6918"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AF6918">
        <w:rPr>
          <w:rFonts w:ascii="Bodoni MT" w:eastAsia="Times New Roman" w:hAnsi="Bodoni MT" w:cs="Bodoni MT"/>
          <w:color w:val="000000"/>
          <w:sz w:val="24"/>
          <w:szCs w:val="24"/>
        </w:rPr>
        <w:t xml:space="preserve">La Regione </w:t>
      </w:r>
      <w:r>
        <w:rPr>
          <w:rFonts w:ascii="Bodoni MT" w:eastAsia="Times New Roman" w:hAnsi="Bodoni MT" w:cs="Bodoni MT"/>
          <w:color w:val="000000"/>
          <w:sz w:val="24"/>
          <w:szCs w:val="24"/>
        </w:rPr>
        <w:t>precisa che le</w:t>
      </w:r>
      <w:r w:rsidR="00CD34A0" w:rsidRPr="00CD34A0">
        <w:rPr>
          <w:rFonts w:ascii="Bodoni MT" w:eastAsia="Times New Roman" w:hAnsi="Bodoni MT" w:cs="Bodoni MT"/>
          <w:color w:val="000000"/>
          <w:sz w:val="24"/>
          <w:szCs w:val="24"/>
        </w:rPr>
        <w:t xml:space="preserve"> immobilizzazioni finanziarie sono costituite da quote di partecipazione in varie società, fondazioni, enti e agenzie, la cui proprietà è riconducibile alla Regione o nelle quali la Regione ha una partecipazione diretta al capitale o al fondo di dotazione, oltre a crediti</w:t>
      </w:r>
      <w:r w:rsidR="00844CFC">
        <w:rPr>
          <w:rFonts w:ascii="Bodoni MT" w:eastAsia="Times New Roman" w:hAnsi="Bodoni MT" w:cs="Bodoni MT"/>
          <w:color w:val="000000"/>
          <w:sz w:val="24"/>
          <w:szCs w:val="24"/>
        </w:rPr>
        <w:t xml:space="preserve"> immobilizzati ed altri titoli.</w:t>
      </w:r>
    </w:p>
    <w:p w:rsidR="00CD34A0" w:rsidRPr="00CD34A0" w:rsidRDefault="00844CFC" w:rsidP="00844CFC">
      <w:pPr>
        <w:pStyle w:val="Didascalia"/>
        <w:rPr>
          <w:rFonts w:eastAsia="Times New Roman" w:cs="Bodoni MT"/>
          <w:color w:val="000000"/>
          <w:sz w:val="24"/>
          <w:szCs w:val="24"/>
        </w:rPr>
      </w:pPr>
      <w:bookmarkStart w:id="367" w:name="_Toc507422573"/>
      <w:r>
        <w:t xml:space="preserve">Tabella </w:t>
      </w:r>
      <w:r w:rsidR="00B90472">
        <w:fldChar w:fldCharType="begin"/>
      </w:r>
      <w:r w:rsidR="00B90472">
        <w:instrText xml:space="preserve"> SEQ Tabella \* ARABIC </w:instrText>
      </w:r>
      <w:r w:rsidR="00B90472">
        <w:fldChar w:fldCharType="separate"/>
      </w:r>
      <w:r w:rsidR="008616B3">
        <w:rPr>
          <w:noProof/>
        </w:rPr>
        <w:t>105</w:t>
      </w:r>
      <w:r w:rsidR="00B90472">
        <w:rPr>
          <w:noProof/>
        </w:rPr>
        <w:fldChar w:fldCharType="end"/>
      </w:r>
      <w:r>
        <w:t xml:space="preserve"> – Immobilizzazioni finanziarie - Partecipazioni</w:t>
      </w:r>
      <w:bookmarkEnd w:id="3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1"/>
        <w:gridCol w:w="1537"/>
        <w:gridCol w:w="1494"/>
        <w:gridCol w:w="1431"/>
        <w:gridCol w:w="935"/>
      </w:tblGrid>
      <w:tr w:rsidR="00844CFC" w:rsidRPr="00844CFC" w:rsidTr="00844CFC">
        <w:trPr>
          <w:trHeight w:val="259"/>
          <w:jc w:val="center"/>
        </w:trPr>
        <w:tc>
          <w:tcPr>
            <w:tcW w:w="2240" w:type="pct"/>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color w:val="FFFFFF" w:themeColor="background1"/>
                <w:sz w:val="20"/>
                <w:szCs w:val="20"/>
                <w:lang w:eastAsia="it-IT"/>
              </w:rPr>
            </w:pPr>
            <w:r w:rsidRPr="00844CFC">
              <w:rPr>
                <w:rFonts w:ascii="Bodoni MT" w:eastAsia="Times New Roman" w:hAnsi="Bodoni MT" w:cs="Times New Roman"/>
                <w:b/>
                <w:bCs/>
                <w:iCs/>
                <w:color w:val="FFFFFF" w:themeColor="background1"/>
                <w:sz w:val="20"/>
                <w:szCs w:val="20"/>
                <w:lang w:eastAsia="it-IT"/>
              </w:rPr>
              <w:t>VOCI</w:t>
            </w:r>
          </w:p>
        </w:tc>
        <w:tc>
          <w:tcPr>
            <w:tcW w:w="786" w:type="pct"/>
            <w:shd w:val="clear" w:color="auto" w:fill="0F243E" w:themeFill="text2" w:themeFillShade="80"/>
            <w:noWrap/>
            <w:vAlign w:val="center"/>
            <w:hideMark/>
          </w:tcPr>
          <w:p w:rsidR="00CD34A0" w:rsidRPr="00844CFC" w:rsidRDefault="00844CFC" w:rsidP="00844CFC">
            <w:pPr>
              <w:spacing w:after="0" w:line="240" w:lineRule="auto"/>
              <w:jc w:val="center"/>
              <w:rPr>
                <w:rFonts w:ascii="Bodoni MT" w:eastAsia="Times New Roman" w:hAnsi="Bodoni MT" w:cs="Times New Roman"/>
                <w:b/>
                <w:bCs/>
                <w:iCs/>
                <w:color w:val="FFFFFF" w:themeColor="background1"/>
                <w:sz w:val="20"/>
                <w:szCs w:val="20"/>
                <w:lang w:eastAsia="it-IT"/>
              </w:rPr>
            </w:pPr>
            <w:r w:rsidRPr="00844CFC">
              <w:rPr>
                <w:rFonts w:ascii="Bodoni MT" w:eastAsia="Times New Roman" w:hAnsi="Bodoni MT" w:cs="Times New Roman"/>
                <w:b/>
                <w:bCs/>
                <w:iCs/>
                <w:color w:val="FFFFFF" w:themeColor="background1"/>
                <w:sz w:val="20"/>
                <w:szCs w:val="20"/>
                <w:lang w:eastAsia="it-IT"/>
              </w:rPr>
              <w:t>31/12/2016</w:t>
            </w:r>
          </w:p>
        </w:tc>
        <w:tc>
          <w:tcPr>
            <w:tcW w:w="764" w:type="pct"/>
            <w:shd w:val="clear" w:color="auto" w:fill="0F243E" w:themeFill="text2" w:themeFillShade="80"/>
            <w:noWrap/>
            <w:vAlign w:val="center"/>
            <w:hideMark/>
          </w:tcPr>
          <w:p w:rsidR="00CD34A0" w:rsidRPr="00844CFC" w:rsidRDefault="00844CFC" w:rsidP="00844CFC">
            <w:pPr>
              <w:spacing w:after="0" w:line="240" w:lineRule="auto"/>
              <w:jc w:val="center"/>
              <w:rPr>
                <w:rFonts w:ascii="Bodoni MT" w:eastAsia="Times New Roman" w:hAnsi="Bodoni MT" w:cs="Times New Roman"/>
                <w:b/>
                <w:bCs/>
                <w:iCs/>
                <w:color w:val="FFFFFF" w:themeColor="background1"/>
                <w:sz w:val="20"/>
                <w:szCs w:val="20"/>
                <w:lang w:eastAsia="it-IT"/>
              </w:rPr>
            </w:pPr>
            <w:r w:rsidRPr="00844CFC">
              <w:rPr>
                <w:rFonts w:ascii="Bodoni MT" w:eastAsia="Times New Roman" w:hAnsi="Bodoni MT" w:cs="Times New Roman"/>
                <w:b/>
                <w:bCs/>
                <w:iCs/>
                <w:color w:val="FFFFFF" w:themeColor="background1"/>
                <w:sz w:val="20"/>
                <w:szCs w:val="20"/>
                <w:lang w:eastAsia="it-IT"/>
              </w:rPr>
              <w:t>31/12/2015</w:t>
            </w:r>
          </w:p>
        </w:tc>
        <w:tc>
          <w:tcPr>
            <w:tcW w:w="732" w:type="pct"/>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color w:val="FFFFFF" w:themeColor="background1"/>
                <w:sz w:val="20"/>
                <w:szCs w:val="20"/>
                <w:lang w:eastAsia="it-IT"/>
              </w:rPr>
            </w:pPr>
            <w:r w:rsidRPr="00844CFC">
              <w:rPr>
                <w:rFonts w:ascii="Bodoni MT" w:eastAsia="Times New Roman" w:hAnsi="Bodoni MT" w:cs="Times New Roman"/>
                <w:b/>
                <w:bCs/>
                <w:iCs/>
                <w:color w:val="FFFFFF" w:themeColor="background1"/>
                <w:sz w:val="20"/>
                <w:szCs w:val="20"/>
                <w:lang w:eastAsia="it-IT"/>
              </w:rPr>
              <w:t>VAR</w:t>
            </w:r>
          </w:p>
        </w:tc>
        <w:tc>
          <w:tcPr>
            <w:tcW w:w="478" w:type="pct"/>
            <w:shd w:val="clear" w:color="auto" w:fill="0F243E" w:themeFill="text2" w:themeFillShade="80"/>
            <w:vAlign w:val="center"/>
            <w:hideMark/>
          </w:tcPr>
          <w:p w:rsidR="00CD34A0" w:rsidRPr="00844CFC" w:rsidRDefault="00844CFC" w:rsidP="00844CFC">
            <w:pPr>
              <w:spacing w:after="0" w:line="240" w:lineRule="auto"/>
              <w:jc w:val="center"/>
              <w:rPr>
                <w:rFonts w:ascii="Bodoni MT" w:eastAsia="Times New Roman" w:hAnsi="Bodoni MT" w:cs="Times New Roman"/>
                <w:b/>
                <w:bCs/>
                <w:iCs/>
                <w:color w:val="FFFFFF" w:themeColor="background1"/>
                <w:sz w:val="20"/>
                <w:szCs w:val="20"/>
                <w:lang w:eastAsia="it-IT"/>
              </w:rPr>
            </w:pPr>
            <w:r w:rsidRPr="00844CFC">
              <w:rPr>
                <w:rFonts w:ascii="Bodoni MT" w:eastAsia="Times New Roman" w:hAnsi="Bodoni MT" w:cs="Times New Roman"/>
                <w:b/>
                <w:bCs/>
                <w:iCs/>
                <w:color w:val="FFFFFF" w:themeColor="background1"/>
                <w:sz w:val="20"/>
                <w:szCs w:val="20"/>
                <w:lang w:eastAsia="it-IT"/>
              </w:rPr>
              <w:t>VAR%</w:t>
            </w:r>
          </w:p>
        </w:tc>
      </w:tr>
      <w:tr w:rsidR="00CD34A0" w:rsidRPr="00CD34A0" w:rsidTr="004469B5">
        <w:trPr>
          <w:trHeight w:val="240"/>
          <w:jc w:val="center"/>
        </w:trPr>
        <w:tc>
          <w:tcPr>
            <w:tcW w:w="2240" w:type="pct"/>
            <w:shd w:val="clear" w:color="auto" w:fill="95B3D7" w:themeFill="accent1" w:themeFillTint="99"/>
            <w:hideMark/>
          </w:tcPr>
          <w:p w:rsidR="00CD34A0" w:rsidRPr="004469B5" w:rsidRDefault="000F76E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 xml:space="preserve">1 </w:t>
            </w:r>
            <w:r w:rsidR="00CD34A0" w:rsidRPr="004469B5">
              <w:rPr>
                <w:rFonts w:ascii="Bodoni MT" w:eastAsia="Times New Roman" w:hAnsi="Bodoni MT" w:cs="Times New Roman"/>
                <w:color w:val="FFFFFF" w:themeColor="background1"/>
                <w:sz w:val="20"/>
                <w:szCs w:val="20"/>
                <w:lang w:eastAsia="it-IT"/>
              </w:rPr>
              <w:t>Partecipazioni in</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1.683.331.162</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1.665.612.571</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17.718.591</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1%</w:t>
            </w:r>
          </w:p>
        </w:tc>
      </w:tr>
      <w:tr w:rsidR="00CD34A0" w:rsidRPr="00CD34A0" w:rsidTr="004469B5">
        <w:trPr>
          <w:trHeight w:val="222"/>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a</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Imprese controllate</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549.322.395</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535.712.994</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13.609.401</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3%</w:t>
            </w:r>
          </w:p>
        </w:tc>
      </w:tr>
      <w:tr w:rsidR="00CD34A0" w:rsidRPr="00CD34A0" w:rsidTr="004469B5">
        <w:trPr>
          <w:trHeight w:val="222"/>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b</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Imprese partecipate</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8.146.198</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5.882.997</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2.263.201</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38%</w:t>
            </w:r>
          </w:p>
        </w:tc>
      </w:tr>
      <w:tr w:rsidR="00CD34A0" w:rsidRPr="00CD34A0" w:rsidTr="004469B5">
        <w:trPr>
          <w:trHeight w:val="270"/>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c</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Altri soggetti</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1.125.862.569</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1.124.016.580</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1.845.990</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0%</w:t>
            </w:r>
          </w:p>
        </w:tc>
      </w:tr>
      <w:tr w:rsidR="00CD34A0" w:rsidRPr="00CD34A0" w:rsidTr="004469B5">
        <w:trPr>
          <w:trHeight w:val="240"/>
          <w:jc w:val="center"/>
        </w:trPr>
        <w:tc>
          <w:tcPr>
            <w:tcW w:w="2240" w:type="pct"/>
            <w:shd w:val="clear" w:color="auto" w:fill="95B3D7" w:themeFill="accent1" w:themeFillTint="99"/>
            <w:hideMark/>
          </w:tcPr>
          <w:p w:rsidR="00CD34A0" w:rsidRPr="004469B5" w:rsidRDefault="000F76E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 xml:space="preserve">2 </w:t>
            </w:r>
            <w:r w:rsidR="00CD34A0" w:rsidRPr="004469B5">
              <w:rPr>
                <w:rFonts w:ascii="Bodoni MT" w:eastAsia="Times New Roman" w:hAnsi="Bodoni MT" w:cs="Times New Roman"/>
                <w:color w:val="FFFFFF" w:themeColor="background1"/>
                <w:sz w:val="20"/>
                <w:szCs w:val="20"/>
                <w:lang w:eastAsia="it-IT"/>
              </w:rPr>
              <w:t>Crediti verso</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89.439.985</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93.016.749</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-3.576.764</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-4%</w:t>
            </w:r>
          </w:p>
        </w:tc>
      </w:tr>
      <w:tr w:rsidR="00CD34A0" w:rsidRPr="00CD34A0" w:rsidTr="004469B5">
        <w:trPr>
          <w:trHeight w:val="222"/>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a</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Altre amministrazioni pubbliche</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8.000.000</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8.000.000</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0</w:t>
            </w:r>
          </w:p>
        </w:tc>
        <w:tc>
          <w:tcPr>
            <w:tcW w:w="478" w:type="pct"/>
            <w:shd w:val="clear" w:color="auto" w:fill="auto"/>
            <w:hideMark/>
          </w:tcPr>
          <w:p w:rsidR="00CD34A0" w:rsidRPr="00844CFC" w:rsidRDefault="00CD34A0" w:rsidP="00CD34A0">
            <w:pPr>
              <w:spacing w:after="0" w:line="240" w:lineRule="auto"/>
              <w:jc w:val="right"/>
              <w:rPr>
                <w:rFonts w:eastAsia="Times New Roman" w:cs="Times New Roman"/>
                <w:iCs/>
                <w:sz w:val="20"/>
                <w:szCs w:val="20"/>
                <w:lang w:eastAsia="it-IT"/>
              </w:rPr>
            </w:pPr>
            <w:r w:rsidRPr="00844CFC">
              <w:rPr>
                <w:rFonts w:eastAsia="Times New Roman" w:cs="Times New Roman"/>
                <w:iCs/>
                <w:sz w:val="20"/>
                <w:szCs w:val="20"/>
                <w:lang w:eastAsia="it-IT"/>
              </w:rPr>
              <w:t>-</w:t>
            </w:r>
          </w:p>
        </w:tc>
      </w:tr>
      <w:tr w:rsidR="00CD34A0" w:rsidRPr="00CD34A0" w:rsidTr="00495973">
        <w:trPr>
          <w:trHeight w:val="222"/>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b</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Imprese controllate</w:t>
            </w:r>
          </w:p>
        </w:tc>
        <w:tc>
          <w:tcPr>
            <w:tcW w:w="786" w:type="pct"/>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764" w:type="pct"/>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0</w:t>
            </w:r>
          </w:p>
        </w:tc>
        <w:tc>
          <w:tcPr>
            <w:tcW w:w="478" w:type="pct"/>
            <w:shd w:val="clear" w:color="auto" w:fill="auto"/>
            <w:hideMark/>
          </w:tcPr>
          <w:p w:rsidR="00CD34A0" w:rsidRPr="00844CFC" w:rsidRDefault="00CD34A0" w:rsidP="00CD34A0">
            <w:pPr>
              <w:spacing w:after="0" w:line="240" w:lineRule="auto"/>
              <w:jc w:val="right"/>
              <w:rPr>
                <w:rFonts w:eastAsia="Times New Roman" w:cs="Times New Roman"/>
                <w:iCs/>
                <w:sz w:val="20"/>
                <w:szCs w:val="20"/>
                <w:lang w:eastAsia="it-IT"/>
              </w:rPr>
            </w:pPr>
            <w:r w:rsidRPr="00844CFC">
              <w:rPr>
                <w:rFonts w:eastAsia="Times New Roman" w:cs="Times New Roman"/>
                <w:iCs/>
                <w:sz w:val="20"/>
                <w:szCs w:val="20"/>
                <w:lang w:eastAsia="it-IT"/>
              </w:rPr>
              <w:t>-</w:t>
            </w:r>
          </w:p>
        </w:tc>
      </w:tr>
      <w:tr w:rsidR="00CD34A0" w:rsidRPr="00CD34A0" w:rsidTr="00495973">
        <w:trPr>
          <w:trHeight w:val="222"/>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c</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Imprese partecipate</w:t>
            </w:r>
          </w:p>
        </w:tc>
        <w:tc>
          <w:tcPr>
            <w:tcW w:w="786" w:type="pct"/>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764" w:type="pct"/>
            <w:shd w:val="clear" w:color="auto" w:fill="auto"/>
            <w:vAlign w:val="center"/>
          </w:tcPr>
          <w:p w:rsidR="00CD34A0" w:rsidRPr="00844CFC" w:rsidRDefault="00CD34A0" w:rsidP="00495973">
            <w:pPr>
              <w:spacing w:after="0" w:line="240" w:lineRule="auto"/>
              <w:jc w:val="right"/>
              <w:rPr>
                <w:rFonts w:eastAsia="Times New Roman" w:cs="Times New Roman"/>
                <w:color w:val="000000"/>
                <w:sz w:val="20"/>
                <w:szCs w:val="20"/>
                <w:lang w:eastAsia="it-IT"/>
              </w:rPr>
            </w:pP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0</w:t>
            </w:r>
          </w:p>
        </w:tc>
        <w:tc>
          <w:tcPr>
            <w:tcW w:w="478" w:type="pct"/>
            <w:shd w:val="clear" w:color="auto" w:fill="auto"/>
            <w:hideMark/>
          </w:tcPr>
          <w:p w:rsidR="00CD34A0" w:rsidRPr="00844CFC" w:rsidRDefault="00CD34A0" w:rsidP="00CD34A0">
            <w:pPr>
              <w:spacing w:after="0" w:line="240" w:lineRule="auto"/>
              <w:jc w:val="right"/>
              <w:rPr>
                <w:rFonts w:eastAsia="Times New Roman" w:cs="Times New Roman"/>
                <w:iCs/>
                <w:sz w:val="20"/>
                <w:szCs w:val="20"/>
                <w:lang w:eastAsia="it-IT"/>
              </w:rPr>
            </w:pPr>
            <w:r w:rsidRPr="00844CFC">
              <w:rPr>
                <w:rFonts w:eastAsia="Times New Roman" w:cs="Times New Roman"/>
                <w:iCs/>
                <w:sz w:val="20"/>
                <w:szCs w:val="20"/>
                <w:lang w:eastAsia="it-IT"/>
              </w:rPr>
              <w:t>-</w:t>
            </w:r>
          </w:p>
        </w:tc>
      </w:tr>
      <w:tr w:rsidR="00CD34A0" w:rsidRPr="00CD34A0" w:rsidTr="004469B5">
        <w:trPr>
          <w:trHeight w:val="270"/>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iCs/>
                <w:color w:val="FFFFFF" w:themeColor="background1"/>
                <w:sz w:val="20"/>
                <w:szCs w:val="20"/>
                <w:lang w:eastAsia="it-IT"/>
              </w:rPr>
            </w:pPr>
            <w:r w:rsidRPr="004469B5">
              <w:rPr>
                <w:rFonts w:ascii="Bodoni MT" w:eastAsia="Times New Roman" w:hAnsi="Bodoni MT" w:cs="Times New Roman"/>
                <w:iCs/>
                <w:color w:val="FFFFFF" w:themeColor="background1"/>
                <w:sz w:val="20"/>
                <w:szCs w:val="20"/>
                <w:lang w:eastAsia="it-IT"/>
              </w:rPr>
              <w:t>d</w:t>
            </w:r>
            <w:r w:rsidR="000F76E0" w:rsidRPr="004469B5">
              <w:rPr>
                <w:rFonts w:ascii="Bodoni MT" w:eastAsia="Times New Roman" w:hAnsi="Bodoni MT" w:cs="Times New Roman"/>
                <w:iCs/>
                <w:color w:val="FFFFFF" w:themeColor="background1"/>
                <w:sz w:val="20"/>
                <w:szCs w:val="20"/>
                <w:lang w:eastAsia="it-IT"/>
              </w:rPr>
              <w:t>)</w:t>
            </w:r>
            <w:r w:rsidRPr="004469B5">
              <w:rPr>
                <w:rFonts w:ascii="Bodoni MT" w:eastAsia="Times New Roman" w:hAnsi="Bodoni MT" w:cs="Times New Roman"/>
                <w:iCs/>
                <w:color w:val="FFFFFF" w:themeColor="background1"/>
                <w:sz w:val="20"/>
                <w:szCs w:val="20"/>
                <w:lang w:eastAsia="it-IT"/>
              </w:rPr>
              <w:t xml:space="preserve"> Altri soggetti</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81.439.985</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85.016.749</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-3.576.764</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iCs/>
                <w:color w:val="000000"/>
                <w:sz w:val="20"/>
                <w:szCs w:val="20"/>
                <w:lang w:eastAsia="it-IT"/>
              </w:rPr>
            </w:pPr>
            <w:r w:rsidRPr="00844CFC">
              <w:rPr>
                <w:rFonts w:eastAsia="Times New Roman" w:cs="Times New Roman"/>
                <w:iCs/>
                <w:color w:val="000000"/>
                <w:sz w:val="20"/>
                <w:szCs w:val="20"/>
                <w:lang w:eastAsia="it-IT"/>
              </w:rPr>
              <w:t>-4%</w:t>
            </w:r>
          </w:p>
        </w:tc>
      </w:tr>
      <w:tr w:rsidR="00CD34A0" w:rsidRPr="00CD34A0" w:rsidTr="004469B5">
        <w:trPr>
          <w:trHeight w:val="270"/>
          <w:jc w:val="center"/>
        </w:trPr>
        <w:tc>
          <w:tcPr>
            <w:tcW w:w="2240" w:type="pct"/>
            <w:shd w:val="clear" w:color="auto" w:fill="95B3D7" w:themeFill="accent1" w:themeFillTint="99"/>
            <w:hideMark/>
          </w:tcPr>
          <w:p w:rsidR="00CD34A0" w:rsidRPr="004469B5" w:rsidRDefault="000F76E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 xml:space="preserve">3 </w:t>
            </w:r>
            <w:r w:rsidR="00CD34A0" w:rsidRPr="004469B5">
              <w:rPr>
                <w:rFonts w:ascii="Bodoni MT" w:eastAsia="Times New Roman" w:hAnsi="Bodoni MT" w:cs="Times New Roman"/>
                <w:color w:val="FFFFFF" w:themeColor="background1"/>
                <w:sz w:val="20"/>
                <w:szCs w:val="20"/>
                <w:lang w:eastAsia="it-IT"/>
              </w:rPr>
              <w:t>Altri titoli</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6.000.000</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6.000.000</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color w:val="000000"/>
                <w:sz w:val="20"/>
                <w:szCs w:val="20"/>
                <w:lang w:eastAsia="it-IT"/>
              </w:rPr>
            </w:pPr>
            <w:r w:rsidRPr="00844CFC">
              <w:rPr>
                <w:rFonts w:eastAsia="Times New Roman" w:cs="Times New Roman"/>
                <w:color w:val="000000"/>
                <w:sz w:val="20"/>
                <w:szCs w:val="20"/>
                <w:lang w:eastAsia="it-IT"/>
              </w:rPr>
              <w:t>0</w:t>
            </w:r>
          </w:p>
        </w:tc>
        <w:tc>
          <w:tcPr>
            <w:tcW w:w="478" w:type="pct"/>
            <w:shd w:val="clear" w:color="auto" w:fill="auto"/>
            <w:hideMark/>
          </w:tcPr>
          <w:p w:rsidR="00CD34A0" w:rsidRPr="00844CFC" w:rsidRDefault="00CD34A0" w:rsidP="00CD34A0">
            <w:pPr>
              <w:spacing w:after="0" w:line="240" w:lineRule="auto"/>
              <w:jc w:val="right"/>
              <w:rPr>
                <w:rFonts w:eastAsia="Times New Roman" w:cs="Times New Roman"/>
                <w:sz w:val="20"/>
                <w:szCs w:val="20"/>
                <w:lang w:eastAsia="it-IT"/>
              </w:rPr>
            </w:pPr>
            <w:r w:rsidRPr="00844CFC">
              <w:rPr>
                <w:rFonts w:eastAsia="Times New Roman" w:cs="Times New Roman"/>
                <w:sz w:val="20"/>
                <w:szCs w:val="20"/>
                <w:lang w:eastAsia="it-IT"/>
              </w:rPr>
              <w:t>-</w:t>
            </w:r>
          </w:p>
        </w:tc>
      </w:tr>
      <w:tr w:rsidR="00CD34A0" w:rsidRPr="00CD34A0" w:rsidTr="004469B5">
        <w:trPr>
          <w:trHeight w:val="143"/>
          <w:jc w:val="center"/>
        </w:trPr>
        <w:tc>
          <w:tcPr>
            <w:tcW w:w="2240" w:type="pct"/>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Totale immobilizzazioni finanziarie</w:t>
            </w:r>
          </w:p>
        </w:tc>
        <w:tc>
          <w:tcPr>
            <w:tcW w:w="786" w:type="pct"/>
            <w:shd w:val="clear" w:color="auto" w:fill="auto"/>
            <w:noWrap/>
            <w:hideMark/>
          </w:tcPr>
          <w:p w:rsidR="00CD34A0" w:rsidRPr="00844CFC" w:rsidRDefault="00CD34A0" w:rsidP="00CD34A0">
            <w:pPr>
              <w:spacing w:after="0" w:line="240" w:lineRule="auto"/>
              <w:jc w:val="right"/>
              <w:rPr>
                <w:rFonts w:eastAsia="Times New Roman" w:cs="Times New Roman"/>
                <w:b/>
                <w:bCs/>
                <w:iCs/>
                <w:color w:val="000000"/>
                <w:sz w:val="20"/>
                <w:szCs w:val="20"/>
                <w:lang w:eastAsia="it-IT"/>
              </w:rPr>
            </w:pPr>
            <w:r w:rsidRPr="00844CFC">
              <w:rPr>
                <w:rFonts w:eastAsia="Times New Roman" w:cs="Times New Roman"/>
                <w:b/>
                <w:bCs/>
                <w:iCs/>
                <w:color w:val="000000"/>
                <w:sz w:val="20"/>
                <w:szCs w:val="20"/>
                <w:lang w:eastAsia="it-IT"/>
              </w:rPr>
              <w:t>1.778.771.147</w:t>
            </w:r>
          </w:p>
        </w:tc>
        <w:tc>
          <w:tcPr>
            <w:tcW w:w="764" w:type="pct"/>
            <w:shd w:val="clear" w:color="auto" w:fill="auto"/>
            <w:noWrap/>
            <w:hideMark/>
          </w:tcPr>
          <w:p w:rsidR="00CD34A0" w:rsidRPr="00844CFC" w:rsidRDefault="00CD34A0" w:rsidP="00CD34A0">
            <w:pPr>
              <w:spacing w:after="0" w:line="240" w:lineRule="auto"/>
              <w:jc w:val="right"/>
              <w:rPr>
                <w:rFonts w:eastAsia="Times New Roman" w:cs="Times New Roman"/>
                <w:b/>
                <w:bCs/>
                <w:iCs/>
                <w:color w:val="000000"/>
                <w:sz w:val="20"/>
                <w:szCs w:val="20"/>
                <w:lang w:eastAsia="it-IT"/>
              </w:rPr>
            </w:pPr>
            <w:r w:rsidRPr="00844CFC">
              <w:rPr>
                <w:rFonts w:eastAsia="Times New Roman" w:cs="Times New Roman"/>
                <w:b/>
                <w:bCs/>
                <w:iCs/>
                <w:color w:val="000000"/>
                <w:sz w:val="20"/>
                <w:szCs w:val="20"/>
                <w:lang w:eastAsia="it-IT"/>
              </w:rPr>
              <w:t>1.764.629.321</w:t>
            </w:r>
          </w:p>
        </w:tc>
        <w:tc>
          <w:tcPr>
            <w:tcW w:w="732" w:type="pct"/>
            <w:shd w:val="clear" w:color="auto" w:fill="auto"/>
            <w:noWrap/>
            <w:hideMark/>
          </w:tcPr>
          <w:p w:rsidR="00CD34A0" w:rsidRPr="00844CFC" w:rsidRDefault="00CD34A0" w:rsidP="00CD34A0">
            <w:pPr>
              <w:spacing w:after="0" w:line="240" w:lineRule="auto"/>
              <w:jc w:val="right"/>
              <w:rPr>
                <w:rFonts w:eastAsia="Times New Roman" w:cs="Times New Roman"/>
                <w:b/>
                <w:bCs/>
                <w:iCs/>
                <w:color w:val="000000"/>
                <w:sz w:val="20"/>
                <w:szCs w:val="20"/>
                <w:lang w:eastAsia="it-IT"/>
              </w:rPr>
            </w:pPr>
            <w:r w:rsidRPr="00844CFC">
              <w:rPr>
                <w:rFonts w:eastAsia="Times New Roman" w:cs="Times New Roman"/>
                <w:b/>
                <w:bCs/>
                <w:iCs/>
                <w:color w:val="000000"/>
                <w:sz w:val="20"/>
                <w:szCs w:val="20"/>
                <w:lang w:eastAsia="it-IT"/>
              </w:rPr>
              <w:t>14.141.826</w:t>
            </w:r>
          </w:p>
        </w:tc>
        <w:tc>
          <w:tcPr>
            <w:tcW w:w="478" w:type="pct"/>
            <w:shd w:val="clear" w:color="auto" w:fill="auto"/>
            <w:noWrap/>
            <w:hideMark/>
          </w:tcPr>
          <w:p w:rsidR="00CD34A0" w:rsidRPr="00844CFC" w:rsidRDefault="00CD34A0" w:rsidP="00CD34A0">
            <w:pPr>
              <w:spacing w:after="0" w:line="240" w:lineRule="auto"/>
              <w:jc w:val="right"/>
              <w:rPr>
                <w:rFonts w:eastAsia="Times New Roman" w:cs="Times New Roman"/>
                <w:b/>
                <w:bCs/>
                <w:iCs/>
                <w:color w:val="000000"/>
                <w:sz w:val="20"/>
                <w:szCs w:val="20"/>
                <w:lang w:eastAsia="it-IT"/>
              </w:rPr>
            </w:pPr>
            <w:r w:rsidRPr="00844CFC">
              <w:rPr>
                <w:rFonts w:eastAsia="Times New Roman" w:cs="Times New Roman"/>
                <w:b/>
                <w:bCs/>
                <w:iCs/>
                <w:color w:val="000000"/>
                <w:sz w:val="20"/>
                <w:szCs w:val="20"/>
                <w:lang w:eastAsia="it-IT"/>
              </w:rPr>
              <w:t>0,8%</w:t>
            </w:r>
          </w:p>
        </w:tc>
      </w:tr>
      <w:tr w:rsidR="003401A5" w:rsidRPr="00CD34A0" w:rsidTr="003401A5">
        <w:trPr>
          <w:trHeight w:val="143"/>
          <w:jc w:val="center"/>
        </w:trPr>
        <w:tc>
          <w:tcPr>
            <w:tcW w:w="2240" w:type="pct"/>
            <w:shd w:val="clear" w:color="auto" w:fill="95B3D7" w:themeFill="accent1" w:themeFillTint="99"/>
            <w:vAlign w:val="center"/>
          </w:tcPr>
          <w:p w:rsidR="003401A5" w:rsidRPr="00CD34A0" w:rsidRDefault="003401A5" w:rsidP="003401A5">
            <w:pPr>
              <w:spacing w:after="0" w:line="240" w:lineRule="auto"/>
              <w:rPr>
                <w:rFonts w:ascii="Bodoni MT" w:eastAsia="Times New Roman" w:hAnsi="Bodoni MT" w:cs="Calibri"/>
                <w:b/>
                <w:bCs/>
                <w:color w:val="000000"/>
                <w:lang w:eastAsia="it-IT"/>
              </w:rPr>
            </w:pPr>
            <w:r w:rsidRPr="004469B5">
              <w:rPr>
                <w:rFonts w:ascii="Bodoni MT" w:eastAsia="Times New Roman" w:hAnsi="Bodoni MT" w:cs="Calibri"/>
                <w:b/>
                <w:bCs/>
                <w:color w:val="FFFFFF" w:themeColor="background1"/>
                <w:lang w:eastAsia="it-IT"/>
              </w:rPr>
              <w:t xml:space="preserve">Totale immobilizzazioni materiali </w:t>
            </w:r>
          </w:p>
        </w:tc>
        <w:tc>
          <w:tcPr>
            <w:tcW w:w="786" w:type="pct"/>
            <w:shd w:val="clear" w:color="auto" w:fill="auto"/>
            <w:noWrap/>
            <w:vAlign w:val="bottom"/>
          </w:tcPr>
          <w:p w:rsidR="003401A5" w:rsidRPr="003401A5" w:rsidRDefault="003401A5" w:rsidP="003401A5">
            <w:pPr>
              <w:spacing w:after="0" w:line="240" w:lineRule="auto"/>
              <w:jc w:val="right"/>
              <w:rPr>
                <w:rFonts w:eastAsia="Times New Roman" w:cstheme="minorHAnsi"/>
                <w:b/>
                <w:bCs/>
                <w:color w:val="000000"/>
                <w:sz w:val="20"/>
                <w:szCs w:val="20"/>
                <w:lang w:eastAsia="it-IT"/>
              </w:rPr>
            </w:pPr>
            <w:r w:rsidRPr="003401A5">
              <w:rPr>
                <w:rFonts w:eastAsia="Times New Roman" w:cstheme="minorHAnsi"/>
                <w:b/>
                <w:bCs/>
                <w:color w:val="000000"/>
                <w:sz w:val="20"/>
                <w:szCs w:val="20"/>
                <w:lang w:eastAsia="it-IT"/>
              </w:rPr>
              <w:t>1.800.700.901</w:t>
            </w:r>
          </w:p>
        </w:tc>
        <w:tc>
          <w:tcPr>
            <w:tcW w:w="764" w:type="pct"/>
            <w:shd w:val="clear" w:color="auto" w:fill="auto"/>
            <w:noWrap/>
            <w:vAlign w:val="bottom"/>
          </w:tcPr>
          <w:p w:rsidR="003401A5" w:rsidRPr="003401A5" w:rsidRDefault="003401A5" w:rsidP="003401A5">
            <w:pPr>
              <w:spacing w:after="0" w:line="240" w:lineRule="auto"/>
              <w:jc w:val="right"/>
              <w:rPr>
                <w:rFonts w:eastAsia="Times New Roman" w:cstheme="minorHAnsi"/>
                <w:b/>
                <w:bCs/>
                <w:color w:val="000000"/>
                <w:sz w:val="20"/>
                <w:szCs w:val="20"/>
                <w:lang w:eastAsia="it-IT"/>
              </w:rPr>
            </w:pPr>
            <w:r w:rsidRPr="003401A5">
              <w:rPr>
                <w:rFonts w:eastAsia="Times New Roman" w:cstheme="minorHAnsi"/>
                <w:b/>
                <w:bCs/>
                <w:color w:val="000000"/>
                <w:sz w:val="20"/>
                <w:szCs w:val="20"/>
                <w:lang w:eastAsia="it-IT"/>
              </w:rPr>
              <w:t>1.678.327.641</w:t>
            </w:r>
          </w:p>
        </w:tc>
        <w:tc>
          <w:tcPr>
            <w:tcW w:w="732" w:type="pct"/>
            <w:shd w:val="clear" w:color="auto" w:fill="auto"/>
            <w:noWrap/>
            <w:vAlign w:val="bottom"/>
          </w:tcPr>
          <w:p w:rsidR="003401A5" w:rsidRPr="003401A5" w:rsidRDefault="003401A5" w:rsidP="003401A5">
            <w:pPr>
              <w:spacing w:after="0" w:line="240" w:lineRule="auto"/>
              <w:jc w:val="right"/>
              <w:rPr>
                <w:rFonts w:eastAsia="Times New Roman" w:cstheme="minorHAnsi"/>
                <w:b/>
                <w:bCs/>
                <w:color w:val="000000"/>
                <w:sz w:val="20"/>
                <w:szCs w:val="20"/>
                <w:lang w:eastAsia="it-IT"/>
              </w:rPr>
            </w:pPr>
            <w:r w:rsidRPr="003401A5">
              <w:rPr>
                <w:rFonts w:eastAsia="Times New Roman" w:cstheme="minorHAnsi"/>
                <w:b/>
                <w:bCs/>
                <w:color w:val="000000"/>
                <w:sz w:val="20"/>
                <w:szCs w:val="20"/>
                <w:lang w:eastAsia="it-IT"/>
              </w:rPr>
              <w:t>122.328.260</w:t>
            </w:r>
          </w:p>
        </w:tc>
        <w:tc>
          <w:tcPr>
            <w:tcW w:w="478" w:type="pct"/>
            <w:shd w:val="clear" w:color="auto" w:fill="auto"/>
            <w:noWrap/>
            <w:vAlign w:val="bottom"/>
          </w:tcPr>
          <w:p w:rsidR="003401A5" w:rsidRPr="003401A5" w:rsidRDefault="003401A5" w:rsidP="003401A5">
            <w:pPr>
              <w:spacing w:after="0" w:line="240" w:lineRule="auto"/>
              <w:jc w:val="right"/>
              <w:rPr>
                <w:rFonts w:eastAsia="Times New Roman" w:cstheme="minorHAnsi"/>
                <w:b/>
                <w:bCs/>
                <w:color w:val="000000"/>
                <w:sz w:val="20"/>
                <w:szCs w:val="20"/>
                <w:lang w:eastAsia="it-IT"/>
              </w:rPr>
            </w:pPr>
            <w:r w:rsidRPr="003401A5">
              <w:rPr>
                <w:rFonts w:eastAsia="Times New Roman" w:cstheme="minorHAnsi"/>
                <w:b/>
                <w:bCs/>
                <w:color w:val="000000"/>
                <w:sz w:val="20"/>
                <w:szCs w:val="20"/>
                <w:lang w:eastAsia="it-IT"/>
              </w:rPr>
              <w:t>7,3%</w:t>
            </w:r>
          </w:p>
        </w:tc>
      </w:tr>
    </w:tbl>
    <w:p w:rsidR="00CD34A0" w:rsidRPr="000F76E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0F76E0">
        <w:rPr>
          <w:rFonts w:ascii="Bodoni MT" w:eastAsia="Times New Roman" w:hAnsi="Bodoni MT" w:cs="Bodoni MT"/>
          <w:color w:val="000000"/>
          <w:sz w:val="18"/>
          <w:szCs w:val="18"/>
        </w:rPr>
        <w:t>Fonte RAS Rendiconto sulla gestione 2016 – Allegato 3.1</w:t>
      </w:r>
    </w:p>
    <w:p w:rsidR="00CD34A0" w:rsidRPr="00CD34A0" w:rsidRDefault="00CD34A0" w:rsidP="00B3428C">
      <w:pPr>
        <w:tabs>
          <w:tab w:val="left" w:pos="284"/>
          <w:tab w:val="left" w:pos="426"/>
        </w:tabs>
        <w:autoSpaceDE w:val="0"/>
        <w:autoSpaceDN w:val="0"/>
        <w:adjustRightInd w:val="0"/>
        <w:spacing w:before="240"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I valori fanno riferimento a tre voci distinte. La prima riguarda la voce </w:t>
      </w:r>
      <w:r w:rsidRPr="00CD34A0">
        <w:rPr>
          <w:rFonts w:ascii="Bodoni MT" w:eastAsia="Times New Roman" w:hAnsi="Bodoni MT" w:cs="Bodoni MT"/>
          <w:b/>
          <w:i/>
          <w:iCs/>
          <w:color w:val="000000"/>
          <w:sz w:val="24"/>
          <w:szCs w:val="24"/>
        </w:rPr>
        <w:t>Imprese controllate</w:t>
      </w:r>
      <w:r w:rsidRPr="00CD34A0">
        <w:rPr>
          <w:rFonts w:ascii="Bodoni MT" w:eastAsia="Times New Roman" w:hAnsi="Bodoni MT" w:cs="Bodoni MT"/>
          <w:i/>
          <w:iCs/>
          <w:color w:val="000000"/>
          <w:sz w:val="24"/>
          <w:szCs w:val="24"/>
        </w:rPr>
        <w:t xml:space="preserve"> e </w:t>
      </w:r>
      <w:r w:rsidRPr="00CD34A0">
        <w:rPr>
          <w:rFonts w:ascii="Bodoni MT" w:eastAsia="Times New Roman" w:hAnsi="Bodoni MT" w:cs="Bodoni MT"/>
          <w:color w:val="000000"/>
          <w:sz w:val="24"/>
          <w:szCs w:val="24"/>
        </w:rPr>
        <w:t>riguardano le società nei cui confronti la Regione esercita- secondo quanto esplicitato nella nota integrativa- un controllo ai sensi dell’art.</w:t>
      </w:r>
      <w:r w:rsidR="000F76E0">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 quater del D.Lgs.</w:t>
      </w:r>
      <w:r w:rsidR="000F76E0">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n.</w:t>
      </w:r>
      <w:r w:rsidR="000F76E0">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118/2011. Hanno un valor</w:t>
      </w:r>
      <w:r w:rsidR="000F76E0">
        <w:rPr>
          <w:rFonts w:ascii="Bodoni MT" w:eastAsia="Times New Roman" w:hAnsi="Bodoni MT" w:cs="Bodoni MT"/>
          <w:color w:val="000000"/>
          <w:sz w:val="24"/>
          <w:szCs w:val="24"/>
        </w:rPr>
        <w:t>e pari a</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b/>
          <w:color w:val="000000"/>
          <w:sz w:val="24"/>
          <w:szCs w:val="24"/>
        </w:rPr>
        <w:t>€ 549.322.395</w:t>
      </w:r>
      <w:r w:rsidRPr="00CD34A0">
        <w:rPr>
          <w:rFonts w:ascii="Bodoni MT" w:eastAsia="Times New Roman" w:hAnsi="Bodoni MT" w:cs="Bodoni MT"/>
          <w:color w:val="000000"/>
          <w:sz w:val="24"/>
          <w:szCs w:val="24"/>
        </w:rPr>
        <w:t>.</w:t>
      </w:r>
    </w:p>
    <w:p w:rsidR="00CD34A0" w:rsidRPr="00CD34A0" w:rsidRDefault="00B3428C" w:rsidP="00B3428C">
      <w:pPr>
        <w:pStyle w:val="Didascalia"/>
        <w:rPr>
          <w:rFonts w:eastAsia="Times New Roman" w:cs="Bodoni MT"/>
          <w:color w:val="000000"/>
          <w:sz w:val="24"/>
          <w:szCs w:val="24"/>
        </w:rPr>
      </w:pPr>
      <w:bookmarkStart w:id="368" w:name="_Toc507422574"/>
      <w:r>
        <w:t xml:space="preserve">Tabella </w:t>
      </w:r>
      <w:r w:rsidR="00B90472">
        <w:fldChar w:fldCharType="begin"/>
      </w:r>
      <w:r w:rsidR="00B90472">
        <w:instrText xml:space="preserve"> SEQ Tabella \* ARABIC </w:instrText>
      </w:r>
      <w:r w:rsidR="00B90472">
        <w:fldChar w:fldCharType="separate"/>
      </w:r>
      <w:r w:rsidR="008616B3">
        <w:rPr>
          <w:noProof/>
        </w:rPr>
        <w:t>106</w:t>
      </w:r>
      <w:r w:rsidR="00B90472">
        <w:rPr>
          <w:noProof/>
        </w:rPr>
        <w:fldChar w:fldCharType="end"/>
      </w:r>
      <w:r>
        <w:t xml:space="preserve"> – Imprese controllate</w:t>
      </w:r>
      <w:bookmarkEnd w:id="368"/>
    </w:p>
    <w:tbl>
      <w:tblPr>
        <w:tblW w:w="5000" w:type="pct"/>
        <w:jc w:val="center"/>
        <w:tblCellMar>
          <w:left w:w="70" w:type="dxa"/>
          <w:right w:w="70" w:type="dxa"/>
        </w:tblCellMar>
        <w:tblLook w:val="04A0" w:firstRow="1" w:lastRow="0" w:firstColumn="1" w:lastColumn="0" w:noHBand="0" w:noVBand="1"/>
      </w:tblPr>
      <w:tblGrid>
        <w:gridCol w:w="497"/>
        <w:gridCol w:w="4214"/>
        <w:gridCol w:w="1680"/>
        <w:gridCol w:w="1707"/>
        <w:gridCol w:w="1680"/>
      </w:tblGrid>
      <w:tr w:rsidR="00CD34A0" w:rsidRPr="00B3428C" w:rsidTr="00B3428C">
        <w:trPr>
          <w:trHeight w:val="448"/>
          <w:jc w:val="center"/>
        </w:trPr>
        <w:tc>
          <w:tcPr>
            <w:tcW w:w="254"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Arial"/>
                <w:b/>
                <w:bCs/>
                <w:iCs/>
                <w:sz w:val="18"/>
                <w:szCs w:val="18"/>
                <w:lang w:eastAsia="it-IT"/>
              </w:rPr>
            </w:pPr>
            <w:r w:rsidRPr="00B3428C">
              <w:rPr>
                <w:rFonts w:ascii="Bodoni MT" w:eastAsia="Times New Roman" w:hAnsi="Bodoni MT" w:cs="Arial"/>
                <w:b/>
                <w:bCs/>
                <w:iCs/>
                <w:sz w:val="18"/>
                <w:szCs w:val="18"/>
                <w:lang w:eastAsia="it-IT"/>
              </w:rPr>
              <w:t>N.</w:t>
            </w:r>
          </w:p>
        </w:tc>
        <w:tc>
          <w:tcPr>
            <w:tcW w:w="215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Arial"/>
                <w:b/>
                <w:bCs/>
                <w:iCs/>
                <w:sz w:val="18"/>
                <w:szCs w:val="18"/>
                <w:lang w:eastAsia="it-IT"/>
              </w:rPr>
            </w:pPr>
            <w:r w:rsidRPr="00B3428C">
              <w:rPr>
                <w:rFonts w:ascii="Bodoni MT" w:eastAsia="Times New Roman" w:hAnsi="Bodoni MT" w:cs="Arial"/>
                <w:b/>
                <w:bCs/>
                <w:iCs/>
                <w:sz w:val="18"/>
                <w:szCs w:val="18"/>
                <w:lang w:eastAsia="it-IT"/>
              </w:rPr>
              <w:t>IMPRESE CONTROLLATE</w:t>
            </w:r>
          </w:p>
        </w:tc>
        <w:tc>
          <w:tcPr>
            <w:tcW w:w="859"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D431BA" w:rsidP="00CD34A0">
            <w:pPr>
              <w:spacing w:after="0" w:line="240" w:lineRule="auto"/>
              <w:jc w:val="center"/>
              <w:rPr>
                <w:rFonts w:ascii="Bodoni MT" w:eastAsia="Times New Roman" w:hAnsi="Bodoni MT" w:cs="Times New Roman"/>
                <w:color w:val="000000"/>
                <w:sz w:val="18"/>
                <w:szCs w:val="18"/>
                <w:lang w:eastAsia="it-IT"/>
              </w:rPr>
            </w:pPr>
            <w:r>
              <w:rPr>
                <w:rFonts w:ascii="Bodoni MT" w:eastAsia="Times New Roman" w:hAnsi="Bodoni MT" w:cs="Arial"/>
                <w:b/>
                <w:bCs/>
                <w:iCs/>
                <w:sz w:val="18"/>
                <w:szCs w:val="18"/>
                <w:lang w:eastAsia="it-IT"/>
              </w:rPr>
              <w:t>Capitale 31/12/</w:t>
            </w:r>
            <w:r w:rsidR="00CD34A0" w:rsidRPr="00B3428C">
              <w:rPr>
                <w:rFonts w:ascii="Bodoni MT" w:eastAsia="Times New Roman" w:hAnsi="Bodoni MT" w:cs="Arial"/>
                <w:b/>
                <w:bCs/>
                <w:iCs/>
                <w:sz w:val="18"/>
                <w:szCs w:val="18"/>
                <w:lang w:eastAsia="it-IT"/>
              </w:rPr>
              <w:t>2016</w:t>
            </w:r>
          </w:p>
        </w:tc>
        <w:tc>
          <w:tcPr>
            <w:tcW w:w="873"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D431BA" w:rsidP="00CD34A0">
            <w:pPr>
              <w:spacing w:after="0" w:line="240" w:lineRule="auto"/>
              <w:jc w:val="center"/>
              <w:rPr>
                <w:rFonts w:ascii="Bodoni MT" w:eastAsia="Times New Roman" w:hAnsi="Bodoni MT" w:cs="Times New Roman"/>
                <w:color w:val="000000"/>
                <w:sz w:val="18"/>
                <w:szCs w:val="18"/>
                <w:lang w:eastAsia="it-IT"/>
              </w:rPr>
            </w:pPr>
            <w:r>
              <w:rPr>
                <w:rFonts w:ascii="Bodoni MT" w:eastAsia="Times New Roman" w:hAnsi="Bodoni MT" w:cs="Arial"/>
                <w:b/>
                <w:bCs/>
                <w:iCs/>
                <w:sz w:val="18"/>
                <w:szCs w:val="18"/>
                <w:lang w:eastAsia="it-IT"/>
              </w:rPr>
              <w:t>% Ras 31/12/</w:t>
            </w:r>
            <w:r w:rsidR="00CD34A0" w:rsidRPr="00B3428C">
              <w:rPr>
                <w:rFonts w:ascii="Bodoni MT" w:eastAsia="Times New Roman" w:hAnsi="Bodoni MT" w:cs="Arial"/>
                <w:b/>
                <w:bCs/>
                <w:iCs/>
                <w:sz w:val="18"/>
                <w:szCs w:val="18"/>
                <w:lang w:eastAsia="it-IT"/>
              </w:rPr>
              <w:t>2016</w:t>
            </w:r>
          </w:p>
        </w:tc>
        <w:tc>
          <w:tcPr>
            <w:tcW w:w="859"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Arial"/>
                <w:b/>
                <w:bCs/>
                <w:iCs/>
                <w:sz w:val="18"/>
                <w:szCs w:val="18"/>
                <w:lang w:eastAsia="it-IT"/>
              </w:rPr>
            </w:pPr>
            <w:r w:rsidRPr="00B3428C">
              <w:rPr>
                <w:rFonts w:ascii="Bodoni MT" w:eastAsia="Times New Roman" w:hAnsi="Bodoni MT" w:cs="Arial"/>
                <w:b/>
                <w:bCs/>
                <w:iCs/>
                <w:sz w:val="18"/>
                <w:szCs w:val="18"/>
                <w:lang w:eastAsia="it-IT"/>
              </w:rPr>
              <w:t>Valore 31/12/</w:t>
            </w:r>
            <w:r w:rsidR="00D431BA">
              <w:rPr>
                <w:rFonts w:ascii="Bodoni MT" w:eastAsia="Times New Roman" w:hAnsi="Bodoni MT" w:cs="Arial"/>
                <w:b/>
                <w:bCs/>
                <w:iCs/>
                <w:sz w:val="18"/>
                <w:szCs w:val="18"/>
                <w:lang w:eastAsia="it-IT"/>
              </w:rPr>
              <w:t>20</w:t>
            </w:r>
            <w:r w:rsidRPr="00B3428C">
              <w:rPr>
                <w:rFonts w:ascii="Bodoni MT" w:eastAsia="Times New Roman" w:hAnsi="Bodoni MT" w:cs="Arial"/>
                <w:b/>
                <w:bCs/>
                <w:iCs/>
                <w:sz w:val="18"/>
                <w:szCs w:val="18"/>
                <w:lang w:eastAsia="it-IT"/>
              </w:rPr>
              <w:t>16</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Abbanoa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271.275.415</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69,87</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260.597.435</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2</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Arst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819.000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32.203.321</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3</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Bic Sardegna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720.265</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779.446</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4</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Carbosulcis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15.000.000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71.438.770</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5</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Fase1 Srl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120.000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0</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6</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Fluorite di Silius Spa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2.000.000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2.115.541</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7</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Hydrocontrol Srl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1.266.763</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48.583</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8</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Igea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4.100.000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5.364.439</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9</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Insar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15.889.306</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55,39</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8.853.445</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10</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Nuova Mineraria Silius Spa in C.Prev.</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10.330.000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0</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11</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Progemisa Spa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5.160.000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3.425.069</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12</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Sardegna It Srl</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1.722.172</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13</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Saremar Spa in Concordato Prev.</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2.033.320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0</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14</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Sarind Srl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15.037.418</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15</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Sfirs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125.241.120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125.532.314</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16</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Sigma Invest Spa in Liquidazione</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37.181.565</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20.666.968</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17</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Sipas Spa - Cessata (30/06/2016)</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16.147.848</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100,00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0</w:t>
            </w:r>
          </w:p>
        </w:tc>
      </w:tr>
      <w:tr w:rsidR="00CD34A0" w:rsidRPr="00B3428C" w:rsidTr="004469B5">
        <w:trPr>
          <w:trHeight w:val="199"/>
          <w:jc w:val="center"/>
        </w:trPr>
        <w:tc>
          <w:tcPr>
            <w:tcW w:w="25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18</w:t>
            </w:r>
          </w:p>
        </w:tc>
        <w:tc>
          <w:tcPr>
            <w:tcW w:w="2155"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Arial"/>
                <w:color w:val="FFFFFF" w:themeColor="background1"/>
                <w:sz w:val="18"/>
                <w:szCs w:val="18"/>
                <w:lang w:eastAsia="it-IT"/>
              </w:rPr>
            </w:pPr>
            <w:r w:rsidRPr="004469B5">
              <w:rPr>
                <w:rFonts w:ascii="Bodoni MT" w:eastAsia="Times New Roman" w:hAnsi="Bodoni MT" w:cs="Arial"/>
                <w:color w:val="FFFFFF" w:themeColor="background1"/>
                <w:sz w:val="18"/>
                <w:szCs w:val="18"/>
                <w:lang w:eastAsia="it-IT"/>
              </w:rPr>
              <w:t>Sotacarbo Spa</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2.322.000</w:t>
            </w:r>
          </w:p>
        </w:tc>
        <w:tc>
          <w:tcPr>
            <w:tcW w:w="873"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50,00</w:t>
            </w:r>
          </w:p>
        </w:tc>
        <w:tc>
          <w:tcPr>
            <w:tcW w:w="85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Arial"/>
                <w:color w:val="000000"/>
                <w:sz w:val="18"/>
                <w:szCs w:val="18"/>
                <w:lang w:eastAsia="it-IT"/>
              </w:rPr>
            </w:pPr>
            <w:r w:rsidRPr="00B3428C">
              <w:rPr>
                <w:rFonts w:eastAsia="Times New Roman" w:cs="Arial"/>
                <w:color w:val="000000"/>
                <w:sz w:val="18"/>
                <w:szCs w:val="18"/>
                <w:lang w:eastAsia="it-IT"/>
              </w:rPr>
              <w:t>1.537.474</w:t>
            </w:r>
          </w:p>
        </w:tc>
      </w:tr>
    </w:tbl>
    <w:p w:rsidR="00CD34A0" w:rsidRPr="00B3428C"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B3428C">
        <w:rPr>
          <w:rFonts w:ascii="Bodoni MT" w:eastAsia="Times New Roman" w:hAnsi="Bodoni MT" w:cs="Bodoni MT"/>
          <w:color w:val="000000"/>
          <w:sz w:val="18"/>
          <w:szCs w:val="18"/>
        </w:rPr>
        <w:t>Fonte RAS Rendiconto sulla gestione 2016 – Allegato 3.1</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lastRenderedPageBreak/>
        <w:t xml:space="preserve">La Nota integrativa specifica che: </w:t>
      </w:r>
      <w:r w:rsidRPr="00CD34A0">
        <w:rPr>
          <w:rFonts w:ascii="Bodoni MT" w:eastAsia="Times New Roman" w:hAnsi="Bodoni MT" w:cs="Bodoni MT"/>
          <w:i/>
          <w:color w:val="000000"/>
          <w:sz w:val="24"/>
          <w:szCs w:val="24"/>
        </w:rPr>
        <w:t>“Nel corso del 2016, la partecipazione nella società Abbanoa Spa ha subito un incremento per effetto della sottoscrizione di ulteriori azioni da parte della Regione per 15 milioni di euro, passando dal valore del 68,11% al 69,87%</w:t>
      </w:r>
      <w:r w:rsidRPr="00CD34A0">
        <w:rPr>
          <w:rFonts w:ascii="Bodoni MT" w:eastAsia="Times New Roman" w:hAnsi="Bodoni MT" w:cs="Bodoni MT"/>
          <w:color w:val="000000"/>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Tra le società controllate figurano 3 società al valore di zero euro in quanto “</w:t>
      </w:r>
      <w:r w:rsidRPr="00CD34A0">
        <w:rPr>
          <w:rFonts w:ascii="Bodoni MT" w:eastAsia="Times New Roman" w:hAnsi="Bodoni MT" w:cs="Bodoni MT"/>
          <w:i/>
          <w:color w:val="000000"/>
          <w:sz w:val="24"/>
          <w:szCs w:val="24"/>
        </w:rPr>
        <w:t>presentano un deficit patrimoniale al 31/12/2016</w:t>
      </w:r>
      <w:r w:rsidRPr="00CD34A0">
        <w:rPr>
          <w:rFonts w:ascii="Bodoni MT" w:eastAsia="Times New Roman" w:hAnsi="Bodoni MT" w:cs="Bodoni MT"/>
          <w:color w:val="000000"/>
          <w:sz w:val="24"/>
          <w:szCs w:val="24"/>
        </w:rPr>
        <w:t xml:space="preserve">”. Si tratta di Fase1 Srl in liquidazione, Nuova Mineraria Silius Spa in Concordato preventivo e Saremar Spa in Concordato preventivo. </w:t>
      </w:r>
      <w:r w:rsidRPr="00CD34A0">
        <w:rPr>
          <w:rFonts w:ascii="Bodoni MT" w:eastAsia="Times New Roman" w:hAnsi="Bodoni MT" w:cs="Bodoni MT"/>
          <w:i/>
          <w:color w:val="000000"/>
          <w:sz w:val="24"/>
          <w:szCs w:val="24"/>
        </w:rPr>
        <w:t xml:space="preserve">“A tale deficit, in applicazione del principio della prudenza, è stato effettuato un accantonamento al fondo per rischi ed oneri”. </w:t>
      </w:r>
      <w:r w:rsidRPr="00CD34A0">
        <w:rPr>
          <w:rFonts w:ascii="Bodoni MT" w:eastAsia="Times New Roman" w:hAnsi="Bodoni MT" w:cs="Bodoni MT"/>
          <w:color w:val="000000"/>
          <w:sz w:val="24"/>
          <w:szCs w:val="24"/>
        </w:rPr>
        <w:t>La Sipas Spa in l</w:t>
      </w:r>
      <w:r w:rsidR="00B3428C">
        <w:rPr>
          <w:rFonts w:ascii="Bodoni MT" w:eastAsia="Times New Roman" w:hAnsi="Bodoni MT" w:cs="Bodoni MT"/>
          <w:color w:val="000000"/>
          <w:sz w:val="24"/>
          <w:szCs w:val="24"/>
        </w:rPr>
        <w:t xml:space="preserve">iquidazione, cessata nel 2016, </w:t>
      </w:r>
      <w:r w:rsidRPr="00CD34A0">
        <w:rPr>
          <w:rFonts w:ascii="Bodoni MT" w:eastAsia="Times New Roman" w:hAnsi="Bodoni MT" w:cs="Bodoni MT"/>
          <w:color w:val="000000"/>
          <w:sz w:val="24"/>
          <w:szCs w:val="24"/>
        </w:rPr>
        <w:t>viene riport</w:t>
      </w:r>
      <w:r w:rsidR="00B3428C">
        <w:rPr>
          <w:rFonts w:ascii="Bodoni MT" w:eastAsia="Times New Roman" w:hAnsi="Bodoni MT" w:cs="Bodoni MT"/>
          <w:color w:val="000000"/>
          <w:sz w:val="24"/>
          <w:szCs w:val="24"/>
        </w:rPr>
        <w:t xml:space="preserve">ata per completezza, in quanto </w:t>
      </w:r>
      <w:r w:rsidRPr="00CD34A0">
        <w:rPr>
          <w:rFonts w:ascii="Bodoni MT" w:eastAsia="Times New Roman" w:hAnsi="Bodoni MT" w:cs="Bodoni MT"/>
          <w:color w:val="000000"/>
          <w:sz w:val="24"/>
          <w:szCs w:val="24"/>
        </w:rPr>
        <w:t>anco</w:t>
      </w:r>
      <w:r w:rsidR="003401A5">
        <w:rPr>
          <w:rFonts w:ascii="Bodoni MT" w:eastAsia="Times New Roman" w:hAnsi="Bodoni MT" w:cs="Bodoni MT"/>
          <w:color w:val="000000"/>
          <w:sz w:val="24"/>
          <w:szCs w:val="24"/>
        </w:rPr>
        <w:t>ra ricompresa nel patrimonio all’01/01/</w:t>
      </w:r>
      <w:r w:rsidRPr="00CD34A0">
        <w:rPr>
          <w:rFonts w:ascii="Bodoni MT" w:eastAsia="Times New Roman" w:hAnsi="Bodoni MT" w:cs="Bodoni MT"/>
          <w:color w:val="000000"/>
          <w:sz w:val="24"/>
          <w:szCs w:val="24"/>
        </w:rPr>
        <w:t>2016.</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color w:val="000000"/>
          <w:sz w:val="24"/>
          <w:szCs w:val="24"/>
        </w:rPr>
        <w:t xml:space="preserve">La tabella che segue elenca le </w:t>
      </w:r>
      <w:r w:rsidRPr="00CD34A0">
        <w:rPr>
          <w:rFonts w:ascii="Bodoni MT" w:eastAsia="Times New Roman" w:hAnsi="Bodoni MT" w:cs="Bodoni MT"/>
          <w:b/>
          <w:color w:val="000000"/>
          <w:sz w:val="24"/>
          <w:szCs w:val="24"/>
        </w:rPr>
        <w:t xml:space="preserve">Imprese partecipate, </w:t>
      </w:r>
      <w:r w:rsidRPr="00CD34A0">
        <w:rPr>
          <w:rFonts w:ascii="Bodoni MT" w:eastAsia="Times New Roman" w:hAnsi="Bodoni MT" w:cs="Bodoni MT"/>
          <w:color w:val="000000"/>
          <w:sz w:val="24"/>
          <w:szCs w:val="24"/>
        </w:rPr>
        <w:t xml:space="preserve">ovvero </w:t>
      </w:r>
      <w:r w:rsidRPr="00CD34A0">
        <w:rPr>
          <w:rFonts w:ascii="Bodoni MT" w:eastAsia="Times New Roman" w:hAnsi="Bodoni MT" w:cs="Bodoni MT"/>
          <w:i/>
          <w:color w:val="000000"/>
          <w:sz w:val="24"/>
          <w:szCs w:val="24"/>
        </w:rPr>
        <w:t>quelle direttamente partecipate dalla stessa Regione non comprese tra le società controllate.</w:t>
      </w:r>
      <w:r w:rsidR="00535EB3">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 xml:space="preserve">Hanno un valore pari </w:t>
      </w:r>
      <w:r w:rsidR="00B3428C" w:rsidRPr="00495973">
        <w:rPr>
          <w:rFonts w:ascii="Bodoni MT" w:eastAsia="Times New Roman" w:hAnsi="Bodoni MT" w:cs="Bodoni MT"/>
          <w:color w:val="000000"/>
          <w:sz w:val="24"/>
          <w:szCs w:val="24"/>
        </w:rPr>
        <w:t>a</w:t>
      </w:r>
      <w:r w:rsidR="00B3428C">
        <w:rPr>
          <w:rFonts w:ascii="Bodoni MT" w:eastAsia="Times New Roman" w:hAnsi="Bodoni MT" w:cs="Bodoni MT"/>
          <w:b/>
          <w:color w:val="000000"/>
          <w:sz w:val="24"/>
          <w:szCs w:val="24"/>
        </w:rPr>
        <w:t xml:space="preserve"> € </w:t>
      </w:r>
      <w:r w:rsidR="00535EB3">
        <w:rPr>
          <w:rFonts w:ascii="Bodoni MT" w:eastAsia="Times New Roman" w:hAnsi="Bodoni MT" w:cs="Bodoni MT"/>
          <w:b/>
          <w:color w:val="000000"/>
          <w:sz w:val="24"/>
          <w:szCs w:val="24"/>
        </w:rPr>
        <w:t>8.146.198.</w:t>
      </w:r>
    </w:p>
    <w:p w:rsidR="00CD34A0" w:rsidRPr="00CD34A0" w:rsidRDefault="00B3428C" w:rsidP="00B3428C">
      <w:pPr>
        <w:pStyle w:val="Didascalia"/>
        <w:rPr>
          <w:rFonts w:eastAsia="Times New Roman" w:cs="Bodoni MT"/>
          <w:color w:val="000000"/>
          <w:sz w:val="24"/>
          <w:szCs w:val="24"/>
        </w:rPr>
      </w:pPr>
      <w:bookmarkStart w:id="369" w:name="_Toc507422575"/>
      <w:r>
        <w:t xml:space="preserve">Tabella </w:t>
      </w:r>
      <w:r w:rsidR="00B90472">
        <w:fldChar w:fldCharType="begin"/>
      </w:r>
      <w:r w:rsidR="00B90472">
        <w:instrText xml:space="preserve"> SEQ Tabella \* ARABIC </w:instrText>
      </w:r>
      <w:r w:rsidR="00B90472">
        <w:fldChar w:fldCharType="separate"/>
      </w:r>
      <w:r w:rsidR="008616B3">
        <w:rPr>
          <w:noProof/>
        </w:rPr>
        <w:t>107</w:t>
      </w:r>
      <w:r w:rsidR="00B90472">
        <w:rPr>
          <w:noProof/>
        </w:rPr>
        <w:fldChar w:fldCharType="end"/>
      </w:r>
      <w:r>
        <w:t xml:space="preserve"> – Imprese partecipate</w:t>
      </w:r>
      <w:bookmarkEnd w:id="369"/>
    </w:p>
    <w:tbl>
      <w:tblPr>
        <w:tblW w:w="5000" w:type="pct"/>
        <w:jc w:val="center"/>
        <w:tblCellMar>
          <w:left w:w="70" w:type="dxa"/>
          <w:right w:w="70" w:type="dxa"/>
        </w:tblCellMar>
        <w:tblLook w:val="04A0" w:firstRow="1" w:lastRow="0" w:firstColumn="1" w:lastColumn="0" w:noHBand="0" w:noVBand="1"/>
      </w:tblPr>
      <w:tblGrid>
        <w:gridCol w:w="523"/>
        <w:gridCol w:w="4111"/>
        <w:gridCol w:w="1770"/>
        <w:gridCol w:w="1604"/>
        <w:gridCol w:w="1770"/>
      </w:tblGrid>
      <w:tr w:rsidR="00CD34A0" w:rsidRPr="00B3428C" w:rsidTr="003401A5">
        <w:trPr>
          <w:trHeight w:val="602"/>
          <w:jc w:val="center"/>
        </w:trPr>
        <w:tc>
          <w:tcPr>
            <w:tcW w:w="268"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b/>
                <w:bCs/>
                <w:iCs/>
                <w:sz w:val="20"/>
                <w:szCs w:val="20"/>
                <w:lang w:eastAsia="it-IT"/>
              </w:rPr>
            </w:pPr>
            <w:r w:rsidRPr="00B3428C">
              <w:rPr>
                <w:rFonts w:ascii="Bodoni MT" w:eastAsia="Times New Roman" w:hAnsi="Bodoni MT" w:cs="Times New Roman"/>
                <w:b/>
                <w:bCs/>
                <w:iCs/>
                <w:sz w:val="20"/>
                <w:szCs w:val="20"/>
                <w:lang w:eastAsia="it-IT"/>
              </w:rPr>
              <w:t>N.</w:t>
            </w:r>
          </w:p>
        </w:tc>
        <w:tc>
          <w:tcPr>
            <w:tcW w:w="2102"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b/>
                <w:bCs/>
                <w:iCs/>
                <w:sz w:val="20"/>
                <w:szCs w:val="20"/>
                <w:lang w:eastAsia="it-IT"/>
              </w:rPr>
            </w:pPr>
            <w:r w:rsidRPr="00B3428C">
              <w:rPr>
                <w:rFonts w:ascii="Bodoni MT" w:eastAsia="Times New Roman" w:hAnsi="Bodoni MT" w:cs="Times New Roman"/>
                <w:b/>
                <w:bCs/>
                <w:iCs/>
                <w:sz w:val="20"/>
                <w:szCs w:val="20"/>
                <w:lang w:eastAsia="it-IT"/>
              </w:rPr>
              <w:t>IMPRESE PARTECIPATE</w:t>
            </w:r>
          </w:p>
        </w:tc>
        <w:tc>
          <w:tcPr>
            <w:tcW w:w="90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B3428C" w:rsidRDefault="003401A5" w:rsidP="00CD34A0">
            <w:pPr>
              <w:spacing w:after="0" w:line="240" w:lineRule="auto"/>
              <w:jc w:val="center"/>
              <w:rPr>
                <w:rFonts w:ascii="Bodoni MT" w:eastAsia="Times New Roman" w:hAnsi="Bodoni MT" w:cs="Times New Roman"/>
                <w:color w:val="000000"/>
                <w:sz w:val="20"/>
                <w:szCs w:val="20"/>
                <w:lang w:eastAsia="it-IT"/>
              </w:rPr>
            </w:pPr>
            <w:r>
              <w:rPr>
                <w:rFonts w:ascii="Bodoni MT" w:eastAsia="Times New Roman" w:hAnsi="Bodoni MT" w:cs="Times New Roman"/>
                <w:b/>
                <w:bCs/>
                <w:iCs/>
                <w:sz w:val="20"/>
                <w:szCs w:val="20"/>
                <w:lang w:eastAsia="it-IT"/>
              </w:rPr>
              <w:t>Capitale 31/12/</w:t>
            </w:r>
            <w:r w:rsidR="00CD34A0" w:rsidRPr="00B3428C">
              <w:rPr>
                <w:rFonts w:ascii="Bodoni MT" w:eastAsia="Times New Roman" w:hAnsi="Bodoni MT" w:cs="Times New Roman"/>
                <w:b/>
                <w:bCs/>
                <w:iCs/>
                <w:sz w:val="20"/>
                <w:szCs w:val="20"/>
                <w:lang w:eastAsia="it-IT"/>
              </w:rPr>
              <w:t>2016</w:t>
            </w:r>
          </w:p>
        </w:tc>
        <w:tc>
          <w:tcPr>
            <w:tcW w:w="82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B3428C" w:rsidRDefault="003401A5" w:rsidP="003401A5">
            <w:pPr>
              <w:spacing w:after="0" w:line="240" w:lineRule="auto"/>
              <w:jc w:val="center"/>
              <w:rPr>
                <w:rFonts w:ascii="Bodoni MT" w:eastAsia="Times New Roman" w:hAnsi="Bodoni MT" w:cs="Times New Roman"/>
                <w:color w:val="000000"/>
                <w:sz w:val="20"/>
                <w:szCs w:val="20"/>
                <w:lang w:eastAsia="it-IT"/>
              </w:rPr>
            </w:pPr>
            <w:r>
              <w:rPr>
                <w:rFonts w:ascii="Bodoni MT" w:eastAsia="Times New Roman" w:hAnsi="Bodoni MT" w:cs="Times New Roman"/>
                <w:b/>
                <w:bCs/>
                <w:iCs/>
                <w:sz w:val="20"/>
                <w:szCs w:val="20"/>
                <w:lang w:eastAsia="it-IT"/>
              </w:rPr>
              <w:t>% Ras 31/12/</w:t>
            </w:r>
            <w:r w:rsidR="00CD34A0" w:rsidRPr="00B3428C">
              <w:rPr>
                <w:rFonts w:ascii="Bodoni MT" w:eastAsia="Times New Roman" w:hAnsi="Bodoni MT" w:cs="Times New Roman"/>
                <w:b/>
                <w:bCs/>
                <w:iCs/>
                <w:sz w:val="20"/>
                <w:szCs w:val="20"/>
                <w:lang w:eastAsia="it-IT"/>
              </w:rPr>
              <w:t>2016</w:t>
            </w:r>
          </w:p>
        </w:tc>
        <w:tc>
          <w:tcPr>
            <w:tcW w:w="90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color w:val="000000"/>
                <w:sz w:val="20"/>
                <w:szCs w:val="20"/>
                <w:lang w:eastAsia="it-IT"/>
              </w:rPr>
            </w:pPr>
            <w:r w:rsidRPr="00B3428C">
              <w:rPr>
                <w:rFonts w:ascii="Bodoni MT" w:eastAsia="Times New Roman" w:hAnsi="Bodoni MT" w:cs="Times New Roman"/>
                <w:b/>
                <w:bCs/>
                <w:iCs/>
                <w:sz w:val="20"/>
                <w:szCs w:val="20"/>
                <w:lang w:eastAsia="it-IT"/>
              </w:rPr>
              <w:t>Valore 31/12/</w:t>
            </w:r>
            <w:r w:rsidR="003401A5">
              <w:rPr>
                <w:rFonts w:ascii="Bodoni MT" w:eastAsia="Times New Roman" w:hAnsi="Bodoni MT" w:cs="Times New Roman"/>
                <w:b/>
                <w:bCs/>
                <w:iCs/>
                <w:sz w:val="20"/>
                <w:szCs w:val="20"/>
                <w:lang w:eastAsia="it-IT"/>
              </w:rPr>
              <w:t>20</w:t>
            </w:r>
            <w:r w:rsidRPr="00B3428C">
              <w:rPr>
                <w:rFonts w:ascii="Bodoni MT" w:eastAsia="Times New Roman" w:hAnsi="Bodoni MT" w:cs="Times New Roman"/>
                <w:b/>
                <w:bCs/>
                <w:iCs/>
                <w:sz w:val="20"/>
                <w:szCs w:val="20"/>
                <w:lang w:eastAsia="it-IT"/>
              </w:rPr>
              <w:t>16</w:t>
            </w:r>
          </w:p>
        </w:tc>
      </w:tr>
      <w:tr w:rsidR="00CD34A0" w:rsidRPr="00CD34A0" w:rsidTr="003401A5">
        <w:trPr>
          <w:trHeight w:val="270"/>
          <w:jc w:val="center"/>
        </w:trPr>
        <w:tc>
          <w:tcPr>
            <w:tcW w:w="268"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19</w:t>
            </w:r>
          </w:p>
        </w:tc>
        <w:tc>
          <w:tcPr>
            <w:tcW w:w="2102"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Geasar Spa</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12.912.000</w:t>
            </w:r>
          </w:p>
        </w:tc>
        <w:tc>
          <w:tcPr>
            <w:tcW w:w="820"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1,59</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820.886</w:t>
            </w:r>
          </w:p>
        </w:tc>
      </w:tr>
      <w:tr w:rsidR="00CD34A0" w:rsidRPr="00CD34A0" w:rsidTr="003401A5">
        <w:trPr>
          <w:trHeight w:val="270"/>
          <w:jc w:val="center"/>
        </w:trPr>
        <w:tc>
          <w:tcPr>
            <w:tcW w:w="268"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20</w:t>
            </w:r>
          </w:p>
        </w:tc>
        <w:tc>
          <w:tcPr>
            <w:tcW w:w="2102"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Janna Scarl</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13.717.365</w:t>
            </w:r>
          </w:p>
        </w:tc>
        <w:tc>
          <w:tcPr>
            <w:tcW w:w="820"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49,00</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4.597.199</w:t>
            </w:r>
          </w:p>
        </w:tc>
      </w:tr>
      <w:tr w:rsidR="00CD34A0" w:rsidRPr="00CD34A0" w:rsidTr="003401A5">
        <w:trPr>
          <w:trHeight w:val="270"/>
          <w:jc w:val="center"/>
        </w:trPr>
        <w:tc>
          <w:tcPr>
            <w:tcW w:w="268"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21</w:t>
            </w:r>
          </w:p>
        </w:tc>
        <w:tc>
          <w:tcPr>
            <w:tcW w:w="2102"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Sogaer Spa</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13.000.000</w:t>
            </w:r>
          </w:p>
        </w:tc>
        <w:tc>
          <w:tcPr>
            <w:tcW w:w="820"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0,72</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170.398</w:t>
            </w:r>
          </w:p>
        </w:tc>
      </w:tr>
      <w:tr w:rsidR="00CD34A0" w:rsidRPr="00CD34A0" w:rsidTr="003401A5">
        <w:trPr>
          <w:trHeight w:val="270"/>
          <w:jc w:val="center"/>
        </w:trPr>
        <w:tc>
          <w:tcPr>
            <w:tcW w:w="268"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22</w:t>
            </w:r>
          </w:p>
        </w:tc>
        <w:tc>
          <w:tcPr>
            <w:tcW w:w="2102"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Sogeaal Spa</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7.754.000</w:t>
            </w:r>
          </w:p>
        </w:tc>
        <w:tc>
          <w:tcPr>
            <w:tcW w:w="820"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23,06</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2.557.714</w:t>
            </w:r>
          </w:p>
        </w:tc>
      </w:tr>
      <w:tr w:rsidR="00CD34A0" w:rsidRPr="00CD34A0" w:rsidTr="003401A5">
        <w:trPr>
          <w:trHeight w:val="270"/>
          <w:jc w:val="center"/>
        </w:trPr>
        <w:tc>
          <w:tcPr>
            <w:tcW w:w="268"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4469B5"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23</w:t>
            </w:r>
          </w:p>
        </w:tc>
        <w:tc>
          <w:tcPr>
            <w:tcW w:w="2102" w:type="pct"/>
            <w:tcBorders>
              <w:top w:val="nil"/>
              <w:left w:val="nil"/>
              <w:bottom w:val="single" w:sz="4" w:space="0" w:color="auto"/>
              <w:right w:val="single" w:sz="4" w:space="0" w:color="auto"/>
            </w:tcBorders>
            <w:shd w:val="clear" w:color="auto" w:fill="95B3D7" w:themeFill="accent1" w:themeFillTint="99"/>
            <w:hideMark/>
          </w:tcPr>
          <w:p w:rsidR="00CD34A0" w:rsidRPr="004469B5"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Sogeaor Spa in Liquidazione</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2.652.421</w:t>
            </w:r>
          </w:p>
        </w:tc>
        <w:tc>
          <w:tcPr>
            <w:tcW w:w="820"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3,36</w:t>
            </w:r>
          </w:p>
        </w:tc>
        <w:tc>
          <w:tcPr>
            <w:tcW w:w="905" w:type="pct"/>
            <w:tcBorders>
              <w:top w:val="nil"/>
              <w:left w:val="nil"/>
              <w:bottom w:val="single" w:sz="4" w:space="0" w:color="000000"/>
              <w:right w:val="single" w:sz="4" w:space="0" w:color="000000"/>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0</w:t>
            </w:r>
          </w:p>
        </w:tc>
      </w:tr>
      <w:tr w:rsidR="00B3428C" w:rsidRPr="00B3428C" w:rsidTr="003401A5">
        <w:trPr>
          <w:trHeight w:val="270"/>
          <w:jc w:val="center"/>
        </w:trPr>
        <w:tc>
          <w:tcPr>
            <w:tcW w:w="2370" w:type="pct"/>
            <w:gridSpan w:val="2"/>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B3428C" w:rsidRPr="004469B5" w:rsidRDefault="00B3428C" w:rsidP="00CD34A0">
            <w:pPr>
              <w:spacing w:after="0" w:line="240" w:lineRule="auto"/>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Totale società partecipate</w:t>
            </w:r>
          </w:p>
        </w:tc>
        <w:tc>
          <w:tcPr>
            <w:tcW w:w="905" w:type="pct"/>
            <w:tcBorders>
              <w:top w:val="nil"/>
              <w:left w:val="nil"/>
              <w:bottom w:val="single" w:sz="4" w:space="0" w:color="000000"/>
              <w:right w:val="single" w:sz="4" w:space="0" w:color="000000"/>
            </w:tcBorders>
            <w:shd w:val="clear" w:color="auto" w:fill="auto"/>
            <w:noWrap/>
            <w:hideMark/>
          </w:tcPr>
          <w:p w:rsidR="00B3428C" w:rsidRPr="00B3428C" w:rsidRDefault="00B3428C" w:rsidP="00CD34A0">
            <w:pPr>
              <w:spacing w:after="0" w:line="240" w:lineRule="auto"/>
              <w:jc w:val="right"/>
              <w:rPr>
                <w:rFonts w:eastAsia="Times New Roman" w:cs="Times New Roman"/>
                <w:b/>
                <w:bCs/>
                <w:iCs/>
                <w:color w:val="000000"/>
                <w:sz w:val="20"/>
                <w:szCs w:val="20"/>
                <w:lang w:eastAsia="it-IT"/>
              </w:rPr>
            </w:pPr>
            <w:r w:rsidRPr="00B3428C">
              <w:rPr>
                <w:rFonts w:eastAsia="Times New Roman" w:cs="Times New Roman"/>
                <w:b/>
                <w:bCs/>
                <w:iCs/>
                <w:color w:val="000000"/>
                <w:sz w:val="20"/>
                <w:szCs w:val="20"/>
                <w:lang w:eastAsia="it-IT"/>
              </w:rPr>
              <w:t>50.035.786</w:t>
            </w:r>
          </w:p>
        </w:tc>
        <w:tc>
          <w:tcPr>
            <w:tcW w:w="820" w:type="pct"/>
            <w:tcBorders>
              <w:top w:val="nil"/>
              <w:left w:val="nil"/>
              <w:bottom w:val="single" w:sz="4" w:space="0" w:color="000000"/>
              <w:right w:val="single" w:sz="4" w:space="0" w:color="000000"/>
            </w:tcBorders>
            <w:shd w:val="clear" w:color="auto" w:fill="auto"/>
            <w:vAlign w:val="center"/>
            <w:hideMark/>
          </w:tcPr>
          <w:p w:rsidR="00B3428C" w:rsidRPr="00B3428C" w:rsidRDefault="00B3428C" w:rsidP="00CD34A0">
            <w:pPr>
              <w:spacing w:after="0" w:line="240" w:lineRule="auto"/>
              <w:rPr>
                <w:rFonts w:eastAsia="Times New Roman" w:cs="Times New Roman"/>
                <w:color w:val="000000"/>
                <w:sz w:val="20"/>
                <w:szCs w:val="20"/>
                <w:lang w:eastAsia="it-IT"/>
              </w:rPr>
            </w:pPr>
            <w:r w:rsidRPr="00B3428C">
              <w:rPr>
                <w:rFonts w:eastAsia="Times New Roman" w:cs="Times New Roman"/>
                <w:color w:val="000000"/>
                <w:sz w:val="20"/>
                <w:szCs w:val="20"/>
                <w:lang w:eastAsia="it-IT"/>
              </w:rPr>
              <w:t> </w:t>
            </w:r>
          </w:p>
        </w:tc>
        <w:tc>
          <w:tcPr>
            <w:tcW w:w="905" w:type="pct"/>
            <w:tcBorders>
              <w:top w:val="nil"/>
              <w:left w:val="nil"/>
              <w:bottom w:val="single" w:sz="4" w:space="0" w:color="000000"/>
              <w:right w:val="single" w:sz="4" w:space="0" w:color="000000"/>
            </w:tcBorders>
            <w:shd w:val="clear" w:color="auto" w:fill="auto"/>
            <w:noWrap/>
            <w:hideMark/>
          </w:tcPr>
          <w:p w:rsidR="00B3428C" w:rsidRPr="00B3428C" w:rsidRDefault="00B3428C" w:rsidP="00CD34A0">
            <w:pPr>
              <w:spacing w:after="0" w:line="240" w:lineRule="auto"/>
              <w:jc w:val="right"/>
              <w:rPr>
                <w:rFonts w:eastAsia="Times New Roman" w:cs="Times New Roman"/>
                <w:b/>
                <w:bCs/>
                <w:iCs/>
                <w:color w:val="000000"/>
                <w:sz w:val="20"/>
                <w:szCs w:val="20"/>
                <w:lang w:eastAsia="it-IT"/>
              </w:rPr>
            </w:pPr>
            <w:r w:rsidRPr="00B3428C">
              <w:rPr>
                <w:rFonts w:eastAsia="Times New Roman" w:cs="Times New Roman"/>
                <w:b/>
                <w:bCs/>
                <w:iCs/>
                <w:color w:val="000000"/>
                <w:sz w:val="20"/>
                <w:szCs w:val="20"/>
                <w:lang w:eastAsia="it-IT"/>
              </w:rPr>
              <w:t>8.146.198</w:t>
            </w:r>
          </w:p>
        </w:tc>
      </w:tr>
    </w:tbl>
    <w:p w:rsidR="00CD34A0" w:rsidRPr="00B3428C"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B3428C">
        <w:rPr>
          <w:rFonts w:ascii="Bodoni MT" w:eastAsia="Times New Roman" w:hAnsi="Bodoni MT" w:cs="Bodoni MT"/>
          <w:color w:val="000000"/>
          <w:sz w:val="18"/>
          <w:szCs w:val="18"/>
        </w:rPr>
        <w:t>Fonte RAS Rendiconto sulla gestione 2016 – Allegato 3.1</w:t>
      </w:r>
    </w:p>
    <w:p w:rsidR="00CD34A0" w:rsidRPr="00CD34A0" w:rsidRDefault="00CD34A0" w:rsidP="00B3428C">
      <w:pPr>
        <w:pStyle w:val="CdcTesto"/>
        <w:spacing w:before="360"/>
        <w:rPr>
          <w:rFonts w:eastAsia="Times New Roman"/>
        </w:rPr>
      </w:pPr>
      <w:r w:rsidRPr="00CD34A0">
        <w:rPr>
          <w:rFonts w:eastAsia="Times New Roman"/>
        </w:rPr>
        <w:t xml:space="preserve">Nel corso del 2016, la società di gestione aeroportuale di Alghero (la Sogeaal Spa) è stata oggetto di un aumento di capitale. La Regione, che deteneva l’80,20% del capitale sociale, ha rinunciato all’esercizio del diritto d’opzione per favorire la “privatizzazione” della società. La percentuale di partecipazione è scesa al 23,06%. Nell’ambito dell’operazione societaria, la Regione ha effettuato un versamento in conto copertura perdite pregresse di </w:t>
      </w:r>
      <w:r w:rsidR="003401A5">
        <w:rPr>
          <w:rFonts w:eastAsia="Times New Roman"/>
        </w:rPr>
        <w:t>€</w:t>
      </w:r>
      <w:r w:rsidRPr="00CD34A0">
        <w:rPr>
          <w:rFonts w:eastAsia="Times New Roman"/>
        </w:rPr>
        <w:t xml:space="preserve"> 3.934.000.</w:t>
      </w:r>
    </w:p>
    <w:p w:rsidR="00CD34A0" w:rsidRPr="00CD34A0" w:rsidRDefault="00CD34A0" w:rsidP="00B3428C">
      <w:pPr>
        <w:pStyle w:val="CdcTesto"/>
        <w:rPr>
          <w:rFonts w:eastAsia="Times New Roman"/>
        </w:rPr>
      </w:pPr>
      <w:r w:rsidRPr="00CD34A0">
        <w:rPr>
          <w:rFonts w:eastAsia="Times New Roman"/>
        </w:rPr>
        <w:t>Tra le imprese controllate, al valore di zero euro figura la società di gestione aeroportuale di Oristano (Sogeaor) già in liquidazione e che presenta un deficit patrimoniale. Anche in questo caso, si è reputato di effettuare un accantonamento al fondo per rischi ed oneri di pari importo.</w:t>
      </w:r>
    </w:p>
    <w:p w:rsidR="00CD34A0" w:rsidRPr="00CD34A0" w:rsidRDefault="00CD34A0" w:rsidP="00B3428C">
      <w:pPr>
        <w:pStyle w:val="CdcTesto"/>
        <w:rPr>
          <w:rFonts w:eastAsia="Times New Roman"/>
        </w:rPr>
      </w:pPr>
      <w:r w:rsidRPr="00CD34A0">
        <w:rPr>
          <w:rFonts w:eastAsia="Times New Roman"/>
        </w:rPr>
        <w:t>Negli elenchi non figura la Nuova Valriso Srl in liquidazione, acquisita dalla cessazione della Sipas Spa, anch’essa cessata (la liquidazione è stata approvata nel 2016).</w:t>
      </w:r>
    </w:p>
    <w:p w:rsidR="00CD34A0" w:rsidRPr="00CD34A0" w:rsidRDefault="00CD34A0" w:rsidP="00B3428C">
      <w:pPr>
        <w:pStyle w:val="CdcTesto"/>
        <w:rPr>
          <w:rFonts w:eastAsia="Times New Roman"/>
        </w:rPr>
      </w:pPr>
      <w:r w:rsidRPr="00CD34A0">
        <w:rPr>
          <w:rFonts w:eastAsia="Times New Roman"/>
        </w:rPr>
        <w:t>La terza tabella riportata in nota integrativa elenca gli “</w:t>
      </w:r>
      <w:r w:rsidRPr="00CD34A0">
        <w:rPr>
          <w:rFonts w:eastAsia="Times New Roman"/>
          <w:b/>
        </w:rPr>
        <w:t>Altri soggetti</w:t>
      </w:r>
      <w:r w:rsidRPr="00CD34A0">
        <w:rPr>
          <w:rFonts w:eastAsia="Times New Roman"/>
        </w:rPr>
        <w:t xml:space="preserve">” di cui in questa sede si vuole sottolineare il </w:t>
      </w:r>
      <w:r w:rsidR="00B3428C">
        <w:rPr>
          <w:rFonts w:eastAsia="Times New Roman"/>
          <w:b/>
        </w:rPr>
        <w:t>significativo valore pari a</w:t>
      </w:r>
      <w:r w:rsidRPr="00CD34A0">
        <w:rPr>
          <w:rFonts w:eastAsia="Times New Roman"/>
        </w:rPr>
        <w:t xml:space="preserve"> </w:t>
      </w:r>
      <w:r w:rsidR="00B3428C">
        <w:rPr>
          <w:rFonts w:eastAsia="Times New Roman"/>
          <w:b/>
        </w:rPr>
        <w:t xml:space="preserve">€ </w:t>
      </w:r>
      <w:r w:rsidRPr="00CD34A0">
        <w:rPr>
          <w:rFonts w:eastAsia="Times New Roman"/>
          <w:b/>
        </w:rPr>
        <w:t>1.125.862.569</w:t>
      </w:r>
      <w:r w:rsidR="00B3428C">
        <w:rPr>
          <w:rFonts w:eastAsia="Times New Roman"/>
        </w:rPr>
        <w:t xml:space="preserve">. </w:t>
      </w:r>
      <w:r w:rsidRPr="00CD34A0">
        <w:rPr>
          <w:rFonts w:eastAsia="Times New Roman"/>
        </w:rPr>
        <w:t>“</w:t>
      </w:r>
      <w:r w:rsidRPr="00CD34A0">
        <w:rPr>
          <w:rFonts w:eastAsia="Times New Roman"/>
          <w:i/>
        </w:rPr>
        <w:t xml:space="preserve">Il loro valore si discosta dal valore </w:t>
      </w:r>
      <w:r w:rsidRPr="00CD34A0">
        <w:rPr>
          <w:rFonts w:eastAsia="Times New Roman"/>
          <w:i/>
        </w:rPr>
        <w:lastRenderedPageBreak/>
        <w:t xml:space="preserve">iscritto nel conto del patrimonio per effetto della presenza di nuovi elementi, </w:t>
      </w:r>
      <w:r w:rsidRPr="00CD34A0">
        <w:rPr>
          <w:rFonts w:eastAsia="Times New Roman"/>
          <w:b/>
          <w:i/>
        </w:rPr>
        <w:t>quale il patrimonio netto degli enti e delle agenzie, ed anche per aver considerato i valori del bilancio d’esercizio al 31.12.2015 delle società, in luogo dei bilanci e conti del patrimonio precedentemente utilizzati</w:t>
      </w:r>
      <w:r w:rsidRPr="00CD34A0">
        <w:rPr>
          <w:rFonts w:eastAsia="Times New Roman"/>
          <w:vertAlign w:val="superscript"/>
        </w:rPr>
        <w:footnoteReference w:id="217"/>
      </w:r>
      <w:r w:rsidRPr="00CD34A0">
        <w:rPr>
          <w:rFonts w:eastAsia="Times New Roman"/>
        </w:rPr>
        <w:t>”.</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color w:val="000000"/>
          <w:sz w:val="24"/>
          <w:szCs w:val="24"/>
        </w:rPr>
        <w:t xml:space="preserve">Relativamente alle </w:t>
      </w:r>
      <w:r w:rsidRPr="00CD34A0">
        <w:rPr>
          <w:rFonts w:ascii="Bodoni MT" w:eastAsia="Times New Roman" w:hAnsi="Bodoni MT" w:cs="Bodoni MT"/>
          <w:i/>
          <w:iCs/>
          <w:color w:val="000000"/>
          <w:sz w:val="24"/>
          <w:szCs w:val="24"/>
        </w:rPr>
        <w:t>Partecipazioni in altri soggetti</w:t>
      </w:r>
      <w:r w:rsidR="00B3428C">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fond</w:t>
      </w:r>
      <w:r w:rsidR="004469B5">
        <w:rPr>
          <w:rFonts w:ascii="Bodoni MT" w:eastAsia="Times New Roman" w:hAnsi="Bodoni MT" w:cs="Bodoni MT"/>
          <w:color w:val="000000"/>
          <w:sz w:val="24"/>
          <w:szCs w:val="24"/>
        </w:rPr>
        <w:t>azioni</w:t>
      </w:r>
      <w:r w:rsidR="00B3428C">
        <w:rPr>
          <w:rFonts w:ascii="Bodoni MT" w:eastAsia="Times New Roman" w:hAnsi="Bodoni MT" w:cs="Bodoni MT"/>
          <w:color w:val="000000"/>
          <w:sz w:val="24"/>
          <w:szCs w:val="24"/>
        </w:rPr>
        <w:t xml:space="preserve">, organismi consortili, </w:t>
      </w:r>
      <w:r w:rsidRPr="00CD34A0">
        <w:rPr>
          <w:rFonts w:ascii="Bodoni MT" w:eastAsia="Times New Roman" w:hAnsi="Bodoni MT" w:cs="Bodoni MT"/>
          <w:color w:val="000000"/>
          <w:sz w:val="24"/>
          <w:szCs w:val="24"/>
        </w:rPr>
        <w:t xml:space="preserve">enti strumentali) la Nota integrativa ha precisato che </w:t>
      </w:r>
      <w:r w:rsidRPr="00CD34A0">
        <w:rPr>
          <w:rFonts w:ascii="Bodoni MT" w:eastAsia="Times New Roman" w:hAnsi="Bodoni MT" w:cs="Bodoni MT"/>
          <w:i/>
          <w:color w:val="000000"/>
          <w:sz w:val="24"/>
          <w:szCs w:val="24"/>
        </w:rPr>
        <w:t>si è ritenuto di dover comprendere il valore degli enti e delle agenzie regionali poiché la titolarità è senz’altro riconducibile alla Regione</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b/>
          <w:i/>
          <w:color w:val="000000"/>
          <w:sz w:val="24"/>
          <w:szCs w:val="24"/>
        </w:rPr>
        <w:t>nonostante il fondo di dotazione non sia costituito da veri e propri titoli di capitale rappresentativi di diritti proprietari o di voto (azioni o quote)</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i/>
          <w:color w:val="000000"/>
          <w:sz w:val="24"/>
          <w:szCs w:val="24"/>
        </w:rPr>
        <w:t xml:space="preserve">Nella sostanza, il fondo di dotazione è assimilabile al capitale sociale. </w:t>
      </w:r>
      <w:r w:rsidRPr="00CD34A0">
        <w:rPr>
          <w:rFonts w:ascii="Bodoni MT" w:eastAsia="Times New Roman" w:hAnsi="Bodoni MT" w:cs="Bodoni MT"/>
          <w:b/>
          <w:i/>
          <w:color w:val="000000"/>
          <w:sz w:val="24"/>
          <w:szCs w:val="24"/>
        </w:rPr>
        <w:t>Tale impostazione è risultata condivisa nella Commissione Arconet</w:t>
      </w:r>
      <w:r w:rsidRPr="00CD34A0">
        <w:rPr>
          <w:rFonts w:ascii="Bodoni MT" w:eastAsia="Times New Roman" w:hAnsi="Bodoni MT" w:cs="Bodoni MT"/>
          <w:b/>
          <w:color w:val="000000"/>
          <w:sz w:val="24"/>
          <w:szCs w:val="24"/>
        </w:rPr>
        <w:t>.</w:t>
      </w:r>
    </w:p>
    <w:p w:rsidR="00AF6918" w:rsidRPr="00AF6918" w:rsidRDefault="00AF6918" w:rsidP="00CD34A0">
      <w:pPr>
        <w:tabs>
          <w:tab w:val="left" w:pos="284"/>
          <w:tab w:val="left" w:pos="426"/>
        </w:tabs>
        <w:autoSpaceDE w:val="0"/>
        <w:autoSpaceDN w:val="0"/>
        <w:adjustRightInd w:val="0"/>
        <w:spacing w:after="120" w:line="360" w:lineRule="auto"/>
        <w:jc w:val="both"/>
        <w:textAlignment w:val="center"/>
        <w:rPr>
          <w:rStyle w:val="CdcTestoCarattere"/>
        </w:rPr>
      </w:pPr>
      <w:r>
        <w:rPr>
          <w:rFonts w:ascii="Bodoni MT" w:eastAsia="Times New Roman" w:hAnsi="Bodoni MT" w:cs="Bodoni MT"/>
          <w:color w:val="000000"/>
          <w:sz w:val="24"/>
          <w:szCs w:val="24"/>
        </w:rPr>
        <w:t xml:space="preserve">Con riguardo alla </w:t>
      </w:r>
      <w:r w:rsidRPr="00AF6918">
        <w:rPr>
          <w:rStyle w:val="CdcTestoCarattere"/>
        </w:rPr>
        <w:t xml:space="preserve">inclusione degli Enti strumentali e </w:t>
      </w:r>
      <w:r>
        <w:rPr>
          <w:rStyle w:val="CdcTestoCarattere"/>
        </w:rPr>
        <w:t xml:space="preserve">delle </w:t>
      </w:r>
      <w:r w:rsidRPr="00AF6918">
        <w:rPr>
          <w:rStyle w:val="CdcTestoCarattere"/>
        </w:rPr>
        <w:t>Agenzie regionali nelle immobilizzazioni finanziarie dell’attivo nello Stato patrimoniale</w:t>
      </w:r>
      <w:r>
        <w:rPr>
          <w:rStyle w:val="CdcTestoCarattere"/>
        </w:rPr>
        <w:t>,</w:t>
      </w:r>
      <w:r w:rsidRPr="00AF6918">
        <w:rPr>
          <w:rFonts w:ascii="Bodoni MT" w:eastAsia="Times New Roman" w:hAnsi="Bodoni MT" w:cs="Bodoni MT"/>
          <w:color w:val="000000"/>
          <w:sz w:val="24"/>
          <w:szCs w:val="24"/>
        </w:rPr>
        <w:t xml:space="preserve"> </w:t>
      </w:r>
      <w:r>
        <w:rPr>
          <w:rFonts w:ascii="Bodoni MT" w:eastAsia="Times New Roman" w:hAnsi="Bodoni MT" w:cs="Bodoni MT"/>
          <w:color w:val="000000"/>
          <w:sz w:val="24"/>
          <w:szCs w:val="24"/>
        </w:rPr>
        <w:t>la Sezione esprime perplessità</w:t>
      </w:r>
      <w:r w:rsidR="008C5DDA">
        <w:rPr>
          <w:rStyle w:val="CdcTestoCarattere"/>
        </w:rPr>
        <w:t>.</w:t>
      </w:r>
      <w:r w:rsidRPr="00AF6918">
        <w:rPr>
          <w:rStyle w:val="CdcTestoCarattere"/>
        </w:rPr>
        <w:t xml:space="preserve"> </w:t>
      </w:r>
    </w:p>
    <w:p w:rsidR="00CD34A0" w:rsidRPr="00CD34A0" w:rsidRDefault="00B3428C" w:rsidP="00B3428C">
      <w:pPr>
        <w:pStyle w:val="Didascalia"/>
        <w:rPr>
          <w:rFonts w:eastAsia="Times New Roman" w:cs="Bodoni MT"/>
          <w:color w:val="000000"/>
          <w:sz w:val="24"/>
          <w:szCs w:val="24"/>
        </w:rPr>
      </w:pPr>
      <w:bookmarkStart w:id="370" w:name="_Toc507422576"/>
      <w:r>
        <w:t xml:space="preserve">Tabella </w:t>
      </w:r>
      <w:r w:rsidR="00B90472">
        <w:fldChar w:fldCharType="begin"/>
      </w:r>
      <w:r w:rsidR="00B90472">
        <w:instrText xml:space="preserve"> SEQ Tabella \* ARABIC </w:instrText>
      </w:r>
      <w:r w:rsidR="00B90472">
        <w:fldChar w:fldCharType="separate"/>
      </w:r>
      <w:r w:rsidR="008616B3">
        <w:rPr>
          <w:noProof/>
        </w:rPr>
        <w:t>108</w:t>
      </w:r>
      <w:r w:rsidR="00B90472">
        <w:rPr>
          <w:noProof/>
        </w:rPr>
        <w:fldChar w:fldCharType="end"/>
      </w:r>
      <w:r>
        <w:t xml:space="preserve"> – Altri soggetti</w:t>
      </w:r>
      <w:bookmarkEnd w:id="370"/>
    </w:p>
    <w:tbl>
      <w:tblPr>
        <w:tblW w:w="5000" w:type="pct"/>
        <w:jc w:val="center"/>
        <w:tblCellMar>
          <w:left w:w="70" w:type="dxa"/>
          <w:right w:w="70" w:type="dxa"/>
        </w:tblCellMar>
        <w:tblLook w:val="04A0" w:firstRow="1" w:lastRow="0" w:firstColumn="1" w:lastColumn="0" w:noHBand="0" w:noVBand="1"/>
      </w:tblPr>
      <w:tblGrid>
        <w:gridCol w:w="478"/>
        <w:gridCol w:w="4580"/>
        <w:gridCol w:w="1699"/>
        <w:gridCol w:w="1324"/>
        <w:gridCol w:w="1697"/>
      </w:tblGrid>
      <w:tr w:rsidR="00CD34A0" w:rsidRPr="00B3428C" w:rsidTr="00535EB3">
        <w:trPr>
          <w:trHeight w:val="594"/>
          <w:jc w:val="center"/>
        </w:trPr>
        <w:tc>
          <w:tcPr>
            <w:tcW w:w="244" w:type="pct"/>
            <w:tcBorders>
              <w:top w:val="single" w:sz="4" w:space="0" w:color="auto"/>
              <w:left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rPr>
                <w:rFonts w:ascii="Bodoni MT" w:eastAsia="Times New Roman" w:hAnsi="Bodoni MT" w:cs="Times New Roman"/>
                <w:b/>
                <w:bCs/>
                <w:iCs/>
                <w:sz w:val="20"/>
                <w:szCs w:val="20"/>
                <w:lang w:eastAsia="it-IT"/>
              </w:rPr>
            </w:pPr>
            <w:r w:rsidRPr="00B3428C">
              <w:rPr>
                <w:rFonts w:ascii="Bodoni MT" w:eastAsia="Times New Roman" w:hAnsi="Bodoni MT" w:cs="Times New Roman"/>
                <w:b/>
                <w:bCs/>
                <w:iCs/>
                <w:sz w:val="20"/>
                <w:szCs w:val="20"/>
                <w:lang w:eastAsia="it-IT"/>
              </w:rPr>
              <w:t>N.</w:t>
            </w:r>
          </w:p>
        </w:tc>
        <w:tc>
          <w:tcPr>
            <w:tcW w:w="2342"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b/>
                <w:bCs/>
                <w:iCs/>
                <w:sz w:val="20"/>
                <w:szCs w:val="20"/>
                <w:lang w:eastAsia="it-IT"/>
              </w:rPr>
            </w:pPr>
            <w:r w:rsidRPr="00B3428C">
              <w:rPr>
                <w:rFonts w:ascii="Bodoni MT" w:eastAsia="Times New Roman" w:hAnsi="Bodoni MT" w:cs="Times New Roman"/>
                <w:b/>
                <w:bCs/>
                <w:iCs/>
                <w:sz w:val="20"/>
                <w:szCs w:val="20"/>
                <w:lang w:eastAsia="it-IT"/>
              </w:rPr>
              <w:t>ALTRI SOGGETTI</w:t>
            </w:r>
          </w:p>
        </w:tc>
        <w:tc>
          <w:tcPr>
            <w:tcW w:w="869"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535EB3" w:rsidP="00CD34A0">
            <w:pPr>
              <w:spacing w:after="0" w:line="240" w:lineRule="auto"/>
              <w:jc w:val="center"/>
              <w:rPr>
                <w:rFonts w:ascii="Bodoni MT" w:eastAsia="Times New Roman" w:hAnsi="Bodoni MT" w:cs="Times New Roman"/>
                <w:color w:val="000000"/>
                <w:sz w:val="20"/>
                <w:szCs w:val="20"/>
                <w:lang w:eastAsia="it-IT"/>
              </w:rPr>
            </w:pPr>
            <w:r>
              <w:rPr>
                <w:rFonts w:ascii="Bodoni MT" w:eastAsia="Times New Roman" w:hAnsi="Bodoni MT" w:cs="Times New Roman"/>
                <w:b/>
                <w:bCs/>
                <w:iCs/>
                <w:sz w:val="20"/>
                <w:szCs w:val="20"/>
                <w:lang w:eastAsia="it-IT"/>
              </w:rPr>
              <w:t>Capitale 31/12/</w:t>
            </w:r>
            <w:r w:rsidR="00CD34A0" w:rsidRPr="00B3428C">
              <w:rPr>
                <w:rFonts w:ascii="Bodoni MT" w:eastAsia="Times New Roman" w:hAnsi="Bodoni MT" w:cs="Times New Roman"/>
                <w:b/>
                <w:bCs/>
                <w:iCs/>
                <w:sz w:val="20"/>
                <w:szCs w:val="20"/>
                <w:lang w:eastAsia="it-IT"/>
              </w:rPr>
              <w:t>2016</w:t>
            </w:r>
          </w:p>
        </w:tc>
        <w:tc>
          <w:tcPr>
            <w:tcW w:w="677"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color w:val="000000"/>
                <w:sz w:val="20"/>
                <w:szCs w:val="20"/>
                <w:lang w:eastAsia="it-IT"/>
              </w:rPr>
            </w:pPr>
            <w:r w:rsidRPr="00B3428C">
              <w:rPr>
                <w:rFonts w:ascii="Bodoni MT" w:eastAsia="Times New Roman" w:hAnsi="Bodoni MT" w:cs="Times New Roman"/>
                <w:b/>
                <w:bCs/>
                <w:iCs/>
                <w:sz w:val="20"/>
                <w:szCs w:val="20"/>
                <w:lang w:eastAsia="it-IT"/>
              </w:rPr>
              <w:t>% Ras 31.12.</w:t>
            </w:r>
            <w:r w:rsidRPr="00B3428C">
              <w:rPr>
                <w:rFonts w:ascii="Bodoni MT" w:eastAsia="Times New Roman" w:hAnsi="Bodoni MT" w:cs="Times New Roman"/>
                <w:b/>
                <w:bCs/>
                <w:iCs/>
                <w:sz w:val="20"/>
                <w:szCs w:val="20"/>
                <w:lang w:eastAsia="it-IT"/>
              </w:rPr>
              <w:br/>
              <w:t>2016</w:t>
            </w:r>
          </w:p>
        </w:tc>
        <w:tc>
          <w:tcPr>
            <w:tcW w:w="868"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B3428C" w:rsidRDefault="00CD34A0" w:rsidP="00CD34A0">
            <w:pPr>
              <w:spacing w:after="0" w:line="240" w:lineRule="auto"/>
              <w:jc w:val="center"/>
              <w:rPr>
                <w:rFonts w:ascii="Bodoni MT" w:eastAsia="Times New Roman" w:hAnsi="Bodoni MT" w:cs="Times New Roman"/>
                <w:color w:val="000000"/>
                <w:sz w:val="20"/>
                <w:szCs w:val="20"/>
                <w:lang w:eastAsia="it-IT"/>
              </w:rPr>
            </w:pPr>
            <w:r w:rsidRPr="00B3428C">
              <w:rPr>
                <w:rFonts w:ascii="Bodoni MT" w:eastAsia="Times New Roman" w:hAnsi="Bodoni MT" w:cs="Times New Roman"/>
                <w:b/>
                <w:bCs/>
                <w:iCs/>
                <w:sz w:val="20"/>
                <w:szCs w:val="20"/>
                <w:lang w:eastAsia="it-IT"/>
              </w:rPr>
              <w:t>Valore 31/12/16</w:t>
            </w:r>
          </w:p>
        </w:tc>
      </w:tr>
      <w:tr w:rsidR="00CD34A0" w:rsidRPr="00CD34A0" w:rsidTr="00535EB3">
        <w:trPr>
          <w:trHeight w:val="270"/>
          <w:jc w:val="center"/>
        </w:trPr>
        <w:tc>
          <w:tcPr>
            <w:tcW w:w="244" w:type="pct"/>
            <w:tcBorders>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24</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Agrosarda Scarl in Liquidazione</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103.288</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0</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25</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Consorzio 3C Scrl Liq.ne coatta amm.</w:t>
            </w:r>
          </w:p>
        </w:tc>
        <w:tc>
          <w:tcPr>
            <w:tcW w:w="869" w:type="pct"/>
            <w:tcBorders>
              <w:top w:val="nil"/>
              <w:left w:val="nil"/>
              <w:bottom w:val="single" w:sz="4" w:space="0" w:color="auto"/>
              <w:right w:val="single" w:sz="4" w:space="0" w:color="auto"/>
            </w:tcBorders>
            <w:shd w:val="clear" w:color="auto" w:fill="auto"/>
            <w:vAlign w:val="center"/>
            <w:hideMark/>
          </w:tcPr>
          <w:p w:rsidR="00CD34A0" w:rsidRPr="00B3428C" w:rsidRDefault="00CD34A0" w:rsidP="00CD34A0">
            <w:pPr>
              <w:spacing w:after="0" w:line="240" w:lineRule="auto"/>
              <w:jc w:val="right"/>
              <w:rPr>
                <w:rFonts w:eastAsia="Times New Roman" w:cs="Times New Roman"/>
                <w:color w:val="000000"/>
                <w:sz w:val="20"/>
                <w:szCs w:val="20"/>
                <w:lang w:eastAsia="it-IT"/>
              </w:rPr>
            </w:pP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0</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26</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Fond.ne Sardegna film commiss.</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85.000</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626.433</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27</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Fond.ne Teatro lirico di Cagliari</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10.205.656</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19,75</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2.339.721</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28</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Agris</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56.809.469</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56.809.469</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29</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Area</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732.151.769</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732.151.769</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30</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Argea</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46.709.167</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46.709.167</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31</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Arpas</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11.040.148</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11.040.148</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32</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Aspal</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55.345.749</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55.345.749</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33</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Conservatoria delle coste</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7.205.243</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7.205.243</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34</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Enas</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6.581.642</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6.581.642</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35</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Ersu Cagliari</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61.841.127</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61.841.127</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36</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Ersu Sassari</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31.624.022</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31.624.022</w:t>
            </w:r>
          </w:p>
        </w:tc>
      </w:tr>
      <w:tr w:rsidR="00CD34A0" w:rsidRPr="00CD34A0" w:rsidTr="00535EB3">
        <w:trPr>
          <w:trHeight w:val="199"/>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37</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Forestas</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57.511.476</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57.511.476</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38</w:t>
            </w:r>
          </w:p>
        </w:tc>
        <w:tc>
          <w:tcPr>
            <w:tcW w:w="2342" w:type="pct"/>
            <w:tcBorders>
              <w:top w:val="nil"/>
              <w:left w:val="nil"/>
              <w:bottom w:val="single" w:sz="4" w:space="0" w:color="auto"/>
              <w:right w:val="single" w:sz="4" w:space="0" w:color="auto"/>
            </w:tcBorders>
            <w:shd w:val="clear" w:color="auto" w:fill="95B3D7" w:themeFill="accent1" w:themeFillTint="99"/>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Isre</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27.076.178</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27.076.178</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39</w:t>
            </w:r>
          </w:p>
        </w:tc>
        <w:tc>
          <w:tcPr>
            <w:tcW w:w="2342" w:type="pct"/>
            <w:tcBorders>
              <w:top w:val="nil"/>
              <w:left w:val="nil"/>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Laore</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26.169.004</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26.169.004</w:t>
            </w:r>
          </w:p>
        </w:tc>
      </w:tr>
      <w:tr w:rsidR="00CD34A0" w:rsidRPr="00CD34A0" w:rsidTr="00535EB3">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40</w:t>
            </w:r>
          </w:p>
        </w:tc>
        <w:tc>
          <w:tcPr>
            <w:tcW w:w="2342" w:type="pct"/>
            <w:tcBorders>
              <w:top w:val="nil"/>
              <w:left w:val="nil"/>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Sardegna Ricerche</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2.831.421</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100,00</w:t>
            </w: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color w:val="000000"/>
                <w:sz w:val="20"/>
                <w:szCs w:val="20"/>
                <w:lang w:eastAsia="it-IT"/>
              </w:rPr>
            </w:pPr>
            <w:r w:rsidRPr="00B3428C">
              <w:rPr>
                <w:rFonts w:eastAsia="Times New Roman" w:cs="Times New Roman"/>
                <w:color w:val="000000"/>
                <w:sz w:val="20"/>
                <w:szCs w:val="20"/>
                <w:lang w:eastAsia="it-IT"/>
              </w:rPr>
              <w:t>2.831.421</w:t>
            </w:r>
          </w:p>
        </w:tc>
      </w:tr>
      <w:tr w:rsidR="00CD34A0" w:rsidRPr="00CD34A0" w:rsidTr="00076311">
        <w:trPr>
          <w:trHeight w:val="270"/>
          <w:jc w:val="center"/>
        </w:trPr>
        <w:tc>
          <w:tcPr>
            <w:tcW w:w="244"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B3428C"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B3428C">
              <w:rPr>
                <w:rFonts w:ascii="Bodoni MT" w:eastAsia="Times New Roman" w:hAnsi="Bodoni MT" w:cs="Times New Roman"/>
                <w:color w:val="FFFFFF" w:themeColor="background1"/>
                <w:sz w:val="20"/>
                <w:szCs w:val="20"/>
                <w:lang w:eastAsia="it-IT"/>
              </w:rPr>
              <w:t> </w:t>
            </w:r>
          </w:p>
        </w:tc>
        <w:tc>
          <w:tcPr>
            <w:tcW w:w="2342" w:type="pct"/>
            <w:tcBorders>
              <w:top w:val="nil"/>
              <w:left w:val="nil"/>
              <w:bottom w:val="single" w:sz="4" w:space="0" w:color="auto"/>
              <w:right w:val="single" w:sz="4" w:space="0" w:color="auto"/>
            </w:tcBorders>
            <w:shd w:val="clear" w:color="auto" w:fill="95B3D7" w:themeFill="accent1" w:themeFillTint="99"/>
            <w:noWrap/>
            <w:vAlign w:val="center"/>
            <w:hideMark/>
          </w:tcPr>
          <w:p w:rsidR="00CD34A0" w:rsidRPr="00B3428C" w:rsidRDefault="00CD34A0" w:rsidP="00076311">
            <w:pPr>
              <w:spacing w:after="0" w:line="240" w:lineRule="auto"/>
              <w:rPr>
                <w:rFonts w:ascii="Bodoni MT" w:eastAsia="Times New Roman" w:hAnsi="Bodoni MT" w:cs="Times New Roman"/>
                <w:b/>
                <w:bCs/>
                <w:color w:val="FFFFFF" w:themeColor="background1"/>
                <w:sz w:val="20"/>
                <w:szCs w:val="20"/>
                <w:lang w:eastAsia="it-IT"/>
              </w:rPr>
            </w:pPr>
            <w:r w:rsidRPr="00B3428C">
              <w:rPr>
                <w:rFonts w:ascii="Bodoni MT" w:eastAsia="Times New Roman" w:hAnsi="Bodoni MT" w:cs="Times New Roman"/>
                <w:b/>
                <w:bCs/>
                <w:color w:val="FFFFFF" w:themeColor="background1"/>
                <w:sz w:val="20"/>
                <w:szCs w:val="20"/>
                <w:lang w:eastAsia="it-IT"/>
              </w:rPr>
              <w:t>Totale altri soggetti</w:t>
            </w:r>
          </w:p>
        </w:tc>
        <w:tc>
          <w:tcPr>
            <w:tcW w:w="869"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b/>
                <w:bCs/>
                <w:color w:val="000000"/>
                <w:sz w:val="20"/>
                <w:szCs w:val="20"/>
                <w:lang w:eastAsia="it-IT"/>
              </w:rPr>
            </w:pPr>
            <w:r w:rsidRPr="00B3428C">
              <w:rPr>
                <w:rFonts w:eastAsia="Times New Roman" w:cs="Times New Roman"/>
                <w:b/>
                <w:bCs/>
                <w:color w:val="000000"/>
                <w:sz w:val="20"/>
                <w:szCs w:val="20"/>
                <w:lang w:eastAsia="it-IT"/>
              </w:rPr>
              <w:t>1.133.290.359</w:t>
            </w:r>
          </w:p>
        </w:tc>
        <w:tc>
          <w:tcPr>
            <w:tcW w:w="677"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b/>
                <w:bCs/>
                <w:color w:val="000000"/>
                <w:sz w:val="20"/>
                <w:szCs w:val="20"/>
                <w:lang w:eastAsia="it-IT"/>
              </w:rPr>
            </w:pPr>
          </w:p>
        </w:tc>
        <w:tc>
          <w:tcPr>
            <w:tcW w:w="868" w:type="pct"/>
            <w:tcBorders>
              <w:top w:val="nil"/>
              <w:left w:val="nil"/>
              <w:bottom w:val="single" w:sz="4" w:space="0" w:color="auto"/>
              <w:right w:val="single" w:sz="4" w:space="0" w:color="auto"/>
            </w:tcBorders>
            <w:shd w:val="clear" w:color="auto" w:fill="auto"/>
            <w:noWrap/>
            <w:hideMark/>
          </w:tcPr>
          <w:p w:rsidR="00CD34A0" w:rsidRPr="00B3428C" w:rsidRDefault="00CD34A0" w:rsidP="00CD34A0">
            <w:pPr>
              <w:spacing w:after="0" w:line="240" w:lineRule="auto"/>
              <w:jc w:val="right"/>
              <w:rPr>
                <w:rFonts w:eastAsia="Times New Roman" w:cs="Times New Roman"/>
                <w:b/>
                <w:bCs/>
                <w:color w:val="000000"/>
                <w:sz w:val="20"/>
                <w:szCs w:val="20"/>
                <w:lang w:eastAsia="it-IT"/>
              </w:rPr>
            </w:pPr>
            <w:r w:rsidRPr="00B3428C">
              <w:rPr>
                <w:rFonts w:eastAsia="Times New Roman" w:cs="Times New Roman"/>
                <w:b/>
                <w:bCs/>
                <w:color w:val="000000"/>
                <w:sz w:val="20"/>
                <w:szCs w:val="20"/>
                <w:lang w:eastAsia="it-IT"/>
              </w:rPr>
              <w:t>1.125.862.569</w:t>
            </w:r>
          </w:p>
        </w:tc>
      </w:tr>
    </w:tbl>
    <w:p w:rsidR="00CD34A0" w:rsidRPr="00B3428C" w:rsidRDefault="00CD34A0" w:rsidP="00B3428C">
      <w:pPr>
        <w:tabs>
          <w:tab w:val="left" w:pos="284"/>
          <w:tab w:val="left" w:pos="426"/>
        </w:tabs>
        <w:autoSpaceDE w:val="0"/>
        <w:autoSpaceDN w:val="0"/>
        <w:adjustRightInd w:val="0"/>
        <w:spacing w:after="120" w:line="360" w:lineRule="auto"/>
        <w:textAlignment w:val="center"/>
        <w:rPr>
          <w:rFonts w:ascii="Bodoni MT" w:eastAsia="Times New Roman" w:hAnsi="Bodoni MT" w:cs="Bodoni MT"/>
          <w:b/>
          <w:color w:val="000000"/>
          <w:sz w:val="24"/>
          <w:szCs w:val="24"/>
        </w:rPr>
      </w:pPr>
      <w:r w:rsidRPr="00B3428C">
        <w:rPr>
          <w:rFonts w:ascii="Bodoni MT" w:eastAsia="Times New Roman" w:hAnsi="Bodoni MT" w:cs="Bodoni MT"/>
          <w:color w:val="000000"/>
          <w:sz w:val="18"/>
          <w:szCs w:val="18"/>
        </w:rPr>
        <w:t>Fonte RAS Rendiconto sulla gestione 2016 – Allegato 3.1</w:t>
      </w:r>
    </w:p>
    <w:p w:rsidR="00CD34A0" w:rsidRPr="00CD34A0" w:rsidRDefault="00CD34A0" w:rsidP="00B3428C">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Non è stato inserito tra le Immobilizzazioni finanziarie il Patrimonio netto delle </w:t>
      </w:r>
      <w:r w:rsidRPr="00CD34A0">
        <w:rPr>
          <w:rFonts w:ascii="Bodoni MT" w:eastAsia="Times New Roman" w:hAnsi="Bodoni MT" w:cs="Bodoni MT"/>
          <w:b/>
          <w:color w:val="000000"/>
          <w:sz w:val="24"/>
          <w:szCs w:val="24"/>
        </w:rPr>
        <w:t>aziende sanitarie</w:t>
      </w:r>
      <w:r w:rsidRPr="00CD34A0">
        <w:rPr>
          <w:rFonts w:ascii="Bodoni MT" w:eastAsia="Times New Roman" w:hAnsi="Bodoni MT" w:cs="Bodoni MT"/>
          <w:color w:val="000000"/>
          <w:sz w:val="24"/>
          <w:szCs w:val="24"/>
        </w:rPr>
        <w:t xml:space="preserve"> ed </w:t>
      </w:r>
      <w:r w:rsidRPr="00CD34A0">
        <w:rPr>
          <w:rFonts w:ascii="Bodoni MT" w:eastAsia="Times New Roman" w:hAnsi="Bodoni MT" w:cs="Bodoni MT"/>
          <w:b/>
          <w:color w:val="000000"/>
          <w:sz w:val="24"/>
          <w:szCs w:val="24"/>
        </w:rPr>
        <w:t>ospedaliere della Regione</w:t>
      </w:r>
      <w:r w:rsidRPr="00CD34A0">
        <w:rPr>
          <w:rFonts w:ascii="Bodoni MT" w:eastAsia="Times New Roman" w:hAnsi="Bodoni MT" w:cs="Bodoni MT"/>
          <w:color w:val="000000"/>
          <w:sz w:val="24"/>
          <w:szCs w:val="24"/>
        </w:rPr>
        <w:t xml:space="preserve">. La motivazione di tale scelta si riconduce al fatto che </w:t>
      </w:r>
      <w:r w:rsidRPr="00CD34A0">
        <w:rPr>
          <w:rFonts w:ascii="Bodoni MT" w:eastAsia="Times New Roman" w:hAnsi="Bodoni MT" w:cs="Bodoni MT"/>
          <w:i/>
          <w:color w:val="000000"/>
          <w:sz w:val="24"/>
          <w:szCs w:val="24"/>
        </w:rPr>
        <w:t xml:space="preserve">il </w:t>
      </w:r>
      <w:r w:rsidRPr="00CD34A0">
        <w:rPr>
          <w:rFonts w:ascii="Bodoni MT" w:eastAsia="Times New Roman" w:hAnsi="Bodoni MT" w:cs="Bodoni MT"/>
          <w:i/>
          <w:color w:val="000000"/>
          <w:sz w:val="24"/>
          <w:szCs w:val="24"/>
        </w:rPr>
        <w:lastRenderedPageBreak/>
        <w:t>Titolo II del D.Lgs.</w:t>
      </w:r>
      <w:r w:rsidR="00875006">
        <w:rPr>
          <w:rFonts w:ascii="Bodoni MT" w:eastAsia="Times New Roman" w:hAnsi="Bodoni MT" w:cs="Bodoni MT"/>
          <w:i/>
          <w:color w:val="000000"/>
          <w:sz w:val="24"/>
          <w:szCs w:val="24"/>
        </w:rPr>
        <w:t xml:space="preserve"> </w:t>
      </w:r>
      <w:r w:rsidRPr="00CD34A0">
        <w:rPr>
          <w:rFonts w:ascii="Bodoni MT" w:eastAsia="Times New Roman" w:hAnsi="Bodoni MT" w:cs="Bodoni MT"/>
          <w:i/>
          <w:color w:val="000000"/>
          <w:sz w:val="24"/>
          <w:szCs w:val="24"/>
        </w:rPr>
        <w:t>n.</w:t>
      </w:r>
      <w:r w:rsidR="00875006">
        <w:rPr>
          <w:rFonts w:ascii="Bodoni MT" w:eastAsia="Times New Roman" w:hAnsi="Bodoni MT" w:cs="Bodoni MT"/>
          <w:i/>
          <w:color w:val="000000"/>
          <w:sz w:val="24"/>
          <w:szCs w:val="24"/>
        </w:rPr>
        <w:t xml:space="preserve"> </w:t>
      </w:r>
      <w:r w:rsidRPr="00CD34A0">
        <w:rPr>
          <w:rFonts w:ascii="Bodoni MT" w:eastAsia="Times New Roman" w:hAnsi="Bodoni MT" w:cs="Bodoni MT"/>
          <w:i/>
          <w:color w:val="000000"/>
          <w:sz w:val="24"/>
          <w:szCs w:val="24"/>
        </w:rPr>
        <w:t>118/2011 ha espressamente disciplinato la loro contabilità e previsto il consolidamento dei bilanci in via separata da quello dell’amministrazione regionale, determinando pertanto due grandezze contabili distinte</w:t>
      </w:r>
      <w:r w:rsidRPr="00CD34A0">
        <w:rPr>
          <w:rFonts w:ascii="Bodoni MT" w:eastAsia="Times New Roman" w:hAnsi="Bodoni MT" w:cs="Bodoni MT"/>
          <w:color w:val="000000"/>
          <w:sz w:val="24"/>
          <w:szCs w:val="24"/>
        </w:rPr>
        <w:t xml:space="preserve">. Pertanto, si dovrà considerare il fatto che il patrimonio netto delle aziende sanitarie non figura nelle </w:t>
      </w:r>
      <w:r w:rsidRPr="00CD34A0">
        <w:rPr>
          <w:rFonts w:ascii="Bodoni MT" w:eastAsia="Times New Roman" w:hAnsi="Bodoni MT" w:cs="Bodoni MT"/>
          <w:i/>
          <w:iCs/>
          <w:color w:val="000000"/>
          <w:sz w:val="24"/>
          <w:szCs w:val="24"/>
        </w:rPr>
        <w:t>Immobilizzazioni finanziarie</w:t>
      </w:r>
      <w:r w:rsidRPr="00CD34A0">
        <w:rPr>
          <w:rFonts w:ascii="Bodoni MT" w:eastAsia="Times New Roman" w:hAnsi="Bodoni MT" w:cs="Bodoni MT"/>
          <w:color w:val="000000"/>
          <w:sz w:val="24"/>
          <w:szCs w:val="24"/>
        </w:rPr>
        <w:t xml:space="preserve">, mentre nello stato patrimoniale e nel conto economico figurano i rapporti finanziari ed economici in essere con tali entità. Di conseguenza i valori non rilevano per la valutazione dell’attivo ma si riflettono, invece, nella valutazione del passivo (alla voce “fondi per rischi ed oneri”). La Nota chiarisce che </w:t>
      </w:r>
      <w:r w:rsidRPr="00CD34A0">
        <w:rPr>
          <w:rFonts w:ascii="Bodoni MT" w:eastAsia="Times New Roman" w:hAnsi="Bodoni MT" w:cs="Bodoni MT"/>
          <w:i/>
          <w:color w:val="000000"/>
          <w:sz w:val="24"/>
          <w:szCs w:val="24"/>
        </w:rPr>
        <w:t>con riferimento alle perdite delle aziende sanitarie dell’esercizio 2016 (ed anche quelle del 2015 non ancora coperte al 31.12.2016), si è ritenuto di dover iscrivere un accantonamento al fondo per rischi e oneri di pari importo</w:t>
      </w:r>
      <w:r w:rsidRPr="00CD34A0">
        <w:rPr>
          <w:rFonts w:ascii="Bodoni MT" w:eastAsia="Times New Roman" w:hAnsi="Bodoni MT" w:cs="Bodoni MT"/>
          <w:color w:val="000000"/>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Tra le immobilizzazioni finanziarie non è stato considerato il </w:t>
      </w:r>
      <w:r w:rsidRPr="00CD34A0">
        <w:rPr>
          <w:rFonts w:ascii="Bodoni MT" w:eastAsia="Times New Roman" w:hAnsi="Bodoni MT" w:cs="Bodoni MT"/>
          <w:b/>
          <w:color w:val="000000"/>
          <w:sz w:val="24"/>
          <w:szCs w:val="24"/>
        </w:rPr>
        <w:t>Consiglio Regionale</w:t>
      </w:r>
      <w:r w:rsidRPr="00CD34A0">
        <w:rPr>
          <w:rFonts w:ascii="Bodoni MT" w:eastAsia="Times New Roman" w:hAnsi="Bodoni MT" w:cs="Bodoni MT"/>
          <w:color w:val="000000"/>
          <w:sz w:val="24"/>
          <w:szCs w:val="24"/>
        </w:rPr>
        <w:t>, nei cui confronti si procederà al consolidamento del bilancio ai sensi dell’art.</w:t>
      </w:r>
      <w:r w:rsidR="00875006">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11-bis del D.Lgs.</w:t>
      </w:r>
      <w:r w:rsidR="00875006">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n.</w:t>
      </w:r>
      <w:r w:rsidR="00875006">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118/2011.</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Le tavole seguenti riportano il dettaglio della movimentazione delle partecipazioni con le variazioni subite nell’esercizio</w:t>
      </w:r>
      <w:r w:rsidRPr="00CD34A0">
        <w:rPr>
          <w:rFonts w:ascii="Bodoni MT" w:eastAsia="Times New Roman" w:hAnsi="Bodoni MT" w:cs="Bodoni MT"/>
          <w:color w:val="000000"/>
          <w:sz w:val="24"/>
          <w:szCs w:val="24"/>
        </w:rPr>
        <w:t xml:space="preserve">. La Nota integrativa ha evidenziato che </w:t>
      </w:r>
      <w:r w:rsidRPr="00CD34A0">
        <w:rPr>
          <w:rFonts w:ascii="Bodoni MT" w:eastAsia="Times New Roman" w:hAnsi="Bodoni MT" w:cs="Bodoni MT"/>
          <w:i/>
          <w:color w:val="000000"/>
          <w:sz w:val="24"/>
          <w:szCs w:val="24"/>
        </w:rPr>
        <w:t>in alcuni casi, le società non hanno reso disponibili i bilanci dell’esercizio 2016 e neppure progetti in corso d’approvazione (Arst Spa e Saremar Spa in Concordato preventivo), pertanto la valutazione della partecipazione al 31.12.2016 coincide con quella al 31.12.2015</w:t>
      </w:r>
      <w:r w:rsidRPr="00CD34A0">
        <w:rPr>
          <w:rFonts w:ascii="Bodoni MT" w:eastAsia="Times New Roman" w:hAnsi="Bodoni MT" w:cs="Bodoni MT"/>
          <w:color w:val="000000"/>
          <w:sz w:val="24"/>
          <w:szCs w:val="24"/>
        </w:rPr>
        <w:t>. In tal caso, nella tavola, il risultato d’esercizio ed il patrimonio netto sono indicati a zero euro.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Con riferimento agli enti ed alle agenzie regionali, nelle more della predisposizione del bilancio d’esercizio dell’esercizio 2016, è stato considerato unicamente quello dell’Ersu di Sassari.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Per le entità che presentano un patrimonio netto negativo, come chiarito in precedenza, la partecipazione è stata iscritta al valore di 0 euro.</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In presenza di deficit delle società, è stato considerato un fondo per rischi ed oneri di importo pari al deficit stesso.</w:t>
      </w:r>
    </w:p>
    <w:p w:rsidR="008C5DDA" w:rsidRPr="008C5DDA" w:rsidRDefault="008C5DDA" w:rsidP="007800B4">
      <w:pPr>
        <w:pStyle w:val="Titolo4"/>
        <w:tabs>
          <w:tab w:val="left" w:pos="142"/>
          <w:tab w:val="left" w:pos="284"/>
          <w:tab w:val="left" w:pos="1134"/>
        </w:tabs>
        <w:ind w:left="851"/>
      </w:pPr>
      <w:bookmarkStart w:id="371" w:name="_Toc507422698"/>
      <w:r w:rsidRPr="008C5DDA">
        <w:t>Le immobilizzazioni finanziarie</w:t>
      </w:r>
      <w:bookmarkEnd w:id="371"/>
    </w:p>
    <w:p w:rsidR="008C5DDA" w:rsidRPr="008C5DDA" w:rsidRDefault="008C5DDA" w:rsidP="008C5DDA">
      <w:pPr>
        <w:pStyle w:val="CdcTesto"/>
        <w:rPr>
          <w:rFonts w:eastAsia="Calibri"/>
        </w:rPr>
      </w:pPr>
      <w:r w:rsidRPr="008C5DDA">
        <w:rPr>
          <w:rFonts w:eastAsia="Calibri"/>
        </w:rPr>
        <w:t>La Regione Sardegna ha rinviato al 2016 l’adozione di tutti i provvedimenti deputati alla predisposizione dello stato patrimoniale e del conto economico e ha posto in essere anche gli atti propedeutici alla predisposizione del bilancio consolidato, procedendo alla “</w:t>
      </w:r>
      <w:r w:rsidRPr="008C5DDA">
        <w:rPr>
          <w:rFonts w:eastAsia="Calibri"/>
          <w:i/>
        </w:rPr>
        <w:t xml:space="preserve">definizione </w:t>
      </w:r>
      <w:r w:rsidRPr="008C5DDA">
        <w:rPr>
          <w:rFonts w:eastAsia="Calibri"/>
          <w:i/>
        </w:rPr>
        <w:lastRenderedPageBreak/>
        <w:t>provvisoria degli elenchi di cui all’Allegato 4/4, al Gruppo Amministrazione pubblica Regione Sardegna e al Gruppo bilancio consolidato</w:t>
      </w:r>
      <w:r w:rsidRPr="008C5DDA">
        <w:rPr>
          <w:rFonts w:eastAsia="Calibri"/>
        </w:rPr>
        <w:t>”</w:t>
      </w:r>
      <w:r w:rsidRPr="008C5DDA">
        <w:rPr>
          <w:rFonts w:eastAsia="Calibri"/>
          <w:vertAlign w:val="superscript"/>
        </w:rPr>
        <w:footnoteReference w:id="218"/>
      </w:r>
      <w:r w:rsidRPr="008C5DDA">
        <w:rPr>
          <w:rFonts w:eastAsia="Calibri"/>
        </w:rPr>
        <w:t>.</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Nella </w:t>
      </w:r>
      <w:r w:rsidR="007800B4" w:rsidRPr="008C5DDA">
        <w:rPr>
          <w:rFonts w:ascii="Bodoni MT" w:eastAsia="Calibri" w:hAnsi="Bodoni MT" w:cs="Times New Roman"/>
          <w:sz w:val="24"/>
          <w:szCs w:val="24"/>
        </w:rPr>
        <w:t xml:space="preserve">Nota Integrativa </w:t>
      </w:r>
      <w:r w:rsidRPr="008C5DDA">
        <w:rPr>
          <w:rFonts w:ascii="Bodoni MT" w:eastAsia="Calibri" w:hAnsi="Bodoni MT" w:cs="Times New Roman"/>
          <w:sz w:val="24"/>
          <w:szCs w:val="24"/>
        </w:rPr>
        <w:t>(allo stato patrimoniale e al conto economico) la Regione dichiara</w:t>
      </w:r>
      <w:r w:rsidRPr="008C5DDA">
        <w:rPr>
          <w:rFonts w:ascii="Bodoni MT" w:eastAsia="Calibri" w:hAnsi="Bodoni MT" w:cs="Times New Roman"/>
          <w:sz w:val="24"/>
          <w:szCs w:val="24"/>
          <w:vertAlign w:val="superscript"/>
        </w:rPr>
        <w:footnoteReference w:id="219"/>
      </w:r>
      <w:r w:rsidRPr="008C5DDA">
        <w:rPr>
          <w:rFonts w:ascii="Bodoni MT" w:eastAsia="Calibri" w:hAnsi="Bodoni MT" w:cs="Times New Roman"/>
          <w:sz w:val="24"/>
          <w:szCs w:val="24"/>
        </w:rPr>
        <w:t xml:space="preserve"> di aver redatto i documenti all’esame in conformità alle disposizioni del D.Lgs. 118/2011, effettuando le valutazioni degli elementi patrimoniali secondo i criteri dettati dal Principio contabile applicato 4/3, concernente la contabilità economico-patrimoniale.</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L’Ufficio istruttore ha espresso perplessità</w:t>
      </w:r>
      <w:r w:rsidRPr="008C5DDA">
        <w:rPr>
          <w:rFonts w:ascii="Bodoni MT" w:eastAsia="Calibri" w:hAnsi="Bodoni MT" w:cs="Times New Roman"/>
          <w:sz w:val="24"/>
          <w:szCs w:val="24"/>
          <w:vertAlign w:val="superscript"/>
        </w:rPr>
        <w:footnoteReference w:id="220"/>
      </w:r>
      <w:r w:rsidRPr="008C5DDA">
        <w:rPr>
          <w:rFonts w:ascii="Bodoni MT" w:eastAsia="Calibri" w:hAnsi="Bodoni MT" w:cs="Times New Roman"/>
          <w:sz w:val="24"/>
          <w:szCs w:val="24"/>
        </w:rPr>
        <w:t xml:space="preserve"> circa l’inclusione degli enti strumentali e delle agenzie regionali nelle immobilizzazioni finanziarie dell’attivo patrimoniale, sussistendo dubbi in ordine alla assimilazione di tali soggetti rispetto a quelli di effettiva pertinenza patrimoniale della Regione, la quale consiste nella totale o parziale proprietà di quote di partecipazione.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Il principio vigente nel corso del 2016 (fino a maggio 2017) si limitava a prevedere che i criteri di iscrizione e valutazione per le partecipazioni non azionarie sono analoghi a quelli valevoli per le azioni.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La Regione in risposta alla richiesta istruttoria ha precisato di aver previsto l’inserimento delle </w:t>
      </w:r>
      <w:r w:rsidRPr="008C5DDA">
        <w:rPr>
          <w:rFonts w:ascii="Bodoni MT" w:eastAsia="Calibri" w:hAnsi="Bodoni MT" w:cs="Times New Roman"/>
          <w:i/>
          <w:sz w:val="24"/>
          <w:szCs w:val="24"/>
        </w:rPr>
        <w:t>partecipazioni in altri soggetti (fondazioni, organismi consortili, enti e agenzie regionali) in quanto la titolarità è senz’altro riconducibile alla Regione, nonostante il fondo di dotazione non sia costituito da veri e propri titoli di capitale rappresentativi di diritti proprietari o di voto (azioni o quote).</w:t>
      </w:r>
      <w:r w:rsidRPr="008C5DDA">
        <w:rPr>
          <w:rFonts w:ascii="Bodoni MT" w:eastAsia="Calibri" w:hAnsi="Bodoni MT" w:cs="Times New Roman"/>
          <w:sz w:val="24"/>
          <w:szCs w:val="24"/>
        </w:rPr>
        <w:t xml:space="preserve"> A tal fine si è ritenuto di dare applicazione al </w:t>
      </w:r>
      <w:r w:rsidRPr="008C5DDA">
        <w:rPr>
          <w:rFonts w:ascii="Bodoni MT" w:eastAsia="Calibri" w:hAnsi="Bodoni MT" w:cs="Times New Roman"/>
          <w:b/>
          <w:i/>
          <w:sz w:val="24"/>
          <w:szCs w:val="24"/>
        </w:rPr>
        <w:t>Principio contabile applicato per l’esercizio 2017</w:t>
      </w:r>
      <w:r w:rsidRPr="008C5DDA">
        <w:rPr>
          <w:rFonts w:ascii="Bodoni MT" w:eastAsia="Calibri" w:hAnsi="Bodoni MT" w:cs="Times New Roman"/>
          <w:i/>
          <w:sz w:val="24"/>
          <w:szCs w:val="24"/>
        </w:rPr>
        <w:t>, modificato con decreto ministeriale 18 maggio 2017.</w:t>
      </w:r>
      <w:r w:rsidRPr="008C5DDA">
        <w:rPr>
          <w:rFonts w:ascii="Bodoni MT" w:eastAsia="Calibri" w:hAnsi="Bodoni MT" w:cs="Times New Roman"/>
          <w:sz w:val="24"/>
          <w:szCs w:val="24"/>
        </w:rPr>
        <w:t xml:space="preserve">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b/>
          <w:sz w:val="24"/>
          <w:szCs w:val="24"/>
        </w:rPr>
        <w:t>Il criterio applicato dalla Regione (introdotto nel richiamato Principio 4/3 al punto 6.1.3 b), entrato in vigore dal 2 giugno 2017</w:t>
      </w:r>
      <w:r w:rsidRPr="008C5DDA">
        <w:rPr>
          <w:rFonts w:ascii="Bodoni MT" w:eastAsia="Calibri" w:hAnsi="Bodoni MT" w:cs="Times New Roman"/>
          <w:sz w:val="24"/>
          <w:szCs w:val="24"/>
        </w:rPr>
        <w:t>, aggiunge che anche le partecipazioni in enti, pubblici e privati, controllati e partecipati, sono valutate in base al metodo del patrimonio netto</w:t>
      </w:r>
      <w:r w:rsidRPr="008C5DDA">
        <w:rPr>
          <w:rFonts w:ascii="Bodoni MT" w:eastAsia="Calibri" w:hAnsi="Bodoni MT" w:cs="Times New Roman"/>
          <w:sz w:val="24"/>
          <w:szCs w:val="24"/>
          <w:vertAlign w:val="superscript"/>
        </w:rPr>
        <w:footnoteReference w:id="221"/>
      </w:r>
      <w:r w:rsidRPr="008C5DDA">
        <w:rPr>
          <w:rFonts w:ascii="Bodoni MT" w:eastAsia="Calibri" w:hAnsi="Bodoni MT" w:cs="Times New Roman"/>
          <w:sz w:val="24"/>
          <w:szCs w:val="24"/>
        </w:rPr>
        <w:t xml:space="preserve">.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La Regione chiarisce</w:t>
      </w:r>
      <w:r w:rsidRPr="008C5DDA">
        <w:rPr>
          <w:rFonts w:ascii="Bodoni MT" w:eastAsia="Calibri" w:hAnsi="Bodoni MT" w:cs="Times New Roman"/>
          <w:sz w:val="24"/>
          <w:szCs w:val="24"/>
          <w:vertAlign w:val="superscript"/>
        </w:rPr>
        <w:footnoteReference w:id="222"/>
      </w:r>
      <w:r w:rsidRPr="008C5DDA">
        <w:rPr>
          <w:rFonts w:ascii="Bodoni MT" w:eastAsia="Calibri" w:hAnsi="Bodoni MT" w:cs="Times New Roman"/>
          <w:sz w:val="24"/>
          <w:szCs w:val="24"/>
        </w:rPr>
        <w:t xml:space="preserve"> che </w:t>
      </w:r>
      <w:r w:rsidRPr="008C5DDA">
        <w:rPr>
          <w:rFonts w:ascii="Bodoni MT" w:eastAsia="Calibri" w:hAnsi="Bodoni MT" w:cs="Times New Roman"/>
          <w:i/>
          <w:sz w:val="24"/>
          <w:szCs w:val="24"/>
        </w:rPr>
        <w:t xml:space="preserve">sono iscritte nello stato patrimoniale anche le partecipazioni al fondo di dotazione di enti istituiti senza conferire risorse, in quanto la gestione determina necessariamente la formazione di un patrimonio netto attivo o passivo, concludendo che la modifica aggiunta, apportata al principio, è stata ritenuta esplicativa del comportamento da tenere in sede di valutazione delle </w:t>
      </w:r>
      <w:r w:rsidRPr="008C5DDA">
        <w:rPr>
          <w:rFonts w:ascii="Bodoni MT" w:eastAsia="Calibri" w:hAnsi="Bodoni MT" w:cs="Times New Roman"/>
          <w:i/>
          <w:sz w:val="24"/>
          <w:szCs w:val="24"/>
        </w:rPr>
        <w:lastRenderedPageBreak/>
        <w:t>partecipazioni in enti e agenzie e non innovativa, nel senso che è stato deciso di modificare le regole in base alle quali si determina l’inclusione o meno di specifici elementi patrimoniali</w:t>
      </w:r>
      <w:r w:rsidRPr="008C5DDA">
        <w:rPr>
          <w:rFonts w:ascii="Bodoni MT" w:eastAsia="Calibri" w:hAnsi="Bodoni MT" w:cs="Times New Roman"/>
          <w:sz w:val="24"/>
          <w:szCs w:val="24"/>
        </w:rPr>
        <w:t>.</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L’Ufficio di controllo, pur prendendo atto della risposta, ha ribadito la necessità di esporre l’iter logico giuridico che ha condotto all’inserimento nelle immobilizzazioni finanziarie di attivi rinvenienti da alcuni enti di interesse regionale quali enti, agenzie, fondazioni, consorzi, caratterizzati dalla molteplicità delle peculiari configurazioni giuridiche (di natura istitutiva, statutaria, regolamentare interna ecc…), quindi le modalità con le quali sono state quantificate tali poste, chiedendo anche se nel prospetto “Altri soggetti” siano stati ricompresi tutti gli enti/agenzie/fondazioni ecc. o se siano state contemplate esclusioni, e per quali motivi giuridico-normativi. Su tale ultima richiesta non sono pervenuti chiarimenti.</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Si è domandato, inoltre, se nell’ambito delle poste patrimoniali “crediti” e “debiti” siano stati debitamente considerati e valorizzati dalla Regione gli effetti della mancata riconciliazione</w:t>
      </w:r>
      <w:r w:rsidRPr="008C5DDA">
        <w:rPr>
          <w:rFonts w:ascii="Bodoni MT" w:eastAsia="Calibri" w:hAnsi="Bodoni MT" w:cs="Times New Roman"/>
          <w:sz w:val="24"/>
          <w:szCs w:val="24"/>
          <w:vertAlign w:val="superscript"/>
        </w:rPr>
        <w:footnoteReference w:id="223"/>
      </w:r>
      <w:r w:rsidRPr="008C5DDA">
        <w:rPr>
          <w:rFonts w:ascii="Bodoni MT" w:eastAsia="Calibri" w:hAnsi="Bodoni MT" w:cs="Times New Roman"/>
          <w:sz w:val="24"/>
          <w:szCs w:val="24"/>
        </w:rPr>
        <w:t xml:space="preserve"> di numerose partite creditorie e debitorie nei confronti dei Soggetti partecipati e degli enti e agenzie, secondo quanto prescritto dall’art. 11, comma 6 let</w:t>
      </w:r>
      <w:r w:rsidR="007800B4">
        <w:rPr>
          <w:rFonts w:ascii="Bodoni MT" w:eastAsia="Calibri" w:hAnsi="Bodoni MT" w:cs="Times New Roman"/>
          <w:sz w:val="24"/>
          <w:szCs w:val="24"/>
        </w:rPr>
        <w:t>t.</w:t>
      </w:r>
      <w:r w:rsidRPr="008C5DDA">
        <w:rPr>
          <w:rFonts w:ascii="Bodoni MT" w:eastAsia="Calibri" w:hAnsi="Bodoni MT" w:cs="Times New Roman"/>
          <w:sz w:val="24"/>
          <w:szCs w:val="24"/>
        </w:rPr>
        <w:t xml:space="preserve"> j) del D.Lgs. 118/2011 e segnalato nella relazione di verifica (</w:t>
      </w:r>
      <w:r w:rsidR="007800B4">
        <w:rPr>
          <w:rFonts w:ascii="Bodoni MT" w:eastAsia="Calibri" w:hAnsi="Bodoni MT" w:cs="Times New Roman"/>
          <w:sz w:val="24"/>
          <w:szCs w:val="24"/>
        </w:rPr>
        <w:t>al paragrafo 6.9</w:t>
      </w:r>
      <w:r w:rsidRPr="008C5DDA">
        <w:rPr>
          <w:rFonts w:ascii="Bodoni MT" w:eastAsia="Calibri" w:hAnsi="Bodoni MT" w:cs="Times New Roman"/>
          <w:sz w:val="24"/>
          <w:szCs w:val="24"/>
        </w:rPr>
        <w:t>).</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Limitatamente alla collocazione nel pro</w:t>
      </w:r>
      <w:r w:rsidR="007800B4">
        <w:rPr>
          <w:rFonts w:ascii="Bodoni MT" w:eastAsia="Calibri" w:hAnsi="Bodoni MT" w:cs="Times New Roman"/>
          <w:sz w:val="24"/>
          <w:szCs w:val="24"/>
        </w:rPr>
        <w:t>spetto delle immobilizzazioni (“Altri soggetti”</w:t>
      </w:r>
      <w:r w:rsidRPr="008C5DDA">
        <w:rPr>
          <w:rFonts w:ascii="Bodoni MT" w:eastAsia="Calibri" w:hAnsi="Bodoni MT" w:cs="Times New Roman"/>
          <w:sz w:val="24"/>
          <w:szCs w:val="24"/>
        </w:rPr>
        <w:t>) di due fondazioni, la Regione ha precisato</w:t>
      </w:r>
      <w:r w:rsidRPr="008C5DDA">
        <w:rPr>
          <w:rFonts w:ascii="Bodoni MT" w:eastAsia="Calibri" w:hAnsi="Bodoni MT" w:cs="Times New Roman"/>
          <w:sz w:val="24"/>
          <w:szCs w:val="24"/>
          <w:vertAlign w:val="superscript"/>
        </w:rPr>
        <w:footnoteReference w:id="224"/>
      </w:r>
      <w:r w:rsidRPr="008C5DDA">
        <w:rPr>
          <w:rFonts w:ascii="Bodoni MT" w:eastAsia="Calibri" w:hAnsi="Bodoni MT" w:cs="Times New Roman"/>
          <w:sz w:val="24"/>
          <w:szCs w:val="24"/>
        </w:rPr>
        <w:t xml:space="preserve"> che il capitale indicato in prospetto è da intendersi come fondo di dotazione, riscontrando</w:t>
      </w:r>
      <w:r w:rsidRPr="008C5DDA">
        <w:rPr>
          <w:rFonts w:ascii="Bodoni MT" w:eastAsia="Calibri" w:hAnsi="Bodoni MT" w:cs="Times New Roman"/>
          <w:i/>
          <w:sz w:val="24"/>
          <w:szCs w:val="24"/>
        </w:rPr>
        <w:t xml:space="preserve"> le condizioni per il loro inquadramento tra gli enti strumentali controllati o partecipati, essendo in presenza di enti pubblici e privati per i quali si verificano le condizioni previste dall’art. 11 ter del D.Lgs. 118/2011, commi 1 e 2</w:t>
      </w:r>
      <w:r w:rsidRPr="008C5DDA">
        <w:rPr>
          <w:rFonts w:ascii="Bodoni MT" w:eastAsia="Calibri" w:hAnsi="Bodoni MT" w:cs="Times New Roman"/>
          <w:sz w:val="24"/>
          <w:szCs w:val="24"/>
        </w:rPr>
        <w:t xml:space="preserve">.  </w:t>
      </w:r>
    </w:p>
    <w:p w:rsidR="008C5DDA" w:rsidRPr="008C5DDA" w:rsidRDefault="008C5DDA" w:rsidP="008C5DDA">
      <w:pPr>
        <w:spacing w:after="120" w:line="360" w:lineRule="auto"/>
        <w:jc w:val="both"/>
        <w:rPr>
          <w:rFonts w:ascii="Bodoni MT" w:eastAsia="Calibri" w:hAnsi="Bodoni MT" w:cs="Times New Roman"/>
          <w:b/>
          <w:i/>
          <w:sz w:val="24"/>
          <w:szCs w:val="24"/>
        </w:rPr>
      </w:pPr>
      <w:r w:rsidRPr="008C5DDA">
        <w:rPr>
          <w:rFonts w:ascii="Bodoni MT" w:eastAsia="Calibri" w:hAnsi="Bodoni MT" w:cs="Times New Roman"/>
          <w:sz w:val="24"/>
          <w:szCs w:val="24"/>
        </w:rPr>
        <w:t xml:space="preserve">A tal proposito la Regione ha dichiarato che </w:t>
      </w:r>
      <w:r w:rsidRPr="008C5DDA">
        <w:rPr>
          <w:rFonts w:ascii="Bodoni MT" w:eastAsia="Calibri" w:hAnsi="Bodoni MT" w:cs="Times New Roman"/>
          <w:i/>
          <w:sz w:val="24"/>
          <w:szCs w:val="24"/>
        </w:rPr>
        <w:t xml:space="preserve">la contabilizzazione del valore delle fondazioni è avvenuta senza indicare nel patrimonio netto la specifica riserva </w:t>
      </w:r>
      <w:r w:rsidRPr="008C5DDA">
        <w:rPr>
          <w:rFonts w:ascii="Bodoni MT" w:eastAsia="Calibri" w:hAnsi="Bodoni MT" w:cs="Times New Roman"/>
          <w:sz w:val="24"/>
          <w:szCs w:val="24"/>
        </w:rPr>
        <w:t>(prevista, invece, dall’invocato nuovo Principio)</w:t>
      </w:r>
      <w:r w:rsidRPr="008C5DDA">
        <w:rPr>
          <w:rFonts w:ascii="Bodoni MT" w:eastAsia="Calibri" w:hAnsi="Bodoni MT" w:cs="Times New Roman"/>
          <w:i/>
          <w:sz w:val="24"/>
          <w:szCs w:val="24"/>
        </w:rPr>
        <w:t xml:space="preserve">, </w:t>
      </w:r>
      <w:r w:rsidRPr="008C5DDA">
        <w:rPr>
          <w:rFonts w:ascii="Bodoni MT" w:eastAsia="Calibri" w:hAnsi="Bodoni MT" w:cs="Times New Roman"/>
          <w:sz w:val="24"/>
          <w:szCs w:val="24"/>
        </w:rPr>
        <w:t xml:space="preserve">in quanto </w:t>
      </w:r>
      <w:r w:rsidRPr="008C5DDA">
        <w:rPr>
          <w:rFonts w:ascii="Bodoni MT" w:eastAsia="Calibri" w:hAnsi="Bodoni MT" w:cs="Times New Roman"/>
          <w:i/>
          <w:sz w:val="24"/>
          <w:szCs w:val="24"/>
        </w:rPr>
        <w:t>detta riserva, secondo la modifica innovativa del Principio contabile applicato 4/3 valevole a decorrere dall’esercizio 2017</w:t>
      </w:r>
      <w:r w:rsidRPr="008C5DDA">
        <w:rPr>
          <w:rFonts w:ascii="Bodoni MT" w:eastAsia="Calibri" w:hAnsi="Bodoni MT" w:cs="Times New Roman"/>
          <w:sz w:val="24"/>
          <w:szCs w:val="24"/>
        </w:rPr>
        <w:t>, si iscrive in presenza di enti che non hanno valore di liquidazione per evitare sopravalutazioni del patrimonio. Inoltre ha precisato sul punto che: “</w:t>
      </w:r>
      <w:r w:rsidRPr="008C5DDA">
        <w:rPr>
          <w:rFonts w:ascii="Bodoni MT" w:eastAsia="Calibri" w:hAnsi="Bodoni MT" w:cs="Times New Roman"/>
          <w:i/>
          <w:sz w:val="24"/>
          <w:szCs w:val="24"/>
        </w:rPr>
        <w:t xml:space="preserve">Ferma restando la necessità, a decorrere dal 2017, di appurare l’effettiva sussistenza delle condizioni legate al mancato valore per la Regione in caso di liquidazione delle fondazioni in questione su base giuridica (il censimento e aggiornamento della banca dati dovranno consentire di rilevare facilmente anche questi elementi), le ragioni di tale comportamento si riconducono al fatto </w:t>
      </w:r>
      <w:r w:rsidRPr="008C5DDA">
        <w:rPr>
          <w:rFonts w:ascii="Bodoni MT" w:eastAsia="Calibri" w:hAnsi="Bodoni MT" w:cs="Times New Roman"/>
          <w:i/>
          <w:sz w:val="24"/>
          <w:szCs w:val="24"/>
        </w:rPr>
        <w:lastRenderedPageBreak/>
        <w:t xml:space="preserve">che, nel caso specifico, </w:t>
      </w:r>
      <w:r w:rsidRPr="008C5DDA">
        <w:rPr>
          <w:rFonts w:ascii="Bodoni MT" w:eastAsia="Calibri" w:hAnsi="Bodoni MT" w:cs="Times New Roman"/>
          <w:b/>
          <w:i/>
          <w:sz w:val="24"/>
          <w:szCs w:val="24"/>
        </w:rPr>
        <w:t>si è ritenuto di dover utilizzare il principio contabile dell’esercizio 2016, in cui non era presente né implicitamente né esplicitamente tale disposizione.</w:t>
      </w:r>
    </w:p>
    <w:p w:rsidR="008C5DDA" w:rsidRPr="008C5DDA" w:rsidRDefault="008C5DDA" w:rsidP="008C5DDA">
      <w:pPr>
        <w:spacing w:after="120" w:line="360" w:lineRule="auto"/>
        <w:jc w:val="both"/>
        <w:rPr>
          <w:rFonts w:ascii="Bodoni MT" w:eastAsia="Calibri" w:hAnsi="Bodoni MT" w:cs="Times New Roman"/>
          <w:i/>
          <w:sz w:val="24"/>
          <w:szCs w:val="24"/>
        </w:rPr>
      </w:pPr>
      <w:r w:rsidRPr="008C5DDA">
        <w:rPr>
          <w:rFonts w:ascii="Bodoni MT" w:eastAsia="Calibri" w:hAnsi="Bodoni MT" w:cs="Times New Roman"/>
          <w:sz w:val="24"/>
          <w:szCs w:val="24"/>
        </w:rPr>
        <w:t>Prosegue la Regione, rilevando che:</w:t>
      </w:r>
      <w:r w:rsidRPr="008C5DDA">
        <w:rPr>
          <w:rFonts w:ascii="Bodoni MT" w:eastAsia="Calibri" w:hAnsi="Bodoni MT" w:cs="Times New Roman"/>
          <w:i/>
          <w:sz w:val="24"/>
          <w:szCs w:val="24"/>
        </w:rPr>
        <w:t xml:space="preserve"> “l’aspetto è stato a suo tempo esaminato, </w:t>
      </w:r>
      <w:r w:rsidRPr="008C5DDA">
        <w:rPr>
          <w:rFonts w:ascii="Bodoni MT" w:eastAsia="Calibri" w:hAnsi="Bodoni MT" w:cs="Times New Roman"/>
          <w:b/>
          <w:i/>
          <w:sz w:val="24"/>
          <w:szCs w:val="24"/>
        </w:rPr>
        <w:t xml:space="preserve">ravvisando nel nuovo principio contabile applicato 4/3 per l’esercizio 2017 l’intento di modificare il comportamento da tenere rispetto a quello previsto nelle regole per il 2016. </w:t>
      </w:r>
      <w:r w:rsidRPr="008C5DDA">
        <w:rPr>
          <w:rFonts w:ascii="Bodoni MT" w:eastAsia="Calibri" w:hAnsi="Bodoni MT" w:cs="Times New Roman"/>
          <w:i/>
          <w:sz w:val="24"/>
          <w:szCs w:val="24"/>
        </w:rPr>
        <w:t>Ciò si desume dall’</w:t>
      </w:r>
      <w:r w:rsidRPr="008C5DDA">
        <w:rPr>
          <w:rFonts w:ascii="Bodoni MT" w:eastAsia="Calibri" w:hAnsi="Bodoni MT" w:cs="Times New Roman"/>
          <w:b/>
          <w:i/>
          <w:sz w:val="24"/>
          <w:szCs w:val="24"/>
        </w:rPr>
        <w:t>Esempio n. 13</w:t>
      </w:r>
      <w:r w:rsidRPr="008C5DDA">
        <w:rPr>
          <w:rFonts w:ascii="Bodoni MT" w:eastAsia="Calibri" w:hAnsi="Bodoni MT" w:cs="Times New Roman"/>
          <w:i/>
          <w:sz w:val="24"/>
          <w:szCs w:val="24"/>
        </w:rPr>
        <w:t xml:space="preserve"> – scritture riguardanti la partecipazione in enti strumentali senza titoli partecipativi”, riportato in coda al citato principio, </w:t>
      </w:r>
      <w:r w:rsidRPr="008C5DDA">
        <w:rPr>
          <w:rFonts w:ascii="Bodoni MT" w:eastAsia="Calibri" w:hAnsi="Bodoni MT" w:cs="Times New Roman"/>
          <w:b/>
          <w:i/>
          <w:sz w:val="24"/>
          <w:szCs w:val="24"/>
        </w:rPr>
        <w:t xml:space="preserve">in cui si specifica espressamente che tale impostazione si adotta a partire dal 2017. </w:t>
      </w:r>
      <w:r w:rsidRPr="008C5DDA">
        <w:rPr>
          <w:rFonts w:ascii="Bodoni MT" w:eastAsia="Calibri" w:hAnsi="Bodoni MT" w:cs="Times New Roman"/>
          <w:i/>
          <w:sz w:val="24"/>
          <w:szCs w:val="24"/>
        </w:rPr>
        <w:t>Peraltro, al fine di consentire la corretta adozione del nuovo principio, in esso sono contenuti i modelli delle scritture in partita doppia che si devono contabilizzare nel 2017, come prima applicazione del principio. Pare opportuno rilevare che, sotto il profilo sostanziale, l’iscrizione di tale riserva indisponibile non altera in alcun modo il risultato economico dell’esercizio e, tantomeno, il valore complessivo del patrimonio netto. Ciò in quanto, come spiegato nel citato esempio n. 13, la rilevazione contabile in contabilità economico patrimoniale di detta riserva indisponibile (incremento della Riserva indisponibile) ha come contropartita un’altra voce del patrimonio netto (nell’esempio il decremento del valore Altre riserve). Pertanto, la registrazione contabile in questione assume la veste di giroconto e viene effettuata con l’intento di evidenziare agli stakeholder che una quota delle riserve, corrispondenti al valore delle partecipazioni in fondazioni iscritte nelle immobilizzazioni finanziarie, ha generato un incremento di patrimonio netto e che una quota corrispondente di tale entità è da considerare indisponibile”.</w:t>
      </w:r>
    </w:p>
    <w:p w:rsidR="008C5DDA" w:rsidRPr="008C5DDA" w:rsidRDefault="008C5DDA" w:rsidP="008C5DDA">
      <w:pPr>
        <w:spacing w:after="120" w:line="360" w:lineRule="auto"/>
        <w:jc w:val="both"/>
        <w:rPr>
          <w:rFonts w:ascii="Bodoni MT" w:eastAsia="Calibri" w:hAnsi="Bodoni MT" w:cs="Times New Roman"/>
          <w:i/>
          <w:sz w:val="24"/>
          <w:szCs w:val="24"/>
        </w:rPr>
      </w:pPr>
      <w:r w:rsidRPr="008C5DDA">
        <w:rPr>
          <w:rFonts w:ascii="Bodoni MT" w:eastAsia="Calibri" w:hAnsi="Bodoni MT" w:cs="Times New Roman"/>
          <w:sz w:val="24"/>
          <w:szCs w:val="24"/>
        </w:rPr>
        <w:t>Ha aggiunto, poi: “</w:t>
      </w:r>
      <w:r w:rsidRPr="008C5DDA">
        <w:rPr>
          <w:rFonts w:ascii="Bodoni MT" w:eastAsia="Calibri" w:hAnsi="Bodoni MT" w:cs="Times New Roman"/>
          <w:i/>
          <w:sz w:val="24"/>
          <w:szCs w:val="24"/>
        </w:rPr>
        <w:t xml:space="preserve">che, non sussistendo la fattispecie della distribuzione di riserve del patrimonio netto ai soci nel caso del bilancio della Regione, bensì soltanto la possibilità di utilizzo per copertura perdite, il valore segnaletico della riserva indisponibile produce gli effetti desiderati soprattutto nel caso in cui il patrimonio netto raggiunga valori prossimi allo zero (avvicinandosi al deficit patrimoniale). Sostanzialmente, </w:t>
      </w:r>
      <w:r w:rsidRPr="008C5DDA">
        <w:rPr>
          <w:rFonts w:ascii="Bodoni MT" w:eastAsia="Calibri" w:hAnsi="Bodoni MT" w:cs="Times New Roman"/>
          <w:b/>
          <w:i/>
          <w:sz w:val="24"/>
          <w:szCs w:val="24"/>
        </w:rPr>
        <w:t>dall’iscrizione della partecipazione scaturisce l’incremento di valore delle immobilizzazioni finanziarie</w:t>
      </w:r>
      <w:r w:rsidRPr="008C5DDA">
        <w:rPr>
          <w:rFonts w:ascii="Bodoni MT" w:eastAsia="Calibri" w:hAnsi="Bodoni MT" w:cs="Times New Roman"/>
          <w:i/>
          <w:sz w:val="24"/>
          <w:szCs w:val="24"/>
        </w:rPr>
        <w:t xml:space="preserve"> ed il valore deve essere considerato nell’ottica del Principio della continuità e della costanza di cui all’Allegato n. 1 al D.Lgs. 118/2011 (corrispondente al principio della prospettiva della continuazione dell’attività del comma 1, art. 2423 bis CC), applicando il criterio di valutazione del patrimonio netto”.</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In ordine alla </w:t>
      </w:r>
      <w:r w:rsidRPr="008C5DDA">
        <w:rPr>
          <w:rFonts w:ascii="Bodoni MT" w:eastAsia="Calibri" w:hAnsi="Bodoni MT" w:cs="Times New Roman"/>
          <w:b/>
          <w:sz w:val="24"/>
          <w:szCs w:val="24"/>
        </w:rPr>
        <w:t>riconciliazione obbligatoria delle partite con tutti i Soggetti in esame</w:t>
      </w:r>
      <w:r w:rsidRPr="008C5DDA">
        <w:rPr>
          <w:rFonts w:ascii="Bodoni MT" w:eastAsia="Calibri" w:hAnsi="Bodoni MT" w:cs="Times New Roman"/>
          <w:sz w:val="24"/>
          <w:szCs w:val="24"/>
        </w:rPr>
        <w:t xml:space="preserve"> (art. 11, comma 6 lett.</w:t>
      </w:r>
      <w:r w:rsidR="007800B4">
        <w:rPr>
          <w:rFonts w:ascii="Bodoni MT" w:eastAsia="Calibri" w:hAnsi="Bodoni MT" w:cs="Times New Roman"/>
          <w:sz w:val="24"/>
          <w:szCs w:val="24"/>
        </w:rPr>
        <w:t xml:space="preserve"> j</w:t>
      </w:r>
      <w:r w:rsidRPr="008C5DDA">
        <w:rPr>
          <w:rFonts w:ascii="Bodoni MT" w:eastAsia="Calibri" w:hAnsi="Bodoni MT" w:cs="Times New Roman"/>
          <w:sz w:val="24"/>
          <w:szCs w:val="24"/>
        </w:rPr>
        <w:t xml:space="preserve">) del D.Lgs. 118/2011), premesse le difficoltà di allineamento contabile, la Regione ha fatto presente che </w:t>
      </w:r>
      <w:r w:rsidRPr="008C5DDA">
        <w:rPr>
          <w:rFonts w:ascii="Bodoni MT" w:eastAsia="Calibri" w:hAnsi="Bodoni MT" w:cs="Times New Roman"/>
          <w:i/>
          <w:sz w:val="24"/>
          <w:szCs w:val="24"/>
        </w:rPr>
        <w:t xml:space="preserve">la riconciliazione non è obiettivo raggiungibile in brevi tempi, in quanto presenta difficoltà sia in ordine alla tipologia del flusso finanziario che alle diverse regole </w:t>
      </w:r>
      <w:r w:rsidRPr="008C5DDA">
        <w:rPr>
          <w:rFonts w:ascii="Bodoni MT" w:eastAsia="Calibri" w:hAnsi="Bodoni MT" w:cs="Times New Roman"/>
          <w:i/>
          <w:sz w:val="24"/>
          <w:szCs w:val="24"/>
        </w:rPr>
        <w:lastRenderedPageBreak/>
        <w:t>contabili fra i criteri pubblicistici e privatistici, difficoltà che si accompagnano alle complessità di adeguamento del sistema informativo dei singoli enti e delle banche dati, con i relativi flussi di raccordo ancora in parte alimentati manualmente</w:t>
      </w:r>
      <w:r w:rsidRPr="008C5DDA">
        <w:rPr>
          <w:rFonts w:ascii="Bodoni MT" w:eastAsia="Calibri" w:hAnsi="Bodoni MT" w:cs="Times New Roman"/>
          <w:sz w:val="24"/>
          <w:szCs w:val="24"/>
        </w:rPr>
        <w:t>.</w:t>
      </w:r>
      <w:r w:rsidR="007800B4">
        <w:rPr>
          <w:rFonts w:ascii="Bodoni MT" w:eastAsia="Calibri" w:hAnsi="Bodoni MT" w:cs="Times New Roman"/>
          <w:sz w:val="24"/>
          <w:szCs w:val="24"/>
        </w:rPr>
        <w:t xml:space="preserve"> </w:t>
      </w:r>
      <w:r w:rsidRPr="008C5DDA">
        <w:rPr>
          <w:rFonts w:ascii="Bodoni MT" w:eastAsia="Calibri" w:hAnsi="Bodoni MT" w:cs="Times New Roman"/>
          <w:sz w:val="24"/>
          <w:szCs w:val="24"/>
        </w:rPr>
        <w:t>Nelle risposte le esigenze di una corretta rappresentazione delle poste reciproche vengono correlate alle finalità di “governance” del sistema delle partecipazioni e degli enti, in considerazione dei riflessi di tale situazione sulle operazioni di consolidamento dei conti.</w:t>
      </w:r>
    </w:p>
    <w:p w:rsidR="008C5DDA" w:rsidRPr="008C5DDA" w:rsidRDefault="007800B4" w:rsidP="007800B4">
      <w:pPr>
        <w:pStyle w:val="Titolo4"/>
        <w:tabs>
          <w:tab w:val="left" w:pos="1134"/>
        </w:tabs>
        <w:jc w:val="both"/>
      </w:pPr>
      <w:bookmarkStart w:id="372" w:name="_Toc507422699"/>
      <w:r w:rsidRPr="008C5DDA">
        <w:t>La rappresentazione delle immobilizzazioni finanziarie</w:t>
      </w:r>
      <w:bookmarkEnd w:id="372"/>
    </w:p>
    <w:p w:rsidR="008C5DDA" w:rsidRPr="008C5DDA" w:rsidRDefault="008C5DDA" w:rsidP="008C5DDA">
      <w:pPr>
        <w:pStyle w:val="CdcTesto"/>
        <w:rPr>
          <w:rFonts w:eastAsia="Calibri"/>
        </w:rPr>
      </w:pPr>
      <w:r w:rsidRPr="008C5DDA">
        <w:rPr>
          <w:rFonts w:eastAsia="Calibri"/>
        </w:rPr>
        <w:t>La rappresentazione delle immobilizzazioni finanziarie nello stato patrimoniale investe profili problematici che richiedono in via preliminare alcune puntualizzazioni.</w:t>
      </w:r>
    </w:p>
    <w:p w:rsidR="008C5DDA" w:rsidRPr="007800B4" w:rsidRDefault="008C5DDA" w:rsidP="007800B4">
      <w:pPr>
        <w:pStyle w:val="Paragrafoelenco"/>
        <w:numPr>
          <w:ilvl w:val="0"/>
          <w:numId w:val="31"/>
        </w:numPr>
        <w:tabs>
          <w:tab w:val="left" w:pos="426"/>
        </w:tabs>
        <w:spacing w:after="120"/>
        <w:jc w:val="both"/>
        <w:rPr>
          <w:rFonts w:ascii="Bodoni MT" w:eastAsia="Calibri" w:hAnsi="Bodoni MT" w:cs="Times New Roman"/>
          <w:sz w:val="24"/>
          <w:szCs w:val="24"/>
        </w:rPr>
      </w:pPr>
      <w:r w:rsidRPr="007800B4">
        <w:rPr>
          <w:rFonts w:ascii="Bodoni MT" w:eastAsia="Calibri" w:hAnsi="Bodoni MT" w:cs="Times New Roman"/>
          <w:sz w:val="24"/>
          <w:szCs w:val="24"/>
        </w:rPr>
        <w:t>Nella premessa recata dal D.Lgs. 118/2011 si richiama espressamente l’obbligo per le Amministrazioni pubbliche di concorrere “</w:t>
      </w:r>
      <w:r w:rsidRPr="007800B4">
        <w:rPr>
          <w:rFonts w:ascii="Bodoni MT" w:eastAsia="Calibri" w:hAnsi="Bodoni MT" w:cs="Times New Roman"/>
          <w:i/>
          <w:sz w:val="24"/>
          <w:szCs w:val="24"/>
        </w:rPr>
        <w:t>al perseguimento degli obiettivi di finanza pubblica definiti in ambito nazionale in coerenza con le procedure e i criteri stabiliti dall’Unione europea e ne condividono le conseguenti responsabilità. Il concorso al perseguimento di tali obiettivi si realizza secondo i principi fondamentali dell’armonizzazione dei bilanci e del coordinamento della finanza pubblica</w:t>
      </w:r>
      <w:r w:rsidRPr="007800B4">
        <w:rPr>
          <w:rFonts w:ascii="Bodoni MT" w:eastAsia="Calibri" w:hAnsi="Bodoni MT" w:cs="Times New Roman"/>
          <w:sz w:val="24"/>
          <w:szCs w:val="24"/>
        </w:rPr>
        <w:t>” (v. legge di contabilità e finanza pubblica. L. 196/2009 art. 1).</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Il processo di armonizzazione dei sistemi contabili è, infatti, rivolto a consolidare i conti pubblici, e ad aumentarne la trasparenza attraverso la promozione di un linguaggio comune dei sistemi contabili, che li renda omogenei e confrontabili. Esso costituisce una parziale attuazione delle direttive dell’Unione Europea 2011/85/UE che ha fissato regole minime comuni per i </w:t>
      </w:r>
      <w:r w:rsidRPr="008C5DDA">
        <w:rPr>
          <w:rFonts w:ascii="Bodoni MT" w:eastAsia="Calibri" w:hAnsi="Bodoni MT" w:cs="Times New Roman"/>
          <w:b/>
          <w:sz w:val="24"/>
          <w:szCs w:val="24"/>
        </w:rPr>
        <w:t>quadri di</w:t>
      </w:r>
      <w:r w:rsidRPr="008C5DDA">
        <w:rPr>
          <w:rFonts w:ascii="Bodoni MT" w:eastAsia="Calibri" w:hAnsi="Bodoni MT" w:cs="Times New Roman"/>
          <w:sz w:val="24"/>
          <w:szCs w:val="24"/>
        </w:rPr>
        <w:t xml:space="preserve"> </w:t>
      </w:r>
      <w:r w:rsidRPr="008C5DDA">
        <w:rPr>
          <w:rFonts w:ascii="Bodoni MT" w:eastAsia="Calibri" w:hAnsi="Bodoni MT" w:cs="Times New Roman"/>
          <w:b/>
          <w:sz w:val="24"/>
          <w:szCs w:val="24"/>
        </w:rPr>
        <w:t>bilancio nazionali finalizzate a renderli più trasparenti e confrontabili</w:t>
      </w:r>
      <w:r w:rsidRPr="008C5DDA">
        <w:rPr>
          <w:rFonts w:ascii="Bodoni MT" w:eastAsia="Calibri" w:hAnsi="Bodoni MT" w:cs="Times New Roman"/>
          <w:sz w:val="24"/>
          <w:szCs w:val="24"/>
        </w:rPr>
        <w:t xml:space="preserve"> e che tra l’altro ha posto l’obiettivo di impiegare sistemi contabili uniformi per i diversi settori delle PA</w:t>
      </w:r>
      <w:r w:rsidRPr="008C5DDA">
        <w:rPr>
          <w:rFonts w:ascii="Bodoni MT" w:eastAsia="Calibri" w:hAnsi="Bodoni MT" w:cs="Times New Roman"/>
          <w:sz w:val="24"/>
          <w:szCs w:val="24"/>
          <w:vertAlign w:val="superscript"/>
        </w:rPr>
        <w:footnoteReference w:id="225"/>
      </w:r>
      <w:r w:rsidRPr="008C5DDA">
        <w:rPr>
          <w:rFonts w:ascii="Bodoni MT" w:eastAsia="Calibri" w:hAnsi="Bodoni MT" w:cs="Times New Roman"/>
          <w:sz w:val="24"/>
          <w:szCs w:val="24"/>
        </w:rPr>
        <w:t>.</w:t>
      </w:r>
    </w:p>
    <w:p w:rsidR="008C5DDA" w:rsidRPr="008C5DDA" w:rsidRDefault="008C5DDA" w:rsidP="008C5DDA">
      <w:pPr>
        <w:spacing w:after="120" w:line="360" w:lineRule="auto"/>
        <w:jc w:val="both"/>
        <w:rPr>
          <w:rFonts w:ascii="Bodoni MT" w:eastAsia="Calibri" w:hAnsi="Bodoni MT" w:cs="Times New Roman"/>
          <w:i/>
          <w:sz w:val="24"/>
          <w:szCs w:val="24"/>
        </w:rPr>
      </w:pPr>
      <w:r w:rsidRPr="008C5DDA">
        <w:rPr>
          <w:rFonts w:ascii="Bodoni MT" w:eastAsia="Calibri" w:hAnsi="Bodoni MT" w:cs="Times New Roman"/>
          <w:sz w:val="24"/>
          <w:szCs w:val="24"/>
        </w:rPr>
        <w:t>Fermo il principio dell’annualità del bilancio, i principi di cui all’Allegato 1 che corredano il D.Lgs. 118/2011 in sequenza specificano che l’informazione contabile deve essere attendibile, verificabile attraverso la ricostruzione del processo valutativo seguito e deve consentire significative comparazioni (v. principi n. 1, n. 5, n. 12). “</w:t>
      </w:r>
      <w:r w:rsidRPr="008C5DDA">
        <w:rPr>
          <w:rFonts w:ascii="Bodoni MT" w:eastAsia="Calibri" w:hAnsi="Bodoni MT" w:cs="Times New Roman"/>
          <w:i/>
          <w:sz w:val="24"/>
          <w:szCs w:val="24"/>
        </w:rPr>
        <w:t xml:space="preserve">Gli utilizzatori, inoltre, devono poter </w:t>
      </w:r>
      <w:r w:rsidRPr="008C5DDA">
        <w:rPr>
          <w:rFonts w:ascii="Bodoni MT" w:eastAsia="Calibri" w:hAnsi="Bodoni MT" w:cs="Times New Roman"/>
          <w:b/>
          <w:i/>
          <w:sz w:val="24"/>
          <w:szCs w:val="24"/>
        </w:rPr>
        <w:t>comparare le informazioni di bilancio anche tra enti pubblici diversi</w:t>
      </w:r>
      <w:r w:rsidRPr="008C5DDA">
        <w:rPr>
          <w:rFonts w:ascii="Bodoni MT" w:eastAsia="Calibri" w:hAnsi="Bodoni MT" w:cs="Times New Roman"/>
          <w:i/>
          <w:sz w:val="24"/>
          <w:szCs w:val="24"/>
        </w:rPr>
        <w:t xml:space="preserve">, </w:t>
      </w:r>
      <w:r w:rsidRPr="008C5DDA">
        <w:rPr>
          <w:rFonts w:ascii="Bodoni MT" w:eastAsia="Calibri" w:hAnsi="Bodoni MT" w:cs="Times New Roman"/>
          <w:b/>
          <w:i/>
          <w:sz w:val="24"/>
          <w:szCs w:val="24"/>
        </w:rPr>
        <w:t>e dello stesso settore,</w:t>
      </w:r>
      <w:r w:rsidRPr="008C5DDA">
        <w:rPr>
          <w:rFonts w:ascii="Bodoni MT" w:eastAsia="Calibri" w:hAnsi="Bodoni MT" w:cs="Times New Roman"/>
          <w:i/>
          <w:sz w:val="24"/>
          <w:szCs w:val="24"/>
        </w:rPr>
        <w:t xml:space="preserve"> al fine di valutarne le diverse potenzialità gestionali, gli orientamenti strategici e le qualità di una sana e buona amministrazione. Deve essere consentita anche la valutazione delle situazioni patrimoniali, degli andamenti economici e finanziari, nonché delle relative modificazioni.</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i/>
          <w:sz w:val="24"/>
          <w:szCs w:val="24"/>
        </w:rPr>
        <w:lastRenderedPageBreak/>
        <w:t xml:space="preserve">Il costante e continuo rispetto dei principi contabili è condizione necessaria per </w:t>
      </w:r>
      <w:r w:rsidRPr="008C5DDA">
        <w:rPr>
          <w:rFonts w:ascii="Bodoni MT" w:eastAsia="Calibri" w:hAnsi="Bodoni MT" w:cs="Times New Roman"/>
          <w:b/>
          <w:i/>
          <w:sz w:val="24"/>
          <w:szCs w:val="24"/>
        </w:rPr>
        <w:t>la comparabilità spazio-temporale dei documenti del sistema di bilancio</w:t>
      </w:r>
      <w:r w:rsidRPr="008C5DDA">
        <w:rPr>
          <w:rFonts w:ascii="Bodoni MT" w:eastAsia="Calibri" w:hAnsi="Bodoni MT" w:cs="Times New Roman"/>
          <w:i/>
          <w:sz w:val="24"/>
          <w:szCs w:val="24"/>
        </w:rPr>
        <w:t xml:space="preserve"> sia per gli organi di governance interna ed esterna alla stessa singola amministrazione pubblica a cui ci si riferisce, sia per ogni categoria di portatori di interesse che vuole ottenere informazioni sulla gestione pubblica</w:t>
      </w:r>
      <w:r w:rsidRPr="008C5DDA">
        <w:rPr>
          <w:rFonts w:ascii="Bodoni MT" w:eastAsia="Calibri" w:hAnsi="Bodoni MT" w:cs="Times New Roman"/>
          <w:sz w:val="24"/>
          <w:szCs w:val="24"/>
        </w:rPr>
        <w:t>” (v. principio n. 12).</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In sintesi la profonda revisione del sistema di contabilità attraverso l’armonizzazione degli schemi contabili (affiancando alla contabilità finanziaria un sistema di contabilità economico-patrimoniale ispirati a comuni criteri di contabilizzazione) mira sostanzialmente a garantire il monitoraggio e il consolidamento dei conti pubblici.</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Da ciò discende che le informazioni sulla consistenza patrimoniale e i criteri per la loro valorizzazione devono trovare omogenea e contestuale applicazione da parte di tutti i Soggetti del sistema, per garantire affidabili/veritiere comparazioni tra i conti dei diversi Soggetti e per evitare incongruenze o alterazioni nella loro finale ricomposizione complessiva all’interno dei conti nazionali.</w:t>
      </w:r>
    </w:p>
    <w:p w:rsidR="008C5DDA" w:rsidRPr="007800B4" w:rsidRDefault="008C5DDA" w:rsidP="007800B4">
      <w:pPr>
        <w:pStyle w:val="Paragrafoelenco"/>
        <w:numPr>
          <w:ilvl w:val="0"/>
          <w:numId w:val="31"/>
        </w:numPr>
        <w:tabs>
          <w:tab w:val="left" w:pos="426"/>
        </w:tabs>
        <w:spacing w:after="120"/>
        <w:jc w:val="both"/>
        <w:rPr>
          <w:rFonts w:ascii="Bodoni MT" w:eastAsia="Calibri" w:hAnsi="Bodoni MT" w:cs="Times New Roman"/>
          <w:sz w:val="24"/>
          <w:szCs w:val="24"/>
        </w:rPr>
      </w:pPr>
      <w:r w:rsidRPr="007800B4">
        <w:rPr>
          <w:rFonts w:ascii="Bodoni MT" w:eastAsia="Calibri" w:hAnsi="Bodoni MT" w:cs="Times New Roman"/>
          <w:sz w:val="24"/>
          <w:szCs w:val="24"/>
        </w:rPr>
        <w:t>Nella predisposizione dello stato patrimoniale del rendiconto generale 2016 la Regione ha applicato il nuovo criterio introdotto nel Principio 4/3, in vigore dal 2 giugno 2017, in ragione del ritardo intervenuto nell’approvazione del rendiconto generale 2016, rispetto al termine disposto dalla normativa (entro il 30 aprile dell’esercizio successivo).</w:t>
      </w:r>
    </w:p>
    <w:p w:rsidR="008C5DDA" w:rsidRPr="008C5DDA" w:rsidRDefault="008C5DDA" w:rsidP="008C5DDA">
      <w:pPr>
        <w:spacing w:after="120" w:line="360" w:lineRule="auto"/>
        <w:jc w:val="both"/>
        <w:rPr>
          <w:rFonts w:ascii="Bodoni MT" w:eastAsia="Calibri" w:hAnsi="Bodoni MT" w:cs="Times New Roman"/>
          <w:strike/>
          <w:sz w:val="24"/>
          <w:szCs w:val="24"/>
        </w:rPr>
      </w:pPr>
      <w:r w:rsidRPr="008C5DDA">
        <w:rPr>
          <w:rFonts w:ascii="Bodoni MT" w:eastAsia="Calibri" w:hAnsi="Bodoni MT" w:cs="Times New Roman"/>
          <w:sz w:val="24"/>
          <w:szCs w:val="24"/>
        </w:rPr>
        <w:t>L’applicazione non generalizzata (da parte di tutti i soggetti del sistema) di una disposizione sopravvenuta successivamente all’esercizio di riferimento, non appare in linea con le prevalenti esigenze di omogeneità nella redazione dei conti pubblici, in quanto può condurre a valutazioni patrimoniali diverse da quelle effettuate da altri soggetti pubblici, non assicurando l’allineamento con le finalità di coordinamento della finanza pubblica.</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Inoltre, pur applicando le modalità del nuovo criterio, la Regione non ha adottato quelle misure prudenziali, consistenti nell’iscrizione delle “</w:t>
      </w:r>
      <w:r w:rsidRPr="008C5DDA">
        <w:rPr>
          <w:rFonts w:ascii="Bodoni MT" w:eastAsia="Calibri" w:hAnsi="Bodoni MT" w:cs="Times New Roman"/>
          <w:i/>
          <w:sz w:val="24"/>
          <w:szCs w:val="24"/>
        </w:rPr>
        <w:t>contropartite per evitare sopravalutazioni del patrimonio</w:t>
      </w:r>
      <w:r w:rsidRPr="008C5DDA">
        <w:rPr>
          <w:rFonts w:ascii="Bodoni MT" w:eastAsia="Calibri" w:hAnsi="Bodoni MT" w:cs="Times New Roman"/>
          <w:sz w:val="24"/>
          <w:szCs w:val="24"/>
        </w:rPr>
        <w:t xml:space="preserve">” </w:t>
      </w:r>
      <w:r w:rsidRPr="008C5DDA">
        <w:rPr>
          <w:rFonts w:ascii="Bodoni MT" w:eastAsia="Calibri" w:hAnsi="Bodoni MT" w:cs="Times New Roman"/>
          <w:i/>
          <w:sz w:val="24"/>
          <w:szCs w:val="24"/>
        </w:rPr>
        <w:t>in quanto valevoli dal 2017,</w:t>
      </w:r>
      <w:r w:rsidRPr="008C5DDA">
        <w:rPr>
          <w:rFonts w:ascii="Bodoni MT" w:eastAsia="Calibri" w:hAnsi="Bodoni MT" w:cs="Times New Roman"/>
          <w:sz w:val="24"/>
          <w:szCs w:val="24"/>
        </w:rPr>
        <w:t xml:space="preserve"> ovvero non ha vincolato quote del patrimonio netto come riserve non disponibili, avvantaggiandosi </w:t>
      </w:r>
      <w:r w:rsidR="007800B4">
        <w:rPr>
          <w:rFonts w:ascii="Bodoni MT" w:eastAsia="Calibri" w:hAnsi="Bodoni MT" w:cs="Times New Roman"/>
          <w:sz w:val="24"/>
          <w:szCs w:val="24"/>
        </w:rPr>
        <w:t xml:space="preserve">invece </w:t>
      </w:r>
      <w:r w:rsidRPr="008C5DDA">
        <w:rPr>
          <w:rFonts w:ascii="Bodoni MT" w:eastAsia="Calibri" w:hAnsi="Bodoni MT" w:cs="Times New Roman"/>
          <w:sz w:val="24"/>
          <w:szCs w:val="24"/>
        </w:rPr>
        <w:t>di quote di attivo per le quali non è previsto un valore di liquidazione.</w:t>
      </w:r>
    </w:p>
    <w:p w:rsidR="008C5DDA" w:rsidRPr="007800B4" w:rsidRDefault="008C5DDA" w:rsidP="007800B4">
      <w:pPr>
        <w:pStyle w:val="Paragrafoelenco"/>
        <w:numPr>
          <w:ilvl w:val="0"/>
          <w:numId w:val="31"/>
        </w:numPr>
        <w:tabs>
          <w:tab w:val="left" w:pos="426"/>
        </w:tabs>
        <w:spacing w:after="120"/>
        <w:jc w:val="both"/>
        <w:rPr>
          <w:rFonts w:ascii="Bodoni MT" w:eastAsia="Calibri" w:hAnsi="Bodoni MT" w:cs="Times New Roman"/>
          <w:sz w:val="24"/>
          <w:szCs w:val="24"/>
        </w:rPr>
      </w:pPr>
      <w:r w:rsidRPr="007800B4">
        <w:rPr>
          <w:rFonts w:ascii="Bodoni MT" w:eastAsia="Calibri" w:hAnsi="Bodoni MT" w:cs="Times New Roman"/>
          <w:sz w:val="24"/>
          <w:szCs w:val="24"/>
        </w:rPr>
        <w:t>L</w:t>
      </w:r>
      <w:r w:rsidR="007800B4">
        <w:rPr>
          <w:rFonts w:ascii="Bodoni MT" w:eastAsia="Calibri" w:hAnsi="Bodoni MT" w:cs="Times New Roman"/>
          <w:sz w:val="24"/>
          <w:szCs w:val="24"/>
        </w:rPr>
        <w:t xml:space="preserve">’iscrizione nello stato </w:t>
      </w:r>
      <w:r w:rsidRPr="007800B4">
        <w:rPr>
          <w:rFonts w:ascii="Bodoni MT" w:eastAsia="Calibri" w:hAnsi="Bodoni MT" w:cs="Times New Roman"/>
          <w:sz w:val="24"/>
          <w:szCs w:val="24"/>
        </w:rPr>
        <w:t>patrimoniale della Regione del valore di immobilizzazioni finanziarie relative a soggetti/enti diversi da quelli partecipati con azioni o con conferimenti ai rispettivi fondi di dotazione, presenta aspetti problematici.</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lastRenderedPageBreak/>
        <w:t>Di norma la condizione per l’iscrizione di beni (patrimoniali, materiali ed immateriali) tra le immobilizzazioni è il verificarsi alla data del 31 dicembre dell’effettivo passaggio del titolo di proprietà (Principio 4/3, punto 6); anche il vigente criterio (6.1.3 lett. b) mantiene ferma la nozione secondo cui le immobilizzazioni finanziarie sono iscritte sulla base del criterio del costo di acquisto, rettificato delle eventuali perdite di valore.</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Il criterio relativo alle immobilizzazioni finanziarie, nella nuova versione del 2017, ha esteso la rappresentazione nel conto patrimoniale della Regione tra le partecipazioni non azionarie anche di quelle in “enti pubblici e privati, controllati e partecipati”, da valutare secondo il metodo del patrimonio netto.</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Il principio contabile non determina chiaramente i presupposti che possono dar luogo ad una tale rappresentazione, limitandosi a riferirsi agli enti controllati e partecipati, per i quali si potrebbe dare conto nel patrimonio della Regione secondo il metodo del patrimonio netto.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Mentre nel caso di partecipazioni che rappresentano una quota dell’ente o una parte del capitale è agevole rilevare un rapporto di partecipazione e conseguentemente quantificare l’importo da iscrivere nello stato patrimoniale, nelle altre ipotesi occorre rinvenire un criterio che dimostri la sussistenza di un rapporto di partecipazione. Nel caso in cui sia dimostrata la partecipazione, le quote da iscrivere vengono quantificate con il criterio del patrimonio netto</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Resta da considerare la destinazione del patrimonio in caso di liquidazione dell’ente; il principio contabile prevede che, se a seguito della liquidazione il patrimonio dell’ente non dovesse confluire alla Regione, è comunque possibile iscriverlo nel patrimonio regionale, ma è necessario vincolare una quota corrispondente come riserva non disponibile.</w:t>
      </w:r>
    </w:p>
    <w:p w:rsidR="008C5DDA" w:rsidRPr="007800B4" w:rsidRDefault="008C5DDA" w:rsidP="007800B4">
      <w:pPr>
        <w:pStyle w:val="Paragrafoelenco"/>
        <w:numPr>
          <w:ilvl w:val="0"/>
          <w:numId w:val="31"/>
        </w:numPr>
        <w:tabs>
          <w:tab w:val="left" w:pos="426"/>
        </w:tabs>
        <w:spacing w:after="120"/>
        <w:jc w:val="both"/>
        <w:rPr>
          <w:rFonts w:ascii="Bodoni MT" w:eastAsia="Calibri" w:hAnsi="Bodoni MT" w:cs="Times New Roman"/>
          <w:sz w:val="24"/>
          <w:szCs w:val="24"/>
        </w:rPr>
      </w:pPr>
      <w:r w:rsidRPr="007800B4">
        <w:rPr>
          <w:rFonts w:ascii="Bodoni MT" w:eastAsia="Calibri" w:hAnsi="Bodoni MT" w:cs="Times New Roman"/>
          <w:sz w:val="24"/>
          <w:szCs w:val="24"/>
        </w:rPr>
        <w:t xml:space="preserve">La nota preliminare allo stato patrimoniale della Regione (criteri di valutazione, pag. 15) fa riferimento </w:t>
      </w:r>
      <w:r w:rsidRPr="007800B4">
        <w:rPr>
          <w:rFonts w:ascii="Bodoni MT" w:eastAsia="Calibri" w:hAnsi="Bodoni MT" w:cs="Times New Roman"/>
          <w:i/>
          <w:sz w:val="24"/>
          <w:szCs w:val="24"/>
        </w:rPr>
        <w:t xml:space="preserve">alla quota di Capitale di proprietà della Regione riferita alla singola entità e precisa che la voce Partecipazioni comprende azioni e quote di partecipazioni in società controllate e partecipate, fondazioni, enti e agenzie regionali nelle quali la Regione ha una partecipazione diretta al Capitale o al fondo di dotazione (pag. 23) </w:t>
      </w:r>
      <w:r w:rsidRPr="007800B4">
        <w:rPr>
          <w:rFonts w:ascii="Bodoni MT" w:eastAsia="Calibri" w:hAnsi="Bodoni MT" w:cs="Times New Roman"/>
          <w:sz w:val="24"/>
          <w:szCs w:val="24"/>
        </w:rPr>
        <w:t>e ribadisce</w:t>
      </w:r>
      <w:r w:rsidRPr="007800B4">
        <w:rPr>
          <w:rFonts w:ascii="Bodoni MT" w:eastAsia="Calibri" w:hAnsi="Bodoni MT" w:cs="Times New Roman"/>
          <w:i/>
          <w:sz w:val="24"/>
          <w:szCs w:val="24"/>
        </w:rPr>
        <w:t xml:space="preserve"> </w:t>
      </w:r>
      <w:r w:rsidRPr="007800B4">
        <w:rPr>
          <w:rFonts w:ascii="Bodoni MT" w:eastAsia="Calibri" w:hAnsi="Bodoni MT" w:cs="Times New Roman"/>
          <w:sz w:val="24"/>
          <w:szCs w:val="24"/>
        </w:rPr>
        <w:t>che</w:t>
      </w:r>
      <w:r w:rsidRPr="007800B4">
        <w:rPr>
          <w:rFonts w:ascii="Bodoni MT" w:eastAsia="Calibri" w:hAnsi="Bodoni MT" w:cs="Times New Roman"/>
          <w:i/>
          <w:sz w:val="24"/>
          <w:szCs w:val="24"/>
        </w:rPr>
        <w:t xml:space="preserve"> le immobilizzazioni finanziarie </w:t>
      </w:r>
      <w:r w:rsidRPr="007800B4">
        <w:rPr>
          <w:rFonts w:ascii="Bodoni MT" w:eastAsia="Calibri" w:hAnsi="Bodoni MT" w:cs="Times New Roman"/>
          <w:sz w:val="24"/>
          <w:szCs w:val="24"/>
        </w:rPr>
        <w:t>sono costituite da quote di partecipazione in varie entità, società, fondazioni, enti e agenzie, la cui proprietà è riconducibile alla Regione (pag. 52 ).</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 xml:space="preserve">Le modalità seguite dalla Regione non sembrano aderenti ai principi di diritto sopra esposti; infatti nella predisposizione del prospetto “Altri soggetti”, che presenta immobilizzazioni per un valore totale di 1,133 miliardi di euro, l’ente ha ricompreso diverse entità giuridiche sul </w:t>
      </w:r>
      <w:r w:rsidRPr="008C5DDA">
        <w:rPr>
          <w:rFonts w:ascii="Bodoni MT" w:eastAsia="Calibri" w:hAnsi="Bodoni MT" w:cs="Times New Roman"/>
          <w:sz w:val="24"/>
          <w:szCs w:val="24"/>
        </w:rPr>
        <w:lastRenderedPageBreak/>
        <w:t>presupposto della “strumentalità” delle rispettive missioni istituzionali rispetto a quelle regionali e della vigilanza/controllo che sulle stesse compete alla Regione, senza che venga esposta nella nota esplicativa la ricostruzione logico-sistematica a sostegno della sussistenza della proprietà partecipativa per ciascuno di tali soggetti inclusi nel prospetto.</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Tale dimostrazione risulta importante, atteso che l’informazione patrimoniale deve essere verificabile attraverso la ricostruzione del procedimento valutativo seguito (v. Allegato 1, principio n. 12).</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Pertanto, anche se la Regione dispone di poteri di controllo e vigilanza su tali enti, non si rileva chiaramente un rapporto di proprietà o partecipazione che giustifichi la conseguente rappresentazione nell’attivo patrimoniale della Regione stessa; al riguardo è anche da considerare che i medesimi attivi trovano già appostazione nei conti dei rispettivi soggetti, per cui si potrebbe determinare una doppia rappresentazione degli stessi.</w:t>
      </w:r>
    </w:p>
    <w:p w:rsidR="008C5DDA" w:rsidRPr="008C5DDA" w:rsidRDefault="008C5DDA" w:rsidP="008C5DDA">
      <w:pPr>
        <w:spacing w:after="120" w:line="360" w:lineRule="auto"/>
        <w:jc w:val="both"/>
        <w:rPr>
          <w:rFonts w:ascii="Bodoni MT" w:eastAsia="Calibri" w:hAnsi="Bodoni MT" w:cs="Times New Roman"/>
          <w:strike/>
          <w:sz w:val="24"/>
          <w:szCs w:val="24"/>
        </w:rPr>
      </w:pPr>
      <w:r w:rsidRPr="008C5DDA">
        <w:rPr>
          <w:rFonts w:ascii="Bodoni MT" w:eastAsia="Calibri" w:hAnsi="Bodoni MT" w:cs="Times New Roman"/>
          <w:sz w:val="24"/>
          <w:szCs w:val="24"/>
        </w:rPr>
        <w:t>Inoltre, l’applicazione da parte della Regione del nuovo principio, in vigore da giugno 2017, è risultata parziale in quanto non ha considerato la disposizione che richiede di vincolare riserve non disponibili nel patrimonio netto per bilanciare gli attivi degli enti sprovvisti del valore di liquidazione.</w:t>
      </w:r>
    </w:p>
    <w:p w:rsidR="008C5DDA" w:rsidRPr="008C5DDA" w:rsidRDefault="008C5DDA" w:rsidP="008C5DDA">
      <w:pPr>
        <w:spacing w:after="120" w:line="360" w:lineRule="auto"/>
        <w:jc w:val="both"/>
        <w:rPr>
          <w:rFonts w:ascii="Bodoni MT" w:eastAsia="Calibri" w:hAnsi="Bodoni MT" w:cs="Times New Roman"/>
          <w:sz w:val="24"/>
          <w:szCs w:val="24"/>
        </w:rPr>
      </w:pPr>
      <w:r w:rsidRPr="008C5DDA">
        <w:rPr>
          <w:rFonts w:ascii="Bodoni MT" w:eastAsia="Calibri" w:hAnsi="Bodoni MT" w:cs="Times New Roman"/>
          <w:sz w:val="24"/>
          <w:szCs w:val="24"/>
        </w:rPr>
        <w:t>Infine, in linea generale, non risulta completata la conciliazione delle poste attive dei crediti (verso imprese controllate, partecipate e altri soggetti nell’attivo circolante) e di quelle passive dei debiti (verso gli stessi soggetti nel passivo patrimoniale), in ragione delle riconosciute difficolta di conciliazione e allineamento nelle scritture sia degli enti sia della Regione, ovvero del loro carattere di provvisorietà.</w:t>
      </w:r>
    </w:p>
    <w:p w:rsidR="008C5DDA" w:rsidRDefault="008C5DDA" w:rsidP="008C5DDA">
      <w:pPr>
        <w:pStyle w:val="CdcTesto"/>
      </w:pPr>
    </w:p>
    <w:p w:rsidR="008C5DDA" w:rsidRPr="008C5DDA" w:rsidRDefault="008C5DDA" w:rsidP="008C5DDA"/>
    <w:p w:rsidR="00875006" w:rsidRDefault="00875006"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sectPr w:rsidR="00875006" w:rsidSect="00CD34A0">
          <w:pgSz w:w="11906" w:h="16838"/>
          <w:pgMar w:top="1418" w:right="1134" w:bottom="1134" w:left="1134" w:header="709" w:footer="709" w:gutter="0"/>
          <w:cols w:space="708"/>
          <w:docGrid w:linePitch="360"/>
        </w:sectPr>
      </w:pPr>
    </w:p>
    <w:p w:rsidR="00CD34A0" w:rsidRPr="00CD34A0" w:rsidRDefault="00875006" w:rsidP="00875006">
      <w:pPr>
        <w:pStyle w:val="Didascalia"/>
        <w:rPr>
          <w:rFonts w:eastAsia="Times New Roman" w:cs="Bodoni MT"/>
          <w:color w:val="000000"/>
          <w:sz w:val="24"/>
          <w:szCs w:val="24"/>
        </w:rPr>
      </w:pPr>
      <w:bookmarkStart w:id="373" w:name="_Toc507422577"/>
      <w:r>
        <w:lastRenderedPageBreak/>
        <w:t xml:space="preserve">Tabella </w:t>
      </w:r>
      <w:r w:rsidR="00B90472">
        <w:fldChar w:fldCharType="begin"/>
      </w:r>
      <w:r w:rsidR="00B90472">
        <w:instrText xml:space="preserve"> SEQ Tabella \* ARABIC </w:instrText>
      </w:r>
      <w:r w:rsidR="00B90472">
        <w:fldChar w:fldCharType="separate"/>
      </w:r>
      <w:r w:rsidR="008616B3">
        <w:rPr>
          <w:noProof/>
        </w:rPr>
        <w:t>109</w:t>
      </w:r>
      <w:r w:rsidR="00B90472">
        <w:rPr>
          <w:noProof/>
        </w:rPr>
        <w:fldChar w:fldCharType="end"/>
      </w:r>
      <w:r w:rsidR="00CD34A0" w:rsidRPr="00CD34A0">
        <w:rPr>
          <w:rFonts w:eastAsia="Times New Roman" w:cs="Bodoni MT"/>
          <w:color w:val="000000"/>
          <w:sz w:val="24"/>
          <w:szCs w:val="24"/>
        </w:rPr>
        <w:t xml:space="preserve"> </w:t>
      </w:r>
      <w:r>
        <w:rPr>
          <w:rFonts w:eastAsia="Times New Roman" w:cs="Bodoni MT"/>
          <w:color w:val="000000"/>
          <w:sz w:val="24"/>
          <w:szCs w:val="24"/>
        </w:rPr>
        <w:t xml:space="preserve">- </w:t>
      </w:r>
      <w:r w:rsidRPr="00875006">
        <w:rPr>
          <w:rFonts w:eastAsia="Times New Roman" w:cs="Bodoni MT"/>
          <w:color w:val="000000"/>
          <w:sz w:val="24"/>
          <w:szCs w:val="24"/>
        </w:rPr>
        <w:t>Variazioni nelle partecipazioni</w:t>
      </w:r>
      <w:bookmarkEnd w:id="373"/>
    </w:p>
    <w:tbl>
      <w:tblPr>
        <w:tblW w:w="5000" w:type="pct"/>
        <w:jc w:val="center"/>
        <w:tblCellMar>
          <w:left w:w="70" w:type="dxa"/>
          <w:right w:w="70" w:type="dxa"/>
        </w:tblCellMar>
        <w:tblLook w:val="04A0" w:firstRow="1" w:lastRow="0" w:firstColumn="1" w:lastColumn="0" w:noHBand="0" w:noVBand="1"/>
      </w:tblPr>
      <w:tblGrid>
        <w:gridCol w:w="414"/>
        <w:gridCol w:w="1792"/>
        <w:gridCol w:w="1186"/>
        <w:gridCol w:w="747"/>
        <w:gridCol w:w="1186"/>
        <w:gridCol w:w="1186"/>
        <w:gridCol w:w="1215"/>
        <w:gridCol w:w="1215"/>
        <w:gridCol w:w="1215"/>
        <w:gridCol w:w="1076"/>
        <w:gridCol w:w="938"/>
        <w:gridCol w:w="1076"/>
        <w:gridCol w:w="1180"/>
      </w:tblGrid>
      <w:tr w:rsidR="00CD34A0" w:rsidRPr="00875006" w:rsidTr="0004186B">
        <w:trPr>
          <w:trHeight w:val="982"/>
          <w:jc w:val="center"/>
        </w:trPr>
        <w:tc>
          <w:tcPr>
            <w:tcW w:w="144" w:type="pct"/>
            <w:tcBorders>
              <w:top w:val="single" w:sz="4" w:space="0" w:color="000000"/>
              <w:left w:val="single" w:sz="4" w:space="0" w:color="000000"/>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Arial"/>
                <w:b/>
                <w:bCs/>
                <w:iCs/>
                <w:sz w:val="18"/>
                <w:szCs w:val="18"/>
                <w:lang w:eastAsia="it-IT"/>
              </w:rPr>
            </w:pPr>
            <w:r w:rsidRPr="00875006">
              <w:rPr>
                <w:rFonts w:ascii="Bodoni MT" w:eastAsia="Times New Roman" w:hAnsi="Bodoni MT" w:cs="Arial"/>
                <w:b/>
                <w:bCs/>
                <w:iCs/>
                <w:sz w:val="18"/>
                <w:szCs w:val="18"/>
                <w:lang w:eastAsia="it-IT"/>
              </w:rPr>
              <w:t>N.</w:t>
            </w:r>
          </w:p>
        </w:tc>
        <w:tc>
          <w:tcPr>
            <w:tcW w:w="62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b/>
                <w:bCs/>
                <w:iCs/>
                <w:sz w:val="18"/>
                <w:szCs w:val="18"/>
                <w:lang w:eastAsia="it-IT"/>
              </w:rPr>
            </w:pPr>
            <w:r w:rsidRPr="00875006">
              <w:rPr>
                <w:rFonts w:ascii="Bodoni MT" w:eastAsia="Times New Roman" w:hAnsi="Bodoni MT" w:cs="Times New Roman"/>
                <w:b/>
                <w:bCs/>
                <w:iCs/>
                <w:sz w:val="18"/>
                <w:szCs w:val="18"/>
                <w:lang w:eastAsia="it-IT"/>
              </w:rPr>
              <w:t>IMPRESE CONTROLLATE</w:t>
            </w:r>
          </w:p>
        </w:tc>
        <w:tc>
          <w:tcPr>
            <w:tcW w:w="41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Capitale 31.12.2016</w:t>
            </w:r>
          </w:p>
        </w:tc>
        <w:tc>
          <w:tcPr>
            <w:tcW w:w="259"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 Ras 31.12.</w:t>
            </w:r>
            <w:r w:rsidRPr="00875006">
              <w:rPr>
                <w:rFonts w:ascii="Bodoni MT" w:eastAsia="Times New Roman" w:hAnsi="Bodoni MT" w:cs="Times New Roman"/>
                <w:b/>
                <w:bCs/>
                <w:iCs/>
                <w:sz w:val="18"/>
                <w:szCs w:val="18"/>
                <w:lang w:eastAsia="it-IT"/>
              </w:rPr>
              <w:br/>
              <w:t>2016</w:t>
            </w:r>
          </w:p>
        </w:tc>
        <w:tc>
          <w:tcPr>
            <w:tcW w:w="41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31/12/15</w:t>
            </w:r>
          </w:p>
        </w:tc>
        <w:tc>
          <w:tcPr>
            <w:tcW w:w="41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Variaz. Partecipa- zione</w:t>
            </w:r>
          </w:p>
        </w:tc>
        <w:tc>
          <w:tcPr>
            <w:tcW w:w="42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valore per utile</w:t>
            </w:r>
          </w:p>
        </w:tc>
        <w:tc>
          <w:tcPr>
            <w:tcW w:w="42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Incrementi valore</w:t>
            </w:r>
          </w:p>
        </w:tc>
        <w:tc>
          <w:tcPr>
            <w:tcW w:w="42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totali</w:t>
            </w:r>
          </w:p>
        </w:tc>
        <w:tc>
          <w:tcPr>
            <w:tcW w:w="37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valore per perdite</w:t>
            </w:r>
          </w:p>
        </w:tc>
        <w:tc>
          <w:tcPr>
            <w:tcW w:w="32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decrem. valore</w:t>
            </w:r>
          </w:p>
        </w:tc>
        <w:tc>
          <w:tcPr>
            <w:tcW w:w="37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totali</w:t>
            </w:r>
          </w:p>
        </w:tc>
        <w:tc>
          <w:tcPr>
            <w:tcW w:w="41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31/12/16</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Abbanoa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271.275.415</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69,87</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238.169.199</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15.000.000</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6.022.682</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1.405.554</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7.428.236</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260.597.435</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2</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Arst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819.000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32.203.321</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32.203.321</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3</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Bic Sardegna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720.265</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1.031.899</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25.618</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25.618</w:t>
            </w:r>
          </w:p>
        </w:tc>
        <w:tc>
          <w:tcPr>
            <w:tcW w:w="373"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-278.071</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-278.071</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779.446</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4</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Carbosulcis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15.000.000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79.692.614</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-8.253.844</w:t>
            </w:r>
          </w:p>
        </w:tc>
        <w:tc>
          <w:tcPr>
            <w:tcW w:w="32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-8.253.844</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71.438.770</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5</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Fase1 Srl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120.000</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-120.000</w:t>
            </w:r>
          </w:p>
        </w:tc>
        <w:tc>
          <w:tcPr>
            <w:tcW w:w="32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-120.000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r>
      <w:tr w:rsidR="00CD34A0" w:rsidRPr="00CD34A0" w:rsidTr="00495973">
        <w:trPr>
          <w:trHeight w:val="433"/>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6</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Fluorite di Silius Spa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2.000.000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2.004.577</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110.964</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110.964</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2.115.541</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7</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Hydrocontrol Srl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1.266.763</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48.583</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48.583</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48.583</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8</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Igea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4.100.000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4.699.371</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665.068</w:t>
            </w:r>
          </w:p>
        </w:tc>
        <w:tc>
          <w:tcPr>
            <w:tcW w:w="421"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665.068</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5.364.439</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9</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Insar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15.889.306</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55,39</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8.839.698</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13.747</w:t>
            </w:r>
          </w:p>
        </w:tc>
        <w:tc>
          <w:tcPr>
            <w:tcW w:w="421"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13.747</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8.853.445</w:t>
            </w:r>
          </w:p>
        </w:tc>
      </w:tr>
      <w:tr w:rsidR="00CD34A0" w:rsidRPr="00CD34A0" w:rsidTr="00495973">
        <w:trPr>
          <w:trHeight w:val="54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10</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Nuova Mineraria Silius Spa in C.Prev.</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10.330.000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11</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Progemisa Spa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5.160.000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3.547.830</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-122.761</w:t>
            </w: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-122.761</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3.425.069</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12</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Sardegna It Srl</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1.694.763</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27.409</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27.409</w:t>
            </w:r>
          </w:p>
        </w:tc>
        <w:tc>
          <w:tcPr>
            <w:tcW w:w="373"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1.722.172</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13</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Saremar Spa in Concordato Prev.</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2.033.320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14</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Sarind Srl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15.109.076</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-71.658</w:t>
            </w: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-71.658</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15.037.418</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15</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Sfirs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125.241.120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125.509.015</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91.694</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91.694</w:t>
            </w:r>
          </w:p>
        </w:tc>
        <w:tc>
          <w:tcPr>
            <w:tcW w:w="373"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-68.395</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-68.395</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125.532.314</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16</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Sigma Invest Spa in Liquidazione</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37.181.565</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20.877.336</w:t>
            </w:r>
          </w:p>
        </w:tc>
        <w:tc>
          <w:tcPr>
            <w:tcW w:w="41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-163.416</w:t>
            </w:r>
          </w:p>
        </w:tc>
        <w:tc>
          <w:tcPr>
            <w:tcW w:w="32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-46.952</w:t>
            </w: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-210.368</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20.666.968</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17</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Sipas Spa - Cessata (30/06/2016)</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16.147.848</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100,00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749.194</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-749.194</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r>
      <w:tr w:rsidR="00CD34A0" w:rsidRPr="00CD34A0" w:rsidTr="00495973">
        <w:trPr>
          <w:trHeight w:val="270"/>
          <w:jc w:val="center"/>
        </w:trPr>
        <w:tc>
          <w:tcPr>
            <w:tcW w:w="144"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18</w:t>
            </w:r>
          </w:p>
        </w:tc>
        <w:tc>
          <w:tcPr>
            <w:tcW w:w="620"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Sotacarbo Spa</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2.322.000</w:t>
            </w:r>
          </w:p>
        </w:tc>
        <w:tc>
          <w:tcPr>
            <w:tcW w:w="259"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50,00</w:t>
            </w:r>
          </w:p>
        </w:tc>
        <w:tc>
          <w:tcPr>
            <w:tcW w:w="41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1.465.102</w:t>
            </w:r>
          </w:p>
        </w:tc>
        <w:tc>
          <w:tcPr>
            <w:tcW w:w="411"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72.373</w:t>
            </w:r>
          </w:p>
        </w:tc>
        <w:tc>
          <w:tcPr>
            <w:tcW w:w="421"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421"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72.373</w:t>
            </w:r>
          </w:p>
        </w:tc>
        <w:tc>
          <w:tcPr>
            <w:tcW w:w="373"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25" w:type="pct"/>
            <w:tcBorders>
              <w:top w:val="nil"/>
              <w:left w:val="nil"/>
              <w:bottom w:val="single" w:sz="4" w:space="0" w:color="000000"/>
              <w:right w:val="single" w:sz="4" w:space="0" w:color="000000"/>
            </w:tcBorders>
            <w:shd w:val="clear" w:color="auto" w:fill="auto"/>
            <w:vAlign w:val="center"/>
          </w:tcPr>
          <w:p w:rsidR="00CD34A0" w:rsidRPr="00875006" w:rsidRDefault="00CD34A0" w:rsidP="00875006">
            <w:pPr>
              <w:spacing w:after="0" w:line="240" w:lineRule="auto"/>
              <w:jc w:val="right"/>
              <w:rPr>
                <w:rFonts w:eastAsia="Times New Roman" w:cs="Times New Roman"/>
                <w:color w:val="000000"/>
                <w:sz w:val="18"/>
                <w:szCs w:val="18"/>
                <w:lang w:eastAsia="it-IT"/>
              </w:rPr>
            </w:pPr>
          </w:p>
        </w:tc>
        <w:tc>
          <w:tcPr>
            <w:tcW w:w="37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10"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1.537.474</w:t>
            </w:r>
          </w:p>
        </w:tc>
      </w:tr>
      <w:tr w:rsidR="00875006" w:rsidRPr="00CD34A0" w:rsidTr="0004186B">
        <w:trPr>
          <w:trHeight w:val="270"/>
          <w:jc w:val="center"/>
        </w:trPr>
        <w:tc>
          <w:tcPr>
            <w:tcW w:w="765" w:type="pct"/>
            <w:gridSpan w:val="2"/>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875006" w:rsidRPr="00875006" w:rsidRDefault="0004186B" w:rsidP="00CD34A0">
            <w:pPr>
              <w:spacing w:after="0" w:line="240" w:lineRule="auto"/>
              <w:rPr>
                <w:rFonts w:ascii="Bodoni MT" w:eastAsia="Times New Roman" w:hAnsi="Bodoni MT" w:cs="Times New Roman"/>
                <w:b/>
                <w:bCs/>
                <w:iCs/>
                <w:color w:val="FFFFFF" w:themeColor="background1"/>
                <w:sz w:val="18"/>
                <w:szCs w:val="18"/>
                <w:lang w:eastAsia="it-IT"/>
              </w:rPr>
            </w:pPr>
            <w:r w:rsidRPr="00875006">
              <w:rPr>
                <w:rFonts w:ascii="Bodoni MT" w:eastAsia="Times New Roman" w:hAnsi="Bodoni MT" w:cs="Times New Roman"/>
                <w:b/>
                <w:bCs/>
                <w:iCs/>
                <w:color w:val="FFFFFF" w:themeColor="background1"/>
                <w:sz w:val="18"/>
                <w:szCs w:val="18"/>
                <w:lang w:eastAsia="it-IT"/>
              </w:rPr>
              <w:t>Totale società controllate</w:t>
            </w:r>
          </w:p>
        </w:tc>
        <w:tc>
          <w:tcPr>
            <w:tcW w:w="41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509.806.602</w:t>
            </w:r>
          </w:p>
        </w:tc>
        <w:tc>
          <w:tcPr>
            <w:tcW w:w="259" w:type="pct"/>
            <w:tcBorders>
              <w:top w:val="nil"/>
              <w:left w:val="nil"/>
              <w:bottom w:val="single" w:sz="4" w:space="0" w:color="000000"/>
              <w:right w:val="single" w:sz="4" w:space="0" w:color="000000"/>
            </w:tcBorders>
            <w:shd w:val="clear" w:color="auto" w:fill="auto"/>
            <w:vAlign w:val="center"/>
            <w:hideMark/>
          </w:tcPr>
          <w:p w:rsidR="00875006" w:rsidRPr="00875006" w:rsidRDefault="00875006"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535.712.994</w:t>
            </w:r>
          </w:p>
        </w:tc>
        <w:tc>
          <w:tcPr>
            <w:tcW w:w="41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14.250.806</w:t>
            </w:r>
          </w:p>
        </w:tc>
        <w:tc>
          <w:tcPr>
            <w:tcW w:w="42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7.029.555</w:t>
            </w:r>
          </w:p>
        </w:tc>
        <w:tc>
          <w:tcPr>
            <w:tcW w:w="42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1.454.137</w:t>
            </w:r>
          </w:p>
        </w:tc>
        <w:tc>
          <w:tcPr>
            <w:tcW w:w="421"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8.483.692</w:t>
            </w:r>
          </w:p>
        </w:tc>
        <w:tc>
          <w:tcPr>
            <w:tcW w:w="373"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-8.731.679</w:t>
            </w:r>
          </w:p>
        </w:tc>
        <w:tc>
          <w:tcPr>
            <w:tcW w:w="325"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-393.418</w:t>
            </w:r>
          </w:p>
        </w:tc>
        <w:tc>
          <w:tcPr>
            <w:tcW w:w="373"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-9.125.097</w:t>
            </w:r>
          </w:p>
        </w:tc>
        <w:tc>
          <w:tcPr>
            <w:tcW w:w="410" w:type="pct"/>
            <w:tcBorders>
              <w:top w:val="nil"/>
              <w:left w:val="nil"/>
              <w:bottom w:val="single" w:sz="4" w:space="0" w:color="000000"/>
              <w:right w:val="single" w:sz="4" w:space="0" w:color="000000"/>
            </w:tcBorders>
            <w:shd w:val="clear" w:color="auto" w:fill="auto"/>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549.322.395</w:t>
            </w:r>
          </w:p>
        </w:tc>
      </w:tr>
    </w:tbl>
    <w:p w:rsidR="00CD4593" w:rsidRDefault="00CD4593">
      <w:r>
        <w:br w:type="page"/>
      </w:r>
    </w:p>
    <w:p w:rsidR="00875006" w:rsidRDefault="00875006"/>
    <w:tbl>
      <w:tblPr>
        <w:tblW w:w="5077" w:type="pct"/>
        <w:jc w:val="center"/>
        <w:tblCellMar>
          <w:left w:w="70" w:type="dxa"/>
          <w:right w:w="70" w:type="dxa"/>
        </w:tblCellMar>
        <w:tblLook w:val="04A0" w:firstRow="1" w:lastRow="0" w:firstColumn="1" w:lastColumn="0" w:noHBand="0" w:noVBand="1"/>
      </w:tblPr>
      <w:tblGrid>
        <w:gridCol w:w="417"/>
        <w:gridCol w:w="2016"/>
        <w:gridCol w:w="1186"/>
        <w:gridCol w:w="747"/>
        <w:gridCol w:w="1186"/>
        <w:gridCol w:w="1186"/>
        <w:gridCol w:w="1216"/>
        <w:gridCol w:w="1216"/>
        <w:gridCol w:w="1216"/>
        <w:gridCol w:w="1075"/>
        <w:gridCol w:w="937"/>
        <w:gridCol w:w="1075"/>
        <w:gridCol w:w="1175"/>
      </w:tblGrid>
      <w:tr w:rsidR="00CD34A0" w:rsidRPr="00875006" w:rsidTr="0004186B">
        <w:trPr>
          <w:trHeight w:val="529"/>
          <w:jc w:val="center"/>
        </w:trPr>
        <w:tc>
          <w:tcPr>
            <w:tcW w:w="142" w:type="pct"/>
            <w:tcBorders>
              <w:top w:val="single" w:sz="4" w:space="0" w:color="000000"/>
              <w:left w:val="single" w:sz="4" w:space="0" w:color="000000"/>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Arial"/>
                <w:b/>
                <w:bCs/>
                <w:iCs/>
                <w:sz w:val="18"/>
                <w:szCs w:val="18"/>
                <w:lang w:eastAsia="it-IT"/>
              </w:rPr>
            </w:pPr>
            <w:r w:rsidRPr="00875006">
              <w:rPr>
                <w:rFonts w:ascii="Bodoni MT" w:eastAsia="Times New Roman" w:hAnsi="Bodoni MT" w:cs="Arial"/>
                <w:b/>
                <w:bCs/>
                <w:iCs/>
                <w:sz w:val="18"/>
                <w:szCs w:val="18"/>
                <w:lang w:eastAsia="it-IT"/>
              </w:rPr>
              <w:t>N.</w:t>
            </w:r>
          </w:p>
        </w:tc>
        <w:tc>
          <w:tcPr>
            <w:tcW w:w="68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CD34A0">
            <w:pPr>
              <w:spacing w:after="0" w:line="240" w:lineRule="auto"/>
              <w:jc w:val="center"/>
              <w:rPr>
                <w:rFonts w:ascii="Bodoni MT" w:eastAsia="Times New Roman" w:hAnsi="Bodoni MT" w:cs="Times New Roman"/>
                <w:b/>
                <w:bCs/>
                <w:iCs/>
                <w:sz w:val="18"/>
                <w:szCs w:val="18"/>
                <w:lang w:eastAsia="it-IT"/>
              </w:rPr>
            </w:pPr>
            <w:r w:rsidRPr="00875006">
              <w:rPr>
                <w:rFonts w:ascii="Bodoni MT" w:eastAsia="Times New Roman" w:hAnsi="Bodoni MT" w:cs="Times New Roman"/>
                <w:b/>
                <w:bCs/>
                <w:iCs/>
                <w:sz w:val="18"/>
                <w:szCs w:val="18"/>
                <w:lang w:eastAsia="it-IT"/>
              </w:rPr>
              <w:t>IMPRESE PARTECIPATE</w:t>
            </w:r>
          </w:p>
        </w:tc>
        <w:tc>
          <w:tcPr>
            <w:tcW w:w="40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Capitale 31.12.2016</w:t>
            </w:r>
          </w:p>
        </w:tc>
        <w:tc>
          <w:tcPr>
            <w:tcW w:w="25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 Ras 31.12.</w:t>
            </w:r>
            <w:r w:rsidRPr="00875006">
              <w:rPr>
                <w:rFonts w:ascii="Bodoni MT" w:eastAsia="Times New Roman" w:hAnsi="Bodoni MT" w:cs="Times New Roman"/>
                <w:b/>
                <w:bCs/>
                <w:iCs/>
                <w:sz w:val="18"/>
                <w:szCs w:val="18"/>
                <w:lang w:eastAsia="it-IT"/>
              </w:rPr>
              <w:br/>
              <w:t>2016</w:t>
            </w:r>
          </w:p>
        </w:tc>
        <w:tc>
          <w:tcPr>
            <w:tcW w:w="40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31/12/15</w:t>
            </w:r>
          </w:p>
        </w:tc>
        <w:tc>
          <w:tcPr>
            <w:tcW w:w="40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Variaz. Partecipa- zione</w:t>
            </w:r>
          </w:p>
        </w:tc>
        <w:tc>
          <w:tcPr>
            <w:tcW w:w="41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valore per utile</w:t>
            </w:r>
          </w:p>
        </w:tc>
        <w:tc>
          <w:tcPr>
            <w:tcW w:w="41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Incrementi valore</w:t>
            </w:r>
          </w:p>
        </w:tc>
        <w:tc>
          <w:tcPr>
            <w:tcW w:w="415"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totali</w:t>
            </w:r>
          </w:p>
        </w:tc>
        <w:tc>
          <w:tcPr>
            <w:tcW w:w="367"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valore per perdite</w:t>
            </w:r>
          </w:p>
        </w:tc>
        <w:tc>
          <w:tcPr>
            <w:tcW w:w="320"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decrem. valore</w:t>
            </w:r>
          </w:p>
        </w:tc>
        <w:tc>
          <w:tcPr>
            <w:tcW w:w="367"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totali</w:t>
            </w:r>
          </w:p>
        </w:tc>
        <w:tc>
          <w:tcPr>
            <w:tcW w:w="403"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875006" w:rsidRDefault="00CD34A0" w:rsidP="00CD34A0">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31/12/16</w:t>
            </w:r>
          </w:p>
        </w:tc>
      </w:tr>
      <w:tr w:rsidR="00CD34A0" w:rsidRPr="00CD34A0" w:rsidTr="0004186B">
        <w:trPr>
          <w:trHeight w:val="270"/>
          <w:jc w:val="center"/>
        </w:trPr>
        <w:tc>
          <w:tcPr>
            <w:tcW w:w="142" w:type="pct"/>
            <w:tcBorders>
              <w:top w:val="nil"/>
              <w:left w:val="single" w:sz="4" w:space="0" w:color="000000"/>
              <w:bottom w:val="single" w:sz="4" w:space="0" w:color="000000"/>
              <w:right w:val="single" w:sz="4" w:space="0" w:color="000000"/>
            </w:tcBorders>
            <w:shd w:val="clear" w:color="auto" w:fill="95B3D7" w:themeFill="accent1" w:themeFillTint="99"/>
            <w:noWrap/>
            <w:vAlign w:val="center"/>
            <w:hideMark/>
          </w:tcPr>
          <w:p w:rsidR="00CD34A0" w:rsidRPr="00875006" w:rsidRDefault="00CD34A0" w:rsidP="00875006">
            <w:pPr>
              <w:spacing w:after="0" w:line="240" w:lineRule="auto"/>
              <w:jc w:val="center"/>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19</w:t>
            </w:r>
          </w:p>
        </w:tc>
        <w:tc>
          <w:tcPr>
            <w:tcW w:w="687"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Geasar Spa</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12.912.000</w:t>
            </w:r>
          </w:p>
        </w:tc>
        <w:tc>
          <w:tcPr>
            <w:tcW w:w="25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1,59</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664.549</w:t>
            </w:r>
          </w:p>
        </w:tc>
        <w:tc>
          <w:tcPr>
            <w:tcW w:w="40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156.337</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156.337</w:t>
            </w:r>
          </w:p>
        </w:tc>
        <w:tc>
          <w:tcPr>
            <w:tcW w:w="367"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20"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0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820.886</w:t>
            </w:r>
          </w:p>
        </w:tc>
      </w:tr>
      <w:tr w:rsidR="00CD34A0" w:rsidRPr="00CD34A0" w:rsidTr="0004186B">
        <w:trPr>
          <w:trHeight w:val="270"/>
          <w:jc w:val="center"/>
        </w:trPr>
        <w:tc>
          <w:tcPr>
            <w:tcW w:w="142" w:type="pct"/>
            <w:tcBorders>
              <w:top w:val="nil"/>
              <w:left w:val="single" w:sz="4" w:space="0" w:color="000000"/>
              <w:bottom w:val="single" w:sz="4" w:space="0" w:color="000000"/>
              <w:right w:val="single" w:sz="4" w:space="0" w:color="000000"/>
            </w:tcBorders>
            <w:shd w:val="clear" w:color="auto" w:fill="95B3D7" w:themeFill="accent1" w:themeFillTint="99"/>
            <w:noWrap/>
            <w:vAlign w:val="center"/>
            <w:hideMark/>
          </w:tcPr>
          <w:p w:rsidR="00CD34A0" w:rsidRPr="00875006" w:rsidRDefault="00CD34A0" w:rsidP="00875006">
            <w:pPr>
              <w:spacing w:after="0" w:line="240" w:lineRule="auto"/>
              <w:jc w:val="center"/>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20</w:t>
            </w:r>
          </w:p>
        </w:tc>
        <w:tc>
          <w:tcPr>
            <w:tcW w:w="687"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Janna Scarl</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13.717.365</w:t>
            </w:r>
          </w:p>
        </w:tc>
        <w:tc>
          <w:tcPr>
            <w:tcW w:w="25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49,00</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5.049.915</w:t>
            </w:r>
          </w:p>
        </w:tc>
        <w:tc>
          <w:tcPr>
            <w:tcW w:w="40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262.007</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262.007</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-714.723</w:t>
            </w:r>
          </w:p>
        </w:tc>
        <w:tc>
          <w:tcPr>
            <w:tcW w:w="320"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-714.723</w:t>
            </w:r>
          </w:p>
        </w:tc>
        <w:tc>
          <w:tcPr>
            <w:tcW w:w="40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4.597.199</w:t>
            </w:r>
          </w:p>
        </w:tc>
      </w:tr>
      <w:tr w:rsidR="00CD34A0" w:rsidRPr="00CD34A0" w:rsidTr="0004186B">
        <w:trPr>
          <w:trHeight w:val="270"/>
          <w:jc w:val="center"/>
        </w:trPr>
        <w:tc>
          <w:tcPr>
            <w:tcW w:w="142" w:type="pct"/>
            <w:tcBorders>
              <w:top w:val="nil"/>
              <w:left w:val="single" w:sz="4" w:space="0" w:color="000000"/>
              <w:bottom w:val="single" w:sz="4" w:space="0" w:color="000000"/>
              <w:right w:val="single" w:sz="4" w:space="0" w:color="000000"/>
            </w:tcBorders>
            <w:shd w:val="clear" w:color="auto" w:fill="95B3D7" w:themeFill="accent1" w:themeFillTint="99"/>
            <w:noWrap/>
            <w:vAlign w:val="center"/>
            <w:hideMark/>
          </w:tcPr>
          <w:p w:rsidR="00CD34A0" w:rsidRPr="00875006" w:rsidRDefault="00CD34A0" w:rsidP="00875006">
            <w:pPr>
              <w:spacing w:after="0" w:line="240" w:lineRule="auto"/>
              <w:jc w:val="center"/>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21</w:t>
            </w:r>
          </w:p>
        </w:tc>
        <w:tc>
          <w:tcPr>
            <w:tcW w:w="687"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Sogaer Spa</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13.000.000</w:t>
            </w:r>
          </w:p>
        </w:tc>
        <w:tc>
          <w:tcPr>
            <w:tcW w:w="25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0,72</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166.942</w:t>
            </w:r>
          </w:p>
        </w:tc>
        <w:tc>
          <w:tcPr>
            <w:tcW w:w="40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3.456</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3.456</w:t>
            </w:r>
          </w:p>
        </w:tc>
        <w:tc>
          <w:tcPr>
            <w:tcW w:w="367"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20"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0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170.398</w:t>
            </w:r>
          </w:p>
        </w:tc>
      </w:tr>
      <w:tr w:rsidR="00CD34A0" w:rsidRPr="00CD34A0" w:rsidTr="0004186B">
        <w:trPr>
          <w:trHeight w:val="270"/>
          <w:jc w:val="center"/>
        </w:trPr>
        <w:tc>
          <w:tcPr>
            <w:tcW w:w="142" w:type="pct"/>
            <w:tcBorders>
              <w:top w:val="nil"/>
              <w:left w:val="single" w:sz="4" w:space="0" w:color="000000"/>
              <w:bottom w:val="single" w:sz="4" w:space="0" w:color="000000"/>
              <w:right w:val="single" w:sz="4" w:space="0" w:color="000000"/>
            </w:tcBorders>
            <w:shd w:val="clear" w:color="auto" w:fill="95B3D7" w:themeFill="accent1" w:themeFillTint="99"/>
            <w:noWrap/>
            <w:vAlign w:val="center"/>
            <w:hideMark/>
          </w:tcPr>
          <w:p w:rsidR="00CD34A0" w:rsidRPr="00875006" w:rsidRDefault="00CD34A0" w:rsidP="00875006">
            <w:pPr>
              <w:spacing w:after="0" w:line="240" w:lineRule="auto"/>
              <w:jc w:val="center"/>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22</w:t>
            </w:r>
          </w:p>
        </w:tc>
        <w:tc>
          <w:tcPr>
            <w:tcW w:w="687"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Sogeaal Spa</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7.754.000</w:t>
            </w:r>
          </w:p>
        </w:tc>
        <w:tc>
          <w:tcPr>
            <w:tcW w:w="25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23,06</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0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2.557.714</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2.557.714</w:t>
            </w:r>
          </w:p>
        </w:tc>
        <w:tc>
          <w:tcPr>
            <w:tcW w:w="367"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20"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40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2.557.714</w:t>
            </w:r>
          </w:p>
        </w:tc>
      </w:tr>
      <w:tr w:rsidR="00CD34A0" w:rsidRPr="00CD34A0" w:rsidTr="0004186B">
        <w:trPr>
          <w:trHeight w:val="270"/>
          <w:jc w:val="center"/>
        </w:trPr>
        <w:tc>
          <w:tcPr>
            <w:tcW w:w="142" w:type="pct"/>
            <w:tcBorders>
              <w:top w:val="nil"/>
              <w:left w:val="single" w:sz="4" w:space="0" w:color="000000"/>
              <w:bottom w:val="nil"/>
              <w:right w:val="single" w:sz="4" w:space="0" w:color="000000"/>
            </w:tcBorders>
            <w:shd w:val="clear" w:color="auto" w:fill="95B3D7" w:themeFill="accent1" w:themeFillTint="99"/>
            <w:noWrap/>
            <w:vAlign w:val="center"/>
            <w:hideMark/>
          </w:tcPr>
          <w:p w:rsidR="00CD34A0" w:rsidRPr="00875006" w:rsidRDefault="00CD34A0" w:rsidP="00875006">
            <w:pPr>
              <w:spacing w:after="0" w:line="240" w:lineRule="auto"/>
              <w:jc w:val="center"/>
              <w:rPr>
                <w:rFonts w:ascii="Bodoni MT" w:eastAsia="Times New Roman" w:hAnsi="Bodoni MT" w:cs="Arial"/>
                <w:color w:val="FFFFFF" w:themeColor="background1"/>
                <w:sz w:val="18"/>
                <w:szCs w:val="18"/>
                <w:lang w:eastAsia="it-IT"/>
              </w:rPr>
            </w:pPr>
            <w:r w:rsidRPr="00875006">
              <w:rPr>
                <w:rFonts w:ascii="Bodoni MT" w:eastAsia="Times New Roman" w:hAnsi="Bodoni MT" w:cs="Arial"/>
                <w:color w:val="FFFFFF" w:themeColor="background1"/>
                <w:sz w:val="18"/>
                <w:szCs w:val="18"/>
                <w:lang w:eastAsia="it-IT"/>
              </w:rPr>
              <w:t>23</w:t>
            </w:r>
          </w:p>
        </w:tc>
        <w:tc>
          <w:tcPr>
            <w:tcW w:w="687"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 xml:space="preserve">Sogeaor Spa in </w:t>
            </w:r>
            <w:r w:rsidR="0004186B">
              <w:rPr>
                <w:rFonts w:ascii="Bodoni MT" w:eastAsia="Times New Roman" w:hAnsi="Bodoni MT" w:cs="Times New Roman"/>
                <w:color w:val="FFFFFF" w:themeColor="background1"/>
                <w:sz w:val="18"/>
                <w:szCs w:val="18"/>
                <w:lang w:eastAsia="it-IT"/>
              </w:rPr>
              <w:t>Liq.ne</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2.652.421</w:t>
            </w:r>
          </w:p>
        </w:tc>
        <w:tc>
          <w:tcPr>
            <w:tcW w:w="25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3,36</w:t>
            </w:r>
          </w:p>
        </w:tc>
        <w:tc>
          <w:tcPr>
            <w:tcW w:w="40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1.591</w:t>
            </w:r>
          </w:p>
        </w:tc>
        <w:tc>
          <w:tcPr>
            <w:tcW w:w="40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-1.591</w:t>
            </w:r>
          </w:p>
        </w:tc>
        <w:tc>
          <w:tcPr>
            <w:tcW w:w="320" w:type="pct"/>
            <w:tcBorders>
              <w:top w:val="nil"/>
              <w:left w:val="nil"/>
              <w:bottom w:val="single" w:sz="4" w:space="0" w:color="000000"/>
              <w:right w:val="single" w:sz="4" w:space="0" w:color="000000"/>
            </w:tcBorders>
            <w:shd w:val="clear" w:color="auto" w:fill="auto"/>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367"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-1.591</w:t>
            </w:r>
          </w:p>
        </w:tc>
        <w:tc>
          <w:tcPr>
            <w:tcW w:w="403" w:type="pct"/>
            <w:tcBorders>
              <w:top w:val="nil"/>
              <w:left w:val="nil"/>
              <w:bottom w:val="single" w:sz="4" w:space="0" w:color="000000"/>
              <w:right w:val="single" w:sz="4" w:space="0" w:color="000000"/>
            </w:tcBorders>
            <w:shd w:val="clear" w:color="auto" w:fill="auto"/>
            <w:noWrap/>
            <w:vAlign w:val="center"/>
            <w:hideMark/>
          </w:tcPr>
          <w:p w:rsidR="00CD34A0" w:rsidRPr="00875006" w:rsidRDefault="00CD34A0"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0</w:t>
            </w:r>
          </w:p>
        </w:tc>
      </w:tr>
      <w:tr w:rsidR="00875006" w:rsidRPr="00CD34A0" w:rsidTr="0004186B">
        <w:trPr>
          <w:trHeight w:val="270"/>
          <w:jc w:val="center"/>
        </w:trPr>
        <w:tc>
          <w:tcPr>
            <w:tcW w:w="830" w:type="pct"/>
            <w:gridSpan w:val="2"/>
            <w:tcBorders>
              <w:top w:val="single" w:sz="4" w:space="0" w:color="auto"/>
              <w:left w:val="single" w:sz="4" w:space="0" w:color="auto"/>
              <w:bottom w:val="single" w:sz="4" w:space="0" w:color="auto"/>
              <w:right w:val="single" w:sz="4" w:space="0" w:color="000000"/>
            </w:tcBorders>
            <w:shd w:val="clear" w:color="auto" w:fill="95B3D7" w:themeFill="accent1" w:themeFillTint="99"/>
            <w:vAlign w:val="center"/>
            <w:hideMark/>
          </w:tcPr>
          <w:p w:rsidR="00875006" w:rsidRPr="00875006" w:rsidRDefault="00875006" w:rsidP="00CD34A0">
            <w:pPr>
              <w:spacing w:after="0" w:line="240" w:lineRule="auto"/>
              <w:rPr>
                <w:rFonts w:ascii="Bodoni MT" w:eastAsia="Times New Roman" w:hAnsi="Bodoni MT" w:cs="Times New Roman"/>
                <w:b/>
                <w:bCs/>
                <w:iCs/>
                <w:color w:val="FFFFFF" w:themeColor="background1"/>
                <w:sz w:val="18"/>
                <w:szCs w:val="18"/>
                <w:lang w:eastAsia="it-IT"/>
              </w:rPr>
            </w:pPr>
            <w:r w:rsidRPr="00875006">
              <w:rPr>
                <w:rFonts w:ascii="Bodoni MT" w:eastAsia="Times New Roman" w:hAnsi="Bodoni MT" w:cs="Times New Roman"/>
                <w:b/>
                <w:bCs/>
                <w:iCs/>
                <w:color w:val="FFFFFF" w:themeColor="background1"/>
                <w:sz w:val="18"/>
                <w:szCs w:val="18"/>
                <w:lang w:eastAsia="it-IT"/>
              </w:rPr>
              <w:t>Totale società partecipate</w:t>
            </w:r>
          </w:p>
        </w:tc>
        <w:tc>
          <w:tcPr>
            <w:tcW w:w="40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50.035.786</w:t>
            </w:r>
          </w:p>
        </w:tc>
        <w:tc>
          <w:tcPr>
            <w:tcW w:w="255" w:type="pct"/>
            <w:tcBorders>
              <w:top w:val="nil"/>
              <w:left w:val="nil"/>
              <w:bottom w:val="single" w:sz="4" w:space="0" w:color="000000"/>
              <w:right w:val="single" w:sz="4" w:space="0" w:color="000000"/>
            </w:tcBorders>
            <w:shd w:val="clear" w:color="auto" w:fill="FFFFFF" w:themeFill="background1"/>
            <w:vAlign w:val="center"/>
            <w:hideMark/>
          </w:tcPr>
          <w:p w:rsidR="00875006" w:rsidRPr="00875006" w:rsidRDefault="00875006" w:rsidP="00875006">
            <w:pPr>
              <w:spacing w:after="0" w:line="240" w:lineRule="auto"/>
              <w:jc w:val="right"/>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0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5.882.997</w:t>
            </w:r>
          </w:p>
        </w:tc>
        <w:tc>
          <w:tcPr>
            <w:tcW w:w="40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0</w:t>
            </w:r>
          </w:p>
        </w:tc>
        <w:tc>
          <w:tcPr>
            <w:tcW w:w="41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159.793</w:t>
            </w:r>
          </w:p>
        </w:tc>
        <w:tc>
          <w:tcPr>
            <w:tcW w:w="41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2.819.721</w:t>
            </w:r>
          </w:p>
        </w:tc>
        <w:tc>
          <w:tcPr>
            <w:tcW w:w="415"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2.979.514</w:t>
            </w:r>
          </w:p>
        </w:tc>
        <w:tc>
          <w:tcPr>
            <w:tcW w:w="367"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-716.314</w:t>
            </w:r>
          </w:p>
        </w:tc>
        <w:tc>
          <w:tcPr>
            <w:tcW w:w="320"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0</w:t>
            </w:r>
          </w:p>
        </w:tc>
        <w:tc>
          <w:tcPr>
            <w:tcW w:w="367"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-716.314</w:t>
            </w:r>
          </w:p>
        </w:tc>
        <w:tc>
          <w:tcPr>
            <w:tcW w:w="403" w:type="pct"/>
            <w:tcBorders>
              <w:top w:val="nil"/>
              <w:left w:val="nil"/>
              <w:bottom w:val="single" w:sz="4" w:space="0" w:color="000000"/>
              <w:right w:val="single" w:sz="4" w:space="0" w:color="000000"/>
            </w:tcBorders>
            <w:shd w:val="clear" w:color="auto" w:fill="FFFFFF" w:themeFill="background1"/>
            <w:noWrap/>
            <w:vAlign w:val="center"/>
            <w:hideMark/>
          </w:tcPr>
          <w:p w:rsidR="00875006" w:rsidRPr="00875006" w:rsidRDefault="00875006" w:rsidP="00875006">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8.146.198</w:t>
            </w:r>
          </w:p>
        </w:tc>
      </w:tr>
    </w:tbl>
    <w:p w:rsidR="00CD34A0" w:rsidRPr="00CD34A0" w:rsidRDefault="00CD34A0" w:rsidP="0004186B">
      <w:pPr>
        <w:tabs>
          <w:tab w:val="left" w:pos="284"/>
          <w:tab w:val="left" w:pos="426"/>
        </w:tabs>
        <w:autoSpaceDE w:val="0"/>
        <w:autoSpaceDN w:val="0"/>
        <w:adjustRightInd w:val="0"/>
        <w:spacing w:after="0" w:line="360" w:lineRule="auto"/>
        <w:jc w:val="both"/>
        <w:textAlignment w:val="center"/>
        <w:rPr>
          <w:rFonts w:ascii="Bodoni MT" w:eastAsia="Times New Roman" w:hAnsi="Bodoni MT" w:cs="Bodoni MT"/>
          <w:color w:val="000000"/>
          <w:sz w:val="24"/>
          <w:szCs w:val="24"/>
        </w:rPr>
      </w:pPr>
    </w:p>
    <w:tbl>
      <w:tblPr>
        <w:tblW w:w="5214" w:type="pct"/>
        <w:jc w:val="center"/>
        <w:tblCellMar>
          <w:left w:w="70" w:type="dxa"/>
          <w:right w:w="70" w:type="dxa"/>
        </w:tblCellMar>
        <w:tblLook w:val="04A0" w:firstRow="1" w:lastRow="0" w:firstColumn="1" w:lastColumn="0" w:noHBand="0" w:noVBand="1"/>
      </w:tblPr>
      <w:tblGrid>
        <w:gridCol w:w="322"/>
        <w:gridCol w:w="2539"/>
        <w:gridCol w:w="1354"/>
        <w:gridCol w:w="918"/>
        <w:gridCol w:w="1354"/>
        <w:gridCol w:w="1038"/>
        <w:gridCol w:w="1062"/>
        <w:gridCol w:w="1062"/>
        <w:gridCol w:w="1062"/>
        <w:gridCol w:w="1116"/>
        <w:gridCol w:w="981"/>
        <w:gridCol w:w="1035"/>
        <w:gridCol w:w="1200"/>
      </w:tblGrid>
      <w:tr w:rsidR="00875006" w:rsidRPr="00875006" w:rsidTr="0004186B">
        <w:trPr>
          <w:trHeight w:val="445"/>
          <w:jc w:val="center"/>
        </w:trPr>
        <w:tc>
          <w:tcPr>
            <w:tcW w:w="107" w:type="pct"/>
            <w:tcBorders>
              <w:top w:val="single" w:sz="4" w:space="0" w:color="000000"/>
              <w:left w:val="single" w:sz="4" w:space="0" w:color="000000"/>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b/>
                <w:bCs/>
                <w:iCs/>
                <w:sz w:val="18"/>
                <w:szCs w:val="18"/>
                <w:lang w:eastAsia="it-IT"/>
              </w:rPr>
            </w:pPr>
            <w:r w:rsidRPr="00875006">
              <w:rPr>
                <w:rFonts w:ascii="Bodoni MT" w:eastAsia="Times New Roman" w:hAnsi="Bodoni MT" w:cs="Times New Roman"/>
                <w:b/>
                <w:bCs/>
                <w:iCs/>
                <w:sz w:val="18"/>
                <w:szCs w:val="18"/>
                <w:lang w:eastAsia="it-IT"/>
              </w:rPr>
              <w:t>N.</w:t>
            </w:r>
          </w:p>
        </w:tc>
        <w:tc>
          <w:tcPr>
            <w:tcW w:w="844"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875006" w:rsidP="00875006">
            <w:pPr>
              <w:spacing w:after="0" w:line="240" w:lineRule="auto"/>
              <w:jc w:val="center"/>
              <w:rPr>
                <w:rFonts w:ascii="Bodoni MT" w:eastAsia="Times New Roman" w:hAnsi="Bodoni MT" w:cs="Times New Roman"/>
                <w:b/>
                <w:bCs/>
                <w:iCs/>
                <w:sz w:val="18"/>
                <w:szCs w:val="18"/>
                <w:lang w:eastAsia="it-IT"/>
              </w:rPr>
            </w:pPr>
            <w:r>
              <w:rPr>
                <w:rFonts w:ascii="Bodoni MT" w:eastAsia="Times New Roman" w:hAnsi="Bodoni MT" w:cs="Times New Roman"/>
                <w:b/>
                <w:bCs/>
                <w:iCs/>
                <w:sz w:val="18"/>
                <w:szCs w:val="18"/>
                <w:lang w:eastAsia="it-IT"/>
              </w:rPr>
              <w:t xml:space="preserve">ALTRI </w:t>
            </w:r>
            <w:r w:rsidR="00CD34A0" w:rsidRPr="00875006">
              <w:rPr>
                <w:rFonts w:ascii="Bodoni MT" w:eastAsia="Times New Roman" w:hAnsi="Bodoni MT" w:cs="Times New Roman"/>
                <w:b/>
                <w:bCs/>
                <w:iCs/>
                <w:sz w:val="18"/>
                <w:szCs w:val="18"/>
                <w:lang w:eastAsia="it-IT"/>
              </w:rPr>
              <w:t>SOGGETTI</w:t>
            </w:r>
          </w:p>
        </w:tc>
        <w:tc>
          <w:tcPr>
            <w:tcW w:w="45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Capitale 31.12.2016</w:t>
            </w:r>
          </w:p>
        </w:tc>
        <w:tc>
          <w:tcPr>
            <w:tcW w:w="30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 Ras 31.12.</w:t>
            </w:r>
            <w:r w:rsidRPr="00875006">
              <w:rPr>
                <w:rFonts w:ascii="Bodoni MT" w:eastAsia="Times New Roman" w:hAnsi="Bodoni MT" w:cs="Times New Roman"/>
                <w:b/>
                <w:bCs/>
                <w:iCs/>
                <w:sz w:val="18"/>
                <w:szCs w:val="18"/>
                <w:lang w:eastAsia="it-IT"/>
              </w:rPr>
              <w:br/>
              <w:t>2016</w:t>
            </w:r>
          </w:p>
        </w:tc>
        <w:tc>
          <w:tcPr>
            <w:tcW w:w="45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31/12/15</w:t>
            </w:r>
          </w:p>
        </w:tc>
        <w:tc>
          <w:tcPr>
            <w:tcW w:w="34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Variaz. Partecipa- zione</w:t>
            </w:r>
          </w:p>
        </w:tc>
        <w:tc>
          <w:tcPr>
            <w:tcW w:w="35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valore per utile</w:t>
            </w:r>
          </w:p>
        </w:tc>
        <w:tc>
          <w:tcPr>
            <w:tcW w:w="35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Incrementi valore</w:t>
            </w:r>
          </w:p>
        </w:tc>
        <w:tc>
          <w:tcPr>
            <w:tcW w:w="35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Incrementi totali</w:t>
            </w:r>
          </w:p>
        </w:tc>
        <w:tc>
          <w:tcPr>
            <w:tcW w:w="37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valore per perdite</w:t>
            </w:r>
          </w:p>
        </w:tc>
        <w:tc>
          <w:tcPr>
            <w:tcW w:w="32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Altri decrem. valore</w:t>
            </w:r>
          </w:p>
        </w:tc>
        <w:tc>
          <w:tcPr>
            <w:tcW w:w="344"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Decrem. totali</w:t>
            </w:r>
          </w:p>
        </w:tc>
        <w:tc>
          <w:tcPr>
            <w:tcW w:w="40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875006" w:rsidRDefault="00CD34A0" w:rsidP="00875006">
            <w:pPr>
              <w:spacing w:after="0" w:line="240" w:lineRule="auto"/>
              <w:jc w:val="center"/>
              <w:rPr>
                <w:rFonts w:ascii="Bodoni MT" w:eastAsia="Times New Roman" w:hAnsi="Bodoni MT" w:cs="Times New Roman"/>
                <w:color w:val="000000"/>
                <w:sz w:val="18"/>
                <w:szCs w:val="18"/>
                <w:lang w:eastAsia="it-IT"/>
              </w:rPr>
            </w:pPr>
            <w:r w:rsidRPr="00875006">
              <w:rPr>
                <w:rFonts w:ascii="Bodoni MT" w:eastAsia="Times New Roman" w:hAnsi="Bodoni MT" w:cs="Times New Roman"/>
                <w:b/>
                <w:bCs/>
                <w:iCs/>
                <w:sz w:val="18"/>
                <w:szCs w:val="18"/>
                <w:lang w:eastAsia="it-IT"/>
              </w:rPr>
              <w:t>Valore 31/12/16</w:t>
            </w:r>
          </w:p>
        </w:tc>
      </w:tr>
      <w:tr w:rsidR="00875006" w:rsidRPr="00CD34A0" w:rsidTr="0004186B">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24</w:t>
            </w:r>
          </w:p>
        </w:tc>
        <w:tc>
          <w:tcPr>
            <w:tcW w:w="844"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875006" w:rsidRDefault="00CD34A0" w:rsidP="00875006">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Agrosarda Scarl in Liq</w:t>
            </w:r>
            <w:r w:rsidR="00875006">
              <w:rPr>
                <w:rFonts w:ascii="Bodoni MT" w:eastAsia="Times New Roman" w:hAnsi="Bodoni MT" w:cs="Times New Roman"/>
                <w:color w:val="FFFFFF" w:themeColor="background1"/>
                <w:sz w:val="18"/>
                <w:szCs w:val="18"/>
                <w:lang w:eastAsia="it-IT"/>
              </w:rPr>
              <w:t>.ne</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103.288</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71"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26"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44"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r>
      <w:tr w:rsidR="00875006" w:rsidRPr="00CD34A0" w:rsidTr="0004186B">
        <w:trPr>
          <w:trHeight w:val="244"/>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25</w:t>
            </w:r>
          </w:p>
        </w:tc>
        <w:tc>
          <w:tcPr>
            <w:tcW w:w="844"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875006" w:rsidRDefault="00CD34A0" w:rsidP="00875006">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Consorzio 3C Scrl Liq.ne coatta amm.</w:t>
            </w:r>
          </w:p>
        </w:tc>
        <w:tc>
          <w:tcPr>
            <w:tcW w:w="450"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71"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26"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44"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r>
      <w:tr w:rsidR="00875006" w:rsidRPr="00CD34A0" w:rsidTr="0004186B">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26</w:t>
            </w:r>
          </w:p>
        </w:tc>
        <w:tc>
          <w:tcPr>
            <w:tcW w:w="844"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875006" w:rsidRDefault="00CD34A0" w:rsidP="00875006">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 xml:space="preserve">Fond.ne Sardegna film </w:t>
            </w:r>
            <w:r w:rsidR="0004186B">
              <w:rPr>
                <w:rFonts w:ascii="Bodoni MT" w:eastAsia="Times New Roman" w:hAnsi="Bodoni MT" w:cs="Times New Roman"/>
                <w:color w:val="FFFFFF" w:themeColor="background1"/>
                <w:sz w:val="18"/>
                <w:szCs w:val="18"/>
                <w:lang w:eastAsia="it-IT"/>
              </w:rPr>
              <w:t>comm.</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85.000</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618.416</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8.017</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8.017</w:t>
            </w:r>
          </w:p>
        </w:tc>
        <w:tc>
          <w:tcPr>
            <w:tcW w:w="371"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26"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626.433</w:t>
            </w:r>
          </w:p>
        </w:tc>
      </w:tr>
      <w:tr w:rsidR="00875006" w:rsidRPr="00CD34A0" w:rsidTr="0004186B">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27</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 xml:space="preserve">Fond.ne Teatro lirico di </w:t>
            </w:r>
            <w:r w:rsidR="0004186B">
              <w:rPr>
                <w:rFonts w:ascii="Bodoni MT" w:eastAsia="Times New Roman" w:hAnsi="Bodoni MT" w:cs="Times New Roman"/>
                <w:color w:val="FFFFFF" w:themeColor="background1"/>
                <w:sz w:val="18"/>
                <w:szCs w:val="18"/>
                <w:lang w:eastAsia="it-IT"/>
              </w:rPr>
              <w:t>Ca.</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10.205.656</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19,75</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2.912.335</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2.162</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2.162</w:t>
            </w:r>
          </w:p>
        </w:tc>
        <w:tc>
          <w:tcPr>
            <w:tcW w:w="371"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26"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-574.776</w:t>
            </w: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-574.776</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2.339.721</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28</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Agris</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56.809.469</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56.809.469</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56.809.469</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29</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Area</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732.151.769</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732.151.769</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732.151.769</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30</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Argea</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46.709.167</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46.709.167</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46.709.167</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31</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Arpas</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11.040.148</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11.040.148</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11.040.148</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32</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Aspal</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55.345.749</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55.345.749</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55.345.749</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33</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Conservatoria delle coste</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7.205.243</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7.205.243</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7.205.243</w:t>
            </w:r>
          </w:p>
        </w:tc>
      </w:tr>
      <w:tr w:rsidR="00875006" w:rsidRPr="00CD34A0" w:rsidTr="00EE5D78">
        <w:trPr>
          <w:trHeight w:val="64"/>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34</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Enas</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6.581.642</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6.581.642</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6.581.642</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35</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Ersu Cagliari</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61.841.127</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61.841.127</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61.841.127</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36</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Ersu Sassari</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31.624.022</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29.213.436</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1.758.658</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651.928</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2.410.586</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31.624.022</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37</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Forestas</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57.511.476</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57.511.476</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57.511.476</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38</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Isre</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27.076.178</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27.076.178</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27.076.178</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39</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Laore</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26.169.004</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26.169.004</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26.169.004</w:t>
            </w:r>
          </w:p>
        </w:tc>
      </w:tr>
      <w:tr w:rsidR="00875006" w:rsidRPr="00CD34A0" w:rsidTr="00EE5D78">
        <w:trPr>
          <w:trHeight w:val="270"/>
          <w:jc w:val="center"/>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40</w:t>
            </w:r>
          </w:p>
        </w:tc>
        <w:tc>
          <w:tcPr>
            <w:tcW w:w="844" w:type="pct"/>
            <w:tcBorders>
              <w:top w:val="nil"/>
              <w:left w:val="nil"/>
              <w:bottom w:val="single" w:sz="4" w:space="0" w:color="000000"/>
              <w:right w:val="single" w:sz="4" w:space="0" w:color="000000"/>
            </w:tcBorders>
            <w:shd w:val="clear" w:color="auto" w:fill="95B3D7" w:themeFill="accent1" w:themeFillTint="99"/>
            <w:hideMark/>
          </w:tcPr>
          <w:p w:rsidR="00CD34A0" w:rsidRPr="0087500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875006">
              <w:rPr>
                <w:rFonts w:ascii="Bodoni MT" w:eastAsia="Times New Roman" w:hAnsi="Bodoni MT" w:cs="Times New Roman"/>
                <w:color w:val="FFFFFF" w:themeColor="background1"/>
                <w:sz w:val="18"/>
                <w:szCs w:val="18"/>
                <w:lang w:eastAsia="it-IT"/>
              </w:rPr>
              <w:t>Sardegna ricerche</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2.831.421</w:t>
            </w:r>
          </w:p>
        </w:tc>
        <w:tc>
          <w:tcPr>
            <w:tcW w:w="305"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100,00</w:t>
            </w:r>
          </w:p>
        </w:tc>
        <w:tc>
          <w:tcPr>
            <w:tcW w:w="450"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2.831.421</w:t>
            </w:r>
          </w:p>
        </w:tc>
        <w:tc>
          <w:tcPr>
            <w:tcW w:w="345"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vAlign w:val="center"/>
            <w:hideMark/>
          </w:tcPr>
          <w:p w:rsidR="00CD34A0" w:rsidRPr="00CD34A0" w:rsidRDefault="00CD34A0" w:rsidP="00CD34A0">
            <w:pPr>
              <w:spacing w:after="0" w:line="240" w:lineRule="auto"/>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 </w:t>
            </w:r>
          </w:p>
        </w:tc>
        <w:tc>
          <w:tcPr>
            <w:tcW w:w="353"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371"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26" w:type="pct"/>
            <w:tcBorders>
              <w:top w:val="nil"/>
              <w:left w:val="nil"/>
              <w:bottom w:val="single" w:sz="4" w:space="0" w:color="000000"/>
              <w:right w:val="single" w:sz="4" w:space="0" w:color="000000"/>
            </w:tcBorders>
            <w:shd w:val="clear" w:color="auto" w:fill="auto"/>
            <w:vAlign w:val="center"/>
          </w:tcPr>
          <w:p w:rsidR="00CD34A0" w:rsidRPr="00CD34A0" w:rsidRDefault="00CD34A0" w:rsidP="00EE5D78">
            <w:pPr>
              <w:spacing w:after="0" w:line="240" w:lineRule="auto"/>
              <w:jc w:val="right"/>
              <w:rPr>
                <w:rFonts w:ascii="Bodoni MT" w:eastAsia="Times New Roman" w:hAnsi="Bodoni MT" w:cs="Times New Roman"/>
                <w:color w:val="000000"/>
                <w:sz w:val="18"/>
                <w:szCs w:val="18"/>
                <w:lang w:eastAsia="it-IT"/>
              </w:rPr>
            </w:pPr>
          </w:p>
        </w:tc>
        <w:tc>
          <w:tcPr>
            <w:tcW w:w="344"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color w:val="000000"/>
                <w:sz w:val="18"/>
                <w:szCs w:val="18"/>
                <w:lang w:eastAsia="it-IT"/>
              </w:rPr>
            </w:pPr>
            <w:r w:rsidRPr="00CD34A0">
              <w:rPr>
                <w:rFonts w:ascii="Bodoni MT" w:eastAsia="Times New Roman" w:hAnsi="Bodoni MT" w:cs="Times New Roman"/>
                <w:color w:val="000000"/>
                <w:sz w:val="18"/>
                <w:szCs w:val="18"/>
                <w:lang w:eastAsia="it-IT"/>
              </w:rPr>
              <w:t>2.831.421</w:t>
            </w:r>
          </w:p>
        </w:tc>
      </w:tr>
      <w:tr w:rsidR="00875006" w:rsidRPr="00CD34A0" w:rsidTr="0004186B">
        <w:trPr>
          <w:trHeight w:val="270"/>
          <w:jc w:val="center"/>
        </w:trPr>
        <w:tc>
          <w:tcPr>
            <w:tcW w:w="950" w:type="pct"/>
            <w:gridSpan w:val="2"/>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875006" w:rsidRPr="00875006" w:rsidRDefault="00875006" w:rsidP="00CD34A0">
            <w:pPr>
              <w:spacing w:after="0" w:line="240" w:lineRule="auto"/>
              <w:rPr>
                <w:rFonts w:ascii="Bodoni MT" w:eastAsia="Times New Roman" w:hAnsi="Bodoni MT" w:cs="Times New Roman"/>
                <w:b/>
                <w:bCs/>
                <w:iCs/>
                <w:color w:val="FFFFFF" w:themeColor="background1"/>
                <w:sz w:val="18"/>
                <w:szCs w:val="18"/>
                <w:lang w:eastAsia="it-IT"/>
              </w:rPr>
            </w:pPr>
            <w:r w:rsidRPr="00875006">
              <w:rPr>
                <w:rFonts w:ascii="Bodoni MT" w:eastAsia="Times New Roman" w:hAnsi="Bodoni MT" w:cs="Times New Roman"/>
                <w:b/>
                <w:bCs/>
                <w:iCs/>
                <w:color w:val="FFFFFF" w:themeColor="background1"/>
                <w:sz w:val="18"/>
                <w:szCs w:val="18"/>
                <w:lang w:eastAsia="it-IT"/>
              </w:rPr>
              <w:t>Totale altri soggetti</w:t>
            </w:r>
          </w:p>
        </w:tc>
        <w:tc>
          <w:tcPr>
            <w:tcW w:w="450"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1.133.290.359</w:t>
            </w:r>
          </w:p>
        </w:tc>
        <w:tc>
          <w:tcPr>
            <w:tcW w:w="305" w:type="pct"/>
            <w:tcBorders>
              <w:top w:val="nil"/>
              <w:left w:val="nil"/>
              <w:bottom w:val="single" w:sz="4" w:space="0" w:color="000000"/>
              <w:right w:val="single" w:sz="4" w:space="0" w:color="000000"/>
            </w:tcBorders>
            <w:shd w:val="clear" w:color="auto" w:fill="FFFFFF" w:themeFill="background1"/>
            <w:vAlign w:val="center"/>
            <w:hideMark/>
          </w:tcPr>
          <w:p w:rsidR="00875006" w:rsidRPr="00875006" w:rsidRDefault="00875006" w:rsidP="00CD34A0">
            <w:pPr>
              <w:spacing w:after="0" w:line="240" w:lineRule="auto"/>
              <w:rPr>
                <w:rFonts w:eastAsia="Times New Roman" w:cs="Times New Roman"/>
                <w:color w:val="000000"/>
                <w:sz w:val="18"/>
                <w:szCs w:val="18"/>
                <w:lang w:eastAsia="it-IT"/>
              </w:rPr>
            </w:pPr>
            <w:r w:rsidRPr="00875006">
              <w:rPr>
                <w:rFonts w:eastAsia="Times New Roman" w:cs="Times New Roman"/>
                <w:color w:val="000000"/>
                <w:sz w:val="18"/>
                <w:szCs w:val="18"/>
                <w:lang w:eastAsia="it-IT"/>
              </w:rPr>
              <w:t> </w:t>
            </w:r>
          </w:p>
        </w:tc>
        <w:tc>
          <w:tcPr>
            <w:tcW w:w="450"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1.124.016.580</w:t>
            </w:r>
          </w:p>
        </w:tc>
        <w:tc>
          <w:tcPr>
            <w:tcW w:w="345"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0</w:t>
            </w:r>
          </w:p>
        </w:tc>
        <w:tc>
          <w:tcPr>
            <w:tcW w:w="353"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1.768.837</w:t>
            </w:r>
          </w:p>
        </w:tc>
        <w:tc>
          <w:tcPr>
            <w:tcW w:w="353"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651.928</w:t>
            </w:r>
          </w:p>
        </w:tc>
        <w:tc>
          <w:tcPr>
            <w:tcW w:w="353"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2.420.765</w:t>
            </w:r>
          </w:p>
        </w:tc>
        <w:tc>
          <w:tcPr>
            <w:tcW w:w="371"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0</w:t>
            </w:r>
          </w:p>
        </w:tc>
        <w:tc>
          <w:tcPr>
            <w:tcW w:w="326"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-574.776</w:t>
            </w:r>
          </w:p>
        </w:tc>
        <w:tc>
          <w:tcPr>
            <w:tcW w:w="344"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-574.776</w:t>
            </w:r>
          </w:p>
        </w:tc>
        <w:tc>
          <w:tcPr>
            <w:tcW w:w="402" w:type="pct"/>
            <w:tcBorders>
              <w:top w:val="nil"/>
              <w:left w:val="nil"/>
              <w:bottom w:val="single" w:sz="4" w:space="0" w:color="000000"/>
              <w:right w:val="single" w:sz="4" w:space="0" w:color="000000"/>
            </w:tcBorders>
            <w:shd w:val="clear" w:color="auto" w:fill="FFFFFF" w:themeFill="background1"/>
            <w:noWrap/>
            <w:hideMark/>
          </w:tcPr>
          <w:p w:rsidR="00875006" w:rsidRPr="00875006" w:rsidRDefault="00875006" w:rsidP="00CD34A0">
            <w:pPr>
              <w:spacing w:after="0" w:line="240" w:lineRule="auto"/>
              <w:jc w:val="right"/>
              <w:rPr>
                <w:rFonts w:eastAsia="Times New Roman" w:cs="Times New Roman"/>
                <w:b/>
                <w:bCs/>
                <w:iCs/>
                <w:color w:val="000000"/>
                <w:sz w:val="18"/>
                <w:szCs w:val="18"/>
                <w:lang w:eastAsia="it-IT"/>
              </w:rPr>
            </w:pPr>
            <w:r w:rsidRPr="00875006">
              <w:rPr>
                <w:rFonts w:eastAsia="Times New Roman" w:cs="Times New Roman"/>
                <w:b/>
                <w:bCs/>
                <w:iCs/>
                <w:color w:val="000000"/>
                <w:sz w:val="18"/>
                <w:szCs w:val="18"/>
                <w:lang w:eastAsia="it-IT"/>
              </w:rPr>
              <w:t>1.125.862.569</w:t>
            </w:r>
          </w:p>
        </w:tc>
      </w:tr>
      <w:tr w:rsidR="00875006" w:rsidRPr="00875006" w:rsidTr="002C1F0C">
        <w:trPr>
          <w:trHeight w:val="270"/>
          <w:jc w:val="center"/>
        </w:trPr>
        <w:tc>
          <w:tcPr>
            <w:tcW w:w="950"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875006" w:rsidRPr="00875006" w:rsidRDefault="00875006" w:rsidP="002C1F0C">
            <w:pPr>
              <w:spacing w:after="0" w:line="240" w:lineRule="auto"/>
              <w:rPr>
                <w:rFonts w:ascii="Bodoni MT" w:eastAsia="Times New Roman" w:hAnsi="Bodoni MT" w:cs="Times New Roman"/>
                <w:b/>
                <w:bCs/>
                <w:iCs/>
                <w:sz w:val="18"/>
                <w:szCs w:val="18"/>
                <w:lang w:eastAsia="it-IT"/>
              </w:rPr>
            </w:pPr>
            <w:r w:rsidRPr="0004186B">
              <w:rPr>
                <w:rFonts w:ascii="Bodoni MT" w:eastAsia="Times New Roman" w:hAnsi="Bodoni MT" w:cs="Times New Roman"/>
                <w:b/>
                <w:bCs/>
                <w:iCs/>
                <w:color w:val="FFFFFF" w:themeColor="background1"/>
                <w:sz w:val="18"/>
                <w:szCs w:val="18"/>
                <w:lang w:eastAsia="it-IT"/>
              </w:rPr>
              <w:t>TOTALE PARTECIPAZIONI</w:t>
            </w:r>
          </w:p>
        </w:tc>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1.693.132.746</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5006" w:rsidRPr="002C1F0C" w:rsidRDefault="00875006" w:rsidP="002C1F0C">
            <w:pPr>
              <w:spacing w:after="0" w:line="240" w:lineRule="auto"/>
              <w:jc w:val="right"/>
              <w:rPr>
                <w:rFonts w:ascii="Bodoni MT" w:eastAsia="Times New Roman" w:hAnsi="Bodoni MT" w:cs="Times New Roman"/>
                <w:sz w:val="18"/>
                <w:szCs w:val="18"/>
                <w:lang w:eastAsia="it-IT"/>
              </w:rPr>
            </w:pPr>
          </w:p>
        </w:tc>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1.665.612.571</w:t>
            </w:r>
          </w:p>
        </w:tc>
        <w:tc>
          <w:tcPr>
            <w:tcW w:w="3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14.250.806</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8.958.184</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4.925.786</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13.883.970</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-9.447.993</w:t>
            </w:r>
          </w:p>
        </w:tc>
        <w:tc>
          <w:tcPr>
            <w:tcW w:w="3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-968.194</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-10.416.187</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5006" w:rsidRPr="002C1F0C" w:rsidRDefault="00875006" w:rsidP="002C1F0C">
            <w:pPr>
              <w:spacing w:after="0" w:line="240" w:lineRule="auto"/>
              <w:jc w:val="right"/>
              <w:rPr>
                <w:rFonts w:ascii="Bodoni MT" w:eastAsia="Times New Roman" w:hAnsi="Bodoni MT" w:cs="Times New Roman"/>
                <w:b/>
                <w:bCs/>
                <w:iCs/>
                <w:sz w:val="18"/>
                <w:szCs w:val="18"/>
                <w:lang w:eastAsia="it-IT"/>
              </w:rPr>
            </w:pPr>
            <w:r w:rsidRPr="002C1F0C">
              <w:rPr>
                <w:rFonts w:ascii="Bodoni MT" w:eastAsia="Times New Roman" w:hAnsi="Bodoni MT" w:cs="Times New Roman"/>
                <w:b/>
                <w:bCs/>
                <w:iCs/>
                <w:sz w:val="18"/>
                <w:szCs w:val="18"/>
                <w:lang w:eastAsia="it-IT"/>
              </w:rPr>
              <w:t>1.683.331.162</w:t>
            </w:r>
          </w:p>
        </w:tc>
      </w:tr>
    </w:tbl>
    <w:p w:rsidR="00CD34A0" w:rsidRPr="0004186B" w:rsidRDefault="00CD34A0" w:rsidP="0004186B">
      <w:pPr>
        <w:tabs>
          <w:tab w:val="left" w:pos="284"/>
          <w:tab w:val="left" w:pos="426"/>
        </w:tabs>
        <w:autoSpaceDE w:val="0"/>
        <w:autoSpaceDN w:val="0"/>
        <w:adjustRightInd w:val="0"/>
        <w:spacing w:after="120" w:line="360" w:lineRule="auto"/>
        <w:ind w:hanging="284"/>
        <w:jc w:val="both"/>
        <w:textAlignment w:val="center"/>
        <w:rPr>
          <w:rFonts w:ascii="Bodoni MT" w:eastAsia="Times New Roman" w:hAnsi="Bodoni MT" w:cs="Bodoni MT"/>
          <w:b/>
          <w:color w:val="000000"/>
          <w:sz w:val="24"/>
          <w:szCs w:val="24"/>
        </w:rPr>
      </w:pPr>
      <w:r w:rsidRPr="0004186B">
        <w:rPr>
          <w:rFonts w:ascii="Bodoni MT" w:eastAsia="Times New Roman" w:hAnsi="Bodoni MT" w:cs="Bodoni MT"/>
          <w:color w:val="000000"/>
          <w:sz w:val="18"/>
          <w:szCs w:val="18"/>
        </w:rPr>
        <w:t>Fonte RAS Rendiconto sulla gestione 2016 – Allegato 3.3</w:t>
      </w:r>
    </w:p>
    <w:p w:rsidR="00CD34A0" w:rsidRDefault="00CD34A0" w:rsidP="0052128D">
      <w:pPr>
        <w:tabs>
          <w:tab w:val="left" w:pos="284"/>
          <w:tab w:val="left" w:pos="426"/>
        </w:tabs>
        <w:autoSpaceDE w:val="0"/>
        <w:autoSpaceDN w:val="0"/>
        <w:adjustRightInd w:val="0"/>
        <w:spacing w:after="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lastRenderedPageBreak/>
        <w:t xml:space="preserve">La tavola che segue evidenzia il </w:t>
      </w:r>
      <w:r w:rsidRPr="00CD34A0">
        <w:rPr>
          <w:rFonts w:ascii="Bodoni MT" w:eastAsia="Times New Roman" w:hAnsi="Bodoni MT" w:cs="Bodoni MT"/>
          <w:b/>
          <w:color w:val="000000"/>
          <w:sz w:val="24"/>
          <w:szCs w:val="24"/>
        </w:rPr>
        <w:t>deficit patrimoniale di alcune imprese</w:t>
      </w:r>
      <w:r w:rsidRPr="00CD34A0">
        <w:rPr>
          <w:rFonts w:ascii="Bodoni MT" w:eastAsia="Times New Roman" w:hAnsi="Bodoni MT" w:cs="Bodoni MT"/>
          <w:color w:val="000000"/>
          <w:sz w:val="24"/>
          <w:szCs w:val="24"/>
        </w:rPr>
        <w:t>. L’importo relativo è inserito al 01.01.2016 nel “</w:t>
      </w:r>
      <w:r w:rsidR="00535EB3" w:rsidRPr="00CD34A0">
        <w:rPr>
          <w:rFonts w:ascii="Bodoni MT" w:eastAsia="Times New Roman" w:hAnsi="Bodoni MT" w:cs="Bodoni MT"/>
          <w:color w:val="000000"/>
          <w:sz w:val="24"/>
          <w:szCs w:val="24"/>
        </w:rPr>
        <w:t xml:space="preserve">Fondo </w:t>
      </w:r>
      <w:r w:rsidRPr="00CD34A0">
        <w:rPr>
          <w:rFonts w:ascii="Bodoni MT" w:eastAsia="Times New Roman" w:hAnsi="Bodoni MT" w:cs="Bodoni MT"/>
          <w:color w:val="000000"/>
          <w:sz w:val="24"/>
          <w:szCs w:val="24"/>
        </w:rPr>
        <w:t>per rischi e oneri”</w:t>
      </w:r>
    </w:p>
    <w:p w:rsidR="0052128D" w:rsidRPr="00CD34A0" w:rsidRDefault="0052128D" w:rsidP="0052128D">
      <w:pPr>
        <w:pStyle w:val="Didascalia"/>
        <w:spacing w:before="0"/>
        <w:rPr>
          <w:rFonts w:eastAsia="Times New Roman" w:cs="Bodoni MT"/>
          <w:color w:val="000000"/>
          <w:sz w:val="24"/>
          <w:szCs w:val="24"/>
        </w:rPr>
      </w:pPr>
      <w:bookmarkStart w:id="374" w:name="_Toc507422578"/>
      <w:r>
        <w:t xml:space="preserve">Tabella </w:t>
      </w:r>
      <w:r w:rsidR="00B90472">
        <w:fldChar w:fldCharType="begin"/>
      </w:r>
      <w:r w:rsidR="00B90472">
        <w:instrText xml:space="preserve"> SEQ Tabella \* ARABIC </w:instrText>
      </w:r>
      <w:r w:rsidR="00B90472">
        <w:fldChar w:fldCharType="separate"/>
      </w:r>
      <w:r w:rsidR="008616B3">
        <w:rPr>
          <w:noProof/>
        </w:rPr>
        <w:t>110</w:t>
      </w:r>
      <w:r w:rsidR="00B90472">
        <w:rPr>
          <w:noProof/>
        </w:rPr>
        <w:fldChar w:fldCharType="end"/>
      </w:r>
      <w:r>
        <w:t xml:space="preserve"> – Movimentazione delle immobilizzazioni finanziarie</w:t>
      </w:r>
      <w:bookmarkEnd w:id="374"/>
    </w:p>
    <w:tbl>
      <w:tblPr>
        <w:tblW w:w="5000" w:type="pct"/>
        <w:tblCellMar>
          <w:left w:w="70" w:type="dxa"/>
          <w:right w:w="70" w:type="dxa"/>
        </w:tblCellMar>
        <w:tblLook w:val="04A0" w:firstRow="1" w:lastRow="0" w:firstColumn="1" w:lastColumn="0" w:noHBand="0" w:noVBand="1"/>
      </w:tblPr>
      <w:tblGrid>
        <w:gridCol w:w="391"/>
        <w:gridCol w:w="2834"/>
        <w:gridCol w:w="1109"/>
        <w:gridCol w:w="855"/>
        <w:gridCol w:w="1135"/>
        <w:gridCol w:w="1035"/>
        <w:gridCol w:w="1139"/>
        <w:gridCol w:w="1139"/>
        <w:gridCol w:w="1182"/>
        <w:gridCol w:w="1269"/>
        <w:gridCol w:w="1159"/>
        <w:gridCol w:w="1179"/>
      </w:tblGrid>
      <w:tr w:rsidR="00CD34A0" w:rsidRPr="0004186B" w:rsidTr="00203D68">
        <w:trPr>
          <w:trHeight w:val="900"/>
        </w:trPr>
        <w:tc>
          <w:tcPr>
            <w:tcW w:w="143" w:type="pct"/>
            <w:tcBorders>
              <w:top w:val="single" w:sz="4" w:space="0" w:color="000000"/>
              <w:left w:val="single" w:sz="4" w:space="0" w:color="000000"/>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b/>
                <w:bCs/>
                <w:iCs/>
                <w:sz w:val="16"/>
                <w:szCs w:val="16"/>
                <w:lang w:eastAsia="it-IT"/>
              </w:rPr>
            </w:pPr>
            <w:r w:rsidRPr="0004186B">
              <w:rPr>
                <w:rFonts w:ascii="Bodoni MT" w:eastAsia="Times New Roman" w:hAnsi="Bodoni MT" w:cs="Times New Roman"/>
                <w:b/>
                <w:bCs/>
                <w:iCs/>
                <w:sz w:val="16"/>
                <w:szCs w:val="16"/>
                <w:lang w:eastAsia="it-IT"/>
              </w:rPr>
              <w:t>N.</w:t>
            </w:r>
          </w:p>
        </w:tc>
        <w:tc>
          <w:tcPr>
            <w:tcW w:w="99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b/>
                <w:bCs/>
                <w:iCs/>
                <w:sz w:val="16"/>
                <w:szCs w:val="16"/>
                <w:lang w:eastAsia="it-IT"/>
              </w:rPr>
            </w:pPr>
            <w:r w:rsidRPr="0004186B">
              <w:rPr>
                <w:rFonts w:ascii="Bodoni MT" w:eastAsia="Times New Roman" w:hAnsi="Bodoni MT" w:cs="Times New Roman"/>
                <w:b/>
                <w:bCs/>
                <w:iCs/>
                <w:sz w:val="16"/>
                <w:szCs w:val="16"/>
                <w:lang w:eastAsia="it-IT"/>
              </w:rPr>
              <w:t>IMPRESE CONTROLLATE</w:t>
            </w:r>
          </w:p>
        </w:tc>
        <w:tc>
          <w:tcPr>
            <w:tcW w:w="39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Capitale 31.12.2016</w:t>
            </w:r>
          </w:p>
        </w:tc>
        <w:tc>
          <w:tcPr>
            <w:tcW w:w="21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 Ras 31.12.2016</w:t>
            </w:r>
          </w:p>
        </w:tc>
        <w:tc>
          <w:tcPr>
            <w:tcW w:w="401"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Patrim. Netto 2016</w:t>
            </w:r>
          </w:p>
        </w:tc>
        <w:tc>
          <w:tcPr>
            <w:tcW w:w="36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Risultato d'esercizio 2016</w:t>
            </w:r>
          </w:p>
        </w:tc>
        <w:tc>
          <w:tcPr>
            <w:tcW w:w="40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2015 (totale)</w:t>
            </w:r>
          </w:p>
        </w:tc>
        <w:tc>
          <w:tcPr>
            <w:tcW w:w="40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2016 (totale)</w:t>
            </w:r>
          </w:p>
        </w:tc>
        <w:tc>
          <w:tcPr>
            <w:tcW w:w="41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31/12/2015</w:t>
            </w:r>
            <w:r w:rsidRPr="0004186B">
              <w:rPr>
                <w:rFonts w:ascii="Bodoni MT" w:eastAsia="Times New Roman" w:hAnsi="Bodoni MT" w:cs="Times New Roman"/>
                <w:b/>
                <w:bCs/>
                <w:iCs/>
                <w:sz w:val="16"/>
                <w:szCs w:val="16"/>
                <w:lang w:eastAsia="it-IT"/>
              </w:rPr>
              <w:br/>
              <w:t>(quota Ras del deficit)</w:t>
            </w:r>
          </w:p>
        </w:tc>
        <w:tc>
          <w:tcPr>
            <w:tcW w:w="44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Utilizzi/stralci Fondo rischi</w:t>
            </w:r>
          </w:p>
        </w:tc>
        <w:tc>
          <w:tcPr>
            <w:tcW w:w="409"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Accantonam. a fondo rischi</w:t>
            </w:r>
          </w:p>
        </w:tc>
        <w:tc>
          <w:tcPr>
            <w:tcW w:w="41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31/12/2016</w:t>
            </w:r>
            <w:r w:rsidRPr="0004186B">
              <w:rPr>
                <w:rFonts w:ascii="Bodoni MT" w:eastAsia="Times New Roman" w:hAnsi="Bodoni MT" w:cs="Times New Roman"/>
                <w:b/>
                <w:bCs/>
                <w:iCs/>
                <w:sz w:val="16"/>
                <w:szCs w:val="16"/>
                <w:lang w:eastAsia="it-IT"/>
              </w:rPr>
              <w:br/>
              <w:t>(quota Ras del deficit)</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Abbanoa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271.275.415</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69,87</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372.974.717</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8.619.840</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Arst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819.000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Bic Sardegna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720.265</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779.446</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25.618</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4</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Carbosulcis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15.000.000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71.438.770</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-8.253.844</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5</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Fase1 Srl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-597.583</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-717.583</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-597.583</w:t>
            </w: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-597.583</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-597.583</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6</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Fluorite di Silius Spa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2.000.000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2.115.541</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110.965</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7</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Hydrocontrol Srl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1.266.763</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48.583</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-722</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-722</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722</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8</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Igea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4.100.000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5.364.439</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665.068</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9</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Insar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15.889.306</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55,39</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15.982.897</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24.817</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203D68">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10</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Nuova Mineraria Silius Spa in C.Prev.</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10.330.000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-218.446.573</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-861.393</w:t>
            </w: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-217.585.180</w:t>
            </w: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-218.446.573</w:t>
            </w: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-10.213.051</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-861.393</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-11.074.444</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11</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Progemisa Spa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5.160.000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3.425.069</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-122.761</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12</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Sardegna It Srl</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1.722.172</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27.409</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13</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Saremar Spa in Concordato Prev.</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2.033.320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-2.062.438</w:t>
            </w:r>
          </w:p>
        </w:tc>
        <w:tc>
          <w:tcPr>
            <w:tcW w:w="40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-2.062.438</w:t>
            </w: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-2.062.438</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-2.062.438</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14</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Sarind Srl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15.037.418</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-71.658</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15</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Sfirs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125.241.120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125.532.314</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91.694</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16</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Sigma Invest Spa in Liquidazione</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37.181.565</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20.666.968</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-163.416</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17</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Sipas Spa - Cessata (30/06/2016)</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16.147.848</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749.194</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199"/>
        </w:trPr>
        <w:tc>
          <w:tcPr>
            <w:tcW w:w="143"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18</w:t>
            </w:r>
          </w:p>
        </w:tc>
        <w:tc>
          <w:tcPr>
            <w:tcW w:w="990" w:type="pct"/>
            <w:tcBorders>
              <w:top w:val="nil"/>
              <w:left w:val="nil"/>
              <w:bottom w:val="single" w:sz="4" w:space="0" w:color="000000"/>
              <w:right w:val="single" w:sz="4" w:space="0" w:color="000000"/>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Sotacarbo Spa</w:t>
            </w:r>
          </w:p>
        </w:tc>
        <w:tc>
          <w:tcPr>
            <w:tcW w:w="392"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2.322.000</w:t>
            </w:r>
          </w:p>
        </w:tc>
        <w:tc>
          <w:tcPr>
            <w:tcW w:w="215"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50,00</w:t>
            </w:r>
          </w:p>
        </w:tc>
        <w:tc>
          <w:tcPr>
            <w:tcW w:w="401"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3.074.948</w:t>
            </w:r>
          </w:p>
        </w:tc>
        <w:tc>
          <w:tcPr>
            <w:tcW w:w="36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144.745</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hideMark/>
          </w:tcPr>
          <w:p w:rsidR="00CD34A0" w:rsidRPr="0004186B" w:rsidRDefault="00CD34A0" w:rsidP="00CD34A0">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04186B" w:rsidRPr="00CD34A0" w:rsidTr="002C1F0C">
        <w:trPr>
          <w:trHeight w:val="199"/>
        </w:trPr>
        <w:tc>
          <w:tcPr>
            <w:tcW w:w="1133" w:type="pct"/>
            <w:gridSpan w:val="2"/>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04186B" w:rsidRPr="00AD4582" w:rsidRDefault="00AD4582" w:rsidP="00CD34A0">
            <w:pPr>
              <w:spacing w:after="0" w:line="240" w:lineRule="auto"/>
              <w:rPr>
                <w:rFonts w:ascii="Bodoni MT" w:eastAsia="Times New Roman" w:hAnsi="Bodoni MT" w:cs="Times New Roman"/>
                <w:b/>
                <w:bCs/>
                <w:iCs/>
                <w:color w:val="FFFFFF" w:themeColor="background1"/>
                <w:sz w:val="16"/>
                <w:szCs w:val="16"/>
                <w:lang w:eastAsia="it-IT"/>
              </w:rPr>
            </w:pPr>
            <w:r w:rsidRPr="00AD4582">
              <w:rPr>
                <w:rFonts w:ascii="Bodoni MT" w:eastAsia="Times New Roman" w:hAnsi="Bodoni MT" w:cs="Times New Roman"/>
                <w:b/>
                <w:bCs/>
                <w:iCs/>
                <w:color w:val="FFFFFF" w:themeColor="background1"/>
                <w:sz w:val="16"/>
                <w:szCs w:val="16"/>
                <w:lang w:eastAsia="it-IT"/>
              </w:rPr>
              <w:t>TOTALE SOCIETÀ CONTROLLATE</w:t>
            </w:r>
          </w:p>
        </w:tc>
        <w:tc>
          <w:tcPr>
            <w:tcW w:w="392"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509.806.602</w:t>
            </w:r>
          </w:p>
        </w:tc>
        <w:tc>
          <w:tcPr>
            <w:tcW w:w="215" w:type="pct"/>
            <w:tcBorders>
              <w:top w:val="nil"/>
              <w:left w:val="nil"/>
              <w:bottom w:val="single" w:sz="4" w:space="0" w:color="000000"/>
              <w:right w:val="single" w:sz="4" w:space="0" w:color="000000"/>
            </w:tcBorders>
            <w:shd w:val="clear" w:color="auto" w:fill="FFFFFF" w:themeFill="background1"/>
            <w:vAlign w:val="center"/>
            <w:hideMark/>
          </w:tcPr>
          <w:p w:rsidR="0004186B" w:rsidRPr="002C1F0C" w:rsidRDefault="0004186B" w:rsidP="002C1F0C">
            <w:pPr>
              <w:spacing w:after="0" w:line="240" w:lineRule="auto"/>
              <w:jc w:val="right"/>
              <w:rPr>
                <w:rFonts w:eastAsia="Times New Roman" w:cs="Times New Roman"/>
                <w:b/>
                <w:color w:val="000000"/>
                <w:sz w:val="20"/>
                <w:szCs w:val="20"/>
                <w:lang w:eastAsia="it-IT"/>
              </w:rPr>
            </w:pPr>
            <w:r w:rsidRPr="002C1F0C">
              <w:rPr>
                <w:rFonts w:eastAsia="Times New Roman" w:cs="Times New Roman"/>
                <w:b/>
                <w:color w:val="000000"/>
                <w:sz w:val="20"/>
                <w:szCs w:val="20"/>
                <w:lang w:eastAsia="it-IT"/>
              </w:rPr>
              <w:t> </w:t>
            </w:r>
          </w:p>
        </w:tc>
        <w:tc>
          <w:tcPr>
            <w:tcW w:w="401"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419.119.126</w:t>
            </w:r>
          </w:p>
        </w:tc>
        <w:tc>
          <w:tcPr>
            <w:tcW w:w="36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268.695</w:t>
            </w:r>
          </w:p>
        </w:tc>
        <w:tc>
          <w:tcPr>
            <w:tcW w:w="402"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-219.648.340</w:t>
            </w:r>
          </w:p>
        </w:tc>
        <w:tc>
          <w:tcPr>
            <w:tcW w:w="402"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-221.106.594</w:t>
            </w:r>
          </w:p>
        </w:tc>
        <w:tc>
          <w:tcPr>
            <w:tcW w:w="417"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-12.276.211</w:t>
            </w:r>
          </w:p>
        </w:tc>
        <w:tc>
          <w:tcPr>
            <w:tcW w:w="447"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722</w:t>
            </w:r>
          </w:p>
        </w:tc>
        <w:tc>
          <w:tcPr>
            <w:tcW w:w="409"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-1.458.976</w:t>
            </w:r>
          </w:p>
        </w:tc>
        <w:tc>
          <w:tcPr>
            <w:tcW w:w="41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2C1F0C" w:rsidRDefault="0004186B" w:rsidP="002C1F0C">
            <w:pPr>
              <w:spacing w:after="0" w:line="240" w:lineRule="auto"/>
              <w:jc w:val="right"/>
              <w:rPr>
                <w:rFonts w:eastAsia="Times New Roman" w:cs="Times New Roman"/>
                <w:b/>
                <w:bCs/>
                <w:iCs/>
                <w:color w:val="000000"/>
                <w:sz w:val="16"/>
                <w:szCs w:val="16"/>
                <w:lang w:eastAsia="it-IT"/>
              </w:rPr>
            </w:pPr>
            <w:r w:rsidRPr="002C1F0C">
              <w:rPr>
                <w:rFonts w:eastAsia="Times New Roman" w:cs="Times New Roman"/>
                <w:b/>
                <w:bCs/>
                <w:iCs/>
                <w:color w:val="000000"/>
                <w:sz w:val="16"/>
                <w:szCs w:val="16"/>
                <w:lang w:eastAsia="it-IT"/>
              </w:rPr>
              <w:t>-13.734.465</w:t>
            </w:r>
          </w:p>
        </w:tc>
      </w:tr>
      <w:tr w:rsidR="00CD34A0" w:rsidRPr="00CD34A0" w:rsidTr="00203D68">
        <w:trPr>
          <w:trHeight w:val="255"/>
        </w:trPr>
        <w:tc>
          <w:tcPr>
            <w:tcW w:w="143" w:type="pct"/>
            <w:tcBorders>
              <w:top w:val="nil"/>
              <w:left w:val="nil"/>
              <w:bottom w:val="nil"/>
              <w:right w:val="nil"/>
            </w:tcBorders>
            <w:shd w:val="clear" w:color="auto" w:fill="auto"/>
            <w:noWrap/>
            <w:hideMark/>
          </w:tcPr>
          <w:p w:rsidR="00CD34A0" w:rsidRPr="00CD34A0" w:rsidRDefault="00CD34A0" w:rsidP="00CD34A0">
            <w:pPr>
              <w:spacing w:after="0" w:line="240" w:lineRule="auto"/>
              <w:jc w:val="right"/>
              <w:rPr>
                <w:rFonts w:ascii="Bodoni MT" w:eastAsia="Times New Roman" w:hAnsi="Bodoni MT" w:cs="Times New Roman"/>
                <w:b/>
                <w:bCs/>
                <w:i/>
                <w:iCs/>
                <w:color w:val="000000"/>
                <w:sz w:val="16"/>
                <w:szCs w:val="16"/>
                <w:lang w:eastAsia="it-IT"/>
              </w:rPr>
            </w:pPr>
          </w:p>
        </w:tc>
        <w:tc>
          <w:tcPr>
            <w:tcW w:w="990"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392"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215"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01"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366"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02"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02"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17"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47"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09"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c>
          <w:tcPr>
            <w:tcW w:w="416" w:type="pct"/>
            <w:tcBorders>
              <w:top w:val="nil"/>
              <w:left w:val="nil"/>
              <w:bottom w:val="nil"/>
              <w:right w:val="nil"/>
            </w:tcBorders>
            <w:shd w:val="clear" w:color="auto" w:fill="auto"/>
            <w:noWrap/>
            <w:hideMark/>
          </w:tcPr>
          <w:p w:rsidR="00CD34A0" w:rsidRPr="00CD34A0" w:rsidRDefault="00CD34A0" w:rsidP="00CD34A0">
            <w:pPr>
              <w:spacing w:after="0" w:line="240" w:lineRule="auto"/>
              <w:rPr>
                <w:rFonts w:ascii="Times New Roman" w:eastAsia="Times New Roman" w:hAnsi="Times New Roman" w:cs="Times New Roman"/>
                <w:sz w:val="20"/>
                <w:szCs w:val="20"/>
                <w:lang w:eastAsia="it-IT"/>
              </w:rPr>
            </w:pPr>
          </w:p>
        </w:tc>
      </w:tr>
      <w:tr w:rsidR="00CD34A0" w:rsidRPr="0004186B" w:rsidTr="00203D68">
        <w:trPr>
          <w:trHeight w:val="900"/>
        </w:trPr>
        <w:tc>
          <w:tcPr>
            <w:tcW w:w="143"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Arial" w:eastAsia="Times New Roman" w:hAnsi="Arial" w:cs="Arial"/>
                <w:b/>
                <w:bCs/>
                <w:iCs/>
                <w:sz w:val="16"/>
                <w:szCs w:val="16"/>
                <w:lang w:eastAsia="it-IT"/>
              </w:rPr>
            </w:pPr>
            <w:r w:rsidRPr="0004186B">
              <w:rPr>
                <w:rFonts w:ascii="Arial" w:eastAsia="Times New Roman" w:hAnsi="Arial" w:cs="Arial"/>
                <w:b/>
                <w:bCs/>
                <w:iCs/>
                <w:sz w:val="16"/>
                <w:szCs w:val="16"/>
                <w:lang w:eastAsia="it-IT"/>
              </w:rPr>
              <w:t>N.</w:t>
            </w:r>
          </w:p>
        </w:tc>
        <w:tc>
          <w:tcPr>
            <w:tcW w:w="990"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b/>
                <w:bCs/>
                <w:iCs/>
                <w:sz w:val="16"/>
                <w:szCs w:val="16"/>
                <w:lang w:eastAsia="it-IT"/>
              </w:rPr>
            </w:pPr>
            <w:r w:rsidRPr="0004186B">
              <w:rPr>
                <w:rFonts w:ascii="Bodoni MT" w:eastAsia="Times New Roman" w:hAnsi="Bodoni MT" w:cs="Times New Roman"/>
                <w:b/>
                <w:bCs/>
                <w:iCs/>
                <w:sz w:val="16"/>
                <w:szCs w:val="16"/>
                <w:lang w:eastAsia="it-IT"/>
              </w:rPr>
              <w:t>IMPRESE PARTECIPATE</w:t>
            </w:r>
          </w:p>
        </w:tc>
        <w:tc>
          <w:tcPr>
            <w:tcW w:w="392"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Capitale 31.12.2016</w:t>
            </w:r>
          </w:p>
        </w:tc>
        <w:tc>
          <w:tcPr>
            <w:tcW w:w="215"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 Ras 31.12.2016</w:t>
            </w:r>
          </w:p>
        </w:tc>
        <w:tc>
          <w:tcPr>
            <w:tcW w:w="401"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Patrim. Netto 2016</w:t>
            </w:r>
          </w:p>
        </w:tc>
        <w:tc>
          <w:tcPr>
            <w:tcW w:w="366" w:type="pct"/>
            <w:tcBorders>
              <w:top w:val="single" w:sz="4" w:space="0" w:color="auto"/>
              <w:left w:val="nil"/>
              <w:bottom w:val="single" w:sz="4" w:space="0" w:color="auto"/>
              <w:right w:val="single" w:sz="4" w:space="0" w:color="auto"/>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Risultato d'esercizio 2016</w:t>
            </w:r>
          </w:p>
        </w:tc>
        <w:tc>
          <w:tcPr>
            <w:tcW w:w="40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2015 (totale)</w:t>
            </w:r>
          </w:p>
        </w:tc>
        <w:tc>
          <w:tcPr>
            <w:tcW w:w="402"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2016 (totale)</w:t>
            </w:r>
          </w:p>
        </w:tc>
        <w:tc>
          <w:tcPr>
            <w:tcW w:w="41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31/12/2015</w:t>
            </w:r>
            <w:r w:rsidRPr="0004186B">
              <w:rPr>
                <w:rFonts w:ascii="Bodoni MT" w:eastAsia="Times New Roman" w:hAnsi="Bodoni MT" w:cs="Times New Roman"/>
                <w:b/>
                <w:bCs/>
                <w:iCs/>
                <w:sz w:val="16"/>
                <w:szCs w:val="16"/>
                <w:lang w:eastAsia="it-IT"/>
              </w:rPr>
              <w:br/>
              <w:t>(quota Ras del deficit)</w:t>
            </w:r>
          </w:p>
        </w:tc>
        <w:tc>
          <w:tcPr>
            <w:tcW w:w="44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Utilizzi/stralci Fondo rischi</w:t>
            </w:r>
          </w:p>
        </w:tc>
        <w:tc>
          <w:tcPr>
            <w:tcW w:w="409"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Accantonam. a fondo rischi</w:t>
            </w:r>
          </w:p>
        </w:tc>
        <w:tc>
          <w:tcPr>
            <w:tcW w:w="41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31/12/2016</w:t>
            </w:r>
            <w:r w:rsidRPr="0004186B">
              <w:rPr>
                <w:rFonts w:ascii="Bodoni MT" w:eastAsia="Times New Roman" w:hAnsi="Bodoni MT" w:cs="Times New Roman"/>
                <w:b/>
                <w:bCs/>
                <w:iCs/>
                <w:sz w:val="16"/>
                <w:szCs w:val="16"/>
                <w:lang w:eastAsia="it-IT"/>
              </w:rPr>
              <w:br/>
              <w:t>(quota Ras del deficit)</w:t>
            </w:r>
          </w:p>
        </w:tc>
      </w:tr>
      <w:tr w:rsidR="00CD34A0" w:rsidRPr="00CD34A0" w:rsidTr="009C768F">
        <w:trPr>
          <w:trHeight w:val="270"/>
        </w:trPr>
        <w:tc>
          <w:tcPr>
            <w:tcW w:w="143"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Arial"/>
                <w:color w:val="FFFFFF" w:themeColor="background1"/>
                <w:sz w:val="16"/>
                <w:szCs w:val="16"/>
                <w:lang w:eastAsia="it-IT"/>
              </w:rPr>
            </w:pPr>
            <w:r w:rsidRPr="0004186B">
              <w:rPr>
                <w:rFonts w:ascii="Bodoni MT" w:eastAsia="Times New Roman" w:hAnsi="Bodoni MT" w:cs="Arial"/>
                <w:color w:val="FFFFFF" w:themeColor="background1"/>
                <w:sz w:val="16"/>
                <w:szCs w:val="16"/>
                <w:lang w:eastAsia="it-IT"/>
              </w:rPr>
              <w:t>19</w:t>
            </w:r>
          </w:p>
        </w:tc>
        <w:tc>
          <w:tcPr>
            <w:tcW w:w="990" w:type="pct"/>
            <w:tcBorders>
              <w:top w:val="nil"/>
              <w:left w:val="nil"/>
              <w:bottom w:val="single" w:sz="4" w:space="0" w:color="auto"/>
              <w:right w:val="single" w:sz="4" w:space="0" w:color="auto"/>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Geasar Spa</w:t>
            </w:r>
          </w:p>
        </w:tc>
        <w:tc>
          <w:tcPr>
            <w:tcW w:w="392"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12.912.000</w:t>
            </w:r>
          </w:p>
        </w:tc>
        <w:tc>
          <w:tcPr>
            <w:tcW w:w="215"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1,59</w:t>
            </w:r>
          </w:p>
        </w:tc>
        <w:tc>
          <w:tcPr>
            <w:tcW w:w="401"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51.736.522</w:t>
            </w:r>
          </w:p>
        </w:tc>
        <w:tc>
          <w:tcPr>
            <w:tcW w:w="366"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9.853.189</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43"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Arial"/>
                <w:color w:val="FFFFFF" w:themeColor="background1"/>
                <w:sz w:val="16"/>
                <w:szCs w:val="16"/>
                <w:lang w:eastAsia="it-IT"/>
              </w:rPr>
            </w:pPr>
            <w:r w:rsidRPr="0004186B">
              <w:rPr>
                <w:rFonts w:ascii="Bodoni MT" w:eastAsia="Times New Roman" w:hAnsi="Bodoni MT" w:cs="Arial"/>
                <w:color w:val="FFFFFF" w:themeColor="background1"/>
                <w:sz w:val="16"/>
                <w:szCs w:val="16"/>
                <w:lang w:eastAsia="it-IT"/>
              </w:rPr>
              <w:t>20</w:t>
            </w:r>
          </w:p>
        </w:tc>
        <w:tc>
          <w:tcPr>
            <w:tcW w:w="990" w:type="pct"/>
            <w:tcBorders>
              <w:top w:val="nil"/>
              <w:left w:val="nil"/>
              <w:bottom w:val="single" w:sz="4" w:space="0" w:color="auto"/>
              <w:right w:val="single" w:sz="4" w:space="0" w:color="auto"/>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Janna Scarl</w:t>
            </w:r>
          </w:p>
        </w:tc>
        <w:tc>
          <w:tcPr>
            <w:tcW w:w="392"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13.717.365</w:t>
            </w:r>
          </w:p>
        </w:tc>
        <w:tc>
          <w:tcPr>
            <w:tcW w:w="215"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49,00</w:t>
            </w:r>
          </w:p>
        </w:tc>
        <w:tc>
          <w:tcPr>
            <w:tcW w:w="401"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9.382.040</w:t>
            </w:r>
          </w:p>
        </w:tc>
        <w:tc>
          <w:tcPr>
            <w:tcW w:w="366"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-1.458.618</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43"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Arial"/>
                <w:color w:val="FFFFFF" w:themeColor="background1"/>
                <w:sz w:val="16"/>
                <w:szCs w:val="16"/>
                <w:lang w:eastAsia="it-IT"/>
              </w:rPr>
            </w:pPr>
            <w:r w:rsidRPr="0004186B">
              <w:rPr>
                <w:rFonts w:ascii="Bodoni MT" w:eastAsia="Times New Roman" w:hAnsi="Bodoni MT" w:cs="Arial"/>
                <w:color w:val="FFFFFF" w:themeColor="background1"/>
                <w:sz w:val="16"/>
                <w:szCs w:val="16"/>
                <w:lang w:eastAsia="it-IT"/>
              </w:rPr>
              <w:t>21</w:t>
            </w:r>
          </w:p>
        </w:tc>
        <w:tc>
          <w:tcPr>
            <w:tcW w:w="990" w:type="pct"/>
            <w:tcBorders>
              <w:top w:val="nil"/>
              <w:left w:val="nil"/>
              <w:bottom w:val="single" w:sz="4" w:space="0" w:color="auto"/>
              <w:right w:val="single" w:sz="4" w:space="0" w:color="auto"/>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Sogaer Spa</w:t>
            </w:r>
          </w:p>
        </w:tc>
        <w:tc>
          <w:tcPr>
            <w:tcW w:w="392"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13.000.000</w:t>
            </w:r>
          </w:p>
        </w:tc>
        <w:tc>
          <w:tcPr>
            <w:tcW w:w="215"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0,72</w:t>
            </w:r>
          </w:p>
        </w:tc>
        <w:tc>
          <w:tcPr>
            <w:tcW w:w="401"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23.666.375</w:t>
            </w:r>
          </w:p>
        </w:tc>
        <w:tc>
          <w:tcPr>
            <w:tcW w:w="366"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479.936</w:t>
            </w: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43"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Arial"/>
                <w:color w:val="FFFFFF" w:themeColor="background1"/>
                <w:sz w:val="16"/>
                <w:szCs w:val="16"/>
                <w:lang w:eastAsia="it-IT"/>
              </w:rPr>
            </w:pPr>
            <w:r w:rsidRPr="0004186B">
              <w:rPr>
                <w:rFonts w:ascii="Bodoni MT" w:eastAsia="Times New Roman" w:hAnsi="Bodoni MT" w:cs="Arial"/>
                <w:color w:val="FFFFFF" w:themeColor="background1"/>
                <w:sz w:val="16"/>
                <w:szCs w:val="16"/>
                <w:lang w:eastAsia="it-IT"/>
              </w:rPr>
              <w:t>22</w:t>
            </w:r>
          </w:p>
        </w:tc>
        <w:tc>
          <w:tcPr>
            <w:tcW w:w="990" w:type="pct"/>
            <w:tcBorders>
              <w:top w:val="nil"/>
              <w:left w:val="nil"/>
              <w:bottom w:val="single" w:sz="4" w:space="0" w:color="auto"/>
              <w:right w:val="single" w:sz="4" w:space="0" w:color="auto"/>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Sogeaal Spa</w:t>
            </w:r>
          </w:p>
        </w:tc>
        <w:tc>
          <w:tcPr>
            <w:tcW w:w="392"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7.754.000</w:t>
            </w:r>
          </w:p>
        </w:tc>
        <w:tc>
          <w:tcPr>
            <w:tcW w:w="215"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23,06</w:t>
            </w:r>
          </w:p>
        </w:tc>
        <w:tc>
          <w:tcPr>
            <w:tcW w:w="401"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11.091.562</w:t>
            </w:r>
          </w:p>
        </w:tc>
        <w:tc>
          <w:tcPr>
            <w:tcW w:w="366"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-2.024.852</w:t>
            </w:r>
          </w:p>
        </w:tc>
        <w:tc>
          <w:tcPr>
            <w:tcW w:w="402"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-1.268.674</w:t>
            </w:r>
          </w:p>
        </w:tc>
        <w:tc>
          <w:tcPr>
            <w:tcW w:w="402" w:type="pct"/>
            <w:tcBorders>
              <w:top w:val="nil"/>
              <w:left w:val="nil"/>
              <w:bottom w:val="single" w:sz="4" w:space="0" w:color="000000"/>
              <w:right w:val="single" w:sz="4" w:space="0" w:color="000000"/>
            </w:tcBorders>
            <w:shd w:val="clear" w:color="auto" w:fill="auto"/>
            <w:vAlign w:val="center"/>
            <w:hideMark/>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1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-1.017.477</w:t>
            </w:r>
          </w:p>
        </w:tc>
        <w:tc>
          <w:tcPr>
            <w:tcW w:w="44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1.017.477</w:t>
            </w:r>
          </w:p>
        </w:tc>
        <w:tc>
          <w:tcPr>
            <w:tcW w:w="40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1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43" w:type="pct"/>
            <w:tcBorders>
              <w:top w:val="nil"/>
              <w:left w:val="single" w:sz="4" w:space="0" w:color="auto"/>
              <w:bottom w:val="single" w:sz="4" w:space="0" w:color="auto"/>
              <w:right w:val="single" w:sz="4" w:space="0" w:color="auto"/>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Arial"/>
                <w:color w:val="FFFFFF" w:themeColor="background1"/>
                <w:sz w:val="16"/>
                <w:szCs w:val="16"/>
                <w:lang w:eastAsia="it-IT"/>
              </w:rPr>
            </w:pPr>
            <w:r w:rsidRPr="0004186B">
              <w:rPr>
                <w:rFonts w:ascii="Bodoni MT" w:eastAsia="Times New Roman" w:hAnsi="Bodoni MT" w:cs="Arial"/>
                <w:color w:val="FFFFFF" w:themeColor="background1"/>
                <w:sz w:val="16"/>
                <w:szCs w:val="16"/>
                <w:lang w:eastAsia="it-IT"/>
              </w:rPr>
              <w:t>23</w:t>
            </w:r>
          </w:p>
        </w:tc>
        <w:tc>
          <w:tcPr>
            <w:tcW w:w="990" w:type="pct"/>
            <w:tcBorders>
              <w:top w:val="nil"/>
              <w:left w:val="nil"/>
              <w:bottom w:val="single" w:sz="4" w:space="0" w:color="auto"/>
              <w:right w:val="single" w:sz="4" w:space="0" w:color="auto"/>
            </w:tcBorders>
            <w:shd w:val="clear" w:color="auto" w:fill="95B3D7" w:themeFill="accent1" w:themeFillTint="99"/>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Sogeaor Spa in Liquidazione</w:t>
            </w:r>
          </w:p>
        </w:tc>
        <w:tc>
          <w:tcPr>
            <w:tcW w:w="392"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2.652.421</w:t>
            </w:r>
          </w:p>
        </w:tc>
        <w:tc>
          <w:tcPr>
            <w:tcW w:w="215"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3,36</w:t>
            </w:r>
          </w:p>
        </w:tc>
        <w:tc>
          <w:tcPr>
            <w:tcW w:w="401"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-15.214</w:t>
            </w:r>
          </w:p>
        </w:tc>
        <w:tc>
          <w:tcPr>
            <w:tcW w:w="366" w:type="pct"/>
            <w:tcBorders>
              <w:top w:val="nil"/>
              <w:left w:val="nil"/>
              <w:bottom w:val="single" w:sz="4" w:space="0" w:color="auto"/>
              <w:right w:val="single" w:sz="4" w:space="0" w:color="auto"/>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-62.572</w:t>
            </w:r>
          </w:p>
        </w:tc>
        <w:tc>
          <w:tcPr>
            <w:tcW w:w="402" w:type="pct"/>
            <w:tcBorders>
              <w:top w:val="nil"/>
              <w:left w:val="nil"/>
              <w:bottom w:val="single" w:sz="4" w:space="0" w:color="000000"/>
              <w:right w:val="single" w:sz="4" w:space="0" w:color="000000"/>
            </w:tcBorders>
            <w:shd w:val="clear" w:color="auto" w:fill="auto"/>
            <w:vAlign w:val="center"/>
            <w:hideMark/>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02"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-15.214</w:t>
            </w:r>
          </w:p>
        </w:tc>
        <w:tc>
          <w:tcPr>
            <w:tcW w:w="41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4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0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-511</w:t>
            </w:r>
          </w:p>
        </w:tc>
        <w:tc>
          <w:tcPr>
            <w:tcW w:w="41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-511</w:t>
            </w:r>
          </w:p>
        </w:tc>
      </w:tr>
      <w:tr w:rsidR="0004186B" w:rsidRPr="00CD34A0" w:rsidTr="009C768F">
        <w:trPr>
          <w:trHeight w:val="270"/>
        </w:trPr>
        <w:tc>
          <w:tcPr>
            <w:tcW w:w="1133" w:type="pct"/>
            <w:gridSpan w:val="2"/>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04186B" w:rsidRPr="0004186B" w:rsidRDefault="00AD4582" w:rsidP="00CD34A0">
            <w:pPr>
              <w:spacing w:after="0" w:line="240" w:lineRule="auto"/>
              <w:rPr>
                <w:rFonts w:ascii="Bodoni MT" w:eastAsia="Times New Roman" w:hAnsi="Bodoni MT" w:cs="Times New Roman"/>
                <w:b/>
                <w:bCs/>
                <w:iCs/>
                <w:color w:val="FFFFFF" w:themeColor="background1"/>
                <w:sz w:val="16"/>
                <w:szCs w:val="16"/>
                <w:lang w:eastAsia="it-IT"/>
              </w:rPr>
            </w:pPr>
            <w:r w:rsidRPr="0004186B">
              <w:rPr>
                <w:rFonts w:ascii="Bodoni MT" w:eastAsia="Times New Roman" w:hAnsi="Bodoni MT" w:cs="Times New Roman"/>
                <w:b/>
                <w:bCs/>
                <w:iCs/>
                <w:color w:val="FFFFFF" w:themeColor="background1"/>
                <w:sz w:val="16"/>
                <w:szCs w:val="16"/>
                <w:lang w:eastAsia="it-IT"/>
              </w:rPr>
              <w:t>TOTALE SOCIETÀ PARTECIPATE</w:t>
            </w:r>
          </w:p>
        </w:tc>
        <w:tc>
          <w:tcPr>
            <w:tcW w:w="392" w:type="pct"/>
            <w:tcBorders>
              <w:top w:val="nil"/>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50.035.786</w:t>
            </w:r>
          </w:p>
        </w:tc>
        <w:tc>
          <w:tcPr>
            <w:tcW w:w="215" w:type="pct"/>
            <w:tcBorders>
              <w:top w:val="nil"/>
              <w:left w:val="nil"/>
              <w:bottom w:val="single" w:sz="4" w:space="0" w:color="auto"/>
              <w:right w:val="single" w:sz="4" w:space="0" w:color="auto"/>
            </w:tcBorders>
            <w:shd w:val="clear" w:color="auto" w:fill="FFFFFF" w:themeFill="background1"/>
            <w:vAlign w:val="center"/>
            <w:hideMark/>
          </w:tcPr>
          <w:p w:rsidR="0004186B" w:rsidRPr="0004186B" w:rsidRDefault="0004186B" w:rsidP="009C768F">
            <w:pPr>
              <w:spacing w:after="0" w:line="240" w:lineRule="auto"/>
              <w:jc w:val="right"/>
              <w:rPr>
                <w:rFonts w:eastAsia="Times New Roman" w:cs="Times New Roman"/>
                <w:color w:val="000000"/>
                <w:sz w:val="20"/>
                <w:szCs w:val="20"/>
                <w:lang w:eastAsia="it-IT"/>
              </w:rPr>
            </w:pPr>
          </w:p>
        </w:tc>
        <w:tc>
          <w:tcPr>
            <w:tcW w:w="401" w:type="pct"/>
            <w:tcBorders>
              <w:top w:val="nil"/>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95.861.285</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6.787.083</w:t>
            </w:r>
          </w:p>
        </w:tc>
        <w:tc>
          <w:tcPr>
            <w:tcW w:w="402"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-1.268.674</w:t>
            </w:r>
          </w:p>
        </w:tc>
        <w:tc>
          <w:tcPr>
            <w:tcW w:w="402"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-15.214</w:t>
            </w:r>
          </w:p>
        </w:tc>
        <w:tc>
          <w:tcPr>
            <w:tcW w:w="417"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-1.017.477</w:t>
            </w:r>
          </w:p>
        </w:tc>
        <w:tc>
          <w:tcPr>
            <w:tcW w:w="447"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1.017.477</w:t>
            </w:r>
          </w:p>
        </w:tc>
        <w:tc>
          <w:tcPr>
            <w:tcW w:w="409"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-511</w:t>
            </w:r>
          </w:p>
        </w:tc>
        <w:tc>
          <w:tcPr>
            <w:tcW w:w="41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-511</w:t>
            </w:r>
          </w:p>
        </w:tc>
      </w:tr>
    </w:tbl>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tbl>
      <w:tblPr>
        <w:tblW w:w="5000" w:type="pct"/>
        <w:tblCellMar>
          <w:left w:w="70" w:type="dxa"/>
          <w:right w:w="70" w:type="dxa"/>
        </w:tblCellMar>
        <w:tblLook w:val="04A0" w:firstRow="1" w:lastRow="0" w:firstColumn="1" w:lastColumn="0" w:noHBand="0" w:noVBand="1"/>
      </w:tblPr>
      <w:tblGrid>
        <w:gridCol w:w="297"/>
        <w:gridCol w:w="2528"/>
        <w:gridCol w:w="1080"/>
        <w:gridCol w:w="855"/>
        <w:gridCol w:w="1176"/>
        <w:gridCol w:w="1121"/>
        <w:gridCol w:w="2010"/>
        <w:gridCol w:w="1005"/>
        <w:gridCol w:w="1026"/>
        <w:gridCol w:w="1193"/>
        <w:gridCol w:w="1114"/>
        <w:gridCol w:w="1021"/>
      </w:tblGrid>
      <w:tr w:rsidR="00CD34A0" w:rsidRPr="0004186B" w:rsidTr="008E2869">
        <w:trPr>
          <w:trHeight w:val="900"/>
        </w:trPr>
        <w:tc>
          <w:tcPr>
            <w:tcW w:w="107" w:type="pct"/>
            <w:tcBorders>
              <w:top w:val="single" w:sz="4" w:space="0" w:color="000000"/>
              <w:left w:val="single" w:sz="4" w:space="0" w:color="000000"/>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b/>
                <w:bCs/>
                <w:iCs/>
                <w:sz w:val="16"/>
                <w:szCs w:val="16"/>
                <w:lang w:eastAsia="it-IT"/>
              </w:rPr>
            </w:pPr>
            <w:r w:rsidRPr="0004186B">
              <w:rPr>
                <w:rFonts w:ascii="Bodoni MT" w:eastAsia="Times New Roman" w:hAnsi="Bodoni MT" w:cs="Times New Roman"/>
                <w:b/>
                <w:bCs/>
                <w:iCs/>
                <w:sz w:val="16"/>
                <w:szCs w:val="16"/>
                <w:lang w:eastAsia="it-IT"/>
              </w:rPr>
              <w:t>N.</w:t>
            </w:r>
          </w:p>
        </w:tc>
        <w:tc>
          <w:tcPr>
            <w:tcW w:w="89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b/>
                <w:bCs/>
                <w:iCs/>
                <w:sz w:val="16"/>
                <w:szCs w:val="16"/>
                <w:lang w:eastAsia="it-IT"/>
              </w:rPr>
            </w:pPr>
            <w:r w:rsidRPr="0004186B">
              <w:rPr>
                <w:rFonts w:ascii="Bodoni MT" w:eastAsia="Times New Roman" w:hAnsi="Bodoni MT" w:cs="Times New Roman"/>
                <w:b/>
                <w:bCs/>
                <w:iCs/>
                <w:sz w:val="16"/>
                <w:szCs w:val="16"/>
                <w:lang w:eastAsia="it-IT"/>
              </w:rPr>
              <w:t>ALTRI SOGGETTI</w:t>
            </w:r>
          </w:p>
        </w:tc>
        <w:tc>
          <w:tcPr>
            <w:tcW w:w="380"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Capitale 31.12.2016</w:t>
            </w:r>
          </w:p>
        </w:tc>
        <w:tc>
          <w:tcPr>
            <w:tcW w:w="205"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 Ras 31.12</w:t>
            </w:r>
            <w:r w:rsidR="009C768F">
              <w:rPr>
                <w:rFonts w:ascii="Bodoni MT" w:eastAsia="Times New Roman" w:hAnsi="Bodoni MT" w:cs="Times New Roman"/>
                <w:b/>
                <w:bCs/>
                <w:iCs/>
                <w:sz w:val="16"/>
                <w:szCs w:val="16"/>
                <w:lang w:eastAsia="it-IT"/>
              </w:rPr>
              <w:t>.</w:t>
            </w:r>
            <w:r w:rsidRPr="0004186B">
              <w:rPr>
                <w:rFonts w:ascii="Bodoni MT" w:eastAsia="Times New Roman" w:hAnsi="Bodoni MT" w:cs="Times New Roman"/>
                <w:b/>
                <w:bCs/>
                <w:iCs/>
                <w:sz w:val="16"/>
                <w:szCs w:val="16"/>
                <w:lang w:eastAsia="it-IT"/>
              </w:rPr>
              <w:t>2016</w:t>
            </w:r>
          </w:p>
        </w:tc>
        <w:tc>
          <w:tcPr>
            <w:tcW w:w="423"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Patrim. Netto 2016</w:t>
            </w:r>
          </w:p>
        </w:tc>
        <w:tc>
          <w:tcPr>
            <w:tcW w:w="399"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Risultato d'esercizio 2016</w:t>
            </w:r>
          </w:p>
        </w:tc>
        <w:tc>
          <w:tcPr>
            <w:tcW w:w="707"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2015 (totale)</w:t>
            </w:r>
          </w:p>
        </w:tc>
        <w:tc>
          <w:tcPr>
            <w:tcW w:w="33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Deficit 2016 (totale)</w:t>
            </w:r>
          </w:p>
        </w:tc>
        <w:tc>
          <w:tcPr>
            <w:tcW w:w="36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31/12/2015</w:t>
            </w:r>
            <w:r w:rsidRPr="0004186B">
              <w:rPr>
                <w:rFonts w:ascii="Bodoni MT" w:eastAsia="Times New Roman" w:hAnsi="Bodoni MT" w:cs="Times New Roman"/>
                <w:b/>
                <w:bCs/>
                <w:iCs/>
                <w:sz w:val="16"/>
                <w:szCs w:val="16"/>
                <w:lang w:eastAsia="it-IT"/>
              </w:rPr>
              <w:br/>
              <w:t>(quota Ras del deficit)</w:t>
            </w:r>
          </w:p>
        </w:tc>
        <w:tc>
          <w:tcPr>
            <w:tcW w:w="424"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Utilizzi/stralci Fondo rischi</w:t>
            </w:r>
          </w:p>
        </w:tc>
        <w:tc>
          <w:tcPr>
            <w:tcW w:w="396"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Accantonam. a fondo rischi</w:t>
            </w:r>
          </w:p>
        </w:tc>
        <w:tc>
          <w:tcPr>
            <w:tcW w:w="364" w:type="pct"/>
            <w:tcBorders>
              <w:top w:val="single" w:sz="4" w:space="0" w:color="000000"/>
              <w:left w:val="nil"/>
              <w:bottom w:val="single" w:sz="4" w:space="0" w:color="000000"/>
              <w:right w:val="single" w:sz="4" w:space="0" w:color="000000"/>
            </w:tcBorders>
            <w:shd w:val="clear" w:color="auto" w:fill="0F243E" w:themeFill="text2" w:themeFillShade="80"/>
            <w:vAlign w:val="center"/>
            <w:hideMark/>
          </w:tcPr>
          <w:p w:rsidR="00CD34A0" w:rsidRPr="0004186B" w:rsidRDefault="00CD34A0" w:rsidP="0004186B">
            <w:pPr>
              <w:spacing w:after="0" w:line="240" w:lineRule="auto"/>
              <w:jc w:val="center"/>
              <w:rPr>
                <w:rFonts w:ascii="Bodoni MT" w:eastAsia="Times New Roman" w:hAnsi="Bodoni MT" w:cs="Times New Roman"/>
                <w:color w:val="000000"/>
                <w:sz w:val="20"/>
                <w:szCs w:val="20"/>
                <w:lang w:eastAsia="it-IT"/>
              </w:rPr>
            </w:pPr>
            <w:r w:rsidRPr="0004186B">
              <w:rPr>
                <w:rFonts w:ascii="Bodoni MT" w:eastAsia="Times New Roman" w:hAnsi="Bodoni MT" w:cs="Times New Roman"/>
                <w:b/>
                <w:bCs/>
                <w:iCs/>
                <w:sz w:val="16"/>
                <w:szCs w:val="16"/>
                <w:lang w:eastAsia="it-IT"/>
              </w:rPr>
              <w:t>Fondo rischi 31/12/2016</w:t>
            </w:r>
            <w:r w:rsidRPr="0004186B">
              <w:rPr>
                <w:rFonts w:ascii="Bodoni MT" w:eastAsia="Times New Roman" w:hAnsi="Bodoni MT" w:cs="Times New Roman"/>
                <w:b/>
                <w:bCs/>
                <w:iCs/>
                <w:sz w:val="16"/>
                <w:szCs w:val="16"/>
                <w:lang w:eastAsia="it-IT"/>
              </w:rPr>
              <w:br/>
              <w:t>(quota Ras del deficit)</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24</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Agrosarda Scarl in Liquidazione</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103.288</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-361.304</w:t>
            </w:r>
          </w:p>
        </w:tc>
        <w:tc>
          <w:tcPr>
            <w:tcW w:w="39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-777</w:t>
            </w:r>
          </w:p>
        </w:tc>
        <w:tc>
          <w:tcPr>
            <w:tcW w:w="707"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-360.528</w:t>
            </w:r>
          </w:p>
        </w:tc>
        <w:tc>
          <w:tcPr>
            <w:tcW w:w="33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-361.304</w:t>
            </w: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-21.632</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-47</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-21.678</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25</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Consorzio 3C Scrl Liq.ne coatta amm.</w:t>
            </w:r>
          </w:p>
        </w:tc>
        <w:tc>
          <w:tcPr>
            <w:tcW w:w="380"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4"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26</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Fond.ne Sardegna film commiss.</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85.000</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626.433</w:t>
            </w:r>
          </w:p>
        </w:tc>
        <w:tc>
          <w:tcPr>
            <w:tcW w:w="39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8.017</w:t>
            </w: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27</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Fond.ne Teatro lirico di Cagliari</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10.205.656</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19,75</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11.846.691</w:t>
            </w:r>
          </w:p>
        </w:tc>
        <w:tc>
          <w:tcPr>
            <w:tcW w:w="39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10.947</w:t>
            </w: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CD34A0" w:rsidRPr="0004186B"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186B">
              <w:rPr>
                <w:rFonts w:ascii="Bodoni MT" w:eastAsia="Times New Roman" w:hAnsi="Bodoni MT" w:cs="Times New Roman"/>
                <w:color w:val="FFFFFF" w:themeColor="background1"/>
                <w:sz w:val="20"/>
                <w:szCs w:val="20"/>
                <w:lang w:eastAsia="it-IT"/>
              </w:rPr>
              <w:t> </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20"/>
                <w:szCs w:val="20"/>
                <w:lang w:eastAsia="it-IT"/>
              </w:rPr>
            </w:pPr>
            <w:r w:rsidRPr="0004186B">
              <w:rPr>
                <w:rFonts w:ascii="Bodoni MT" w:eastAsia="Times New Roman" w:hAnsi="Bodoni MT" w:cs="Times New Roman"/>
                <w:color w:val="FFFFFF" w:themeColor="background1"/>
                <w:sz w:val="20"/>
                <w:szCs w:val="20"/>
                <w:lang w:eastAsia="it-IT"/>
              </w:rPr>
              <w:t> </w:t>
            </w:r>
          </w:p>
        </w:tc>
        <w:tc>
          <w:tcPr>
            <w:tcW w:w="380"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205"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23"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424"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9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4"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28</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Agris</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56.809.469</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56.809.469</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29</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Area</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732.151.769</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732.151.769</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30</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Argea</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46.709.167</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46.709.167</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31</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Arpas</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11.040.148</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11.040.148</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32</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Aspal</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55.345.749</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55.345.749</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33</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Conservatoria delle coste</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7.205.243</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7.205.243</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34</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Enas</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6.581.642</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6.581.642</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35</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Ersu Cagliari</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61.841.127</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61.841.127</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36</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Ersu Sassari</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31.624.022</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31.624.022</w:t>
            </w:r>
          </w:p>
        </w:tc>
        <w:tc>
          <w:tcPr>
            <w:tcW w:w="399"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1.758.658</w:t>
            </w: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37</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Forestas</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57.511.476</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57.511.476</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38</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Isre</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27.076.178</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27.076.178</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39</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Laore</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26.169.004</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26.169.004</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CD34A0" w:rsidRPr="00CD34A0" w:rsidTr="009C768F">
        <w:trPr>
          <w:trHeight w:val="270"/>
        </w:trPr>
        <w:tc>
          <w:tcPr>
            <w:tcW w:w="107" w:type="pct"/>
            <w:tcBorders>
              <w:top w:val="nil"/>
              <w:left w:val="single" w:sz="4" w:space="0" w:color="000000"/>
              <w:bottom w:val="single" w:sz="4" w:space="0" w:color="000000"/>
              <w:right w:val="single" w:sz="4" w:space="0" w:color="000000"/>
            </w:tcBorders>
            <w:shd w:val="clear" w:color="auto" w:fill="95B3D7" w:themeFill="accent1" w:themeFillTint="99"/>
            <w:noWrap/>
            <w:hideMark/>
          </w:tcPr>
          <w:p w:rsidR="00CD34A0" w:rsidRPr="0004186B"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40</w:t>
            </w:r>
          </w:p>
        </w:tc>
        <w:tc>
          <w:tcPr>
            <w:tcW w:w="893" w:type="pct"/>
            <w:tcBorders>
              <w:top w:val="nil"/>
              <w:left w:val="nil"/>
              <w:bottom w:val="single" w:sz="4" w:space="0" w:color="000000"/>
              <w:right w:val="single" w:sz="4" w:space="0" w:color="000000"/>
            </w:tcBorders>
            <w:shd w:val="clear" w:color="auto" w:fill="95B3D7" w:themeFill="accent1" w:themeFillTint="99"/>
            <w:vAlign w:val="center"/>
            <w:hideMark/>
          </w:tcPr>
          <w:p w:rsidR="00CD34A0" w:rsidRPr="0004186B" w:rsidRDefault="00CD34A0" w:rsidP="006D5B1F">
            <w:pPr>
              <w:spacing w:after="0" w:line="240" w:lineRule="auto"/>
              <w:rPr>
                <w:rFonts w:ascii="Bodoni MT" w:eastAsia="Times New Roman" w:hAnsi="Bodoni MT" w:cs="Times New Roman"/>
                <w:color w:val="FFFFFF" w:themeColor="background1"/>
                <w:sz w:val="16"/>
                <w:szCs w:val="16"/>
                <w:lang w:eastAsia="it-IT"/>
              </w:rPr>
            </w:pPr>
            <w:r w:rsidRPr="0004186B">
              <w:rPr>
                <w:rFonts w:ascii="Bodoni MT" w:eastAsia="Times New Roman" w:hAnsi="Bodoni MT" w:cs="Times New Roman"/>
                <w:color w:val="FFFFFF" w:themeColor="background1"/>
                <w:sz w:val="16"/>
                <w:szCs w:val="16"/>
                <w:lang w:eastAsia="it-IT"/>
              </w:rPr>
              <w:t>Sardegna ricerche</w:t>
            </w:r>
          </w:p>
        </w:tc>
        <w:tc>
          <w:tcPr>
            <w:tcW w:w="380"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2.831.421</w:t>
            </w:r>
          </w:p>
        </w:tc>
        <w:tc>
          <w:tcPr>
            <w:tcW w:w="205"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100,00</w:t>
            </w:r>
          </w:p>
        </w:tc>
        <w:tc>
          <w:tcPr>
            <w:tcW w:w="423"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2.831.421</w:t>
            </w:r>
          </w:p>
        </w:tc>
        <w:tc>
          <w:tcPr>
            <w:tcW w:w="399"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707"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36" w:type="pct"/>
            <w:tcBorders>
              <w:top w:val="nil"/>
              <w:left w:val="nil"/>
              <w:bottom w:val="single" w:sz="4" w:space="0" w:color="000000"/>
              <w:right w:val="single" w:sz="4" w:space="0" w:color="000000"/>
            </w:tcBorders>
            <w:shd w:val="clear" w:color="auto" w:fill="auto"/>
            <w:vAlign w:val="center"/>
          </w:tcPr>
          <w:p w:rsidR="00CD34A0" w:rsidRPr="0004186B" w:rsidRDefault="00CD34A0" w:rsidP="009C768F">
            <w:pPr>
              <w:spacing w:after="0" w:line="240" w:lineRule="auto"/>
              <w:jc w:val="right"/>
              <w:rPr>
                <w:rFonts w:eastAsia="Times New Roman" w:cs="Times New Roman"/>
                <w:color w:val="000000"/>
                <w:sz w:val="20"/>
                <w:szCs w:val="20"/>
                <w:lang w:eastAsia="it-IT"/>
              </w:rPr>
            </w:pPr>
          </w:p>
        </w:tc>
        <w:tc>
          <w:tcPr>
            <w:tcW w:w="36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42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c>
          <w:tcPr>
            <w:tcW w:w="364" w:type="pct"/>
            <w:tcBorders>
              <w:top w:val="nil"/>
              <w:left w:val="nil"/>
              <w:bottom w:val="single" w:sz="4" w:space="0" w:color="000000"/>
              <w:right w:val="single" w:sz="4" w:space="0" w:color="000000"/>
            </w:tcBorders>
            <w:shd w:val="clear" w:color="auto" w:fill="auto"/>
            <w:noWrap/>
            <w:vAlign w:val="center"/>
            <w:hideMark/>
          </w:tcPr>
          <w:p w:rsidR="00CD34A0" w:rsidRPr="0004186B" w:rsidRDefault="00CD34A0" w:rsidP="009C768F">
            <w:pPr>
              <w:spacing w:after="0" w:line="240" w:lineRule="auto"/>
              <w:jc w:val="right"/>
              <w:rPr>
                <w:rFonts w:eastAsia="Times New Roman" w:cs="Times New Roman"/>
                <w:color w:val="000000"/>
                <w:sz w:val="16"/>
                <w:szCs w:val="16"/>
                <w:lang w:eastAsia="it-IT"/>
              </w:rPr>
            </w:pPr>
            <w:r w:rsidRPr="0004186B">
              <w:rPr>
                <w:rFonts w:eastAsia="Times New Roman" w:cs="Times New Roman"/>
                <w:color w:val="000000"/>
                <w:sz w:val="16"/>
                <w:szCs w:val="16"/>
                <w:lang w:eastAsia="it-IT"/>
              </w:rPr>
              <w:t>0</w:t>
            </w:r>
          </w:p>
        </w:tc>
      </w:tr>
      <w:tr w:rsidR="0004186B" w:rsidRPr="00CD34A0" w:rsidTr="009C768F">
        <w:trPr>
          <w:trHeight w:val="270"/>
        </w:trPr>
        <w:tc>
          <w:tcPr>
            <w:tcW w:w="1000" w:type="pct"/>
            <w:gridSpan w:val="2"/>
            <w:tcBorders>
              <w:top w:val="nil"/>
              <w:left w:val="single" w:sz="4" w:space="0" w:color="000000"/>
              <w:bottom w:val="single" w:sz="4" w:space="0" w:color="000000"/>
              <w:right w:val="single" w:sz="4" w:space="0" w:color="000000"/>
            </w:tcBorders>
            <w:shd w:val="clear" w:color="auto" w:fill="95B3D7" w:themeFill="accent1" w:themeFillTint="99"/>
            <w:vAlign w:val="center"/>
            <w:hideMark/>
          </w:tcPr>
          <w:p w:rsidR="0004186B" w:rsidRPr="0004186B" w:rsidRDefault="008E2869" w:rsidP="00CD34A0">
            <w:pPr>
              <w:spacing w:after="0" w:line="240" w:lineRule="auto"/>
              <w:rPr>
                <w:rFonts w:ascii="Bodoni MT" w:eastAsia="Times New Roman" w:hAnsi="Bodoni MT" w:cs="Times New Roman"/>
                <w:b/>
                <w:bCs/>
                <w:iCs/>
                <w:color w:val="FFFFFF" w:themeColor="background1"/>
                <w:sz w:val="16"/>
                <w:szCs w:val="16"/>
                <w:lang w:eastAsia="it-IT"/>
              </w:rPr>
            </w:pPr>
            <w:r w:rsidRPr="0004186B">
              <w:rPr>
                <w:rFonts w:ascii="Bodoni MT" w:eastAsia="Times New Roman" w:hAnsi="Bodoni MT" w:cs="Times New Roman"/>
                <w:b/>
                <w:bCs/>
                <w:iCs/>
                <w:color w:val="FFFFFF" w:themeColor="background1"/>
                <w:sz w:val="16"/>
                <w:szCs w:val="16"/>
                <w:lang w:eastAsia="it-IT"/>
              </w:rPr>
              <w:t>TOTALE ALTRI SOGGETTI</w:t>
            </w:r>
          </w:p>
        </w:tc>
        <w:tc>
          <w:tcPr>
            <w:tcW w:w="380"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1.133.290.359</w:t>
            </w:r>
          </w:p>
        </w:tc>
        <w:tc>
          <w:tcPr>
            <w:tcW w:w="205" w:type="pct"/>
            <w:tcBorders>
              <w:top w:val="nil"/>
              <w:left w:val="nil"/>
              <w:bottom w:val="single" w:sz="4" w:space="0" w:color="000000"/>
              <w:right w:val="single" w:sz="4" w:space="0" w:color="000000"/>
            </w:tcBorders>
            <w:shd w:val="clear" w:color="auto" w:fill="FFFFFF" w:themeFill="background1"/>
            <w:vAlign w:val="center"/>
          </w:tcPr>
          <w:p w:rsidR="0004186B" w:rsidRPr="0004186B" w:rsidRDefault="0004186B" w:rsidP="009C768F">
            <w:pPr>
              <w:spacing w:after="0" w:line="240" w:lineRule="auto"/>
              <w:jc w:val="right"/>
              <w:rPr>
                <w:rFonts w:eastAsia="Times New Roman" w:cs="Times New Roman"/>
                <w:color w:val="000000"/>
                <w:sz w:val="20"/>
                <w:szCs w:val="20"/>
                <w:lang w:eastAsia="it-IT"/>
              </w:rPr>
            </w:pPr>
          </w:p>
        </w:tc>
        <w:tc>
          <w:tcPr>
            <w:tcW w:w="423"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1.135.008.234</w:t>
            </w:r>
          </w:p>
        </w:tc>
        <w:tc>
          <w:tcPr>
            <w:tcW w:w="399"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1.776.845</w:t>
            </w:r>
          </w:p>
        </w:tc>
        <w:tc>
          <w:tcPr>
            <w:tcW w:w="707"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-360.528</w:t>
            </w:r>
          </w:p>
        </w:tc>
        <w:tc>
          <w:tcPr>
            <w:tcW w:w="33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-361.304</w:t>
            </w:r>
          </w:p>
        </w:tc>
        <w:tc>
          <w:tcPr>
            <w:tcW w:w="36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-21.632</w:t>
            </w:r>
          </w:p>
        </w:tc>
        <w:tc>
          <w:tcPr>
            <w:tcW w:w="424"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0</w:t>
            </w:r>
          </w:p>
        </w:tc>
        <w:tc>
          <w:tcPr>
            <w:tcW w:w="396"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-47</w:t>
            </w:r>
          </w:p>
        </w:tc>
        <w:tc>
          <w:tcPr>
            <w:tcW w:w="364" w:type="pct"/>
            <w:tcBorders>
              <w:top w:val="nil"/>
              <w:left w:val="nil"/>
              <w:bottom w:val="single" w:sz="4" w:space="0" w:color="000000"/>
              <w:right w:val="single" w:sz="4" w:space="0" w:color="000000"/>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-21.678</w:t>
            </w:r>
          </w:p>
        </w:tc>
      </w:tr>
      <w:tr w:rsidR="0004186B" w:rsidRPr="00CD34A0" w:rsidTr="009C768F">
        <w:trPr>
          <w:trHeight w:val="270"/>
        </w:trPr>
        <w:tc>
          <w:tcPr>
            <w:tcW w:w="1000" w:type="pct"/>
            <w:gridSpan w:val="2"/>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04186B" w:rsidRPr="0004186B" w:rsidRDefault="0004186B" w:rsidP="0004186B">
            <w:pPr>
              <w:spacing w:after="0" w:line="240" w:lineRule="auto"/>
              <w:rPr>
                <w:rFonts w:ascii="Bodoni MT" w:eastAsia="Times New Roman" w:hAnsi="Bodoni MT" w:cs="Times New Roman"/>
                <w:b/>
                <w:bCs/>
                <w:iCs/>
                <w:sz w:val="16"/>
                <w:szCs w:val="16"/>
                <w:lang w:eastAsia="it-IT"/>
              </w:rPr>
            </w:pPr>
            <w:r w:rsidRPr="008E2869">
              <w:rPr>
                <w:rFonts w:ascii="Bodoni MT" w:eastAsia="Times New Roman" w:hAnsi="Bodoni MT" w:cs="Times New Roman"/>
                <w:b/>
                <w:bCs/>
                <w:iCs/>
                <w:color w:val="FFFFFF" w:themeColor="background1"/>
                <w:sz w:val="16"/>
                <w:szCs w:val="16"/>
                <w:lang w:eastAsia="it-IT"/>
              </w:rPr>
              <w:t>TOTALE PARTECIPAZIONI</w:t>
            </w:r>
          </w:p>
        </w:tc>
        <w:tc>
          <w:tcPr>
            <w:tcW w:w="380"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1.693.132.746</w:t>
            </w:r>
          </w:p>
        </w:tc>
        <w:tc>
          <w:tcPr>
            <w:tcW w:w="205" w:type="pct"/>
            <w:tcBorders>
              <w:top w:val="single" w:sz="4" w:space="0" w:color="auto"/>
              <w:left w:val="nil"/>
              <w:bottom w:val="single" w:sz="4" w:space="0" w:color="auto"/>
              <w:right w:val="single" w:sz="4" w:space="0" w:color="auto"/>
            </w:tcBorders>
            <w:shd w:val="clear" w:color="auto" w:fill="FFFFFF" w:themeFill="background1"/>
            <w:vAlign w:val="center"/>
          </w:tcPr>
          <w:p w:rsidR="0004186B" w:rsidRPr="0004186B" w:rsidRDefault="0004186B" w:rsidP="009C768F">
            <w:pPr>
              <w:spacing w:after="0" w:line="240" w:lineRule="auto"/>
              <w:jc w:val="right"/>
              <w:rPr>
                <w:rFonts w:eastAsia="Times New Roman" w:cs="Times New Roman"/>
                <w:color w:val="000000"/>
                <w:sz w:val="20"/>
                <w:szCs w:val="20"/>
                <w:lang w:eastAsia="it-IT"/>
              </w:rPr>
            </w:pPr>
          </w:p>
        </w:tc>
        <w:tc>
          <w:tcPr>
            <w:tcW w:w="42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1.649.988.645</w:t>
            </w:r>
          </w:p>
        </w:tc>
        <w:tc>
          <w:tcPr>
            <w:tcW w:w="399"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8.832.623</w:t>
            </w:r>
          </w:p>
        </w:tc>
        <w:tc>
          <w:tcPr>
            <w:tcW w:w="707" w:type="pct"/>
            <w:tcBorders>
              <w:top w:val="single" w:sz="4" w:space="0" w:color="auto"/>
              <w:left w:val="nil"/>
              <w:bottom w:val="single" w:sz="4" w:space="0" w:color="auto"/>
              <w:right w:val="nil"/>
            </w:tcBorders>
            <w:shd w:val="clear" w:color="auto" w:fill="FFFFFF" w:themeFill="background1"/>
            <w:noWrap/>
            <w:vAlign w:val="center"/>
            <w:hideMark/>
          </w:tcPr>
          <w:p w:rsidR="0004186B" w:rsidRPr="0004186B" w:rsidRDefault="009C768F" w:rsidP="009C768F">
            <w:pPr>
              <w:spacing w:after="0" w:line="240" w:lineRule="auto"/>
              <w:jc w:val="right"/>
              <w:rPr>
                <w:rFonts w:eastAsia="Times New Roman" w:cs="Times New Roman"/>
                <w:b/>
                <w:bCs/>
                <w:iCs/>
                <w:sz w:val="16"/>
                <w:szCs w:val="16"/>
                <w:lang w:eastAsia="it-IT"/>
              </w:rPr>
            </w:pPr>
            <w:r>
              <w:rPr>
                <w:rFonts w:eastAsia="Times New Roman" w:cs="Times New Roman"/>
                <w:b/>
                <w:bCs/>
                <w:iCs/>
                <w:sz w:val="16"/>
                <w:szCs w:val="16"/>
                <w:lang w:eastAsia="it-IT"/>
              </w:rPr>
              <w:t>-221.277.542</w:t>
            </w:r>
            <w:r w:rsidR="0004186B" w:rsidRPr="0004186B">
              <w:rPr>
                <w:rFonts w:eastAsia="Times New Roman" w:cs="Times New Roman"/>
                <w:b/>
                <w:bCs/>
                <w:iCs/>
                <w:sz w:val="16"/>
                <w:szCs w:val="16"/>
                <w:lang w:eastAsia="it-IT"/>
              </w:rPr>
              <w:t>-</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4186B" w:rsidRPr="0004186B" w:rsidRDefault="009C768F" w:rsidP="009C768F">
            <w:pPr>
              <w:spacing w:after="0" w:line="240" w:lineRule="auto"/>
              <w:jc w:val="right"/>
              <w:rPr>
                <w:rFonts w:eastAsia="Times New Roman" w:cs="Times New Roman"/>
                <w:color w:val="000000"/>
                <w:sz w:val="20"/>
                <w:szCs w:val="20"/>
                <w:lang w:eastAsia="it-IT"/>
              </w:rPr>
            </w:pPr>
            <w:r>
              <w:rPr>
                <w:rFonts w:eastAsia="Times New Roman" w:cs="Times New Roman"/>
                <w:b/>
                <w:bCs/>
                <w:iCs/>
                <w:sz w:val="16"/>
                <w:szCs w:val="16"/>
                <w:lang w:eastAsia="it-IT"/>
              </w:rPr>
              <w:t>-</w:t>
            </w:r>
            <w:r w:rsidRPr="0004186B">
              <w:rPr>
                <w:rFonts w:eastAsia="Times New Roman" w:cs="Times New Roman"/>
                <w:b/>
                <w:bCs/>
                <w:iCs/>
                <w:sz w:val="16"/>
                <w:szCs w:val="16"/>
                <w:lang w:eastAsia="it-IT"/>
              </w:rPr>
              <w:t>221.483.112</w:t>
            </w:r>
          </w:p>
        </w:tc>
        <w:tc>
          <w:tcPr>
            <w:tcW w:w="366"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-13.315.319</w:t>
            </w:r>
          </w:p>
        </w:tc>
        <w:tc>
          <w:tcPr>
            <w:tcW w:w="42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1.018.199</w:t>
            </w:r>
          </w:p>
        </w:tc>
        <w:tc>
          <w:tcPr>
            <w:tcW w:w="396"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-1.459.534</w:t>
            </w:r>
          </w:p>
        </w:tc>
        <w:tc>
          <w:tcPr>
            <w:tcW w:w="36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4186B" w:rsidRPr="0004186B" w:rsidRDefault="0004186B" w:rsidP="009C768F">
            <w:pPr>
              <w:spacing w:after="0" w:line="240" w:lineRule="auto"/>
              <w:jc w:val="right"/>
              <w:rPr>
                <w:rFonts w:eastAsia="Times New Roman" w:cs="Times New Roman"/>
                <w:b/>
                <w:bCs/>
                <w:iCs/>
                <w:color w:val="000000"/>
                <w:sz w:val="16"/>
                <w:szCs w:val="16"/>
                <w:lang w:eastAsia="it-IT"/>
              </w:rPr>
            </w:pPr>
            <w:r w:rsidRPr="0004186B">
              <w:rPr>
                <w:rFonts w:eastAsia="Times New Roman" w:cs="Times New Roman"/>
                <w:b/>
                <w:bCs/>
                <w:iCs/>
                <w:color w:val="000000"/>
                <w:sz w:val="16"/>
                <w:szCs w:val="16"/>
                <w:lang w:eastAsia="it-IT"/>
              </w:rPr>
              <w:t>-13.756.654</w:t>
            </w:r>
          </w:p>
        </w:tc>
      </w:tr>
    </w:tbl>
    <w:p w:rsidR="00CD34A0" w:rsidRPr="00AD4582"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18"/>
          <w:szCs w:val="18"/>
        </w:rPr>
      </w:pPr>
      <w:r w:rsidRPr="0004186B">
        <w:rPr>
          <w:rFonts w:ascii="Bodoni MT" w:eastAsia="Times New Roman" w:hAnsi="Bodoni MT" w:cs="Bodoni MT"/>
          <w:color w:val="000000"/>
          <w:sz w:val="18"/>
          <w:szCs w:val="18"/>
        </w:rPr>
        <w:t>Fonte RAS Rendiconto sulla gestione 2016 – Allegato 3.</w:t>
      </w:r>
      <w:r w:rsidR="00AD4582" w:rsidRPr="00AD4582">
        <w:rPr>
          <w:rFonts w:ascii="Bodoni MT" w:eastAsia="Times New Roman" w:hAnsi="Bodoni MT" w:cs="Bodoni MT"/>
          <w:color w:val="000000"/>
          <w:sz w:val="18"/>
          <w:szCs w:val="18"/>
        </w:rPr>
        <w:t>3</w:t>
      </w:r>
    </w:p>
    <w:p w:rsidR="00AD4582" w:rsidRDefault="00AD4582"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
          <w:color w:val="000000"/>
          <w:sz w:val="18"/>
          <w:szCs w:val="18"/>
        </w:rPr>
      </w:pPr>
    </w:p>
    <w:p w:rsidR="00AD4582" w:rsidRPr="00CD34A0" w:rsidRDefault="00AD4582"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sectPr w:rsidR="00AD4582" w:rsidRPr="00CD34A0" w:rsidSect="00875006">
          <w:pgSz w:w="16838" w:h="11906" w:orient="landscape"/>
          <w:pgMar w:top="1134" w:right="1134" w:bottom="1134" w:left="1418" w:header="709" w:footer="709" w:gutter="0"/>
          <w:cols w:space="708"/>
          <w:docGrid w:linePitch="360"/>
        </w:sect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u w:val="single"/>
        </w:rPr>
      </w:pPr>
      <w:r w:rsidRPr="00CD34A0">
        <w:rPr>
          <w:rFonts w:ascii="Bodoni MT" w:eastAsia="Times New Roman" w:hAnsi="Bodoni MT" w:cs="Bodoni MT"/>
          <w:b/>
          <w:color w:val="000000"/>
          <w:sz w:val="24"/>
          <w:szCs w:val="24"/>
        </w:rPr>
        <w:lastRenderedPageBreak/>
        <w:t>I crediti</w:t>
      </w:r>
      <w:r w:rsidR="0004186B">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Con riguardo ai</w:t>
      </w:r>
      <w:r w:rsidRPr="00CD34A0">
        <w:rPr>
          <w:rFonts w:ascii="Bodoni MT" w:eastAsia="Times New Roman" w:hAnsi="Bodoni MT" w:cs="Bodoni MT"/>
          <w:b/>
          <w:color w:val="000000"/>
          <w:sz w:val="24"/>
          <w:szCs w:val="24"/>
        </w:rPr>
        <w:t xml:space="preserve"> crediti immobilizzati, </w:t>
      </w:r>
      <w:r w:rsidR="0004186B">
        <w:rPr>
          <w:rFonts w:ascii="Bodoni MT" w:eastAsia="Times New Roman" w:hAnsi="Bodoni MT" w:cs="Bodoni MT"/>
          <w:color w:val="000000"/>
          <w:sz w:val="24"/>
          <w:szCs w:val="24"/>
        </w:rPr>
        <w:t xml:space="preserve">le </w:t>
      </w:r>
      <w:r w:rsidRPr="00CD34A0">
        <w:rPr>
          <w:rFonts w:ascii="Bodoni MT" w:eastAsia="Times New Roman" w:hAnsi="Bodoni MT" w:cs="Bodoni MT"/>
          <w:color w:val="000000"/>
          <w:sz w:val="24"/>
          <w:szCs w:val="24"/>
        </w:rPr>
        <w:t>differenze riscontrabili nella loro rappresentazione (nell’ambito delle diverse rilevazioni contabili in Regione)  si ascrivono al fatto che la contabilità ec</w:t>
      </w:r>
      <w:r w:rsidR="00535EB3">
        <w:rPr>
          <w:rFonts w:ascii="Bodoni MT" w:eastAsia="Times New Roman" w:hAnsi="Bodoni MT" w:cs="Bodoni MT"/>
          <w:color w:val="000000"/>
          <w:sz w:val="24"/>
          <w:szCs w:val="24"/>
        </w:rPr>
        <w:t xml:space="preserve">onomico patrimoniale comprende </w:t>
      </w:r>
      <w:r w:rsidRPr="00CD34A0">
        <w:rPr>
          <w:rFonts w:ascii="Bodoni MT" w:eastAsia="Times New Roman" w:hAnsi="Bodoni MT" w:cs="Bodoni MT"/>
          <w:color w:val="000000"/>
          <w:sz w:val="24"/>
          <w:szCs w:val="24"/>
        </w:rPr>
        <w:t>sia crediti non ancora accertati in contabilità finanziaria (ad esempio alcune particolari tipologie di crediti sorti in epoca precedente all’armonizzazione contabile), sia crediti accertati ma non ancora imputati e relativi, principalmente, a finanziamenti erogati a terzi.</w:t>
      </w:r>
      <w:r w:rsidRPr="00CD34A0">
        <w:rPr>
          <w:rFonts w:ascii="Bodoni MT" w:eastAsia="Times New Roman" w:hAnsi="Bodoni MT" w:cs="Bodoni MT"/>
          <w:b/>
          <w:color w:val="000000"/>
          <w:sz w:val="24"/>
          <w:szCs w:val="24"/>
        </w:rPr>
        <w:t xml:space="preserve"> </w:t>
      </w:r>
      <w:r w:rsidRPr="00CD34A0">
        <w:rPr>
          <w:rFonts w:ascii="Bodoni MT" w:eastAsia="Times New Roman" w:hAnsi="Bodoni MT" w:cs="Bodoni MT"/>
          <w:color w:val="000000"/>
          <w:sz w:val="24"/>
          <w:szCs w:val="24"/>
        </w:rPr>
        <w:t>Di seguito si riportano le tabelle di confronto dei valori d</w:t>
      </w:r>
      <w:r w:rsidR="0004186B">
        <w:rPr>
          <w:rFonts w:ascii="Bodoni MT" w:eastAsia="Times New Roman" w:hAnsi="Bodoni MT" w:cs="Bodoni MT"/>
          <w:color w:val="000000"/>
          <w:sz w:val="24"/>
          <w:szCs w:val="24"/>
        </w:rPr>
        <w:t>ei crediti con i residui attivi</w:t>
      </w:r>
      <w:r w:rsidRPr="00CD34A0">
        <w:rPr>
          <w:rFonts w:ascii="Bodoni MT" w:eastAsia="Times New Roman" w:hAnsi="Bodoni MT" w:cs="Bodoni MT"/>
          <w:color w:val="000000"/>
          <w:sz w:val="24"/>
          <w:szCs w:val="24"/>
        </w:rPr>
        <w:t xml:space="preserve">, precisando che il </w:t>
      </w:r>
      <w:r w:rsidRPr="00CD34A0">
        <w:rPr>
          <w:rFonts w:ascii="Bodoni MT" w:eastAsia="Times New Roman" w:hAnsi="Bodoni MT" w:cs="Bodoni MT"/>
          <w:b/>
          <w:color w:val="000000"/>
          <w:sz w:val="24"/>
          <w:szCs w:val="24"/>
        </w:rPr>
        <w:t>to</w:t>
      </w:r>
      <w:r w:rsidR="00535EB3">
        <w:rPr>
          <w:rFonts w:ascii="Bodoni MT" w:eastAsia="Times New Roman" w:hAnsi="Bodoni MT" w:cs="Bodoni MT"/>
          <w:b/>
          <w:color w:val="000000"/>
          <w:sz w:val="24"/>
          <w:szCs w:val="24"/>
        </w:rPr>
        <w:t xml:space="preserve">tale dei crediti immobilizzati </w:t>
      </w:r>
      <w:r w:rsidR="00535EB3" w:rsidRPr="00535EB3">
        <w:rPr>
          <w:rFonts w:ascii="Bodoni MT" w:eastAsia="Times New Roman" w:hAnsi="Bodoni MT" w:cs="Bodoni MT"/>
          <w:b/>
          <w:color w:val="000000"/>
          <w:sz w:val="24"/>
          <w:szCs w:val="24"/>
        </w:rPr>
        <w:t>è</w:t>
      </w:r>
      <w:r w:rsidRPr="00CD34A0">
        <w:rPr>
          <w:rFonts w:ascii="Bodoni MT" w:eastAsia="Times New Roman" w:hAnsi="Bodoni MT" w:cs="Bodoni MT"/>
          <w:b/>
          <w:color w:val="000000"/>
          <w:sz w:val="24"/>
          <w:szCs w:val="24"/>
        </w:rPr>
        <w:t xml:space="preserve"> al lordo del fondo svalutazione crediti</w:t>
      </w:r>
      <w:r w:rsidRPr="00CD34A0">
        <w:rPr>
          <w:rFonts w:ascii="Bodoni MT" w:eastAsia="Times New Roman" w:hAnsi="Bodoni MT" w:cs="Bodoni MT"/>
          <w:color w:val="000000"/>
          <w:sz w:val="24"/>
          <w:szCs w:val="24"/>
        </w:rPr>
        <w:t>. Entrambe le tavole espongono le variazioni dell’ultimo esercizio.</w:t>
      </w:r>
    </w:p>
    <w:p w:rsidR="00CD34A0" w:rsidRPr="00CD34A0" w:rsidRDefault="00932B9B" w:rsidP="00932B9B">
      <w:pPr>
        <w:pStyle w:val="Didascalia"/>
        <w:rPr>
          <w:rFonts w:eastAsia="Times New Roman" w:cs="Bodoni MT"/>
          <w:color w:val="000000"/>
          <w:sz w:val="24"/>
          <w:szCs w:val="24"/>
        </w:rPr>
      </w:pPr>
      <w:bookmarkStart w:id="375" w:name="_Toc507422579"/>
      <w:r>
        <w:t xml:space="preserve">Tabella </w:t>
      </w:r>
      <w:r w:rsidR="00B90472">
        <w:fldChar w:fldCharType="begin"/>
      </w:r>
      <w:r w:rsidR="00B90472">
        <w:instrText xml:space="preserve"> SEQ Tabella \* ARABIC </w:instrText>
      </w:r>
      <w:r w:rsidR="00B90472">
        <w:fldChar w:fldCharType="separate"/>
      </w:r>
      <w:r w:rsidR="008616B3">
        <w:rPr>
          <w:noProof/>
        </w:rPr>
        <w:t>111</w:t>
      </w:r>
      <w:r w:rsidR="00B90472">
        <w:rPr>
          <w:noProof/>
        </w:rPr>
        <w:fldChar w:fldCharType="end"/>
      </w:r>
      <w:r>
        <w:t xml:space="preserve"> – Crediti immobilizzati</w:t>
      </w:r>
      <w:bookmarkEnd w:id="3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2"/>
        <w:gridCol w:w="1968"/>
        <w:gridCol w:w="2271"/>
        <w:gridCol w:w="1967"/>
      </w:tblGrid>
      <w:tr w:rsidR="00932B9B" w:rsidRPr="00932B9B" w:rsidTr="00646970">
        <w:trPr>
          <w:trHeight w:val="259"/>
          <w:jc w:val="center"/>
        </w:trPr>
        <w:tc>
          <w:tcPr>
            <w:tcW w:w="1826" w:type="pct"/>
            <w:shd w:val="clear" w:color="auto" w:fill="0F243E" w:themeFill="text2" w:themeFillShade="80"/>
            <w:hideMark/>
          </w:tcPr>
          <w:p w:rsidR="00CD34A0" w:rsidRPr="00932B9B" w:rsidRDefault="00CD34A0" w:rsidP="00CD34A0">
            <w:pPr>
              <w:spacing w:after="0" w:line="240" w:lineRule="auto"/>
              <w:jc w:val="center"/>
              <w:rPr>
                <w:rFonts w:ascii="Bodoni MT" w:eastAsia="Times New Roman" w:hAnsi="Bodoni MT" w:cs="Times New Roman"/>
                <w:b/>
                <w:bCs/>
                <w:iCs/>
                <w:color w:val="FFFFFF" w:themeColor="background1"/>
                <w:sz w:val="18"/>
                <w:szCs w:val="18"/>
                <w:lang w:eastAsia="it-IT"/>
              </w:rPr>
            </w:pPr>
            <w:r w:rsidRPr="00932B9B">
              <w:rPr>
                <w:rFonts w:ascii="Bodoni MT" w:eastAsia="Times New Roman" w:hAnsi="Bodoni MT" w:cs="Times New Roman"/>
                <w:b/>
                <w:bCs/>
                <w:iCs/>
                <w:color w:val="FFFFFF" w:themeColor="background1"/>
                <w:sz w:val="18"/>
                <w:szCs w:val="18"/>
                <w:lang w:eastAsia="it-IT"/>
              </w:rPr>
              <w:t>Voci</w:t>
            </w:r>
          </w:p>
        </w:tc>
        <w:tc>
          <w:tcPr>
            <w:tcW w:w="1006" w:type="pct"/>
            <w:shd w:val="clear" w:color="auto" w:fill="0F243E" w:themeFill="text2" w:themeFillShade="80"/>
            <w:noWrap/>
            <w:hideMark/>
          </w:tcPr>
          <w:p w:rsidR="00CD34A0" w:rsidRPr="00932B9B"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932B9B">
              <w:rPr>
                <w:rFonts w:ascii="Bodoni MT" w:eastAsia="Times New Roman" w:hAnsi="Bodoni MT" w:cs="Times New Roman"/>
                <w:b/>
                <w:bCs/>
                <w:iCs/>
                <w:color w:val="FFFFFF" w:themeColor="background1"/>
                <w:sz w:val="18"/>
                <w:szCs w:val="18"/>
                <w:lang w:eastAsia="it-IT"/>
              </w:rPr>
              <w:t>31/12/2016</w:t>
            </w:r>
          </w:p>
        </w:tc>
        <w:tc>
          <w:tcPr>
            <w:tcW w:w="1161" w:type="pct"/>
            <w:shd w:val="clear" w:color="auto" w:fill="0F243E" w:themeFill="text2" w:themeFillShade="80"/>
            <w:hideMark/>
          </w:tcPr>
          <w:p w:rsidR="00CD34A0" w:rsidRPr="00932B9B"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932B9B">
              <w:rPr>
                <w:rFonts w:ascii="Bodoni MT" w:eastAsia="Times New Roman" w:hAnsi="Bodoni MT" w:cs="Times New Roman"/>
                <w:b/>
                <w:bCs/>
                <w:iCs/>
                <w:color w:val="FFFFFF" w:themeColor="background1"/>
                <w:sz w:val="18"/>
                <w:szCs w:val="18"/>
                <w:lang w:eastAsia="it-IT"/>
              </w:rPr>
              <w:t>Variazioni</w:t>
            </w:r>
          </w:p>
        </w:tc>
        <w:tc>
          <w:tcPr>
            <w:tcW w:w="1006" w:type="pct"/>
            <w:shd w:val="clear" w:color="auto" w:fill="0F243E" w:themeFill="text2" w:themeFillShade="80"/>
            <w:noWrap/>
            <w:hideMark/>
          </w:tcPr>
          <w:p w:rsidR="00CD34A0" w:rsidRPr="00932B9B"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932B9B">
              <w:rPr>
                <w:rFonts w:ascii="Bodoni MT" w:eastAsia="Times New Roman" w:hAnsi="Bodoni MT" w:cs="Times New Roman"/>
                <w:b/>
                <w:bCs/>
                <w:iCs/>
                <w:color w:val="FFFFFF" w:themeColor="background1"/>
                <w:sz w:val="18"/>
                <w:szCs w:val="18"/>
                <w:lang w:eastAsia="it-IT"/>
              </w:rPr>
              <w:t>31/12/2015</w:t>
            </w:r>
          </w:p>
        </w:tc>
      </w:tr>
      <w:tr w:rsidR="00CD34A0" w:rsidRPr="00CD34A0" w:rsidTr="00646970">
        <w:trPr>
          <w:trHeight w:val="222"/>
          <w:jc w:val="center"/>
        </w:trPr>
        <w:tc>
          <w:tcPr>
            <w:tcW w:w="1826"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Residui attivi</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1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r>
      <w:tr w:rsidR="00CD34A0" w:rsidRPr="00CD34A0" w:rsidTr="00646970">
        <w:trPr>
          <w:trHeight w:val="222"/>
          <w:jc w:val="center"/>
        </w:trPr>
        <w:tc>
          <w:tcPr>
            <w:tcW w:w="1826"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non accertati</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459.263.075</w:t>
            </w:r>
          </w:p>
        </w:tc>
        <w:tc>
          <w:tcPr>
            <w:tcW w:w="11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5.759.200</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458.049.755</w:t>
            </w:r>
          </w:p>
        </w:tc>
      </w:tr>
      <w:tr w:rsidR="00CD34A0" w:rsidRPr="00CD34A0" w:rsidTr="00646970">
        <w:trPr>
          <w:trHeight w:val="222"/>
          <w:jc w:val="center"/>
        </w:trPr>
        <w:tc>
          <w:tcPr>
            <w:tcW w:w="1826"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accertati non imputati</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8.000.000</w:t>
            </w:r>
          </w:p>
        </w:tc>
        <w:tc>
          <w:tcPr>
            <w:tcW w:w="11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8.000.000</w:t>
            </w:r>
          </w:p>
        </w:tc>
      </w:tr>
      <w:tr w:rsidR="00CD34A0" w:rsidRPr="00CD34A0" w:rsidTr="00646970">
        <w:trPr>
          <w:trHeight w:val="222"/>
          <w:jc w:val="center"/>
        </w:trPr>
        <w:tc>
          <w:tcPr>
            <w:tcW w:w="1826"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inesigibili</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1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r>
      <w:tr w:rsidR="00CD34A0" w:rsidRPr="00CD34A0" w:rsidTr="00646970">
        <w:trPr>
          <w:trHeight w:val="259"/>
          <w:jc w:val="center"/>
        </w:trPr>
        <w:tc>
          <w:tcPr>
            <w:tcW w:w="1826"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Totale</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467.263.075</w:t>
            </w:r>
          </w:p>
        </w:tc>
        <w:tc>
          <w:tcPr>
            <w:tcW w:w="11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5.759.200</w:t>
            </w:r>
          </w:p>
        </w:tc>
        <w:tc>
          <w:tcPr>
            <w:tcW w:w="1006"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466.049.755</w:t>
            </w:r>
          </w:p>
        </w:tc>
      </w:tr>
    </w:tbl>
    <w:p w:rsidR="00CD34A0" w:rsidRPr="00CD34A0" w:rsidRDefault="00646970" w:rsidP="00646970">
      <w:pPr>
        <w:pStyle w:val="Didascalia"/>
        <w:rPr>
          <w:rFonts w:eastAsia="Times New Roman" w:cs="Bodoni MT"/>
          <w:color w:val="000000"/>
          <w:sz w:val="24"/>
          <w:szCs w:val="24"/>
        </w:rPr>
      </w:pPr>
      <w:bookmarkStart w:id="376" w:name="_Toc507422580"/>
      <w:r>
        <w:t xml:space="preserve">Tabella </w:t>
      </w:r>
      <w:r w:rsidR="00B90472">
        <w:fldChar w:fldCharType="begin"/>
      </w:r>
      <w:r w:rsidR="00B90472">
        <w:instrText xml:space="preserve"> SEQ Tabella \* ARABIC </w:instrText>
      </w:r>
      <w:r w:rsidR="00B90472">
        <w:fldChar w:fldCharType="separate"/>
      </w:r>
      <w:r w:rsidR="008616B3">
        <w:rPr>
          <w:noProof/>
        </w:rPr>
        <w:t>112</w:t>
      </w:r>
      <w:r w:rsidR="00B90472">
        <w:rPr>
          <w:noProof/>
        </w:rPr>
        <w:fldChar w:fldCharType="end"/>
      </w:r>
      <w:r>
        <w:t xml:space="preserve"> – Fondo svalutazione crediti immobilizzati – Analisi per natura</w:t>
      </w:r>
      <w:bookmarkEnd w:id="3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1"/>
        <w:gridCol w:w="1685"/>
        <w:gridCol w:w="1989"/>
        <w:gridCol w:w="1879"/>
        <w:gridCol w:w="1684"/>
      </w:tblGrid>
      <w:tr w:rsidR="00646970" w:rsidRPr="00646970" w:rsidTr="00646970">
        <w:trPr>
          <w:trHeight w:val="259"/>
          <w:jc w:val="center"/>
        </w:trPr>
        <w:tc>
          <w:tcPr>
            <w:tcW w:w="1299"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Voci</w:t>
            </w:r>
          </w:p>
        </w:tc>
        <w:tc>
          <w:tcPr>
            <w:tcW w:w="861" w:type="pct"/>
            <w:shd w:val="clear" w:color="auto" w:fill="0F243E" w:themeFill="text2" w:themeFillShade="80"/>
            <w:noWrap/>
            <w:vAlign w:val="center"/>
            <w:hideMark/>
          </w:tcPr>
          <w:p w:rsidR="00CD34A0" w:rsidRPr="00646970" w:rsidRDefault="00CD34A0" w:rsidP="0064697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31/12/2016</w:t>
            </w:r>
          </w:p>
        </w:tc>
        <w:tc>
          <w:tcPr>
            <w:tcW w:w="1017"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Utilizzi</w:t>
            </w:r>
          </w:p>
        </w:tc>
        <w:tc>
          <w:tcPr>
            <w:tcW w:w="961"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Accantonam.</w:t>
            </w:r>
          </w:p>
        </w:tc>
        <w:tc>
          <w:tcPr>
            <w:tcW w:w="861" w:type="pct"/>
            <w:shd w:val="clear" w:color="auto" w:fill="0F243E" w:themeFill="text2" w:themeFillShade="80"/>
            <w:noWrap/>
            <w:vAlign w:val="center"/>
            <w:hideMark/>
          </w:tcPr>
          <w:p w:rsidR="00CD34A0" w:rsidRPr="00646970" w:rsidRDefault="00CD34A0" w:rsidP="0064697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31/12/2015</w:t>
            </w:r>
          </w:p>
        </w:tc>
      </w:tr>
      <w:tr w:rsidR="00646970" w:rsidRPr="00646970" w:rsidTr="00646970">
        <w:trPr>
          <w:trHeight w:val="240"/>
          <w:jc w:val="center"/>
        </w:trPr>
        <w:tc>
          <w:tcPr>
            <w:tcW w:w="1299" w:type="pct"/>
            <w:shd w:val="clear" w:color="auto" w:fill="95B3D7" w:themeFill="accent1" w:themeFillTint="99"/>
            <w:vAlign w:val="center"/>
            <w:hideMark/>
          </w:tcPr>
          <w:p w:rsidR="00CD34A0" w:rsidRPr="00646970" w:rsidRDefault="00CD34A0" w:rsidP="0064697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Residui attivi</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sz w:val="18"/>
                <w:szCs w:val="18"/>
                <w:lang w:eastAsia="it-IT"/>
              </w:rPr>
            </w:pPr>
            <w:r w:rsidRPr="00646970">
              <w:rPr>
                <w:rFonts w:eastAsia="Times New Roman" w:cs="Times New Roman"/>
                <w:sz w:val="18"/>
                <w:szCs w:val="18"/>
                <w:lang w:eastAsia="it-IT"/>
              </w:rPr>
              <w:t>0</w:t>
            </w:r>
          </w:p>
        </w:tc>
        <w:tc>
          <w:tcPr>
            <w:tcW w:w="1017"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sz w:val="18"/>
                <w:szCs w:val="18"/>
                <w:lang w:eastAsia="it-IT"/>
              </w:rPr>
            </w:pPr>
            <w:r w:rsidRPr="00646970">
              <w:rPr>
                <w:rFonts w:eastAsia="Times New Roman" w:cs="Times New Roman"/>
                <w:sz w:val="18"/>
                <w:szCs w:val="18"/>
                <w:lang w:eastAsia="it-IT"/>
              </w:rPr>
              <w:t>0</w:t>
            </w:r>
          </w:p>
        </w:tc>
        <w:tc>
          <w:tcPr>
            <w:tcW w:w="9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sz w:val="18"/>
                <w:szCs w:val="18"/>
                <w:lang w:eastAsia="it-IT"/>
              </w:rPr>
            </w:pPr>
            <w:r w:rsidRPr="00646970">
              <w:rPr>
                <w:rFonts w:eastAsia="Times New Roman" w:cs="Times New Roman"/>
                <w:sz w:val="18"/>
                <w:szCs w:val="18"/>
                <w:lang w:eastAsia="it-IT"/>
              </w:rPr>
              <w:t>0</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sz w:val="18"/>
                <w:szCs w:val="18"/>
                <w:lang w:eastAsia="it-IT"/>
              </w:rPr>
            </w:pPr>
            <w:r w:rsidRPr="00646970">
              <w:rPr>
                <w:rFonts w:eastAsia="Times New Roman" w:cs="Times New Roman"/>
                <w:sz w:val="18"/>
                <w:szCs w:val="18"/>
                <w:lang w:eastAsia="it-IT"/>
              </w:rPr>
              <w:t>0</w:t>
            </w:r>
          </w:p>
        </w:tc>
      </w:tr>
      <w:tr w:rsidR="00CD34A0" w:rsidRPr="00CD34A0" w:rsidTr="00646970">
        <w:trPr>
          <w:trHeight w:val="222"/>
          <w:jc w:val="center"/>
        </w:trPr>
        <w:tc>
          <w:tcPr>
            <w:tcW w:w="1299" w:type="pct"/>
            <w:shd w:val="clear" w:color="auto" w:fill="95B3D7" w:themeFill="accent1" w:themeFillTint="99"/>
            <w:vAlign w:val="center"/>
            <w:hideMark/>
          </w:tcPr>
          <w:p w:rsidR="00CD34A0" w:rsidRPr="00646970" w:rsidRDefault="00CD34A0" w:rsidP="0064697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non accertati</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377.823.091</w:t>
            </w:r>
          </w:p>
        </w:tc>
        <w:tc>
          <w:tcPr>
            <w:tcW w:w="1017"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9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4.790.085</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373.033.006</w:t>
            </w:r>
          </w:p>
        </w:tc>
      </w:tr>
      <w:tr w:rsidR="00CD34A0" w:rsidRPr="00CD34A0" w:rsidTr="00646970">
        <w:trPr>
          <w:trHeight w:val="222"/>
          <w:jc w:val="center"/>
        </w:trPr>
        <w:tc>
          <w:tcPr>
            <w:tcW w:w="1299" w:type="pct"/>
            <w:shd w:val="clear" w:color="auto" w:fill="95B3D7" w:themeFill="accent1" w:themeFillTint="99"/>
            <w:vAlign w:val="center"/>
            <w:hideMark/>
          </w:tcPr>
          <w:p w:rsidR="00CD34A0" w:rsidRPr="00646970" w:rsidRDefault="00CD34A0" w:rsidP="0064697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accertati non imputati</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017"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9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r>
      <w:tr w:rsidR="00CD34A0" w:rsidRPr="00CD34A0" w:rsidTr="00646970">
        <w:trPr>
          <w:trHeight w:val="222"/>
          <w:jc w:val="center"/>
        </w:trPr>
        <w:tc>
          <w:tcPr>
            <w:tcW w:w="1299" w:type="pct"/>
            <w:shd w:val="clear" w:color="auto" w:fill="95B3D7" w:themeFill="accent1" w:themeFillTint="99"/>
            <w:vAlign w:val="center"/>
            <w:hideMark/>
          </w:tcPr>
          <w:p w:rsidR="00CD34A0" w:rsidRPr="00646970" w:rsidRDefault="00CD34A0" w:rsidP="0064697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inesigibili</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1017"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9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0</w:t>
            </w:r>
          </w:p>
        </w:tc>
      </w:tr>
      <w:tr w:rsidR="00CD34A0" w:rsidRPr="00CD34A0" w:rsidTr="00646970">
        <w:trPr>
          <w:trHeight w:val="259"/>
          <w:jc w:val="center"/>
        </w:trPr>
        <w:tc>
          <w:tcPr>
            <w:tcW w:w="1299" w:type="pct"/>
            <w:shd w:val="clear" w:color="auto" w:fill="95B3D7" w:themeFill="accent1" w:themeFillTint="99"/>
            <w:vAlign w:val="center"/>
            <w:hideMark/>
          </w:tcPr>
          <w:p w:rsidR="00CD34A0" w:rsidRPr="00646970" w:rsidRDefault="00CD34A0" w:rsidP="0064697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Totale</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377.823.091</w:t>
            </w:r>
          </w:p>
        </w:tc>
        <w:tc>
          <w:tcPr>
            <w:tcW w:w="1017"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0</w:t>
            </w:r>
          </w:p>
        </w:tc>
        <w:tc>
          <w:tcPr>
            <w:tcW w:w="9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4.790.085</w:t>
            </w:r>
          </w:p>
        </w:tc>
        <w:tc>
          <w:tcPr>
            <w:tcW w:w="861" w:type="pct"/>
            <w:shd w:val="clear" w:color="auto" w:fill="FFFFFF" w:themeFill="background1"/>
            <w:noWrap/>
            <w:vAlign w:val="center"/>
            <w:hideMark/>
          </w:tcPr>
          <w:p w:rsidR="00CD34A0" w:rsidRPr="00646970" w:rsidRDefault="00CD34A0" w:rsidP="0064697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373.033.006</w:t>
            </w:r>
          </w:p>
        </w:tc>
      </w:tr>
    </w:tbl>
    <w:p w:rsidR="00CD34A0" w:rsidRPr="00CD34A0" w:rsidRDefault="00646970" w:rsidP="00646970">
      <w:pPr>
        <w:pStyle w:val="Didascalia"/>
        <w:rPr>
          <w:rFonts w:eastAsia="Times New Roman" w:cs="Bodoni MT"/>
          <w:color w:val="000000"/>
          <w:sz w:val="24"/>
          <w:szCs w:val="24"/>
        </w:rPr>
      </w:pPr>
      <w:bookmarkStart w:id="377" w:name="_Toc507422581"/>
      <w:r>
        <w:t xml:space="preserve">Tabella </w:t>
      </w:r>
      <w:r w:rsidR="00B90472">
        <w:fldChar w:fldCharType="begin"/>
      </w:r>
      <w:r w:rsidR="00B90472">
        <w:instrText xml:space="preserve"> SEQ Tabella \* ARABIC </w:instrText>
      </w:r>
      <w:r w:rsidR="00B90472">
        <w:fldChar w:fldCharType="separate"/>
      </w:r>
      <w:r w:rsidR="008616B3">
        <w:rPr>
          <w:noProof/>
        </w:rPr>
        <w:t>113</w:t>
      </w:r>
      <w:r w:rsidR="00B90472">
        <w:rPr>
          <w:noProof/>
        </w:rPr>
        <w:fldChar w:fldCharType="end"/>
      </w:r>
      <w:r>
        <w:t xml:space="preserve"> – Riconciliazione dei crediti immobilizzati</w:t>
      </w:r>
      <w:bookmarkEnd w:id="3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8"/>
        <w:gridCol w:w="1527"/>
        <w:gridCol w:w="1658"/>
        <w:gridCol w:w="1439"/>
        <w:gridCol w:w="1506"/>
      </w:tblGrid>
      <w:tr w:rsidR="00CD34A0" w:rsidRPr="00646970" w:rsidTr="00646970">
        <w:trPr>
          <w:trHeight w:val="720"/>
          <w:jc w:val="center"/>
        </w:trPr>
        <w:tc>
          <w:tcPr>
            <w:tcW w:w="1865"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b/>
                <w:bCs/>
                <w:iCs/>
                <w:sz w:val="18"/>
                <w:szCs w:val="18"/>
                <w:lang w:eastAsia="it-IT"/>
              </w:rPr>
            </w:pPr>
            <w:r w:rsidRPr="00646970">
              <w:rPr>
                <w:rFonts w:ascii="Bodoni MT" w:eastAsia="Times New Roman" w:hAnsi="Bodoni MT" w:cs="Times New Roman"/>
                <w:b/>
                <w:bCs/>
                <w:iCs/>
                <w:sz w:val="18"/>
                <w:szCs w:val="18"/>
                <w:lang w:eastAsia="it-IT"/>
              </w:rPr>
              <w:t>Voci</w:t>
            </w:r>
          </w:p>
        </w:tc>
        <w:tc>
          <w:tcPr>
            <w:tcW w:w="781"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color w:val="000000"/>
                <w:sz w:val="20"/>
                <w:szCs w:val="20"/>
                <w:lang w:eastAsia="it-IT"/>
              </w:rPr>
            </w:pPr>
            <w:r w:rsidRPr="00646970">
              <w:rPr>
                <w:rFonts w:ascii="Bodoni MT" w:eastAsia="Times New Roman" w:hAnsi="Bodoni MT" w:cs="Times New Roman"/>
                <w:b/>
                <w:bCs/>
                <w:iCs/>
                <w:sz w:val="18"/>
                <w:szCs w:val="18"/>
                <w:lang w:eastAsia="it-IT"/>
              </w:rPr>
              <w:t>Crediti al lordo del FSC 31/12/2016</w:t>
            </w:r>
          </w:p>
        </w:tc>
        <w:tc>
          <w:tcPr>
            <w:tcW w:w="848"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color w:val="000000"/>
                <w:sz w:val="20"/>
                <w:szCs w:val="20"/>
                <w:lang w:eastAsia="it-IT"/>
              </w:rPr>
            </w:pPr>
            <w:r w:rsidRPr="00646970">
              <w:rPr>
                <w:rFonts w:ascii="Bodoni MT" w:eastAsia="Times New Roman" w:hAnsi="Bodoni MT" w:cs="Times New Roman"/>
                <w:b/>
                <w:bCs/>
                <w:iCs/>
                <w:sz w:val="18"/>
                <w:szCs w:val="18"/>
                <w:lang w:eastAsia="it-IT"/>
              </w:rPr>
              <w:t>Fondo svalutazione crediti</w:t>
            </w:r>
          </w:p>
        </w:tc>
        <w:tc>
          <w:tcPr>
            <w:tcW w:w="736"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color w:val="000000"/>
                <w:sz w:val="20"/>
                <w:szCs w:val="20"/>
                <w:lang w:eastAsia="it-IT"/>
              </w:rPr>
            </w:pPr>
            <w:r w:rsidRPr="00646970">
              <w:rPr>
                <w:rFonts w:ascii="Bodoni MT" w:eastAsia="Times New Roman" w:hAnsi="Bodoni MT" w:cs="Times New Roman"/>
                <w:b/>
                <w:bCs/>
                <w:iCs/>
                <w:sz w:val="18"/>
                <w:szCs w:val="18"/>
                <w:lang w:eastAsia="it-IT"/>
              </w:rPr>
              <w:t>Crediti  non compresi nei residui</w:t>
            </w:r>
          </w:p>
        </w:tc>
        <w:tc>
          <w:tcPr>
            <w:tcW w:w="770" w:type="pct"/>
            <w:shd w:val="clear" w:color="auto" w:fill="0F243E" w:themeFill="text2" w:themeFillShade="80"/>
            <w:vAlign w:val="center"/>
            <w:hideMark/>
          </w:tcPr>
          <w:p w:rsidR="00CD34A0" w:rsidRPr="00646970" w:rsidRDefault="00CD34A0" w:rsidP="00646970">
            <w:pPr>
              <w:spacing w:after="0" w:line="240" w:lineRule="auto"/>
              <w:jc w:val="center"/>
              <w:rPr>
                <w:rFonts w:ascii="Bodoni MT" w:eastAsia="Times New Roman" w:hAnsi="Bodoni MT" w:cs="Times New Roman"/>
                <w:color w:val="000000"/>
                <w:sz w:val="20"/>
                <w:szCs w:val="20"/>
                <w:lang w:eastAsia="it-IT"/>
              </w:rPr>
            </w:pPr>
            <w:r w:rsidRPr="00646970">
              <w:rPr>
                <w:rFonts w:ascii="Bodoni MT" w:eastAsia="Times New Roman" w:hAnsi="Bodoni MT" w:cs="Times New Roman"/>
                <w:b/>
                <w:bCs/>
                <w:iCs/>
                <w:sz w:val="18"/>
                <w:szCs w:val="18"/>
                <w:lang w:eastAsia="it-IT"/>
              </w:rPr>
              <w:t>Residui attivi 31/12/2016</w:t>
            </w:r>
          </w:p>
        </w:tc>
      </w:tr>
      <w:tr w:rsidR="00CD34A0" w:rsidRPr="00CD34A0" w:rsidTr="00646970">
        <w:trPr>
          <w:trHeight w:val="259"/>
          <w:jc w:val="center"/>
        </w:trPr>
        <w:tc>
          <w:tcPr>
            <w:tcW w:w="1865"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verso altre AAPP</w:t>
            </w:r>
          </w:p>
        </w:tc>
        <w:tc>
          <w:tcPr>
            <w:tcW w:w="781"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8.000.000</w:t>
            </w:r>
          </w:p>
        </w:tc>
        <w:tc>
          <w:tcPr>
            <w:tcW w:w="848" w:type="pct"/>
            <w:shd w:val="clear" w:color="auto" w:fill="FFFFFF" w:themeFill="background1"/>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20"/>
                <w:szCs w:val="20"/>
                <w:lang w:eastAsia="it-IT"/>
              </w:rPr>
            </w:pPr>
            <w:r w:rsidRPr="00646970">
              <w:rPr>
                <w:rFonts w:ascii="Bodoni MT" w:eastAsia="Times New Roman" w:hAnsi="Bodoni MT" w:cs="Times New Roman"/>
                <w:color w:val="000000"/>
                <w:sz w:val="20"/>
                <w:szCs w:val="20"/>
                <w:lang w:eastAsia="it-IT"/>
              </w:rPr>
              <w:t> </w:t>
            </w:r>
          </w:p>
        </w:tc>
        <w:tc>
          <w:tcPr>
            <w:tcW w:w="736"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8.000.000</w:t>
            </w:r>
          </w:p>
        </w:tc>
        <w:tc>
          <w:tcPr>
            <w:tcW w:w="770"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r>
      <w:tr w:rsidR="00CD34A0" w:rsidRPr="00CD34A0" w:rsidTr="00646970">
        <w:trPr>
          <w:trHeight w:val="270"/>
          <w:jc w:val="center"/>
        </w:trPr>
        <w:tc>
          <w:tcPr>
            <w:tcW w:w="1865"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verso imprese controllate</w:t>
            </w:r>
          </w:p>
        </w:tc>
        <w:tc>
          <w:tcPr>
            <w:tcW w:w="781"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c>
          <w:tcPr>
            <w:tcW w:w="848" w:type="pct"/>
            <w:shd w:val="clear" w:color="auto" w:fill="FFFFFF" w:themeFill="background1"/>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20"/>
                <w:szCs w:val="20"/>
                <w:lang w:eastAsia="it-IT"/>
              </w:rPr>
            </w:pPr>
            <w:r w:rsidRPr="00646970">
              <w:rPr>
                <w:rFonts w:ascii="Bodoni MT" w:eastAsia="Times New Roman" w:hAnsi="Bodoni MT" w:cs="Times New Roman"/>
                <w:color w:val="000000"/>
                <w:sz w:val="20"/>
                <w:szCs w:val="20"/>
                <w:lang w:eastAsia="it-IT"/>
              </w:rPr>
              <w:t> </w:t>
            </w:r>
          </w:p>
        </w:tc>
        <w:tc>
          <w:tcPr>
            <w:tcW w:w="736"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c>
          <w:tcPr>
            <w:tcW w:w="770"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r>
      <w:tr w:rsidR="00CD34A0" w:rsidRPr="00CD34A0" w:rsidTr="00646970">
        <w:trPr>
          <w:trHeight w:val="270"/>
          <w:jc w:val="center"/>
        </w:trPr>
        <w:tc>
          <w:tcPr>
            <w:tcW w:w="1865"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verso imprese partecipate</w:t>
            </w:r>
          </w:p>
        </w:tc>
        <w:tc>
          <w:tcPr>
            <w:tcW w:w="781"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c>
          <w:tcPr>
            <w:tcW w:w="848" w:type="pct"/>
            <w:shd w:val="clear" w:color="auto" w:fill="FFFFFF" w:themeFill="background1"/>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20"/>
                <w:szCs w:val="20"/>
                <w:lang w:eastAsia="it-IT"/>
              </w:rPr>
            </w:pPr>
            <w:r w:rsidRPr="00646970">
              <w:rPr>
                <w:rFonts w:ascii="Bodoni MT" w:eastAsia="Times New Roman" w:hAnsi="Bodoni MT" w:cs="Times New Roman"/>
                <w:color w:val="000000"/>
                <w:sz w:val="20"/>
                <w:szCs w:val="20"/>
                <w:lang w:eastAsia="it-IT"/>
              </w:rPr>
              <w:t> </w:t>
            </w:r>
          </w:p>
        </w:tc>
        <w:tc>
          <w:tcPr>
            <w:tcW w:w="736"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c>
          <w:tcPr>
            <w:tcW w:w="770"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r>
      <w:tr w:rsidR="00CD34A0" w:rsidRPr="00CD34A0" w:rsidTr="00646970">
        <w:trPr>
          <w:trHeight w:val="255"/>
          <w:jc w:val="center"/>
        </w:trPr>
        <w:tc>
          <w:tcPr>
            <w:tcW w:w="1865"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646970">
              <w:rPr>
                <w:rFonts w:ascii="Bodoni MT" w:eastAsia="Times New Roman" w:hAnsi="Bodoni MT" w:cs="Times New Roman"/>
                <w:color w:val="FFFFFF" w:themeColor="background1"/>
                <w:sz w:val="18"/>
                <w:szCs w:val="18"/>
                <w:lang w:eastAsia="it-IT"/>
              </w:rPr>
              <w:t>Crediti verso altri soggetti</w:t>
            </w:r>
          </w:p>
        </w:tc>
        <w:tc>
          <w:tcPr>
            <w:tcW w:w="781"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459.263.075</w:t>
            </w:r>
          </w:p>
        </w:tc>
        <w:tc>
          <w:tcPr>
            <w:tcW w:w="848"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377.823.091</w:t>
            </w:r>
          </w:p>
        </w:tc>
        <w:tc>
          <w:tcPr>
            <w:tcW w:w="736"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81.439.985</w:t>
            </w:r>
          </w:p>
        </w:tc>
        <w:tc>
          <w:tcPr>
            <w:tcW w:w="770"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color w:val="000000"/>
                <w:sz w:val="18"/>
                <w:szCs w:val="18"/>
                <w:lang w:eastAsia="it-IT"/>
              </w:rPr>
            </w:pPr>
            <w:r w:rsidRPr="00646970">
              <w:rPr>
                <w:rFonts w:ascii="Bodoni MT" w:eastAsia="Times New Roman" w:hAnsi="Bodoni MT" w:cs="Times New Roman"/>
                <w:color w:val="000000"/>
                <w:sz w:val="18"/>
                <w:szCs w:val="18"/>
                <w:lang w:eastAsia="it-IT"/>
              </w:rPr>
              <w:t>0</w:t>
            </w:r>
          </w:p>
        </w:tc>
      </w:tr>
      <w:tr w:rsidR="00CD34A0" w:rsidRPr="00CD34A0" w:rsidTr="00646970">
        <w:trPr>
          <w:trHeight w:val="255"/>
          <w:jc w:val="center"/>
        </w:trPr>
        <w:tc>
          <w:tcPr>
            <w:tcW w:w="1865" w:type="pct"/>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Totale</w:t>
            </w:r>
          </w:p>
        </w:tc>
        <w:tc>
          <w:tcPr>
            <w:tcW w:w="781"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b/>
                <w:bCs/>
                <w:iCs/>
                <w:color w:val="000000"/>
                <w:sz w:val="18"/>
                <w:szCs w:val="18"/>
                <w:lang w:eastAsia="it-IT"/>
              </w:rPr>
            </w:pPr>
            <w:r w:rsidRPr="00646970">
              <w:rPr>
                <w:rFonts w:ascii="Bodoni MT" w:eastAsia="Times New Roman" w:hAnsi="Bodoni MT" w:cs="Times New Roman"/>
                <w:b/>
                <w:bCs/>
                <w:iCs/>
                <w:color w:val="000000"/>
                <w:sz w:val="18"/>
                <w:szCs w:val="18"/>
                <w:lang w:eastAsia="it-IT"/>
              </w:rPr>
              <w:t>467.263.075</w:t>
            </w:r>
          </w:p>
        </w:tc>
        <w:tc>
          <w:tcPr>
            <w:tcW w:w="848"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b/>
                <w:bCs/>
                <w:iCs/>
                <w:color w:val="000000"/>
                <w:sz w:val="18"/>
                <w:szCs w:val="18"/>
                <w:lang w:eastAsia="it-IT"/>
              </w:rPr>
            </w:pPr>
            <w:r w:rsidRPr="00646970">
              <w:rPr>
                <w:rFonts w:ascii="Bodoni MT" w:eastAsia="Times New Roman" w:hAnsi="Bodoni MT" w:cs="Times New Roman"/>
                <w:b/>
                <w:bCs/>
                <w:iCs/>
                <w:color w:val="000000"/>
                <w:sz w:val="18"/>
                <w:szCs w:val="18"/>
                <w:lang w:eastAsia="it-IT"/>
              </w:rPr>
              <w:t>377.823.091</w:t>
            </w:r>
          </w:p>
        </w:tc>
        <w:tc>
          <w:tcPr>
            <w:tcW w:w="736"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b/>
                <w:bCs/>
                <w:iCs/>
                <w:color w:val="000000"/>
                <w:sz w:val="18"/>
                <w:szCs w:val="18"/>
                <w:lang w:eastAsia="it-IT"/>
              </w:rPr>
            </w:pPr>
            <w:r w:rsidRPr="00646970">
              <w:rPr>
                <w:rFonts w:ascii="Bodoni MT" w:eastAsia="Times New Roman" w:hAnsi="Bodoni MT" w:cs="Times New Roman"/>
                <w:b/>
                <w:bCs/>
                <w:iCs/>
                <w:color w:val="000000"/>
                <w:sz w:val="18"/>
                <w:szCs w:val="18"/>
                <w:lang w:eastAsia="it-IT"/>
              </w:rPr>
              <w:t>89.439.985</w:t>
            </w:r>
          </w:p>
        </w:tc>
        <w:tc>
          <w:tcPr>
            <w:tcW w:w="770" w:type="pct"/>
            <w:shd w:val="clear" w:color="auto" w:fill="FFFFFF" w:themeFill="background1"/>
            <w:noWrap/>
            <w:vAlign w:val="center"/>
            <w:hideMark/>
          </w:tcPr>
          <w:p w:rsidR="00CD34A0" w:rsidRPr="00646970" w:rsidRDefault="00CD34A0" w:rsidP="00646970">
            <w:pPr>
              <w:spacing w:after="0" w:line="240" w:lineRule="auto"/>
              <w:jc w:val="right"/>
              <w:rPr>
                <w:rFonts w:ascii="Bodoni MT" w:eastAsia="Times New Roman" w:hAnsi="Bodoni MT" w:cs="Times New Roman"/>
                <w:b/>
                <w:bCs/>
                <w:iCs/>
                <w:color w:val="000000"/>
                <w:sz w:val="18"/>
                <w:szCs w:val="18"/>
                <w:lang w:eastAsia="it-IT"/>
              </w:rPr>
            </w:pPr>
            <w:r w:rsidRPr="00646970">
              <w:rPr>
                <w:rFonts w:ascii="Bodoni MT" w:eastAsia="Times New Roman" w:hAnsi="Bodoni MT" w:cs="Times New Roman"/>
                <w:b/>
                <w:bCs/>
                <w:iCs/>
                <w:color w:val="000000"/>
                <w:sz w:val="18"/>
                <w:szCs w:val="18"/>
                <w:lang w:eastAsia="it-IT"/>
              </w:rPr>
              <w:t>0</w:t>
            </w:r>
          </w:p>
        </w:tc>
      </w:tr>
    </w:tbl>
    <w:p w:rsidR="00CD34A0" w:rsidRPr="0064697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646970">
        <w:rPr>
          <w:rFonts w:ascii="Bodoni MT" w:eastAsia="Times New Roman" w:hAnsi="Bodoni MT" w:cs="Bodoni MT"/>
          <w:color w:val="000000"/>
          <w:sz w:val="18"/>
          <w:szCs w:val="18"/>
        </w:rPr>
        <w:t>Fonte</w:t>
      </w:r>
      <w:r w:rsidR="0052128D">
        <w:rPr>
          <w:rFonts w:ascii="Bodoni MT" w:eastAsia="Times New Roman" w:hAnsi="Bodoni MT" w:cs="Bodoni MT"/>
          <w:color w:val="000000"/>
          <w:sz w:val="18"/>
          <w:szCs w:val="18"/>
        </w:rPr>
        <w:t xml:space="preserve"> </w:t>
      </w:r>
      <w:r w:rsidRPr="00646970">
        <w:rPr>
          <w:rFonts w:ascii="Bodoni MT" w:eastAsia="Times New Roman" w:hAnsi="Bodoni MT" w:cs="Bodoni MT"/>
          <w:color w:val="000000"/>
          <w:sz w:val="18"/>
          <w:szCs w:val="18"/>
        </w:rPr>
        <w:t>RAS Rendiconto sulla gestione 2016 – Allegato 3.1</w:t>
      </w:r>
    </w:p>
    <w:p w:rsidR="00CD34A0" w:rsidRPr="00CD34A0" w:rsidRDefault="00CD34A0" w:rsidP="0052128D">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b/>
          <w:color w:val="000000"/>
          <w:sz w:val="24"/>
          <w:szCs w:val="24"/>
          <w:u w:val="single"/>
        </w:rPr>
      </w:pPr>
      <w:r w:rsidRPr="00CD34A0">
        <w:rPr>
          <w:rFonts w:ascii="Bodoni MT" w:eastAsia="Times New Roman" w:hAnsi="Bodoni MT" w:cs="Bodoni MT"/>
          <w:b/>
          <w:color w:val="000000"/>
          <w:sz w:val="24"/>
          <w:szCs w:val="24"/>
        </w:rPr>
        <w:t>C)</w:t>
      </w:r>
      <w:r w:rsidRPr="00CD34A0">
        <w:rPr>
          <w:rFonts w:ascii="Bodoni MT" w:eastAsia="Times New Roman" w:hAnsi="Bodoni MT" w:cs="Bodoni MT"/>
          <w:b/>
          <w:color w:val="000000"/>
          <w:sz w:val="24"/>
          <w:szCs w:val="24"/>
        </w:rPr>
        <w:tab/>
      </w:r>
      <w:r w:rsidRPr="00535EB3">
        <w:rPr>
          <w:rFonts w:ascii="Bodoni MT" w:eastAsia="Times New Roman" w:hAnsi="Bodoni MT" w:cs="Bodoni MT"/>
          <w:b/>
          <w:color w:val="000000"/>
          <w:sz w:val="24"/>
          <w:szCs w:val="24"/>
        </w:rPr>
        <w:t>Attivo Circolante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L’attivo circolante è pari a € 2.346.619.987, di cui € 1.840.7</w:t>
      </w:r>
      <w:r w:rsidR="00646970">
        <w:rPr>
          <w:rFonts w:ascii="Bodoni MT" w:eastAsia="Times New Roman" w:hAnsi="Bodoni MT" w:cs="Bodoni MT"/>
          <w:color w:val="000000"/>
          <w:sz w:val="24"/>
          <w:szCs w:val="24"/>
        </w:rPr>
        <w:t>71.192 rappresentano crediti, € </w:t>
      </w:r>
      <w:r w:rsidR="003401A5">
        <w:rPr>
          <w:rFonts w:ascii="Bodoni MT" w:eastAsia="Times New Roman" w:hAnsi="Bodoni MT" w:cs="Bodoni MT"/>
          <w:color w:val="000000"/>
          <w:sz w:val="24"/>
          <w:szCs w:val="24"/>
        </w:rPr>
        <w:t>3.184.780 sono rimanenze e</w:t>
      </w:r>
      <w:r w:rsidRPr="00CD34A0">
        <w:rPr>
          <w:rFonts w:ascii="Bodoni MT" w:eastAsia="Times New Roman" w:hAnsi="Bodoni MT" w:cs="Bodoni MT"/>
          <w:color w:val="000000"/>
          <w:sz w:val="24"/>
          <w:szCs w:val="24"/>
        </w:rPr>
        <w:t xml:space="preserve"> € 502.664.015 disponibilità liquide.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 xml:space="preserve">Le Rimanenze. </w:t>
      </w:r>
      <w:r w:rsidRPr="00CD34A0">
        <w:rPr>
          <w:rFonts w:ascii="Bodoni MT" w:eastAsia="Times New Roman" w:hAnsi="Bodoni MT" w:cs="Bodoni MT"/>
          <w:color w:val="000000"/>
          <w:sz w:val="24"/>
          <w:szCs w:val="24"/>
        </w:rPr>
        <w:t>Sono costituite dalle diverse tipologie di beni di consumo che sono depositate presso i magazzini della Regione (specificatamente risultano gestite dalla Direzione Generale degli EE.LL. e dal Corpo forestale e vi</w:t>
      </w:r>
      <w:r w:rsidR="00003D56">
        <w:rPr>
          <w:rFonts w:ascii="Bodoni MT" w:eastAsia="Times New Roman" w:hAnsi="Bodoni MT" w:cs="Bodoni MT"/>
          <w:color w:val="000000"/>
          <w:sz w:val="24"/>
          <w:szCs w:val="24"/>
        </w:rPr>
        <w:t>gilanza ambientale. Ammontano a</w:t>
      </w:r>
      <w:r w:rsidRPr="00CD34A0">
        <w:rPr>
          <w:rFonts w:ascii="Bodoni MT" w:eastAsia="Times New Roman" w:hAnsi="Bodoni MT" w:cs="Bodoni MT"/>
          <w:color w:val="000000"/>
          <w:sz w:val="24"/>
          <w:szCs w:val="24"/>
        </w:rPr>
        <w:t xml:space="preserve"> € 3.184.780.</w:t>
      </w:r>
    </w:p>
    <w:tbl>
      <w:tblPr>
        <w:tblW w:w="5000" w:type="pct"/>
        <w:tblCellMar>
          <w:left w:w="70" w:type="dxa"/>
          <w:right w:w="70" w:type="dxa"/>
        </w:tblCellMar>
        <w:tblLook w:val="04A0" w:firstRow="1" w:lastRow="0" w:firstColumn="1" w:lastColumn="0" w:noHBand="0" w:noVBand="1"/>
      </w:tblPr>
      <w:tblGrid>
        <w:gridCol w:w="2927"/>
        <w:gridCol w:w="1807"/>
        <w:gridCol w:w="1807"/>
        <w:gridCol w:w="2163"/>
        <w:gridCol w:w="1074"/>
      </w:tblGrid>
      <w:tr w:rsidR="00646970" w:rsidRPr="00646970" w:rsidTr="00646970">
        <w:trPr>
          <w:trHeight w:val="259"/>
        </w:trPr>
        <w:tc>
          <w:tcPr>
            <w:tcW w:w="1497" w:type="pct"/>
            <w:tcBorders>
              <w:top w:val="single" w:sz="4" w:space="0" w:color="000000"/>
              <w:left w:val="single" w:sz="4" w:space="0" w:color="000000"/>
              <w:bottom w:val="single" w:sz="4" w:space="0" w:color="000000"/>
              <w:right w:val="single" w:sz="4" w:space="0" w:color="000000"/>
            </w:tcBorders>
            <w:shd w:val="clear" w:color="auto" w:fill="0F243E" w:themeFill="text2" w:themeFillShade="80"/>
            <w:hideMark/>
          </w:tcPr>
          <w:p w:rsidR="00CD34A0" w:rsidRPr="00646970"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lastRenderedPageBreak/>
              <w:t>Voci</w:t>
            </w:r>
          </w:p>
        </w:tc>
        <w:tc>
          <w:tcPr>
            <w:tcW w:w="924" w:type="pct"/>
            <w:tcBorders>
              <w:top w:val="single" w:sz="4" w:space="0" w:color="000000"/>
              <w:left w:val="nil"/>
              <w:bottom w:val="single" w:sz="4" w:space="0" w:color="000000"/>
              <w:right w:val="single" w:sz="4" w:space="0" w:color="000000"/>
            </w:tcBorders>
            <w:shd w:val="clear" w:color="auto" w:fill="0F243E" w:themeFill="text2" w:themeFillShade="80"/>
            <w:noWrap/>
            <w:hideMark/>
          </w:tcPr>
          <w:p w:rsidR="00CD34A0" w:rsidRPr="00646970"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t>31/12/2016</w:t>
            </w:r>
          </w:p>
        </w:tc>
        <w:tc>
          <w:tcPr>
            <w:tcW w:w="924" w:type="pct"/>
            <w:tcBorders>
              <w:top w:val="single" w:sz="4" w:space="0" w:color="000000"/>
              <w:left w:val="nil"/>
              <w:bottom w:val="single" w:sz="4" w:space="0" w:color="000000"/>
              <w:right w:val="single" w:sz="4" w:space="0" w:color="000000"/>
            </w:tcBorders>
            <w:shd w:val="clear" w:color="auto" w:fill="0F243E" w:themeFill="text2" w:themeFillShade="80"/>
            <w:noWrap/>
            <w:hideMark/>
          </w:tcPr>
          <w:p w:rsidR="00CD34A0" w:rsidRPr="00646970"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t>31/12/2015</w:t>
            </w:r>
          </w:p>
        </w:tc>
        <w:tc>
          <w:tcPr>
            <w:tcW w:w="1106"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646970"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t>Var</w:t>
            </w:r>
          </w:p>
        </w:tc>
        <w:tc>
          <w:tcPr>
            <w:tcW w:w="549" w:type="pct"/>
            <w:tcBorders>
              <w:top w:val="single" w:sz="4" w:space="0" w:color="000000"/>
              <w:left w:val="nil"/>
              <w:bottom w:val="single" w:sz="4" w:space="0" w:color="000000"/>
              <w:right w:val="single" w:sz="4" w:space="0" w:color="000000"/>
            </w:tcBorders>
            <w:shd w:val="clear" w:color="auto" w:fill="0F243E" w:themeFill="text2" w:themeFillShade="80"/>
            <w:hideMark/>
          </w:tcPr>
          <w:p w:rsidR="00CD34A0" w:rsidRPr="00646970"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t>Var%</w:t>
            </w:r>
          </w:p>
        </w:tc>
      </w:tr>
      <w:tr w:rsidR="00CD34A0" w:rsidRPr="00CD34A0" w:rsidTr="00646970">
        <w:trPr>
          <w:trHeight w:val="240"/>
        </w:trPr>
        <w:tc>
          <w:tcPr>
            <w:tcW w:w="1497" w:type="pct"/>
            <w:tcBorders>
              <w:top w:val="nil"/>
              <w:left w:val="single" w:sz="4" w:space="0" w:color="000000"/>
              <w:bottom w:val="single" w:sz="4" w:space="0" w:color="000000"/>
              <w:right w:val="single" w:sz="4" w:space="0" w:color="000000"/>
            </w:tcBorders>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646970">
              <w:rPr>
                <w:rFonts w:ascii="Bodoni MT" w:eastAsia="Times New Roman" w:hAnsi="Bodoni MT" w:cs="Times New Roman"/>
                <w:color w:val="FFFFFF" w:themeColor="background1"/>
                <w:sz w:val="20"/>
                <w:szCs w:val="20"/>
                <w:lang w:eastAsia="it-IT"/>
              </w:rPr>
              <w:t>Rimanenze</w:t>
            </w:r>
          </w:p>
        </w:tc>
        <w:tc>
          <w:tcPr>
            <w:tcW w:w="924"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20"/>
                <w:szCs w:val="20"/>
                <w:lang w:eastAsia="it-IT"/>
              </w:rPr>
            </w:pPr>
            <w:r w:rsidRPr="00646970">
              <w:rPr>
                <w:rFonts w:eastAsia="Times New Roman" w:cs="Times New Roman"/>
                <w:color w:val="000000"/>
                <w:sz w:val="20"/>
                <w:szCs w:val="20"/>
                <w:lang w:eastAsia="it-IT"/>
              </w:rPr>
              <w:t>3.184.780</w:t>
            </w:r>
          </w:p>
        </w:tc>
        <w:tc>
          <w:tcPr>
            <w:tcW w:w="924"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20"/>
                <w:szCs w:val="20"/>
                <w:lang w:eastAsia="it-IT"/>
              </w:rPr>
            </w:pPr>
            <w:r w:rsidRPr="00646970">
              <w:rPr>
                <w:rFonts w:eastAsia="Times New Roman" w:cs="Times New Roman"/>
                <w:color w:val="000000"/>
                <w:sz w:val="20"/>
                <w:szCs w:val="20"/>
                <w:lang w:eastAsia="it-IT"/>
              </w:rPr>
              <w:t>3.600.366</w:t>
            </w:r>
          </w:p>
        </w:tc>
        <w:tc>
          <w:tcPr>
            <w:tcW w:w="1106"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rPr>
                <w:rFonts w:eastAsia="Times New Roman" w:cs="Times New Roman"/>
                <w:color w:val="000000"/>
                <w:sz w:val="20"/>
                <w:szCs w:val="20"/>
                <w:lang w:eastAsia="it-IT"/>
              </w:rPr>
            </w:pPr>
            <w:r w:rsidRPr="00646970">
              <w:rPr>
                <w:rFonts w:eastAsia="Times New Roman" w:cs="Times New Roman"/>
                <w:color w:val="000000"/>
                <w:sz w:val="20"/>
                <w:szCs w:val="20"/>
                <w:lang w:eastAsia="it-IT"/>
              </w:rPr>
              <w:t>-415.586</w:t>
            </w:r>
          </w:p>
        </w:tc>
        <w:tc>
          <w:tcPr>
            <w:tcW w:w="549"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20"/>
                <w:szCs w:val="20"/>
                <w:lang w:eastAsia="it-IT"/>
              </w:rPr>
            </w:pPr>
            <w:r w:rsidRPr="00646970">
              <w:rPr>
                <w:rFonts w:eastAsia="Times New Roman" w:cs="Times New Roman"/>
                <w:color w:val="000000"/>
                <w:sz w:val="20"/>
                <w:szCs w:val="20"/>
                <w:lang w:eastAsia="it-IT"/>
              </w:rPr>
              <w:t>-12%</w:t>
            </w:r>
          </w:p>
        </w:tc>
      </w:tr>
      <w:tr w:rsidR="00CD34A0" w:rsidRPr="00CD34A0" w:rsidTr="00646970">
        <w:trPr>
          <w:trHeight w:val="259"/>
        </w:trPr>
        <w:tc>
          <w:tcPr>
            <w:tcW w:w="1497" w:type="pct"/>
            <w:tcBorders>
              <w:top w:val="nil"/>
              <w:left w:val="single" w:sz="4" w:space="0" w:color="000000"/>
              <w:bottom w:val="single" w:sz="4" w:space="0" w:color="000000"/>
              <w:right w:val="single" w:sz="4" w:space="0" w:color="000000"/>
            </w:tcBorders>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b/>
                <w:bCs/>
                <w:iCs/>
                <w:color w:val="FFFFFF" w:themeColor="background1"/>
                <w:sz w:val="20"/>
                <w:szCs w:val="20"/>
                <w:lang w:eastAsia="it-IT"/>
              </w:rPr>
            </w:pPr>
            <w:r w:rsidRPr="00646970">
              <w:rPr>
                <w:rFonts w:ascii="Bodoni MT" w:eastAsia="Times New Roman" w:hAnsi="Bodoni MT" w:cs="Times New Roman"/>
                <w:b/>
                <w:bCs/>
                <w:iCs/>
                <w:color w:val="FFFFFF" w:themeColor="background1"/>
                <w:sz w:val="20"/>
                <w:szCs w:val="20"/>
                <w:lang w:eastAsia="it-IT"/>
              </w:rPr>
              <w:t>I   Totale rimanenze</w:t>
            </w:r>
          </w:p>
        </w:tc>
        <w:tc>
          <w:tcPr>
            <w:tcW w:w="924"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20"/>
                <w:szCs w:val="20"/>
                <w:lang w:eastAsia="it-IT"/>
              </w:rPr>
            </w:pPr>
            <w:r w:rsidRPr="00646970">
              <w:rPr>
                <w:rFonts w:eastAsia="Times New Roman" w:cs="Times New Roman"/>
                <w:b/>
                <w:bCs/>
                <w:iCs/>
                <w:color w:val="000000"/>
                <w:sz w:val="20"/>
                <w:szCs w:val="20"/>
                <w:lang w:eastAsia="it-IT"/>
              </w:rPr>
              <w:t>3.184.780</w:t>
            </w:r>
          </w:p>
        </w:tc>
        <w:tc>
          <w:tcPr>
            <w:tcW w:w="924"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20"/>
                <w:szCs w:val="20"/>
                <w:lang w:eastAsia="it-IT"/>
              </w:rPr>
            </w:pPr>
            <w:r w:rsidRPr="00646970">
              <w:rPr>
                <w:rFonts w:eastAsia="Times New Roman" w:cs="Times New Roman"/>
                <w:b/>
                <w:bCs/>
                <w:iCs/>
                <w:color w:val="000000"/>
                <w:sz w:val="20"/>
                <w:szCs w:val="20"/>
                <w:lang w:eastAsia="it-IT"/>
              </w:rPr>
              <w:t>3.600.366</w:t>
            </w:r>
          </w:p>
        </w:tc>
        <w:tc>
          <w:tcPr>
            <w:tcW w:w="1106"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rPr>
                <w:rFonts w:eastAsia="Times New Roman" w:cs="Times New Roman"/>
                <w:b/>
                <w:bCs/>
                <w:iCs/>
                <w:color w:val="000000"/>
                <w:sz w:val="20"/>
                <w:szCs w:val="20"/>
                <w:lang w:eastAsia="it-IT"/>
              </w:rPr>
            </w:pPr>
            <w:r w:rsidRPr="00646970">
              <w:rPr>
                <w:rFonts w:eastAsia="Times New Roman" w:cs="Times New Roman"/>
                <w:b/>
                <w:bCs/>
                <w:iCs/>
                <w:color w:val="000000"/>
                <w:sz w:val="20"/>
                <w:szCs w:val="20"/>
                <w:lang w:eastAsia="it-IT"/>
              </w:rPr>
              <w:t>-415.586</w:t>
            </w:r>
          </w:p>
        </w:tc>
        <w:tc>
          <w:tcPr>
            <w:tcW w:w="549" w:type="pct"/>
            <w:tcBorders>
              <w:top w:val="nil"/>
              <w:left w:val="nil"/>
              <w:bottom w:val="single" w:sz="4" w:space="0" w:color="000000"/>
              <w:right w:val="single" w:sz="4" w:space="0" w:color="000000"/>
            </w:tcBorders>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20"/>
                <w:szCs w:val="20"/>
                <w:lang w:eastAsia="it-IT"/>
              </w:rPr>
            </w:pPr>
            <w:r w:rsidRPr="00646970">
              <w:rPr>
                <w:rFonts w:eastAsia="Times New Roman" w:cs="Times New Roman"/>
                <w:b/>
                <w:bCs/>
                <w:iCs/>
                <w:color w:val="000000"/>
                <w:sz w:val="20"/>
                <w:szCs w:val="20"/>
                <w:lang w:eastAsia="it-IT"/>
              </w:rPr>
              <w:t>-11,5%</w:t>
            </w:r>
          </w:p>
        </w:tc>
      </w:tr>
    </w:tbl>
    <w:p w:rsidR="00CD34A0" w:rsidRPr="0064697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646970">
        <w:rPr>
          <w:rFonts w:ascii="Bodoni MT" w:eastAsia="Times New Roman" w:hAnsi="Bodoni MT" w:cs="Bodoni MT"/>
          <w:color w:val="000000"/>
          <w:sz w:val="18"/>
          <w:szCs w:val="18"/>
        </w:rPr>
        <w:t>Fonte RAS Rendiconto sulla gestione 2016 – Allegato 3.3</w:t>
      </w:r>
    </w:p>
    <w:p w:rsidR="00CD34A0" w:rsidRPr="00CD34A0" w:rsidRDefault="00CD34A0" w:rsidP="00646970">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b/>
          <w:color w:val="000000"/>
          <w:sz w:val="24"/>
          <w:szCs w:val="24"/>
        </w:rPr>
        <w:t xml:space="preserve">I Crediti. </w:t>
      </w:r>
      <w:r w:rsidRPr="00CD34A0">
        <w:rPr>
          <w:rFonts w:ascii="Bodoni MT" w:eastAsia="Times New Roman" w:hAnsi="Bodoni MT" w:cs="Bodoni MT"/>
          <w:color w:val="000000"/>
          <w:sz w:val="24"/>
          <w:szCs w:val="24"/>
        </w:rPr>
        <w:t xml:space="preserve">La Nota integrativa allegata allo Stato Patrimoniale in via generale si precisa che </w:t>
      </w:r>
      <w:r w:rsidRPr="00CD34A0">
        <w:rPr>
          <w:rFonts w:ascii="Bodoni MT" w:eastAsia="Times New Roman" w:hAnsi="Bodoni MT" w:cs="Bodoni MT"/>
          <w:i/>
          <w:color w:val="000000"/>
          <w:sz w:val="24"/>
          <w:szCs w:val="24"/>
        </w:rPr>
        <w:t>il valore dei residui attivi e passivi (del bilancio finanziario) non coincide con il valore dei crediti e dei debiti dello stato patrimoniale.</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b/>
          <w:color w:val="000000"/>
          <w:sz w:val="24"/>
          <w:szCs w:val="24"/>
        </w:rPr>
        <w:t>È necessario, dunque, prestare attenzione al fatto che i valori derivanti dai due sistemi forniscono una visione differente dei risultati finali.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Le differenze che si determinano nei risultati finali delle due contabilità, ad avviso della Regione, dipendono principalmente dalle </w:t>
      </w:r>
      <w:r w:rsidRPr="00CD34A0">
        <w:rPr>
          <w:rFonts w:ascii="Bodoni MT" w:eastAsia="Times New Roman" w:hAnsi="Bodoni MT" w:cs="Bodoni MT"/>
          <w:b/>
          <w:color w:val="000000"/>
          <w:sz w:val="24"/>
          <w:szCs w:val="24"/>
        </w:rPr>
        <w:t>diverse modalità temporali di imputazione</w:t>
      </w:r>
      <w:r w:rsidRPr="00CD34A0">
        <w:rPr>
          <w:rFonts w:ascii="Bodoni MT" w:eastAsia="Times New Roman" w:hAnsi="Bodoni MT" w:cs="Bodoni MT"/>
          <w:color w:val="000000"/>
          <w:sz w:val="24"/>
          <w:szCs w:val="24"/>
        </w:rPr>
        <w:t xml:space="preserve"> contemplate</w:t>
      </w:r>
      <w:r w:rsidRPr="00CD34A0">
        <w:rPr>
          <w:rFonts w:ascii="Bodoni MT" w:eastAsia="Times New Roman" w:hAnsi="Bodoni MT" w:cs="Bodoni MT"/>
          <w:b/>
          <w:color w:val="000000"/>
          <w:sz w:val="24"/>
          <w:szCs w:val="24"/>
        </w:rPr>
        <w:t xml:space="preserve"> </w:t>
      </w:r>
      <w:r w:rsidRPr="00CD34A0">
        <w:rPr>
          <w:rFonts w:ascii="Bodoni MT" w:eastAsia="Times New Roman" w:hAnsi="Bodoni MT" w:cs="Bodoni MT"/>
          <w:color w:val="000000"/>
          <w:sz w:val="24"/>
          <w:szCs w:val="24"/>
        </w:rPr>
        <w:t>dalla competenza finanziaria potenziata ovvero dalla competenza economica, in quanto</w:t>
      </w:r>
      <w:r w:rsidRPr="00CD34A0">
        <w:rPr>
          <w:rFonts w:ascii="Bodoni MT" w:eastAsia="Times New Roman" w:hAnsi="Bodoni MT" w:cs="Bodoni MT"/>
          <w:b/>
          <w:color w:val="000000"/>
          <w:sz w:val="24"/>
          <w:szCs w:val="24"/>
        </w:rPr>
        <w:t xml:space="preserve"> </w:t>
      </w:r>
      <w:r w:rsidRPr="00CD34A0">
        <w:rPr>
          <w:rFonts w:ascii="Bodoni MT" w:eastAsia="Times New Roman" w:hAnsi="Bodoni MT" w:cs="Bodoni MT"/>
          <w:color w:val="000000"/>
          <w:sz w:val="24"/>
          <w:szCs w:val="24"/>
        </w:rPr>
        <w:t xml:space="preserve">la contabilità finanziaria imputa i crediti ed i debiti nell’esercizio della loro scadenza, mentre la contabilità economica considera tutti i crediti ed i debiti giuridicamente esistenti, anche quelli non scaduti (ad esempio: crediti rateizzati, crediti verso beneficiari finali originati da fondi rotativi, debiti per quote capitale di mutui passivi non ancora scadute, etc.).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Ino</w:t>
      </w:r>
      <w:r w:rsidR="004469B5">
        <w:rPr>
          <w:rFonts w:ascii="Bodoni MT" w:eastAsia="Times New Roman" w:hAnsi="Bodoni MT" w:cs="Bodoni MT"/>
          <w:color w:val="000000"/>
          <w:sz w:val="24"/>
          <w:szCs w:val="24"/>
        </w:rPr>
        <w:t xml:space="preserve">ltre nello stato patrimoniale </w:t>
      </w:r>
      <w:r w:rsidRPr="00CD34A0">
        <w:rPr>
          <w:rFonts w:ascii="Bodoni MT" w:eastAsia="Times New Roman" w:hAnsi="Bodoni MT" w:cs="Bodoni MT"/>
          <w:color w:val="000000"/>
          <w:sz w:val="24"/>
          <w:szCs w:val="24"/>
        </w:rPr>
        <w:t xml:space="preserve">assume rilevanza considerevole la contabilizzazione nei debiti dei </w:t>
      </w:r>
      <w:r w:rsidRPr="00CD34A0">
        <w:rPr>
          <w:rFonts w:ascii="Bodoni MT" w:eastAsia="Times New Roman" w:hAnsi="Bodoni MT" w:cs="Bodoni MT"/>
          <w:b/>
          <w:color w:val="000000"/>
          <w:sz w:val="24"/>
          <w:szCs w:val="24"/>
        </w:rPr>
        <w:t>residui perenti,</w:t>
      </w:r>
      <w:r w:rsidRPr="00CD34A0">
        <w:rPr>
          <w:rFonts w:ascii="Bodoni MT" w:eastAsia="Times New Roman" w:hAnsi="Bodoni MT" w:cs="Bodoni MT"/>
          <w:color w:val="000000"/>
          <w:sz w:val="24"/>
          <w:szCs w:val="24"/>
        </w:rPr>
        <w:t xml:space="preserve"> che non trovavano evidenziazione nelle precedenti scritture di bilancio e rendiconto.</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Un’ulteriore differenza è costituita dalla presenza nel passivo di poste che sono assimilabili ai debiti, costituiti dai fondi per rischi ed oneri e dai ratei passivi.</w:t>
      </w:r>
    </w:p>
    <w:p w:rsidR="004469B5" w:rsidRPr="00CD34A0" w:rsidRDefault="004469B5" w:rsidP="004469B5">
      <w:pPr>
        <w:pStyle w:val="Didascalia"/>
        <w:rPr>
          <w:rFonts w:eastAsia="Times New Roman" w:cs="Bodoni MT"/>
          <w:color w:val="000000"/>
          <w:sz w:val="24"/>
          <w:szCs w:val="24"/>
        </w:rPr>
      </w:pPr>
      <w:bookmarkStart w:id="378" w:name="_Toc507422582"/>
      <w:r>
        <w:t xml:space="preserve">Tabella </w:t>
      </w:r>
      <w:r w:rsidR="00B90472">
        <w:fldChar w:fldCharType="begin"/>
      </w:r>
      <w:r w:rsidR="00B90472">
        <w:instrText xml:space="preserve"> SEQ Tab</w:instrText>
      </w:r>
      <w:r w:rsidR="00B90472">
        <w:instrText xml:space="preserve">ella \* ARABIC </w:instrText>
      </w:r>
      <w:r w:rsidR="00B90472">
        <w:fldChar w:fldCharType="separate"/>
      </w:r>
      <w:r w:rsidR="008616B3">
        <w:rPr>
          <w:noProof/>
        </w:rPr>
        <w:t>114</w:t>
      </w:r>
      <w:r w:rsidR="00B90472">
        <w:rPr>
          <w:noProof/>
        </w:rPr>
        <w:fldChar w:fldCharType="end"/>
      </w:r>
      <w:r>
        <w:t xml:space="preserve"> - Crediti</w:t>
      </w:r>
      <w:bookmarkEnd w:id="378"/>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9"/>
        <w:gridCol w:w="1494"/>
        <w:gridCol w:w="1494"/>
        <w:gridCol w:w="1562"/>
        <w:gridCol w:w="1121"/>
      </w:tblGrid>
      <w:tr w:rsidR="00646970" w:rsidRPr="00646970" w:rsidTr="00646970">
        <w:trPr>
          <w:trHeight w:val="259"/>
          <w:jc w:val="center"/>
        </w:trPr>
        <w:tc>
          <w:tcPr>
            <w:tcW w:w="3749" w:type="dxa"/>
            <w:shd w:val="clear" w:color="auto" w:fill="0F243E" w:themeFill="text2" w:themeFillShade="80"/>
            <w:hideMark/>
          </w:tcPr>
          <w:p w:rsidR="00CD34A0" w:rsidRPr="00646970" w:rsidRDefault="00646970" w:rsidP="00CD34A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VOCI</w:t>
            </w:r>
          </w:p>
        </w:tc>
        <w:tc>
          <w:tcPr>
            <w:tcW w:w="1494" w:type="dxa"/>
            <w:shd w:val="clear" w:color="auto" w:fill="0F243E" w:themeFill="text2" w:themeFillShade="80"/>
            <w:noWrap/>
            <w:hideMark/>
          </w:tcPr>
          <w:p w:rsidR="00CD34A0" w:rsidRPr="00646970" w:rsidRDefault="0064697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31/12/2016</w:t>
            </w:r>
          </w:p>
        </w:tc>
        <w:tc>
          <w:tcPr>
            <w:tcW w:w="1494" w:type="dxa"/>
            <w:shd w:val="clear" w:color="auto" w:fill="0F243E" w:themeFill="text2" w:themeFillShade="80"/>
            <w:noWrap/>
            <w:hideMark/>
          </w:tcPr>
          <w:p w:rsidR="00CD34A0" w:rsidRPr="00646970" w:rsidRDefault="0064697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31/12/2015</w:t>
            </w:r>
          </w:p>
        </w:tc>
        <w:tc>
          <w:tcPr>
            <w:tcW w:w="1562" w:type="dxa"/>
            <w:shd w:val="clear" w:color="auto" w:fill="0F243E" w:themeFill="text2" w:themeFillShade="80"/>
            <w:hideMark/>
          </w:tcPr>
          <w:p w:rsidR="00CD34A0" w:rsidRPr="00646970" w:rsidRDefault="00646970" w:rsidP="00CD34A0">
            <w:pPr>
              <w:spacing w:after="0" w:line="240" w:lineRule="auto"/>
              <w:jc w:val="center"/>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VAR</w:t>
            </w:r>
          </w:p>
        </w:tc>
        <w:tc>
          <w:tcPr>
            <w:tcW w:w="1121" w:type="dxa"/>
            <w:shd w:val="clear" w:color="auto" w:fill="0F243E" w:themeFill="text2" w:themeFillShade="80"/>
            <w:hideMark/>
          </w:tcPr>
          <w:p w:rsidR="00CD34A0" w:rsidRPr="00646970" w:rsidRDefault="0064697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VAR%</w:t>
            </w:r>
          </w:p>
        </w:tc>
      </w:tr>
      <w:tr w:rsidR="00CD34A0" w:rsidRPr="00CD34A0" w:rsidTr="00646970">
        <w:trPr>
          <w:trHeight w:val="240"/>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color w:val="FFFFFF" w:themeColor="background1"/>
                <w:sz w:val="18"/>
                <w:szCs w:val="18"/>
                <w:lang w:eastAsia="it-IT"/>
              </w:rPr>
            </w:pPr>
            <w:r>
              <w:rPr>
                <w:rFonts w:ascii="Bodoni MT" w:eastAsia="Times New Roman" w:hAnsi="Bodoni MT" w:cs="Times New Roman"/>
                <w:color w:val="FFFFFF" w:themeColor="background1"/>
                <w:sz w:val="18"/>
                <w:szCs w:val="18"/>
                <w:lang w:eastAsia="it-IT"/>
              </w:rPr>
              <w:t xml:space="preserve">1 </w:t>
            </w:r>
            <w:r w:rsidR="00CD34A0" w:rsidRPr="00646970">
              <w:rPr>
                <w:rFonts w:ascii="Bodoni MT" w:eastAsia="Times New Roman" w:hAnsi="Bodoni MT" w:cs="Times New Roman"/>
                <w:color w:val="FFFFFF" w:themeColor="background1"/>
                <w:sz w:val="18"/>
                <w:szCs w:val="18"/>
                <w:lang w:eastAsia="it-IT"/>
              </w:rPr>
              <w:t>Crediti di natura tributaria</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651.572.074</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387.558.651</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264.013.423</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68%</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646970">
              <w:rPr>
                <w:rFonts w:ascii="Bodoni MT" w:eastAsia="Times New Roman" w:hAnsi="Bodoni MT" w:cs="Times New Roman"/>
                <w:iCs/>
                <w:color w:val="FFFFFF" w:themeColor="background1"/>
                <w:sz w:val="18"/>
                <w:szCs w:val="18"/>
                <w:lang w:eastAsia="it-IT"/>
              </w:rPr>
              <w:t>a</w:t>
            </w:r>
            <w:r w:rsidR="00646970">
              <w:rPr>
                <w:rFonts w:ascii="Bodoni MT" w:eastAsia="Times New Roman" w:hAnsi="Bodoni MT" w:cs="Times New Roman"/>
                <w:iCs/>
                <w:color w:val="FFFFFF" w:themeColor="background1"/>
                <w:sz w:val="18"/>
                <w:szCs w:val="18"/>
                <w:lang w:eastAsia="it-IT"/>
              </w:rPr>
              <w:t>)</w:t>
            </w:r>
            <w:r w:rsidRPr="00646970">
              <w:rPr>
                <w:rFonts w:ascii="Bodoni MT" w:eastAsia="Times New Roman" w:hAnsi="Bodoni MT" w:cs="Times New Roman"/>
                <w:iCs/>
                <w:color w:val="FFFFFF" w:themeColor="background1"/>
                <w:sz w:val="18"/>
                <w:szCs w:val="18"/>
                <w:lang w:eastAsia="it-IT"/>
              </w:rPr>
              <w:t xml:space="preserve"> Crediti destinati finanziamento Sanità</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118.170.704</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-118.170.704</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-100%</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b)</w:t>
            </w:r>
            <w:r w:rsidR="00CD34A0" w:rsidRPr="00646970">
              <w:rPr>
                <w:rFonts w:ascii="Bodoni MT" w:eastAsia="Times New Roman" w:hAnsi="Bodoni MT" w:cs="Times New Roman"/>
                <w:iCs/>
                <w:color w:val="FFFFFF" w:themeColor="background1"/>
                <w:sz w:val="18"/>
                <w:szCs w:val="18"/>
                <w:lang w:eastAsia="it-IT"/>
              </w:rPr>
              <w:t xml:space="preserve"> Altri crediti da tributi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651.572.074</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269.387.947</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382.184.127</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142%</w:t>
            </w:r>
          </w:p>
        </w:tc>
      </w:tr>
      <w:tr w:rsidR="00CD34A0" w:rsidRPr="00CD34A0" w:rsidTr="00646970">
        <w:trPr>
          <w:trHeight w:val="199"/>
          <w:jc w:val="center"/>
        </w:trPr>
        <w:tc>
          <w:tcPr>
            <w:tcW w:w="3749" w:type="dxa"/>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646970">
              <w:rPr>
                <w:rFonts w:ascii="Bodoni MT" w:eastAsia="Times New Roman" w:hAnsi="Bodoni MT" w:cs="Times New Roman"/>
                <w:iCs/>
                <w:color w:val="FFFFFF" w:themeColor="background1"/>
                <w:sz w:val="18"/>
                <w:szCs w:val="18"/>
                <w:lang w:eastAsia="it-IT"/>
              </w:rPr>
              <w:t>c</w:t>
            </w:r>
            <w:r w:rsidR="00646970">
              <w:rPr>
                <w:rFonts w:ascii="Bodoni MT" w:eastAsia="Times New Roman" w:hAnsi="Bodoni MT" w:cs="Times New Roman"/>
                <w:iCs/>
                <w:color w:val="FFFFFF" w:themeColor="background1"/>
                <w:sz w:val="18"/>
                <w:szCs w:val="18"/>
                <w:lang w:eastAsia="it-IT"/>
              </w:rPr>
              <w:t>)</w:t>
            </w:r>
            <w:r w:rsidRPr="00646970">
              <w:rPr>
                <w:rFonts w:ascii="Bodoni MT" w:eastAsia="Times New Roman" w:hAnsi="Bodoni MT" w:cs="Times New Roman"/>
                <w:iCs/>
                <w:color w:val="FFFFFF" w:themeColor="background1"/>
                <w:sz w:val="18"/>
                <w:szCs w:val="18"/>
                <w:lang w:eastAsia="it-IT"/>
              </w:rPr>
              <w:t xml:space="preserve"> Crediti da Fondi perequativi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121" w:type="dxa"/>
            <w:shd w:val="clear" w:color="auto" w:fill="FFFFFF" w:themeFill="background1"/>
            <w:hideMark/>
          </w:tcPr>
          <w:p w:rsidR="00CD34A0" w:rsidRPr="00646970" w:rsidRDefault="00CD34A0" w:rsidP="00CD34A0">
            <w:pPr>
              <w:spacing w:after="0" w:line="240" w:lineRule="auto"/>
              <w:jc w:val="right"/>
              <w:rPr>
                <w:rFonts w:eastAsia="Times New Roman" w:cs="Times New Roman"/>
                <w:iCs/>
                <w:sz w:val="18"/>
                <w:szCs w:val="18"/>
                <w:lang w:eastAsia="it-IT"/>
              </w:rPr>
            </w:pPr>
            <w:r w:rsidRPr="00646970">
              <w:rPr>
                <w:rFonts w:eastAsia="Times New Roman" w:cs="Times New Roman"/>
                <w:iCs/>
                <w:sz w:val="18"/>
                <w:szCs w:val="18"/>
                <w:lang w:eastAsia="it-IT"/>
              </w:rPr>
              <w:t>-</w:t>
            </w:r>
          </w:p>
        </w:tc>
      </w:tr>
      <w:tr w:rsidR="00CD34A0" w:rsidRPr="00CD34A0" w:rsidTr="00646970">
        <w:trPr>
          <w:trHeight w:val="240"/>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color w:val="FFFFFF" w:themeColor="background1"/>
                <w:sz w:val="18"/>
                <w:szCs w:val="18"/>
                <w:lang w:eastAsia="it-IT"/>
              </w:rPr>
            </w:pPr>
            <w:r>
              <w:rPr>
                <w:rFonts w:ascii="Bodoni MT" w:eastAsia="Times New Roman" w:hAnsi="Bodoni MT" w:cs="Times New Roman"/>
                <w:color w:val="FFFFFF" w:themeColor="background1"/>
                <w:sz w:val="18"/>
                <w:szCs w:val="18"/>
                <w:lang w:eastAsia="it-IT"/>
              </w:rPr>
              <w:t xml:space="preserve">2 </w:t>
            </w:r>
            <w:r w:rsidR="00CD34A0" w:rsidRPr="00646970">
              <w:rPr>
                <w:rFonts w:ascii="Bodoni MT" w:eastAsia="Times New Roman" w:hAnsi="Bodoni MT" w:cs="Times New Roman"/>
                <w:color w:val="FFFFFF" w:themeColor="background1"/>
                <w:sz w:val="18"/>
                <w:szCs w:val="18"/>
                <w:lang w:eastAsia="it-IT"/>
              </w:rPr>
              <w:t>Crediti per trasferimenti e contributi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1.133.155.518</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432.125.392</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701.030.126</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162%</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a)</w:t>
            </w:r>
            <w:r w:rsidR="00CD34A0" w:rsidRPr="00646970">
              <w:rPr>
                <w:rFonts w:ascii="Bodoni MT" w:eastAsia="Times New Roman" w:hAnsi="Bodoni MT" w:cs="Times New Roman"/>
                <w:iCs/>
                <w:color w:val="FFFFFF" w:themeColor="background1"/>
                <w:sz w:val="18"/>
                <w:szCs w:val="18"/>
                <w:lang w:eastAsia="it-IT"/>
              </w:rPr>
              <w:t xml:space="preserve"> Verso amministrazioni pubbliche</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1.006.845.894</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299.850.107</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706.995.787</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236%</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b)</w:t>
            </w:r>
            <w:r w:rsidR="00CD34A0" w:rsidRPr="00646970">
              <w:rPr>
                <w:rFonts w:ascii="Bodoni MT" w:eastAsia="Times New Roman" w:hAnsi="Bodoni MT" w:cs="Times New Roman"/>
                <w:iCs/>
                <w:color w:val="FFFFFF" w:themeColor="background1"/>
                <w:sz w:val="18"/>
                <w:szCs w:val="18"/>
                <w:lang w:eastAsia="it-IT"/>
              </w:rPr>
              <w:t xml:space="preserve"> Imprese controllate</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121" w:type="dxa"/>
            <w:shd w:val="clear" w:color="auto" w:fill="FFFFFF" w:themeFill="background1"/>
            <w:hideMark/>
          </w:tcPr>
          <w:p w:rsidR="00CD34A0" w:rsidRPr="00646970" w:rsidRDefault="00CD34A0" w:rsidP="00CD34A0">
            <w:pPr>
              <w:spacing w:after="0" w:line="240" w:lineRule="auto"/>
              <w:jc w:val="right"/>
              <w:rPr>
                <w:rFonts w:eastAsia="Times New Roman" w:cs="Times New Roman"/>
                <w:iCs/>
                <w:sz w:val="18"/>
                <w:szCs w:val="18"/>
                <w:lang w:eastAsia="it-IT"/>
              </w:rPr>
            </w:pPr>
            <w:r w:rsidRPr="00646970">
              <w:rPr>
                <w:rFonts w:eastAsia="Times New Roman" w:cs="Times New Roman"/>
                <w:iCs/>
                <w:sz w:val="18"/>
                <w:szCs w:val="18"/>
                <w:lang w:eastAsia="it-IT"/>
              </w:rPr>
              <w:t>-</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 xml:space="preserve">c) </w:t>
            </w:r>
            <w:r w:rsidR="00CD34A0" w:rsidRPr="00646970">
              <w:rPr>
                <w:rFonts w:ascii="Bodoni MT" w:eastAsia="Times New Roman" w:hAnsi="Bodoni MT" w:cs="Times New Roman"/>
                <w:iCs/>
                <w:color w:val="FFFFFF" w:themeColor="background1"/>
                <w:sz w:val="18"/>
                <w:szCs w:val="18"/>
                <w:lang w:eastAsia="it-IT"/>
              </w:rPr>
              <w:t>Imprese partecipate</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121" w:type="dxa"/>
            <w:shd w:val="clear" w:color="auto" w:fill="FFFFFF" w:themeFill="background1"/>
            <w:hideMark/>
          </w:tcPr>
          <w:p w:rsidR="00CD34A0" w:rsidRPr="00646970" w:rsidRDefault="00CD34A0" w:rsidP="00CD34A0">
            <w:pPr>
              <w:spacing w:after="0" w:line="240" w:lineRule="auto"/>
              <w:jc w:val="right"/>
              <w:rPr>
                <w:rFonts w:eastAsia="Times New Roman" w:cs="Times New Roman"/>
                <w:iCs/>
                <w:sz w:val="18"/>
                <w:szCs w:val="18"/>
                <w:lang w:eastAsia="it-IT"/>
              </w:rPr>
            </w:pPr>
            <w:r w:rsidRPr="00646970">
              <w:rPr>
                <w:rFonts w:eastAsia="Times New Roman" w:cs="Times New Roman"/>
                <w:iCs/>
                <w:sz w:val="18"/>
                <w:szCs w:val="18"/>
                <w:lang w:eastAsia="it-IT"/>
              </w:rPr>
              <w:t>-</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 xml:space="preserve">d) </w:t>
            </w:r>
            <w:r w:rsidR="00CD34A0" w:rsidRPr="00646970">
              <w:rPr>
                <w:rFonts w:ascii="Bodoni MT" w:eastAsia="Times New Roman" w:hAnsi="Bodoni MT" w:cs="Times New Roman"/>
                <w:iCs/>
                <w:color w:val="FFFFFF" w:themeColor="background1"/>
                <w:sz w:val="18"/>
                <w:szCs w:val="18"/>
                <w:lang w:eastAsia="it-IT"/>
              </w:rPr>
              <w:t>Verso altri soggetti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126.309.624</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132.275.285</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-5.965.661</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-5%</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color w:val="FFFFFF" w:themeColor="background1"/>
                <w:sz w:val="18"/>
                <w:szCs w:val="18"/>
                <w:lang w:eastAsia="it-IT"/>
              </w:rPr>
            </w:pPr>
            <w:r>
              <w:rPr>
                <w:rFonts w:ascii="Bodoni MT" w:eastAsia="Times New Roman" w:hAnsi="Bodoni MT" w:cs="Times New Roman"/>
                <w:color w:val="FFFFFF" w:themeColor="background1"/>
                <w:sz w:val="18"/>
                <w:szCs w:val="18"/>
                <w:lang w:eastAsia="it-IT"/>
              </w:rPr>
              <w:t xml:space="preserve">3 </w:t>
            </w:r>
            <w:r w:rsidR="00CD34A0" w:rsidRPr="00646970">
              <w:rPr>
                <w:rFonts w:ascii="Bodoni MT" w:eastAsia="Times New Roman" w:hAnsi="Bodoni MT" w:cs="Times New Roman"/>
                <w:color w:val="FFFFFF" w:themeColor="background1"/>
                <w:sz w:val="18"/>
                <w:szCs w:val="18"/>
                <w:lang w:eastAsia="it-IT"/>
              </w:rPr>
              <w:t>Verso clienti ed utenti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3.549.520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2.929.020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620.500</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21%</w:t>
            </w:r>
          </w:p>
        </w:tc>
      </w:tr>
      <w:tr w:rsidR="00CD34A0" w:rsidRPr="00CD34A0" w:rsidTr="00646970">
        <w:trPr>
          <w:trHeight w:val="240"/>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color w:val="FFFFFF" w:themeColor="background1"/>
                <w:sz w:val="18"/>
                <w:szCs w:val="18"/>
                <w:lang w:eastAsia="it-IT"/>
              </w:rPr>
            </w:pPr>
            <w:r>
              <w:rPr>
                <w:rFonts w:ascii="Bodoni MT" w:eastAsia="Times New Roman" w:hAnsi="Bodoni MT" w:cs="Times New Roman"/>
                <w:color w:val="FFFFFF" w:themeColor="background1"/>
                <w:sz w:val="18"/>
                <w:szCs w:val="18"/>
                <w:lang w:eastAsia="it-IT"/>
              </w:rPr>
              <w:t xml:space="preserve">4 </w:t>
            </w:r>
            <w:r w:rsidR="00CD34A0" w:rsidRPr="00646970">
              <w:rPr>
                <w:rFonts w:ascii="Bodoni MT" w:eastAsia="Times New Roman" w:hAnsi="Bodoni MT" w:cs="Times New Roman"/>
                <w:color w:val="FFFFFF" w:themeColor="background1"/>
                <w:sz w:val="18"/>
                <w:szCs w:val="18"/>
                <w:lang w:eastAsia="it-IT"/>
              </w:rPr>
              <w:t>Altri Crediti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52.494.080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72.735.666</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-20.241.586</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color w:val="000000"/>
                <w:sz w:val="18"/>
                <w:szCs w:val="18"/>
                <w:lang w:eastAsia="it-IT"/>
              </w:rPr>
            </w:pPr>
            <w:r w:rsidRPr="00646970">
              <w:rPr>
                <w:rFonts w:eastAsia="Times New Roman" w:cs="Times New Roman"/>
                <w:color w:val="000000"/>
                <w:sz w:val="18"/>
                <w:szCs w:val="18"/>
                <w:lang w:eastAsia="it-IT"/>
              </w:rPr>
              <w:t>-28%</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646970">
              <w:rPr>
                <w:rFonts w:ascii="Bodoni MT" w:eastAsia="Times New Roman" w:hAnsi="Bodoni MT" w:cs="Times New Roman"/>
                <w:iCs/>
                <w:color w:val="FFFFFF" w:themeColor="background1"/>
                <w:sz w:val="18"/>
                <w:szCs w:val="18"/>
                <w:lang w:eastAsia="it-IT"/>
              </w:rPr>
              <w:t>a</w:t>
            </w:r>
            <w:r w:rsidR="00646970">
              <w:rPr>
                <w:rFonts w:ascii="Bodoni MT" w:eastAsia="Times New Roman" w:hAnsi="Bodoni MT" w:cs="Times New Roman"/>
                <w:iCs/>
                <w:color w:val="FFFFFF" w:themeColor="background1"/>
                <w:sz w:val="18"/>
                <w:szCs w:val="18"/>
                <w:lang w:eastAsia="it-IT"/>
              </w:rPr>
              <w:t>)</w:t>
            </w:r>
            <w:r w:rsidRPr="00646970">
              <w:rPr>
                <w:rFonts w:ascii="Bodoni MT" w:eastAsia="Times New Roman" w:hAnsi="Bodoni MT" w:cs="Times New Roman"/>
                <w:iCs/>
                <w:color w:val="FFFFFF" w:themeColor="background1"/>
                <w:sz w:val="18"/>
                <w:szCs w:val="18"/>
                <w:lang w:eastAsia="it-IT"/>
              </w:rPr>
              <w:t xml:space="preserve"> Verso l'erario</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0</w:t>
            </w:r>
          </w:p>
        </w:tc>
        <w:tc>
          <w:tcPr>
            <w:tcW w:w="1121" w:type="dxa"/>
            <w:shd w:val="clear" w:color="auto" w:fill="FFFFFF" w:themeFill="background1"/>
            <w:hideMark/>
          </w:tcPr>
          <w:p w:rsidR="00CD34A0" w:rsidRPr="00646970" w:rsidRDefault="00CD34A0" w:rsidP="00CD34A0">
            <w:pPr>
              <w:spacing w:after="0" w:line="240" w:lineRule="auto"/>
              <w:jc w:val="right"/>
              <w:rPr>
                <w:rFonts w:eastAsia="Times New Roman" w:cs="Times New Roman"/>
                <w:iCs/>
                <w:sz w:val="18"/>
                <w:szCs w:val="18"/>
                <w:lang w:eastAsia="it-IT"/>
              </w:rPr>
            </w:pPr>
            <w:r w:rsidRPr="00646970">
              <w:rPr>
                <w:rFonts w:eastAsia="Times New Roman" w:cs="Times New Roman"/>
                <w:iCs/>
                <w:sz w:val="18"/>
                <w:szCs w:val="18"/>
                <w:lang w:eastAsia="it-IT"/>
              </w:rPr>
              <w:t>-</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iCs/>
                <w:color w:val="FFFFFF" w:themeColor="background1"/>
                <w:sz w:val="18"/>
                <w:szCs w:val="18"/>
                <w:lang w:eastAsia="it-IT"/>
              </w:rPr>
            </w:pPr>
            <w:r>
              <w:rPr>
                <w:rFonts w:ascii="Bodoni MT" w:eastAsia="Times New Roman" w:hAnsi="Bodoni MT" w:cs="Times New Roman"/>
                <w:iCs/>
                <w:color w:val="FFFFFF" w:themeColor="background1"/>
                <w:sz w:val="18"/>
                <w:szCs w:val="18"/>
                <w:lang w:eastAsia="it-IT"/>
              </w:rPr>
              <w:t>b)</w:t>
            </w:r>
            <w:r w:rsidR="00CD34A0" w:rsidRPr="00646970">
              <w:rPr>
                <w:rFonts w:ascii="Bodoni MT" w:eastAsia="Times New Roman" w:hAnsi="Bodoni MT" w:cs="Times New Roman"/>
                <w:iCs/>
                <w:color w:val="FFFFFF" w:themeColor="background1"/>
                <w:sz w:val="18"/>
                <w:szCs w:val="18"/>
                <w:lang w:eastAsia="it-IT"/>
              </w:rPr>
              <w:t xml:space="preserve"> Per attività svolta per c/terzi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530.549</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1.326.850</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-796.301</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-60%</w:t>
            </w:r>
          </w:p>
        </w:tc>
      </w:tr>
      <w:tr w:rsidR="00CD34A0" w:rsidRPr="00CD34A0" w:rsidTr="00646970">
        <w:trPr>
          <w:trHeight w:val="222"/>
          <w:jc w:val="center"/>
        </w:trPr>
        <w:tc>
          <w:tcPr>
            <w:tcW w:w="3749" w:type="dxa"/>
            <w:shd w:val="clear" w:color="auto" w:fill="95B3D7" w:themeFill="accent1" w:themeFillTint="99"/>
            <w:hideMark/>
          </w:tcPr>
          <w:p w:rsidR="00CD34A0" w:rsidRPr="00646970"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646970">
              <w:rPr>
                <w:rFonts w:ascii="Bodoni MT" w:eastAsia="Times New Roman" w:hAnsi="Bodoni MT" w:cs="Times New Roman"/>
                <w:iCs/>
                <w:color w:val="FFFFFF" w:themeColor="background1"/>
                <w:sz w:val="18"/>
                <w:szCs w:val="18"/>
                <w:lang w:eastAsia="it-IT"/>
              </w:rPr>
              <w:t>c</w:t>
            </w:r>
            <w:r w:rsidR="00646970">
              <w:rPr>
                <w:rFonts w:ascii="Bodoni MT" w:eastAsia="Times New Roman" w:hAnsi="Bodoni MT" w:cs="Times New Roman"/>
                <w:iCs/>
                <w:color w:val="FFFFFF" w:themeColor="background1"/>
                <w:sz w:val="18"/>
                <w:szCs w:val="18"/>
                <w:lang w:eastAsia="it-IT"/>
              </w:rPr>
              <w:t>)</w:t>
            </w:r>
            <w:r w:rsidRPr="00646970">
              <w:rPr>
                <w:rFonts w:ascii="Bodoni MT" w:eastAsia="Times New Roman" w:hAnsi="Bodoni MT" w:cs="Times New Roman"/>
                <w:iCs/>
                <w:color w:val="FFFFFF" w:themeColor="background1"/>
                <w:sz w:val="18"/>
                <w:szCs w:val="18"/>
                <w:lang w:eastAsia="it-IT"/>
              </w:rPr>
              <w:t xml:space="preserve"> Altri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51.963.531</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71.408.816</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-19.445.285</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iCs/>
                <w:color w:val="000000"/>
                <w:sz w:val="18"/>
                <w:szCs w:val="18"/>
                <w:lang w:eastAsia="it-IT"/>
              </w:rPr>
            </w:pPr>
            <w:r w:rsidRPr="00646970">
              <w:rPr>
                <w:rFonts w:eastAsia="Times New Roman" w:cs="Times New Roman"/>
                <w:iCs/>
                <w:color w:val="000000"/>
                <w:sz w:val="18"/>
                <w:szCs w:val="18"/>
                <w:lang w:eastAsia="it-IT"/>
              </w:rPr>
              <w:t>-27%</w:t>
            </w:r>
          </w:p>
        </w:tc>
      </w:tr>
      <w:tr w:rsidR="00CD34A0" w:rsidRPr="00CD34A0" w:rsidTr="00646970">
        <w:trPr>
          <w:trHeight w:val="259"/>
          <w:jc w:val="center"/>
        </w:trPr>
        <w:tc>
          <w:tcPr>
            <w:tcW w:w="3749" w:type="dxa"/>
            <w:shd w:val="clear" w:color="auto" w:fill="95B3D7" w:themeFill="accent1" w:themeFillTint="99"/>
            <w:hideMark/>
          </w:tcPr>
          <w:p w:rsidR="00CD34A0" w:rsidRPr="00646970" w:rsidRDefault="00646970" w:rsidP="00CD34A0">
            <w:pPr>
              <w:spacing w:after="0" w:line="240" w:lineRule="auto"/>
              <w:rPr>
                <w:rFonts w:ascii="Bodoni MT" w:eastAsia="Times New Roman" w:hAnsi="Bodoni MT" w:cs="Times New Roman"/>
                <w:b/>
                <w:bCs/>
                <w:iCs/>
                <w:color w:val="FFFFFF" w:themeColor="background1"/>
                <w:sz w:val="18"/>
                <w:szCs w:val="18"/>
                <w:lang w:eastAsia="it-IT"/>
              </w:rPr>
            </w:pPr>
            <w:r w:rsidRPr="00646970">
              <w:rPr>
                <w:rFonts w:ascii="Bodoni MT" w:eastAsia="Times New Roman" w:hAnsi="Bodoni MT" w:cs="Times New Roman"/>
                <w:b/>
                <w:bCs/>
                <w:iCs/>
                <w:color w:val="FFFFFF" w:themeColor="background1"/>
                <w:sz w:val="18"/>
                <w:szCs w:val="18"/>
                <w:lang w:eastAsia="it-IT"/>
              </w:rPr>
              <w:t>TOTALE CREDITI</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1.840.771.192</w:t>
            </w:r>
          </w:p>
        </w:tc>
        <w:tc>
          <w:tcPr>
            <w:tcW w:w="1494"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895.348.729</w:t>
            </w:r>
          </w:p>
        </w:tc>
        <w:tc>
          <w:tcPr>
            <w:tcW w:w="1562"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945.422.463</w:t>
            </w:r>
          </w:p>
        </w:tc>
        <w:tc>
          <w:tcPr>
            <w:tcW w:w="1121" w:type="dxa"/>
            <w:shd w:val="clear" w:color="auto" w:fill="FFFFFF" w:themeFill="background1"/>
            <w:noWrap/>
            <w:hideMark/>
          </w:tcPr>
          <w:p w:rsidR="00CD34A0" w:rsidRPr="00646970" w:rsidRDefault="00CD34A0" w:rsidP="00CD34A0">
            <w:pPr>
              <w:spacing w:after="0" w:line="240" w:lineRule="auto"/>
              <w:jc w:val="right"/>
              <w:rPr>
                <w:rFonts w:eastAsia="Times New Roman" w:cs="Times New Roman"/>
                <w:b/>
                <w:bCs/>
                <w:iCs/>
                <w:color w:val="000000"/>
                <w:sz w:val="18"/>
                <w:szCs w:val="18"/>
                <w:lang w:eastAsia="it-IT"/>
              </w:rPr>
            </w:pPr>
            <w:r w:rsidRPr="00646970">
              <w:rPr>
                <w:rFonts w:eastAsia="Times New Roman" w:cs="Times New Roman"/>
                <w:b/>
                <w:bCs/>
                <w:iCs/>
                <w:color w:val="000000"/>
                <w:sz w:val="18"/>
                <w:szCs w:val="18"/>
                <w:lang w:eastAsia="it-IT"/>
              </w:rPr>
              <w:t>105,6%</w:t>
            </w:r>
          </w:p>
        </w:tc>
      </w:tr>
    </w:tbl>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color w:val="000000"/>
          <w:sz w:val="24"/>
          <w:szCs w:val="24"/>
        </w:rPr>
        <w:lastRenderedPageBreak/>
        <w:t xml:space="preserve">Pertanto </w:t>
      </w:r>
      <w:r w:rsidRPr="00CD34A0">
        <w:rPr>
          <w:rFonts w:ascii="Bodoni MT" w:eastAsia="Times New Roman" w:hAnsi="Bodoni MT" w:cs="Bodoni MT"/>
          <w:b/>
          <w:color w:val="000000"/>
          <w:sz w:val="24"/>
          <w:szCs w:val="24"/>
        </w:rPr>
        <w:t>i crediti iscritti nello Stato Patrimoniale derivano principalmente dai residui attivi ma, come già precisato, non coincidono con essi</w:t>
      </w:r>
      <w:r w:rsidRPr="00CD34A0">
        <w:rPr>
          <w:rFonts w:ascii="Bodoni MT" w:eastAsia="Times New Roman" w:hAnsi="Bodoni MT" w:cs="Bodoni MT"/>
          <w:color w:val="000000"/>
          <w:sz w:val="24"/>
          <w:szCs w:val="24"/>
        </w:rPr>
        <w:t>. Analizzando detti crediti   in termini comparativi con l’ammontare dei residui attivi, si evidenzia che i primi includono partite finanziarie attive che non sono ancora state ancora oggetto di accertamento in contabilità finanziaria. Ciò in dipendenza del fatto che allo stato attuale l’accertamento si effettua al momento in cui sorge il credito, il quale viene imputato all’esercizio di scadenza (principio della competenza finanziaria potenziata), mentre negli esercizi precedenti pur essendosi determinata la formazione di crediti non si erano manifestate le condizioni per provvedere al loro accertamento. A tale proposito la Regione ha precisato c</w:t>
      </w:r>
      <w:r w:rsidR="00646970">
        <w:rPr>
          <w:rFonts w:ascii="Bodoni MT" w:eastAsia="Times New Roman" w:hAnsi="Bodoni MT" w:cs="Bodoni MT"/>
          <w:color w:val="000000"/>
          <w:sz w:val="24"/>
          <w:szCs w:val="24"/>
        </w:rPr>
        <w:t>he l’armonizzazione contabile (</w:t>
      </w:r>
      <w:r w:rsidRPr="00CD34A0">
        <w:rPr>
          <w:rFonts w:ascii="Bodoni MT" w:eastAsia="Times New Roman" w:hAnsi="Bodoni MT" w:cs="Bodoni MT"/>
          <w:color w:val="000000"/>
          <w:sz w:val="24"/>
          <w:szCs w:val="24"/>
        </w:rPr>
        <w:t xml:space="preserve">introdotta a partire dal 2015) non ha interessato tali </w:t>
      </w:r>
      <w:r w:rsidRPr="00CD34A0">
        <w:rPr>
          <w:rFonts w:ascii="Bodoni MT" w:eastAsia="Times New Roman" w:hAnsi="Bodoni MT" w:cs="Bodoni MT"/>
          <w:b/>
          <w:color w:val="000000"/>
          <w:sz w:val="24"/>
          <w:szCs w:val="24"/>
        </w:rPr>
        <w:t>tipologie di crediti pregressi, i quali sono stati oggetto di apposite operazioni di ricognizion</w:t>
      </w:r>
      <w:r w:rsidR="00646970">
        <w:rPr>
          <w:rFonts w:ascii="Bodoni MT" w:eastAsia="Times New Roman" w:hAnsi="Bodoni MT" w:cs="Bodoni MT"/>
          <w:b/>
          <w:color w:val="000000"/>
          <w:sz w:val="24"/>
          <w:szCs w:val="24"/>
        </w:rPr>
        <w:t xml:space="preserve">e/contabilizzazione a tutto il </w:t>
      </w:r>
      <w:r w:rsidRPr="00CD34A0">
        <w:rPr>
          <w:rFonts w:ascii="Bodoni MT" w:eastAsia="Times New Roman" w:hAnsi="Bodoni MT" w:cs="Bodoni MT"/>
          <w:b/>
          <w:color w:val="000000"/>
          <w:sz w:val="24"/>
          <w:szCs w:val="24"/>
        </w:rPr>
        <w:t>31/12/2016 da parte dei competenti assessorati.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La necessità di </w:t>
      </w:r>
      <w:r w:rsidRPr="00CD34A0">
        <w:rPr>
          <w:rFonts w:ascii="Bodoni MT" w:eastAsia="Times New Roman" w:hAnsi="Bodoni MT" w:cs="Bodoni MT"/>
          <w:b/>
          <w:i/>
          <w:color w:val="000000"/>
          <w:sz w:val="24"/>
          <w:szCs w:val="24"/>
        </w:rPr>
        <w:t>inventariare</w:t>
      </w:r>
      <w:r w:rsidRPr="00CD34A0">
        <w:rPr>
          <w:rFonts w:ascii="Bodoni MT" w:eastAsia="Times New Roman" w:hAnsi="Bodoni MT" w:cs="Bodoni MT"/>
          <w:b/>
          <w:color w:val="000000"/>
          <w:sz w:val="24"/>
          <w:szCs w:val="24"/>
        </w:rPr>
        <w:t xml:space="preserve"> tali crediti</w:t>
      </w:r>
      <w:r w:rsidR="00646970">
        <w:rPr>
          <w:rFonts w:ascii="Bodoni MT" w:eastAsia="Times New Roman" w:hAnsi="Bodoni MT" w:cs="Bodoni MT"/>
          <w:color w:val="000000"/>
          <w:sz w:val="24"/>
          <w:szCs w:val="24"/>
        </w:rPr>
        <w:t xml:space="preserve"> (</w:t>
      </w:r>
      <w:r w:rsidRPr="00CD34A0">
        <w:rPr>
          <w:rFonts w:ascii="Bodoni MT" w:eastAsia="Times New Roman" w:hAnsi="Bodoni MT" w:cs="Bodoni MT"/>
          <w:color w:val="000000"/>
          <w:sz w:val="24"/>
          <w:szCs w:val="24"/>
        </w:rPr>
        <w:t>e le loro variazioni per incrementi, rimbo</w:t>
      </w:r>
      <w:r w:rsidR="000F6AA1">
        <w:rPr>
          <w:rFonts w:ascii="Bodoni MT" w:eastAsia="Times New Roman" w:hAnsi="Bodoni MT" w:cs="Bodoni MT"/>
          <w:color w:val="000000"/>
          <w:sz w:val="24"/>
          <w:szCs w:val="24"/>
        </w:rPr>
        <w:t>rsi, inesigibilità, stralci ecc.</w:t>
      </w:r>
      <w:r w:rsidRPr="00CD34A0">
        <w:rPr>
          <w:rFonts w:ascii="Bodoni MT" w:eastAsia="Times New Roman" w:hAnsi="Bodoni MT" w:cs="Bodoni MT"/>
          <w:color w:val="000000"/>
          <w:sz w:val="24"/>
          <w:szCs w:val="24"/>
        </w:rPr>
        <w:t>) ha indotto la RAS nel corso del 2016 a contabilizzare i crediti non ancora accertati attraverso</w:t>
      </w:r>
      <w:r w:rsidRPr="00CD34A0">
        <w:rPr>
          <w:rFonts w:ascii="Bodoni MT" w:eastAsia="Times New Roman" w:hAnsi="Bodoni MT" w:cs="Bodoni MT"/>
          <w:i/>
          <w:color w:val="000000"/>
          <w:sz w:val="24"/>
          <w:szCs w:val="24"/>
        </w:rPr>
        <w:t xml:space="preserve"> un processo di elaborazione che ha fatto uso </w:t>
      </w:r>
      <w:r w:rsidRPr="00CD34A0">
        <w:rPr>
          <w:rFonts w:ascii="Bodoni MT" w:eastAsia="Times New Roman" w:hAnsi="Bodoni MT" w:cs="Bodoni MT"/>
          <w:b/>
          <w:i/>
          <w:color w:val="000000"/>
          <w:sz w:val="24"/>
          <w:szCs w:val="24"/>
        </w:rPr>
        <w:t>di stime e di interpretazioni</w:t>
      </w:r>
      <w:r w:rsidRPr="00CD34A0">
        <w:rPr>
          <w:rFonts w:ascii="Bodoni MT" w:eastAsia="Times New Roman" w:hAnsi="Bodoni MT" w:cs="Bodoni MT"/>
          <w:i/>
          <w:color w:val="000000"/>
          <w:sz w:val="24"/>
          <w:szCs w:val="24"/>
        </w:rPr>
        <w:t xml:space="preserve"> per codificare ed imputare alcune variazioni la cui natura non è analiticamente determinabile dai dati elaborati dai singoli assessorati</w:t>
      </w:r>
      <w:r w:rsidRPr="00CD34A0">
        <w:rPr>
          <w:rFonts w:ascii="Bodoni MT" w:eastAsia="Times New Roman" w:hAnsi="Bodoni MT" w:cs="Bodoni MT"/>
          <w:color w:val="000000"/>
          <w:sz w:val="24"/>
          <w:szCs w:val="24"/>
        </w:rPr>
        <w:t xml:space="preserve">. La Nota integrativa ha precisato ulteriormente che </w:t>
      </w:r>
      <w:r w:rsidRPr="00CD34A0">
        <w:rPr>
          <w:rFonts w:ascii="Bodoni MT" w:eastAsia="Times New Roman" w:hAnsi="Bodoni MT" w:cs="Bodoni MT"/>
          <w:i/>
          <w:color w:val="000000"/>
          <w:sz w:val="24"/>
          <w:szCs w:val="24"/>
        </w:rPr>
        <w:t>nel caso dei crediti verso i dipendenti di cui alla L.R. n.</w:t>
      </w:r>
      <w:r w:rsidR="005125BC">
        <w:rPr>
          <w:rFonts w:ascii="Bodoni MT" w:eastAsia="Times New Roman" w:hAnsi="Bodoni MT" w:cs="Bodoni MT"/>
          <w:i/>
          <w:color w:val="000000"/>
          <w:sz w:val="24"/>
          <w:szCs w:val="24"/>
        </w:rPr>
        <w:t xml:space="preserve"> </w:t>
      </w:r>
      <w:r w:rsidRPr="00CD34A0">
        <w:rPr>
          <w:rFonts w:ascii="Bodoni MT" w:eastAsia="Times New Roman" w:hAnsi="Bodoni MT" w:cs="Bodoni MT"/>
          <w:i/>
          <w:color w:val="000000"/>
          <w:sz w:val="24"/>
          <w:szCs w:val="24"/>
        </w:rPr>
        <w:t>5/1964, il lavoro di ricostruzione non è stato concluso in tempo utile per la chiusura del bilancio d’esercizio ed i relativi valori sono stati oggetto di stima, rinviando al futuro esercizio la loro puntuale definizione</w:t>
      </w:r>
      <w:r w:rsidRPr="00CD34A0">
        <w:rPr>
          <w:rFonts w:ascii="Bodoni MT" w:eastAsia="Times New Roman" w:hAnsi="Bodoni MT" w:cs="Bodoni MT"/>
          <w:color w:val="000000"/>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Cs/>
          <w:iCs/>
          <w:color w:val="000000"/>
          <w:sz w:val="24"/>
          <w:szCs w:val="24"/>
        </w:rPr>
      </w:pPr>
      <w:r w:rsidRPr="00CD34A0">
        <w:rPr>
          <w:rFonts w:ascii="Bodoni MT" w:eastAsia="Times New Roman" w:hAnsi="Bodoni MT" w:cs="Bodoni MT"/>
          <w:color w:val="000000"/>
          <w:sz w:val="24"/>
          <w:szCs w:val="24"/>
        </w:rPr>
        <w:t xml:space="preserve">Le tabelle che seguono espongono il totale dei crediti dell’attivo circolante (€ </w:t>
      </w:r>
      <w:r w:rsidRPr="00CD34A0">
        <w:rPr>
          <w:rFonts w:ascii="Bodoni MT" w:eastAsia="Times New Roman" w:hAnsi="Bodoni MT" w:cs="Bodoni MT"/>
          <w:bCs/>
          <w:iCs/>
          <w:color w:val="000000"/>
          <w:sz w:val="24"/>
          <w:szCs w:val="24"/>
        </w:rPr>
        <w:t>1.840.771.192) anche in termini lordi (€ 2.013.382.</w:t>
      </w:r>
      <w:r w:rsidR="00646970">
        <w:rPr>
          <w:rFonts w:ascii="Bodoni MT" w:eastAsia="Times New Roman" w:hAnsi="Bodoni MT" w:cs="Bodoni MT"/>
          <w:bCs/>
          <w:iCs/>
          <w:color w:val="000000"/>
          <w:sz w:val="24"/>
          <w:szCs w:val="24"/>
        </w:rPr>
        <w:t>242) in quanto comprensivo del fondo svalutazione crediti (€ </w:t>
      </w:r>
      <w:r w:rsidRPr="00CD34A0">
        <w:rPr>
          <w:rFonts w:ascii="Bodoni MT" w:eastAsia="Times New Roman" w:hAnsi="Bodoni MT" w:cs="Bodoni MT"/>
          <w:bCs/>
          <w:iCs/>
          <w:color w:val="000000"/>
          <w:sz w:val="24"/>
          <w:szCs w:val="24"/>
        </w:rPr>
        <w:t>172.611.050) e rilevano le variazioni dell’ultimo esercizio. L’ultima tabella riporta il prospetto di riconciliazione del totale complessivo dei crediti.</w:t>
      </w:r>
    </w:p>
    <w:p w:rsidR="00CD34A0" w:rsidRPr="00CD34A0" w:rsidRDefault="00646970" w:rsidP="00646970">
      <w:pPr>
        <w:pStyle w:val="Didascalia"/>
        <w:rPr>
          <w:rFonts w:eastAsia="Times New Roman" w:cs="Bodoni MT"/>
          <w:bCs w:val="0"/>
          <w:iCs/>
          <w:color w:val="000000"/>
          <w:sz w:val="24"/>
          <w:szCs w:val="24"/>
        </w:rPr>
      </w:pPr>
      <w:bookmarkStart w:id="379" w:name="_Toc507422583"/>
      <w:r>
        <w:t xml:space="preserve">Tabella </w:t>
      </w:r>
      <w:r w:rsidR="00B90472">
        <w:fldChar w:fldCharType="begin"/>
      </w:r>
      <w:r w:rsidR="00B90472">
        <w:instrText xml:space="preserve"> SEQ Tabella \* ARABIC </w:instrText>
      </w:r>
      <w:r w:rsidR="00B90472">
        <w:fldChar w:fldCharType="separate"/>
      </w:r>
      <w:r w:rsidR="008616B3">
        <w:rPr>
          <w:noProof/>
        </w:rPr>
        <w:t>115</w:t>
      </w:r>
      <w:r w:rsidR="00B90472">
        <w:rPr>
          <w:noProof/>
        </w:rPr>
        <w:fldChar w:fldCharType="end"/>
      </w:r>
      <w:r>
        <w:t xml:space="preserve"> – Crediti del circolante – Analisi per natura</w:t>
      </w:r>
      <w:bookmarkEnd w:id="3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2"/>
        <w:gridCol w:w="1968"/>
        <w:gridCol w:w="2271"/>
        <w:gridCol w:w="1967"/>
      </w:tblGrid>
      <w:tr w:rsidR="005125BC" w:rsidRPr="005125BC" w:rsidTr="005125BC">
        <w:trPr>
          <w:trHeight w:val="259"/>
          <w:jc w:val="center"/>
        </w:trPr>
        <w:tc>
          <w:tcPr>
            <w:tcW w:w="1826" w:type="pct"/>
            <w:shd w:val="clear" w:color="auto" w:fill="0F243E" w:themeFill="text2" w:themeFillShade="80"/>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Voci</w:t>
            </w:r>
          </w:p>
        </w:tc>
        <w:tc>
          <w:tcPr>
            <w:tcW w:w="1006" w:type="pct"/>
            <w:shd w:val="clear" w:color="auto" w:fill="0F243E" w:themeFill="text2" w:themeFillShade="80"/>
            <w:noWrap/>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31/12/2016</w:t>
            </w:r>
          </w:p>
        </w:tc>
        <w:tc>
          <w:tcPr>
            <w:tcW w:w="1161" w:type="pct"/>
            <w:shd w:val="clear" w:color="auto" w:fill="0F243E" w:themeFill="text2" w:themeFillShade="80"/>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Variazioni</w:t>
            </w:r>
          </w:p>
        </w:tc>
        <w:tc>
          <w:tcPr>
            <w:tcW w:w="1006" w:type="pct"/>
            <w:shd w:val="clear" w:color="auto" w:fill="0F243E" w:themeFill="text2" w:themeFillShade="80"/>
            <w:noWrap/>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31/12/2015</w:t>
            </w:r>
          </w:p>
        </w:tc>
      </w:tr>
      <w:tr w:rsidR="00CD34A0" w:rsidRPr="00CD34A0" w:rsidTr="005125BC">
        <w:trPr>
          <w:trHeight w:val="222"/>
          <w:jc w:val="center"/>
        </w:trPr>
        <w:tc>
          <w:tcPr>
            <w:tcW w:w="1826" w:type="pct"/>
            <w:shd w:val="clear" w:color="auto" w:fill="95B3D7" w:themeFill="accent1" w:themeFillTint="99"/>
            <w:vAlign w:val="center"/>
            <w:hideMark/>
          </w:tcPr>
          <w:p w:rsidR="00CD34A0" w:rsidRPr="005125BC" w:rsidRDefault="00CD34A0" w:rsidP="005125BC">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Residui attivi</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1.836.868.992</w:t>
            </w:r>
          </w:p>
        </w:tc>
        <w:tc>
          <w:tcPr>
            <w:tcW w:w="1161"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959.173.284</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877.695.708</w:t>
            </w:r>
          </w:p>
        </w:tc>
      </w:tr>
      <w:tr w:rsidR="00CD34A0" w:rsidRPr="00CD34A0" w:rsidTr="005125BC">
        <w:trPr>
          <w:trHeight w:val="222"/>
          <w:jc w:val="center"/>
        </w:trPr>
        <w:tc>
          <w:tcPr>
            <w:tcW w:w="1826" w:type="pct"/>
            <w:shd w:val="clear" w:color="auto" w:fill="95B3D7" w:themeFill="accent1" w:themeFillTint="99"/>
            <w:vAlign w:val="center"/>
            <w:hideMark/>
          </w:tcPr>
          <w:p w:rsidR="00CD34A0" w:rsidRPr="005125BC" w:rsidRDefault="00CD34A0" w:rsidP="005125BC">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non accertati</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166.826.905</w:t>
            </w:r>
          </w:p>
        </w:tc>
        <w:tc>
          <w:tcPr>
            <w:tcW w:w="1161"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-10.690.385</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177.517.290</w:t>
            </w:r>
          </w:p>
        </w:tc>
      </w:tr>
      <w:tr w:rsidR="00CD34A0" w:rsidRPr="00CD34A0" w:rsidTr="005125BC">
        <w:trPr>
          <w:trHeight w:val="222"/>
          <w:jc w:val="center"/>
        </w:trPr>
        <w:tc>
          <w:tcPr>
            <w:tcW w:w="1826" w:type="pct"/>
            <w:shd w:val="clear" w:color="auto" w:fill="95B3D7" w:themeFill="accent1" w:themeFillTint="99"/>
            <w:vAlign w:val="center"/>
            <w:hideMark/>
          </w:tcPr>
          <w:p w:rsidR="00CD34A0" w:rsidRPr="005125BC" w:rsidRDefault="00CD34A0" w:rsidP="005125BC">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accertati non imputati</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9.294.105</w:t>
            </w:r>
          </w:p>
        </w:tc>
        <w:tc>
          <w:tcPr>
            <w:tcW w:w="1161"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9.294.105</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0</w:t>
            </w:r>
          </w:p>
        </w:tc>
      </w:tr>
      <w:tr w:rsidR="00CD34A0" w:rsidRPr="00CD34A0" w:rsidTr="005125BC">
        <w:trPr>
          <w:trHeight w:val="222"/>
          <w:jc w:val="center"/>
        </w:trPr>
        <w:tc>
          <w:tcPr>
            <w:tcW w:w="1826" w:type="pct"/>
            <w:shd w:val="clear" w:color="auto" w:fill="95B3D7" w:themeFill="accent1" w:themeFillTint="99"/>
            <w:vAlign w:val="center"/>
            <w:hideMark/>
          </w:tcPr>
          <w:p w:rsidR="00CD34A0" w:rsidRPr="005125BC" w:rsidRDefault="00CD34A0" w:rsidP="005125BC">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inesigibili</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392.240</w:t>
            </w:r>
          </w:p>
        </w:tc>
        <w:tc>
          <w:tcPr>
            <w:tcW w:w="1161"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392.240</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color w:val="000000"/>
                <w:sz w:val="18"/>
                <w:szCs w:val="18"/>
                <w:lang w:eastAsia="it-IT"/>
              </w:rPr>
            </w:pPr>
            <w:r w:rsidRPr="00646970">
              <w:rPr>
                <w:rFonts w:eastAsia="Times New Roman" w:cstheme="minorHAnsi"/>
                <w:color w:val="000000"/>
                <w:sz w:val="18"/>
                <w:szCs w:val="18"/>
                <w:lang w:eastAsia="it-IT"/>
              </w:rPr>
              <w:t>0</w:t>
            </w:r>
          </w:p>
        </w:tc>
      </w:tr>
      <w:tr w:rsidR="00CD34A0" w:rsidRPr="00CD34A0" w:rsidTr="005125BC">
        <w:trPr>
          <w:trHeight w:val="259"/>
          <w:jc w:val="center"/>
        </w:trPr>
        <w:tc>
          <w:tcPr>
            <w:tcW w:w="1826" w:type="pct"/>
            <w:shd w:val="clear" w:color="auto" w:fill="95B3D7" w:themeFill="accent1" w:themeFillTint="99"/>
            <w:vAlign w:val="center"/>
            <w:hideMark/>
          </w:tcPr>
          <w:p w:rsidR="00CD34A0" w:rsidRPr="005125BC" w:rsidRDefault="00CD34A0" w:rsidP="005125BC">
            <w:pPr>
              <w:spacing w:after="0" w:line="240" w:lineRule="auto"/>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Totale</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b/>
                <w:bCs/>
                <w:iCs/>
                <w:color w:val="000000"/>
                <w:sz w:val="18"/>
                <w:szCs w:val="18"/>
                <w:lang w:eastAsia="it-IT"/>
              </w:rPr>
            </w:pPr>
            <w:r w:rsidRPr="00646970">
              <w:rPr>
                <w:rFonts w:eastAsia="Times New Roman" w:cstheme="minorHAnsi"/>
                <w:b/>
                <w:bCs/>
                <w:iCs/>
                <w:color w:val="000000"/>
                <w:sz w:val="18"/>
                <w:szCs w:val="18"/>
                <w:lang w:eastAsia="it-IT"/>
              </w:rPr>
              <w:t>2.013.382.242</w:t>
            </w:r>
          </w:p>
        </w:tc>
        <w:tc>
          <w:tcPr>
            <w:tcW w:w="1161"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b/>
                <w:bCs/>
                <w:iCs/>
                <w:color w:val="000000"/>
                <w:sz w:val="18"/>
                <w:szCs w:val="18"/>
                <w:lang w:eastAsia="it-IT"/>
              </w:rPr>
            </w:pPr>
            <w:r w:rsidRPr="00646970">
              <w:rPr>
                <w:rFonts w:eastAsia="Times New Roman" w:cstheme="minorHAnsi"/>
                <w:b/>
                <w:bCs/>
                <w:iCs/>
                <w:color w:val="000000"/>
                <w:sz w:val="18"/>
                <w:szCs w:val="18"/>
                <w:lang w:eastAsia="it-IT"/>
              </w:rPr>
              <w:t>958.169.243</w:t>
            </w:r>
          </w:p>
        </w:tc>
        <w:tc>
          <w:tcPr>
            <w:tcW w:w="1006" w:type="pct"/>
            <w:shd w:val="clear" w:color="auto" w:fill="FFFFFF" w:themeFill="background1"/>
            <w:noWrap/>
            <w:hideMark/>
          </w:tcPr>
          <w:p w:rsidR="00CD34A0" w:rsidRPr="00646970" w:rsidRDefault="00CD34A0" w:rsidP="00CD34A0">
            <w:pPr>
              <w:spacing w:after="0" w:line="240" w:lineRule="auto"/>
              <w:jc w:val="right"/>
              <w:rPr>
                <w:rFonts w:eastAsia="Times New Roman" w:cstheme="minorHAnsi"/>
                <w:b/>
                <w:bCs/>
                <w:iCs/>
                <w:color w:val="000000"/>
                <w:sz w:val="18"/>
                <w:szCs w:val="18"/>
                <w:lang w:eastAsia="it-IT"/>
              </w:rPr>
            </w:pPr>
            <w:r w:rsidRPr="00646970">
              <w:rPr>
                <w:rFonts w:eastAsia="Times New Roman" w:cstheme="minorHAnsi"/>
                <w:b/>
                <w:bCs/>
                <w:iCs/>
                <w:color w:val="000000"/>
                <w:sz w:val="18"/>
                <w:szCs w:val="18"/>
                <w:lang w:eastAsia="it-IT"/>
              </w:rPr>
              <w:t>1.055.212.999</w:t>
            </w:r>
          </w:p>
        </w:tc>
      </w:tr>
    </w:tbl>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646970" w:rsidRDefault="0064697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5125BC" w:rsidRDefault="005125BC" w:rsidP="005125BC">
      <w:pPr>
        <w:pStyle w:val="Didascalia"/>
      </w:pPr>
    </w:p>
    <w:p w:rsidR="00646970" w:rsidRPr="005125BC" w:rsidRDefault="005125BC" w:rsidP="005125BC">
      <w:pPr>
        <w:pStyle w:val="Didascalia"/>
        <w:rPr>
          <w:rFonts w:eastAsia="Times New Roman" w:cs="Bodoni MT"/>
          <w:color w:val="000000"/>
        </w:rPr>
      </w:pPr>
      <w:bookmarkStart w:id="380" w:name="_Toc507422584"/>
      <w:r>
        <w:lastRenderedPageBreak/>
        <w:t xml:space="preserve">Tabella </w:t>
      </w:r>
      <w:r w:rsidR="00B90472">
        <w:fldChar w:fldCharType="begin"/>
      </w:r>
      <w:r w:rsidR="00B90472">
        <w:instrText xml:space="preserve"> SEQ Tabella \* ARABIC </w:instrText>
      </w:r>
      <w:r w:rsidR="00B90472">
        <w:fldChar w:fldCharType="separate"/>
      </w:r>
      <w:r w:rsidR="008616B3">
        <w:rPr>
          <w:noProof/>
        </w:rPr>
        <w:t>116</w:t>
      </w:r>
      <w:r w:rsidR="00B90472">
        <w:rPr>
          <w:noProof/>
        </w:rPr>
        <w:fldChar w:fldCharType="end"/>
      </w:r>
      <w:r>
        <w:t xml:space="preserve"> – </w:t>
      </w:r>
      <w:r w:rsidRPr="005125BC">
        <w:t xml:space="preserve">Fondo </w:t>
      </w:r>
      <w:r w:rsidRPr="005125BC">
        <w:rPr>
          <w:rFonts w:eastAsia="Times New Roman" w:cs="Times New Roman"/>
          <w:iCs/>
          <w:lang w:eastAsia="it-IT"/>
        </w:rPr>
        <w:t>svalutazione</w:t>
      </w:r>
      <w:r w:rsidRPr="005125BC">
        <w:rPr>
          <w:rFonts w:eastAsia="Times New Roman" w:cs="Times New Roman"/>
          <w:lang w:eastAsia="it-IT"/>
        </w:rPr>
        <w:t xml:space="preserve"> </w:t>
      </w:r>
      <w:r w:rsidRPr="005125BC">
        <w:rPr>
          <w:rFonts w:eastAsia="Times New Roman" w:cs="Times New Roman"/>
          <w:iCs/>
          <w:lang w:eastAsia="it-IT"/>
        </w:rPr>
        <w:t>crediti</w:t>
      </w:r>
      <w:r w:rsidRPr="005125BC">
        <w:rPr>
          <w:rFonts w:eastAsia="Times New Roman" w:cs="Times New Roman"/>
          <w:lang w:eastAsia="it-IT"/>
        </w:rPr>
        <w:t xml:space="preserve"> </w:t>
      </w:r>
      <w:r w:rsidRPr="005125BC">
        <w:rPr>
          <w:rFonts w:eastAsia="Times New Roman" w:cs="Times New Roman"/>
          <w:iCs/>
          <w:lang w:eastAsia="it-IT"/>
        </w:rPr>
        <w:t>del</w:t>
      </w:r>
      <w:r w:rsidRPr="005125BC">
        <w:rPr>
          <w:rFonts w:eastAsia="Times New Roman" w:cs="Times New Roman"/>
          <w:lang w:eastAsia="it-IT"/>
        </w:rPr>
        <w:t xml:space="preserve"> </w:t>
      </w:r>
      <w:r w:rsidRPr="005125BC">
        <w:rPr>
          <w:rFonts w:eastAsia="Times New Roman" w:cs="Times New Roman"/>
          <w:iCs/>
          <w:lang w:eastAsia="it-IT"/>
        </w:rPr>
        <w:t>circolante -</w:t>
      </w:r>
      <w:r w:rsidRPr="005125BC">
        <w:rPr>
          <w:rFonts w:eastAsia="Times New Roman" w:cs="Times New Roman"/>
          <w:lang w:eastAsia="it-IT"/>
        </w:rPr>
        <w:t xml:space="preserve"> </w:t>
      </w:r>
      <w:r w:rsidRPr="005125BC">
        <w:rPr>
          <w:rFonts w:eastAsia="Times New Roman" w:cs="Times New Roman"/>
          <w:iCs/>
          <w:lang w:eastAsia="it-IT"/>
        </w:rPr>
        <w:t>Analisi</w:t>
      </w:r>
      <w:r w:rsidRPr="005125BC">
        <w:rPr>
          <w:rFonts w:eastAsia="Times New Roman" w:cs="Times New Roman"/>
          <w:lang w:eastAsia="it-IT"/>
        </w:rPr>
        <w:t xml:space="preserve"> </w:t>
      </w:r>
      <w:r w:rsidRPr="005125BC">
        <w:rPr>
          <w:rFonts w:eastAsia="Times New Roman" w:cs="Times New Roman"/>
          <w:iCs/>
          <w:lang w:eastAsia="it-IT"/>
        </w:rPr>
        <w:t>per</w:t>
      </w:r>
      <w:r w:rsidRPr="005125BC">
        <w:rPr>
          <w:rFonts w:eastAsia="Times New Roman" w:cs="Times New Roman"/>
          <w:lang w:eastAsia="it-IT"/>
        </w:rPr>
        <w:t xml:space="preserve"> </w:t>
      </w:r>
      <w:r w:rsidRPr="005125BC">
        <w:rPr>
          <w:rFonts w:eastAsia="Times New Roman" w:cs="Times New Roman"/>
          <w:iCs/>
          <w:lang w:eastAsia="it-IT"/>
        </w:rPr>
        <w:t>natura</w:t>
      </w:r>
      <w:bookmarkEnd w:id="380"/>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1"/>
        <w:gridCol w:w="1482"/>
        <w:gridCol w:w="1751"/>
        <w:gridCol w:w="1654"/>
        <w:gridCol w:w="1482"/>
      </w:tblGrid>
      <w:tr w:rsidR="005125BC" w:rsidRPr="005125BC" w:rsidTr="005125BC">
        <w:trPr>
          <w:trHeight w:val="259"/>
          <w:jc w:val="center"/>
        </w:trPr>
        <w:tc>
          <w:tcPr>
            <w:tcW w:w="2691" w:type="dxa"/>
            <w:shd w:val="clear" w:color="auto" w:fill="0F243E" w:themeFill="text2" w:themeFillShade="80"/>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Voci</w:t>
            </w:r>
          </w:p>
        </w:tc>
        <w:tc>
          <w:tcPr>
            <w:tcW w:w="1482" w:type="dxa"/>
            <w:shd w:val="clear" w:color="auto" w:fill="0F243E" w:themeFill="text2" w:themeFillShade="80"/>
            <w:noWrap/>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31/12/2016</w:t>
            </w:r>
          </w:p>
        </w:tc>
        <w:tc>
          <w:tcPr>
            <w:tcW w:w="1751" w:type="dxa"/>
            <w:shd w:val="clear" w:color="auto" w:fill="0F243E" w:themeFill="text2" w:themeFillShade="80"/>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Utilizzi</w:t>
            </w:r>
          </w:p>
        </w:tc>
        <w:tc>
          <w:tcPr>
            <w:tcW w:w="1654" w:type="dxa"/>
            <w:shd w:val="clear" w:color="auto" w:fill="0F243E" w:themeFill="text2" w:themeFillShade="80"/>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Accantonam.</w:t>
            </w:r>
          </w:p>
        </w:tc>
        <w:tc>
          <w:tcPr>
            <w:tcW w:w="1482" w:type="dxa"/>
            <w:shd w:val="clear" w:color="auto" w:fill="0F243E" w:themeFill="text2" w:themeFillShade="80"/>
            <w:noWrap/>
            <w:vAlign w:val="center"/>
            <w:hideMark/>
          </w:tcPr>
          <w:p w:rsidR="00CD34A0" w:rsidRPr="005125BC" w:rsidRDefault="00CD34A0" w:rsidP="005125BC">
            <w:pPr>
              <w:spacing w:after="0" w:line="240" w:lineRule="auto"/>
              <w:jc w:val="center"/>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31/12/2015</w:t>
            </w:r>
          </w:p>
        </w:tc>
      </w:tr>
      <w:tr w:rsidR="00CD34A0" w:rsidRPr="00CD34A0" w:rsidTr="005125BC">
        <w:trPr>
          <w:trHeight w:val="222"/>
          <w:jc w:val="center"/>
        </w:trPr>
        <w:tc>
          <w:tcPr>
            <w:tcW w:w="2691" w:type="dxa"/>
            <w:shd w:val="clear" w:color="auto" w:fill="95B3D7" w:themeFill="accent1" w:themeFillTint="99"/>
            <w:hideMark/>
          </w:tcPr>
          <w:p w:rsidR="00CD34A0" w:rsidRPr="005125BC"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Residui attivi</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65.044.730</w:t>
            </w:r>
          </w:p>
        </w:tc>
        <w:tc>
          <w:tcPr>
            <w:tcW w:w="1751"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650.991</w:t>
            </w:r>
          </w:p>
        </w:tc>
        <w:tc>
          <w:tcPr>
            <w:tcW w:w="1654"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5.091.065</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60.604.656</w:t>
            </w:r>
          </w:p>
        </w:tc>
      </w:tr>
      <w:tr w:rsidR="00CD34A0" w:rsidRPr="00CD34A0" w:rsidTr="005125BC">
        <w:trPr>
          <w:trHeight w:val="222"/>
          <w:jc w:val="center"/>
        </w:trPr>
        <w:tc>
          <w:tcPr>
            <w:tcW w:w="2691" w:type="dxa"/>
            <w:shd w:val="clear" w:color="auto" w:fill="95B3D7" w:themeFill="accent1" w:themeFillTint="99"/>
            <w:hideMark/>
          </w:tcPr>
          <w:p w:rsidR="00CD34A0" w:rsidRPr="005125BC"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non accertati</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104.977.592</w:t>
            </w:r>
          </w:p>
        </w:tc>
        <w:tc>
          <w:tcPr>
            <w:tcW w:w="1751"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8.710.832</w:t>
            </w:r>
          </w:p>
        </w:tc>
        <w:tc>
          <w:tcPr>
            <w:tcW w:w="1654"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16.463.095</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97.225.329</w:t>
            </w:r>
          </w:p>
        </w:tc>
      </w:tr>
      <w:tr w:rsidR="00CD34A0" w:rsidRPr="00CD34A0" w:rsidTr="005125BC">
        <w:trPr>
          <w:trHeight w:val="222"/>
          <w:jc w:val="center"/>
        </w:trPr>
        <w:tc>
          <w:tcPr>
            <w:tcW w:w="2691" w:type="dxa"/>
            <w:shd w:val="clear" w:color="auto" w:fill="95B3D7" w:themeFill="accent1" w:themeFillTint="99"/>
            <w:hideMark/>
          </w:tcPr>
          <w:p w:rsidR="00CD34A0" w:rsidRPr="005125BC"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accertati non imputati</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2.196.488</w:t>
            </w:r>
          </w:p>
        </w:tc>
        <w:tc>
          <w:tcPr>
            <w:tcW w:w="1751"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0</w:t>
            </w:r>
          </w:p>
        </w:tc>
        <w:tc>
          <w:tcPr>
            <w:tcW w:w="1654"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162.204</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2.034.285</w:t>
            </w:r>
          </w:p>
        </w:tc>
      </w:tr>
      <w:tr w:rsidR="00CD34A0" w:rsidRPr="00CD34A0" w:rsidTr="005125BC">
        <w:trPr>
          <w:trHeight w:val="222"/>
          <w:jc w:val="center"/>
        </w:trPr>
        <w:tc>
          <w:tcPr>
            <w:tcW w:w="2691" w:type="dxa"/>
            <w:shd w:val="clear" w:color="auto" w:fill="95B3D7" w:themeFill="accent1" w:themeFillTint="99"/>
            <w:hideMark/>
          </w:tcPr>
          <w:p w:rsidR="00CD34A0" w:rsidRPr="005125BC"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5125BC">
              <w:rPr>
                <w:rFonts w:ascii="Bodoni MT" w:eastAsia="Times New Roman" w:hAnsi="Bodoni MT" w:cs="Times New Roman"/>
                <w:color w:val="FFFFFF" w:themeColor="background1"/>
                <w:sz w:val="18"/>
                <w:szCs w:val="18"/>
                <w:lang w:eastAsia="it-IT"/>
              </w:rPr>
              <w:t>Crediti inesigibili</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392.240</w:t>
            </w:r>
          </w:p>
        </w:tc>
        <w:tc>
          <w:tcPr>
            <w:tcW w:w="1751"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0</w:t>
            </w:r>
          </w:p>
        </w:tc>
        <w:tc>
          <w:tcPr>
            <w:tcW w:w="1654"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392.240</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color w:val="000000"/>
                <w:sz w:val="18"/>
                <w:szCs w:val="18"/>
                <w:lang w:eastAsia="it-IT"/>
              </w:rPr>
            </w:pPr>
            <w:r w:rsidRPr="005125BC">
              <w:rPr>
                <w:rFonts w:eastAsia="Times New Roman" w:cstheme="minorHAnsi"/>
                <w:color w:val="000000"/>
                <w:sz w:val="18"/>
                <w:szCs w:val="18"/>
                <w:lang w:eastAsia="it-IT"/>
              </w:rPr>
              <w:t>0</w:t>
            </w:r>
          </w:p>
        </w:tc>
      </w:tr>
      <w:tr w:rsidR="00CD34A0" w:rsidRPr="00CD34A0" w:rsidTr="005125BC">
        <w:trPr>
          <w:trHeight w:val="259"/>
          <w:jc w:val="center"/>
        </w:trPr>
        <w:tc>
          <w:tcPr>
            <w:tcW w:w="2691" w:type="dxa"/>
            <w:shd w:val="clear" w:color="auto" w:fill="95B3D7" w:themeFill="accent1" w:themeFillTint="99"/>
            <w:hideMark/>
          </w:tcPr>
          <w:p w:rsidR="00CD34A0" w:rsidRPr="005125BC"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5125BC">
              <w:rPr>
                <w:rFonts w:ascii="Bodoni MT" w:eastAsia="Times New Roman" w:hAnsi="Bodoni MT" w:cs="Times New Roman"/>
                <w:b/>
                <w:bCs/>
                <w:iCs/>
                <w:color w:val="FFFFFF" w:themeColor="background1"/>
                <w:sz w:val="18"/>
                <w:szCs w:val="18"/>
                <w:lang w:eastAsia="it-IT"/>
              </w:rPr>
              <w:t>Totale</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b/>
                <w:bCs/>
                <w:iCs/>
                <w:color w:val="000000"/>
                <w:sz w:val="18"/>
                <w:szCs w:val="18"/>
                <w:lang w:eastAsia="it-IT"/>
              </w:rPr>
            </w:pPr>
            <w:r w:rsidRPr="005125BC">
              <w:rPr>
                <w:rFonts w:eastAsia="Times New Roman" w:cstheme="minorHAnsi"/>
                <w:b/>
                <w:bCs/>
                <w:iCs/>
                <w:color w:val="000000"/>
                <w:sz w:val="18"/>
                <w:szCs w:val="18"/>
                <w:lang w:eastAsia="it-IT"/>
              </w:rPr>
              <w:t>172.611.050</w:t>
            </w:r>
          </w:p>
        </w:tc>
        <w:tc>
          <w:tcPr>
            <w:tcW w:w="1751"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b/>
                <w:bCs/>
                <w:iCs/>
                <w:color w:val="000000"/>
                <w:sz w:val="18"/>
                <w:szCs w:val="18"/>
                <w:lang w:eastAsia="it-IT"/>
              </w:rPr>
            </w:pPr>
            <w:r w:rsidRPr="005125BC">
              <w:rPr>
                <w:rFonts w:eastAsia="Times New Roman" w:cstheme="minorHAnsi"/>
                <w:b/>
                <w:bCs/>
                <w:iCs/>
                <w:color w:val="000000"/>
                <w:sz w:val="18"/>
                <w:szCs w:val="18"/>
                <w:lang w:eastAsia="it-IT"/>
              </w:rPr>
              <w:t>9.361.823</w:t>
            </w:r>
          </w:p>
        </w:tc>
        <w:tc>
          <w:tcPr>
            <w:tcW w:w="1654"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b/>
                <w:bCs/>
                <w:iCs/>
                <w:color w:val="000000"/>
                <w:sz w:val="18"/>
                <w:szCs w:val="18"/>
                <w:lang w:eastAsia="it-IT"/>
              </w:rPr>
            </w:pPr>
            <w:r w:rsidRPr="005125BC">
              <w:rPr>
                <w:rFonts w:eastAsia="Times New Roman" w:cstheme="minorHAnsi"/>
                <w:b/>
                <w:bCs/>
                <w:iCs/>
                <w:color w:val="000000"/>
                <w:sz w:val="18"/>
                <w:szCs w:val="18"/>
                <w:lang w:eastAsia="it-IT"/>
              </w:rPr>
              <w:t>22.108.603</w:t>
            </w:r>
          </w:p>
        </w:tc>
        <w:tc>
          <w:tcPr>
            <w:tcW w:w="1482" w:type="dxa"/>
            <w:shd w:val="clear" w:color="auto" w:fill="FFFFFF" w:themeFill="background1"/>
            <w:noWrap/>
            <w:hideMark/>
          </w:tcPr>
          <w:p w:rsidR="00CD34A0" w:rsidRPr="005125BC" w:rsidRDefault="00CD34A0" w:rsidP="00CD34A0">
            <w:pPr>
              <w:spacing w:after="0" w:line="240" w:lineRule="auto"/>
              <w:jc w:val="right"/>
              <w:rPr>
                <w:rFonts w:eastAsia="Times New Roman" w:cstheme="minorHAnsi"/>
                <w:b/>
                <w:bCs/>
                <w:iCs/>
                <w:color w:val="000000"/>
                <w:sz w:val="18"/>
                <w:szCs w:val="18"/>
                <w:lang w:eastAsia="it-IT"/>
              </w:rPr>
            </w:pPr>
            <w:r w:rsidRPr="005125BC">
              <w:rPr>
                <w:rFonts w:eastAsia="Times New Roman" w:cstheme="minorHAnsi"/>
                <w:b/>
                <w:bCs/>
                <w:iCs/>
                <w:color w:val="000000"/>
                <w:sz w:val="18"/>
                <w:szCs w:val="18"/>
                <w:lang w:eastAsia="it-IT"/>
              </w:rPr>
              <w:t>159.864.270</w:t>
            </w:r>
          </w:p>
        </w:tc>
      </w:tr>
    </w:tbl>
    <w:p w:rsidR="00CD34A0" w:rsidRPr="00CD34A0" w:rsidRDefault="00C64D47" w:rsidP="00C64D47">
      <w:pPr>
        <w:pStyle w:val="Didascalia"/>
        <w:rPr>
          <w:rFonts w:eastAsia="Times New Roman" w:cs="Bodoni MT"/>
          <w:color w:val="000000"/>
          <w:sz w:val="24"/>
          <w:szCs w:val="24"/>
        </w:rPr>
      </w:pPr>
      <w:bookmarkStart w:id="381" w:name="_Toc507422585"/>
      <w:r>
        <w:t xml:space="preserve">Tabella </w:t>
      </w:r>
      <w:r w:rsidR="00B90472">
        <w:fldChar w:fldCharType="begin"/>
      </w:r>
      <w:r w:rsidR="00B90472">
        <w:instrText xml:space="preserve"> SEQ Tabella \* ARABIC </w:instrText>
      </w:r>
      <w:r w:rsidR="00B90472">
        <w:fldChar w:fldCharType="separate"/>
      </w:r>
      <w:r w:rsidR="008616B3">
        <w:rPr>
          <w:noProof/>
        </w:rPr>
        <w:t>117</w:t>
      </w:r>
      <w:r w:rsidR="00B90472">
        <w:rPr>
          <w:noProof/>
        </w:rPr>
        <w:fldChar w:fldCharType="end"/>
      </w:r>
      <w:r>
        <w:t xml:space="preserve"> – Riconciliazione dei crediti del circolante</w:t>
      </w:r>
      <w:bookmarkEnd w:id="381"/>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0"/>
        <w:gridCol w:w="1420"/>
        <w:gridCol w:w="1420"/>
        <w:gridCol w:w="1420"/>
        <w:gridCol w:w="1569"/>
      </w:tblGrid>
      <w:tr w:rsidR="00C64D47" w:rsidRPr="00C64D47" w:rsidTr="00C64D47">
        <w:trPr>
          <w:trHeight w:val="679"/>
          <w:jc w:val="center"/>
        </w:trPr>
        <w:tc>
          <w:tcPr>
            <w:tcW w:w="3380" w:type="dxa"/>
            <w:shd w:val="clear" w:color="auto" w:fill="0F243E" w:themeFill="text2" w:themeFillShade="80"/>
            <w:vAlign w:val="center"/>
            <w:hideMark/>
          </w:tcPr>
          <w:p w:rsidR="00CD34A0" w:rsidRPr="00C64D47" w:rsidRDefault="00CD34A0" w:rsidP="00CD34A0">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Voci</w:t>
            </w:r>
          </w:p>
        </w:tc>
        <w:tc>
          <w:tcPr>
            <w:tcW w:w="1420" w:type="dxa"/>
            <w:shd w:val="clear" w:color="auto" w:fill="0F243E" w:themeFill="text2" w:themeFillShade="80"/>
            <w:hideMark/>
          </w:tcPr>
          <w:p w:rsidR="00CD34A0" w:rsidRPr="00C64D47"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Crediti al lordo del FSC 31/12/2016</w:t>
            </w:r>
          </w:p>
        </w:tc>
        <w:tc>
          <w:tcPr>
            <w:tcW w:w="1420" w:type="dxa"/>
            <w:shd w:val="clear" w:color="auto" w:fill="0F243E" w:themeFill="text2" w:themeFillShade="80"/>
            <w:hideMark/>
          </w:tcPr>
          <w:p w:rsidR="00CD34A0" w:rsidRPr="00C64D47"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Fondo svalutazione crediti</w:t>
            </w:r>
          </w:p>
        </w:tc>
        <w:tc>
          <w:tcPr>
            <w:tcW w:w="1420" w:type="dxa"/>
            <w:shd w:val="clear" w:color="auto" w:fill="0F243E" w:themeFill="text2" w:themeFillShade="80"/>
            <w:hideMark/>
          </w:tcPr>
          <w:p w:rsidR="00CD34A0" w:rsidRPr="00C64D47"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Crediti non compresi nei residui</w:t>
            </w:r>
          </w:p>
        </w:tc>
        <w:tc>
          <w:tcPr>
            <w:tcW w:w="1569" w:type="dxa"/>
            <w:shd w:val="clear" w:color="auto" w:fill="0F243E" w:themeFill="text2" w:themeFillShade="80"/>
            <w:hideMark/>
          </w:tcPr>
          <w:p w:rsidR="00CD34A0" w:rsidRPr="00C64D47" w:rsidRDefault="00CD34A0" w:rsidP="00CD34A0">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Residui attivi 31/12/2016</w:t>
            </w:r>
          </w:p>
        </w:tc>
      </w:tr>
      <w:tr w:rsidR="00CD34A0" w:rsidRPr="00CD34A0" w:rsidTr="00C64D47">
        <w:trPr>
          <w:trHeight w:val="240"/>
          <w:jc w:val="center"/>
        </w:trPr>
        <w:tc>
          <w:tcPr>
            <w:tcW w:w="3380" w:type="dxa"/>
            <w:shd w:val="clear" w:color="auto" w:fill="95B3D7" w:themeFill="accent1" w:themeFillTint="99"/>
            <w:vAlign w:val="center"/>
            <w:hideMark/>
          </w:tcPr>
          <w:p w:rsidR="00CD34A0" w:rsidRPr="00C64D47"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C64D47">
              <w:rPr>
                <w:rFonts w:ascii="Bodoni MT" w:eastAsia="Times New Roman" w:hAnsi="Bodoni MT" w:cs="Times New Roman"/>
                <w:color w:val="FFFFFF" w:themeColor="background1"/>
                <w:sz w:val="18"/>
                <w:szCs w:val="18"/>
                <w:lang w:eastAsia="it-IT"/>
              </w:rPr>
              <w:t>Crediti di natura tributaria</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651.572.074</w:t>
            </w:r>
          </w:p>
        </w:tc>
        <w:tc>
          <w:tcPr>
            <w:tcW w:w="1420" w:type="dxa"/>
            <w:shd w:val="clear" w:color="auto" w:fill="FFFFFF" w:themeFill="background1"/>
            <w:vAlign w:val="center"/>
            <w:hideMark/>
          </w:tcPr>
          <w:p w:rsidR="00CD34A0" w:rsidRPr="00C64D47" w:rsidRDefault="00CD34A0" w:rsidP="00CD34A0">
            <w:pPr>
              <w:spacing w:after="0" w:line="240" w:lineRule="auto"/>
              <w:rPr>
                <w:rFonts w:eastAsia="Times New Roman" w:cstheme="minorHAnsi"/>
                <w:color w:val="000000"/>
                <w:sz w:val="20"/>
                <w:szCs w:val="20"/>
                <w:lang w:eastAsia="it-IT"/>
              </w:rPr>
            </w:pPr>
            <w:r w:rsidRPr="00C64D47">
              <w:rPr>
                <w:rFonts w:eastAsia="Times New Roman" w:cstheme="minorHAnsi"/>
                <w:color w:val="000000"/>
                <w:sz w:val="20"/>
                <w:szCs w:val="20"/>
                <w:lang w:eastAsia="it-IT"/>
              </w:rPr>
              <w:t> </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36.041.367</w:t>
            </w:r>
          </w:p>
        </w:tc>
        <w:tc>
          <w:tcPr>
            <w:tcW w:w="1569"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615.530.707</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C64D47"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C64D47">
              <w:rPr>
                <w:rFonts w:ascii="Bodoni MT" w:eastAsia="Times New Roman" w:hAnsi="Bodoni MT" w:cs="Times New Roman"/>
                <w:color w:val="FFFFFF" w:themeColor="background1"/>
                <w:sz w:val="18"/>
                <w:szCs w:val="18"/>
                <w:lang w:eastAsia="it-IT"/>
              </w:rPr>
              <w:t>Crediti per trasferimenti e contributi</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1.133.155.518</w:t>
            </w:r>
          </w:p>
        </w:tc>
        <w:tc>
          <w:tcPr>
            <w:tcW w:w="1420" w:type="dxa"/>
            <w:shd w:val="clear" w:color="auto" w:fill="FFFFFF" w:themeFill="background1"/>
            <w:vAlign w:val="bottom"/>
            <w:hideMark/>
          </w:tcPr>
          <w:p w:rsidR="00CD34A0" w:rsidRPr="00C64D47" w:rsidRDefault="00CD34A0" w:rsidP="00CD34A0">
            <w:pPr>
              <w:spacing w:after="0" w:line="240" w:lineRule="auto"/>
              <w:rPr>
                <w:rFonts w:eastAsia="Times New Roman" w:cstheme="minorHAnsi"/>
                <w:color w:val="000000"/>
                <w:sz w:val="20"/>
                <w:szCs w:val="20"/>
                <w:lang w:eastAsia="it-IT"/>
              </w:rPr>
            </w:pPr>
            <w:r w:rsidRPr="00C64D47">
              <w:rPr>
                <w:rFonts w:eastAsia="Times New Roman" w:cstheme="minorHAnsi"/>
                <w:color w:val="000000"/>
                <w:sz w:val="20"/>
                <w:szCs w:val="20"/>
                <w:lang w:eastAsia="it-IT"/>
              </w:rPr>
              <w:t> </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7.041.725</w:t>
            </w:r>
          </w:p>
        </w:tc>
        <w:tc>
          <w:tcPr>
            <w:tcW w:w="1569"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1.126.113.793</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C64D47"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C64D47">
              <w:rPr>
                <w:rFonts w:ascii="Bodoni MT" w:eastAsia="Times New Roman" w:hAnsi="Bodoni MT" w:cs="Times New Roman"/>
                <w:color w:val="FFFFFF" w:themeColor="background1"/>
                <w:sz w:val="18"/>
                <w:szCs w:val="18"/>
                <w:lang w:eastAsia="it-IT"/>
              </w:rPr>
              <w:t>Crediti verso clienti e utenti</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36.043.501</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32.493.981</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33.232.031</w:t>
            </w:r>
          </w:p>
        </w:tc>
        <w:tc>
          <w:tcPr>
            <w:tcW w:w="1569"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2.811.470</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C64D47"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C64D47">
              <w:rPr>
                <w:rFonts w:ascii="Bodoni MT" w:eastAsia="Times New Roman" w:hAnsi="Bodoni MT" w:cs="Times New Roman"/>
                <w:color w:val="FFFFFF" w:themeColor="background1"/>
                <w:sz w:val="18"/>
                <w:szCs w:val="18"/>
                <w:lang w:eastAsia="it-IT"/>
              </w:rPr>
              <w:t>Altri crediti</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192.611.149</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140.117.069</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100.198.126</w:t>
            </w:r>
          </w:p>
        </w:tc>
        <w:tc>
          <w:tcPr>
            <w:tcW w:w="1569"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92.413.023</w:t>
            </w:r>
          </w:p>
        </w:tc>
      </w:tr>
      <w:tr w:rsidR="00CD34A0" w:rsidRPr="00CD34A0" w:rsidTr="00C64D47">
        <w:trPr>
          <w:trHeight w:val="259"/>
          <w:jc w:val="center"/>
        </w:trPr>
        <w:tc>
          <w:tcPr>
            <w:tcW w:w="3380" w:type="dxa"/>
            <w:shd w:val="clear" w:color="auto" w:fill="95B3D7" w:themeFill="accent1" w:themeFillTint="99"/>
            <w:vAlign w:val="center"/>
            <w:hideMark/>
          </w:tcPr>
          <w:p w:rsidR="00CD34A0" w:rsidRPr="00C64D47" w:rsidRDefault="00CD34A0" w:rsidP="00C64D47">
            <w:pPr>
              <w:spacing w:after="0" w:line="240" w:lineRule="auto"/>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Totale</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2.013.382.242</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172.611.050</w:t>
            </w:r>
          </w:p>
        </w:tc>
        <w:tc>
          <w:tcPr>
            <w:tcW w:w="1420"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176.513.250</w:t>
            </w:r>
          </w:p>
        </w:tc>
        <w:tc>
          <w:tcPr>
            <w:tcW w:w="1569" w:type="dxa"/>
            <w:shd w:val="clear" w:color="auto" w:fill="FFFFFF" w:themeFill="background1"/>
            <w:noWrap/>
            <w:hideMark/>
          </w:tcPr>
          <w:p w:rsidR="00CD34A0" w:rsidRPr="00C64D47" w:rsidRDefault="00CD34A0" w:rsidP="00CD34A0">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1.836.868.992</w:t>
            </w:r>
          </w:p>
        </w:tc>
      </w:tr>
    </w:tbl>
    <w:p w:rsidR="00CD34A0" w:rsidRPr="00CD34A0" w:rsidRDefault="00C64D47" w:rsidP="00C64D47">
      <w:pPr>
        <w:pStyle w:val="Didascalia"/>
        <w:rPr>
          <w:rFonts w:eastAsia="Times New Roman" w:cs="Bodoni MT"/>
          <w:b w:val="0"/>
          <w:color w:val="000000"/>
          <w:sz w:val="24"/>
          <w:szCs w:val="24"/>
        </w:rPr>
      </w:pPr>
      <w:bookmarkStart w:id="382" w:name="_Toc507422586"/>
      <w:r>
        <w:t xml:space="preserve">Tabella </w:t>
      </w:r>
      <w:r w:rsidR="00B90472">
        <w:fldChar w:fldCharType="begin"/>
      </w:r>
      <w:r w:rsidR="00B90472">
        <w:instrText xml:space="preserve"> SEQ Tabella \* ARABIC </w:instrText>
      </w:r>
      <w:r w:rsidR="00B90472">
        <w:fldChar w:fldCharType="separate"/>
      </w:r>
      <w:r w:rsidR="008616B3">
        <w:rPr>
          <w:noProof/>
        </w:rPr>
        <w:t>118</w:t>
      </w:r>
      <w:r w:rsidR="00B90472">
        <w:rPr>
          <w:noProof/>
        </w:rPr>
        <w:fldChar w:fldCharType="end"/>
      </w:r>
      <w:r>
        <w:t xml:space="preserve"> -Riconciliazione dei crediti totali</w:t>
      </w:r>
      <w:bookmarkEnd w:id="382"/>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0"/>
        <w:gridCol w:w="1420"/>
        <w:gridCol w:w="1420"/>
        <w:gridCol w:w="1420"/>
        <w:gridCol w:w="1420"/>
      </w:tblGrid>
      <w:tr w:rsidR="00C64D47" w:rsidRPr="00C64D47" w:rsidTr="000454A6">
        <w:trPr>
          <w:trHeight w:val="750"/>
          <w:jc w:val="center"/>
        </w:trPr>
        <w:tc>
          <w:tcPr>
            <w:tcW w:w="338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Voci</w:t>
            </w:r>
          </w:p>
        </w:tc>
        <w:tc>
          <w:tcPr>
            <w:tcW w:w="142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Crediti al lordo del FSC 31/12/2016</w:t>
            </w:r>
          </w:p>
        </w:tc>
        <w:tc>
          <w:tcPr>
            <w:tcW w:w="142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Fondo svalutazione crediti</w:t>
            </w:r>
          </w:p>
        </w:tc>
        <w:tc>
          <w:tcPr>
            <w:tcW w:w="142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Crediti non compresi nei residui</w:t>
            </w:r>
          </w:p>
        </w:tc>
        <w:tc>
          <w:tcPr>
            <w:tcW w:w="142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color w:val="FFFFFF" w:themeColor="background1"/>
                <w:sz w:val="20"/>
                <w:szCs w:val="20"/>
                <w:lang w:eastAsia="it-IT"/>
              </w:rPr>
            </w:pPr>
            <w:r w:rsidRPr="00C64D47">
              <w:rPr>
                <w:rFonts w:ascii="Bodoni MT" w:eastAsia="Times New Roman" w:hAnsi="Bodoni MT" w:cs="Times New Roman"/>
                <w:b/>
                <w:bCs/>
                <w:iCs/>
                <w:color w:val="FFFFFF" w:themeColor="background1"/>
                <w:sz w:val="18"/>
                <w:szCs w:val="18"/>
                <w:lang w:eastAsia="it-IT"/>
              </w:rPr>
              <w:t>Residui attivi 31/12/2016</w:t>
            </w:r>
          </w:p>
        </w:tc>
      </w:tr>
      <w:tr w:rsidR="00CD34A0" w:rsidRPr="00CD34A0" w:rsidTr="00C64D47">
        <w:trPr>
          <w:trHeight w:val="240"/>
          <w:jc w:val="center"/>
        </w:trPr>
        <w:tc>
          <w:tcPr>
            <w:tcW w:w="3380" w:type="dxa"/>
            <w:shd w:val="clear" w:color="auto" w:fill="95B3D7" w:themeFill="accent1" w:themeFillTint="99"/>
            <w:vAlign w:val="center"/>
            <w:hideMark/>
          </w:tcPr>
          <w:p w:rsidR="00CD34A0" w:rsidRPr="000454A6"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Crediti di natura tributaria</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659.572.074</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0</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44.041.367</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615.530.707</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0454A6"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Crediti per trasferimenti e contributi</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1.133.155.518</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0</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7.041.725</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1.126.113.793</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0454A6"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Crediti verso clienti e utenti</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36.043.501</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32.493.981</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33.232.031</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2.811.470</w:t>
            </w:r>
          </w:p>
        </w:tc>
      </w:tr>
      <w:tr w:rsidR="00CD34A0" w:rsidRPr="00CD34A0" w:rsidTr="00C64D47">
        <w:trPr>
          <w:trHeight w:val="222"/>
          <w:jc w:val="center"/>
        </w:trPr>
        <w:tc>
          <w:tcPr>
            <w:tcW w:w="3380" w:type="dxa"/>
            <w:shd w:val="clear" w:color="auto" w:fill="95B3D7" w:themeFill="accent1" w:themeFillTint="99"/>
            <w:vAlign w:val="center"/>
            <w:hideMark/>
          </w:tcPr>
          <w:p w:rsidR="00CD34A0" w:rsidRPr="000454A6" w:rsidRDefault="00CD34A0" w:rsidP="00C64D47">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Altri crediti</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651.874.224</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517.940.160</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181.638.111</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color w:val="000000"/>
                <w:sz w:val="18"/>
                <w:szCs w:val="18"/>
                <w:lang w:eastAsia="it-IT"/>
              </w:rPr>
            </w:pPr>
            <w:r w:rsidRPr="00C64D47">
              <w:rPr>
                <w:rFonts w:eastAsia="Times New Roman" w:cstheme="minorHAnsi"/>
                <w:color w:val="000000"/>
                <w:sz w:val="18"/>
                <w:szCs w:val="18"/>
                <w:lang w:eastAsia="it-IT"/>
              </w:rPr>
              <w:t>92.413.023</w:t>
            </w:r>
          </w:p>
        </w:tc>
      </w:tr>
      <w:tr w:rsidR="00CD34A0" w:rsidRPr="00CD34A0" w:rsidTr="00C64D47">
        <w:trPr>
          <w:trHeight w:val="259"/>
          <w:jc w:val="center"/>
        </w:trPr>
        <w:tc>
          <w:tcPr>
            <w:tcW w:w="3380" w:type="dxa"/>
            <w:shd w:val="clear" w:color="auto" w:fill="95B3D7" w:themeFill="accent1" w:themeFillTint="99"/>
            <w:vAlign w:val="center"/>
            <w:hideMark/>
          </w:tcPr>
          <w:p w:rsidR="00CD34A0" w:rsidRPr="000454A6" w:rsidRDefault="00CD34A0" w:rsidP="00C64D47">
            <w:pPr>
              <w:spacing w:after="0" w:line="240" w:lineRule="auto"/>
              <w:rPr>
                <w:rFonts w:ascii="Bodoni MT" w:eastAsia="Times New Roman" w:hAnsi="Bodoni MT" w:cs="Times New Roman"/>
                <w:b/>
                <w:bCs/>
                <w:iCs/>
                <w:color w:val="FFFFFF" w:themeColor="background1"/>
                <w:sz w:val="18"/>
                <w:szCs w:val="18"/>
                <w:lang w:eastAsia="it-IT"/>
              </w:rPr>
            </w:pPr>
            <w:r w:rsidRPr="000454A6">
              <w:rPr>
                <w:rFonts w:ascii="Bodoni MT" w:eastAsia="Times New Roman" w:hAnsi="Bodoni MT" w:cs="Times New Roman"/>
                <w:b/>
                <w:bCs/>
                <w:iCs/>
                <w:color w:val="FFFFFF" w:themeColor="background1"/>
                <w:sz w:val="18"/>
                <w:szCs w:val="18"/>
                <w:lang w:eastAsia="it-IT"/>
              </w:rPr>
              <w:t>Totale</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2.480.645.317</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550.434.141</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265.953.234</w:t>
            </w:r>
          </w:p>
        </w:tc>
        <w:tc>
          <w:tcPr>
            <w:tcW w:w="1420" w:type="dxa"/>
            <w:shd w:val="clear" w:color="auto" w:fill="FFFFFF" w:themeFill="background1"/>
            <w:noWrap/>
            <w:vAlign w:val="center"/>
            <w:hideMark/>
          </w:tcPr>
          <w:p w:rsidR="00CD34A0" w:rsidRPr="00C64D47" w:rsidRDefault="00CD34A0" w:rsidP="00C64D47">
            <w:pPr>
              <w:spacing w:after="0" w:line="240" w:lineRule="auto"/>
              <w:jc w:val="right"/>
              <w:rPr>
                <w:rFonts w:eastAsia="Times New Roman" w:cstheme="minorHAnsi"/>
                <w:b/>
                <w:bCs/>
                <w:iCs/>
                <w:color w:val="000000"/>
                <w:sz w:val="18"/>
                <w:szCs w:val="18"/>
                <w:lang w:eastAsia="it-IT"/>
              </w:rPr>
            </w:pPr>
            <w:r w:rsidRPr="00C64D47">
              <w:rPr>
                <w:rFonts w:eastAsia="Times New Roman" w:cstheme="minorHAnsi"/>
                <w:b/>
                <w:bCs/>
                <w:iCs/>
                <w:color w:val="000000"/>
                <w:sz w:val="18"/>
                <w:szCs w:val="18"/>
                <w:lang w:eastAsia="it-IT"/>
              </w:rPr>
              <w:t>1.836.868.992</w:t>
            </w:r>
          </w:p>
        </w:tc>
      </w:tr>
    </w:tbl>
    <w:p w:rsidR="00CD34A0" w:rsidRPr="00C64D47"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C64D47">
        <w:rPr>
          <w:rFonts w:ascii="Bodoni MT" w:eastAsia="Times New Roman" w:hAnsi="Bodoni MT" w:cs="Bodoni MT"/>
          <w:color w:val="000000"/>
          <w:sz w:val="18"/>
          <w:szCs w:val="18"/>
        </w:rPr>
        <w:tab/>
        <w:t>Fonte RAS Rendiconto sulla gestione 2016 – Allegato 3.1</w:t>
      </w:r>
    </w:p>
    <w:p w:rsidR="00CD34A0" w:rsidRPr="00CD34A0" w:rsidRDefault="00535EB3" w:rsidP="000454A6">
      <w:pPr>
        <w:tabs>
          <w:tab w:val="left" w:pos="284"/>
          <w:tab w:val="left" w:pos="426"/>
        </w:tabs>
        <w:autoSpaceDE w:val="0"/>
        <w:autoSpaceDN w:val="0"/>
        <w:adjustRightInd w:val="0"/>
        <w:spacing w:before="240" w:after="120" w:line="360" w:lineRule="auto"/>
        <w:jc w:val="both"/>
        <w:textAlignment w:val="center"/>
        <w:rPr>
          <w:rFonts w:ascii="Bodoni MT" w:eastAsia="Times New Roman" w:hAnsi="Bodoni MT" w:cs="Bodoni MT"/>
          <w:b/>
          <w:color w:val="000000"/>
          <w:sz w:val="24"/>
          <w:szCs w:val="24"/>
        </w:rPr>
      </w:pPr>
      <w:r>
        <w:rPr>
          <w:rFonts w:ascii="Bodoni MT" w:eastAsia="Times New Roman" w:hAnsi="Bodoni MT" w:cs="Bodoni MT"/>
          <w:b/>
          <w:color w:val="000000"/>
          <w:sz w:val="24"/>
          <w:szCs w:val="24"/>
        </w:rPr>
        <w:t xml:space="preserve">Le disponibilità liquide. </w:t>
      </w:r>
      <w:r w:rsidR="00CD34A0" w:rsidRPr="00CD34A0">
        <w:rPr>
          <w:rFonts w:ascii="Bodoni MT" w:eastAsia="Times New Roman" w:hAnsi="Bodoni MT" w:cs="Bodoni MT"/>
          <w:color w:val="000000"/>
          <w:sz w:val="24"/>
          <w:szCs w:val="24"/>
        </w:rPr>
        <w:t xml:space="preserve">Le </w:t>
      </w:r>
      <w:r w:rsidR="00CD34A0" w:rsidRPr="00CD34A0">
        <w:rPr>
          <w:rFonts w:ascii="Bodoni MT" w:eastAsia="Times New Roman" w:hAnsi="Bodoni MT" w:cs="Bodoni MT"/>
          <w:i/>
          <w:iCs/>
          <w:color w:val="000000"/>
          <w:sz w:val="24"/>
          <w:szCs w:val="24"/>
        </w:rPr>
        <w:t xml:space="preserve">Disponibilità liquide </w:t>
      </w:r>
      <w:r w:rsidR="00CD34A0" w:rsidRPr="00CD34A0">
        <w:rPr>
          <w:rFonts w:ascii="Bodoni MT" w:eastAsia="Times New Roman" w:hAnsi="Bodoni MT" w:cs="Bodoni MT"/>
          <w:color w:val="000000"/>
          <w:sz w:val="24"/>
          <w:szCs w:val="24"/>
        </w:rPr>
        <w:t>si compongono delle somme giacenti nel conto di tesoreria presso la Banca d’Italia, nonché dei conti correnti bancari la cui proprietà è riconducibile alla Regione, ancorché la loro gestione sia affidata/delegata a terzi per specifiche finalità. Tra questi ultimi figurano i conti gestiti dalla società finanziaria regio</w:t>
      </w:r>
      <w:r>
        <w:rPr>
          <w:rFonts w:ascii="Bodoni MT" w:eastAsia="Times New Roman" w:hAnsi="Bodoni MT" w:cs="Bodoni MT"/>
          <w:color w:val="000000"/>
          <w:sz w:val="24"/>
          <w:szCs w:val="24"/>
        </w:rPr>
        <w:t>nale, la Sfirs Spa</w:t>
      </w:r>
      <w:r w:rsidR="00C64D47">
        <w:rPr>
          <w:rFonts w:ascii="Bodoni MT" w:eastAsia="Times New Roman" w:hAnsi="Bodoni MT" w:cs="Bodoni MT"/>
          <w:color w:val="000000"/>
          <w:sz w:val="24"/>
          <w:szCs w:val="24"/>
        </w:rPr>
        <w:t xml:space="preserve"> (saldi di € </w:t>
      </w:r>
      <w:r w:rsidR="00CD34A0" w:rsidRPr="00CD34A0">
        <w:rPr>
          <w:rFonts w:ascii="Bodoni MT" w:eastAsia="Times New Roman" w:hAnsi="Bodoni MT" w:cs="Bodoni MT"/>
          <w:color w:val="000000"/>
          <w:sz w:val="24"/>
          <w:szCs w:val="24"/>
        </w:rPr>
        <w:t>17.468.857 per i</w:t>
      </w:r>
      <w:r w:rsidR="003401A5">
        <w:rPr>
          <w:rFonts w:ascii="Bodoni MT" w:eastAsia="Times New Roman" w:hAnsi="Bodoni MT" w:cs="Bodoni MT"/>
          <w:color w:val="000000"/>
          <w:sz w:val="24"/>
          <w:szCs w:val="24"/>
        </w:rPr>
        <w:t xml:space="preserve"> fondi rotativi e</w:t>
      </w:r>
      <w:r w:rsidR="00CD34A0" w:rsidRPr="00CD34A0">
        <w:rPr>
          <w:rFonts w:ascii="Bodoni MT" w:eastAsia="Times New Roman" w:hAnsi="Bodoni MT" w:cs="Bodoni MT"/>
          <w:color w:val="000000"/>
          <w:sz w:val="24"/>
          <w:szCs w:val="24"/>
        </w:rPr>
        <w:t xml:space="preserve"> € 332.729.211 per i fondi assimilati). Per l’effetto</w:t>
      </w:r>
      <w:r w:rsidR="00CD34A0" w:rsidRPr="00CD34A0">
        <w:rPr>
          <w:rFonts w:ascii="Bodoni MT" w:eastAsia="Times New Roman" w:hAnsi="Bodoni MT" w:cs="Bodoni MT"/>
          <w:b/>
          <w:color w:val="000000"/>
          <w:sz w:val="24"/>
          <w:szCs w:val="24"/>
        </w:rPr>
        <w:t xml:space="preserve"> </w:t>
      </w:r>
      <w:r w:rsidR="00CD34A0" w:rsidRPr="00CD34A0">
        <w:rPr>
          <w:rFonts w:ascii="Bodoni MT" w:eastAsia="Times New Roman" w:hAnsi="Bodoni MT" w:cs="Bodoni MT"/>
          <w:color w:val="000000"/>
          <w:sz w:val="24"/>
          <w:szCs w:val="24"/>
        </w:rPr>
        <w:t xml:space="preserve">i saldi di tali conti correnti non risultano indicati tra la liquidità dello stato patrimoniale dell’ente o della società che li gestisce, bensì tra i loro conti d’ordine. La voce include un conto corrente postale intestato alla Regione, il cui saldo è positivo per effetto del mancato riversamento nell’anno delle ultime operazioni del mese di dicembre del 2016. </w:t>
      </w:r>
    </w:p>
    <w:p w:rsidR="00CD34A0" w:rsidRPr="00CD34A0" w:rsidRDefault="00C64D47" w:rsidP="00C64D47">
      <w:pPr>
        <w:pStyle w:val="Didascalia"/>
        <w:rPr>
          <w:rFonts w:eastAsia="Times New Roman" w:cs="Bodoni MT"/>
          <w:color w:val="000000"/>
          <w:sz w:val="24"/>
          <w:szCs w:val="24"/>
          <w:highlight w:val="yellow"/>
        </w:rPr>
      </w:pPr>
      <w:bookmarkStart w:id="383" w:name="_Toc507422587"/>
      <w:r>
        <w:t xml:space="preserve">Tabella </w:t>
      </w:r>
      <w:r w:rsidR="00B90472">
        <w:fldChar w:fldCharType="begin"/>
      </w:r>
      <w:r w:rsidR="00B90472">
        <w:instrText xml:space="preserve"> SEQ Tabella \* ARABIC </w:instrText>
      </w:r>
      <w:r w:rsidR="00B90472">
        <w:fldChar w:fldCharType="separate"/>
      </w:r>
      <w:r w:rsidR="008616B3">
        <w:rPr>
          <w:noProof/>
        </w:rPr>
        <w:t>119</w:t>
      </w:r>
      <w:r w:rsidR="00B90472">
        <w:rPr>
          <w:noProof/>
        </w:rPr>
        <w:fldChar w:fldCharType="end"/>
      </w:r>
      <w:r>
        <w:t xml:space="preserve"> – Disponibilità liquide</w:t>
      </w:r>
      <w:bookmarkEnd w:id="383"/>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20"/>
        <w:gridCol w:w="1480"/>
        <w:gridCol w:w="1440"/>
        <w:gridCol w:w="1380"/>
        <w:gridCol w:w="900"/>
      </w:tblGrid>
      <w:tr w:rsidR="00C64D47" w:rsidRPr="00C64D47" w:rsidTr="00C64D47">
        <w:trPr>
          <w:trHeight w:val="259"/>
          <w:jc w:val="center"/>
        </w:trPr>
        <w:tc>
          <w:tcPr>
            <w:tcW w:w="422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Voci</w:t>
            </w:r>
          </w:p>
        </w:tc>
        <w:tc>
          <w:tcPr>
            <w:tcW w:w="1480" w:type="dxa"/>
            <w:shd w:val="clear" w:color="auto" w:fill="0F243E" w:themeFill="text2" w:themeFillShade="80"/>
            <w:noWrap/>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31/12/2016</w:t>
            </w:r>
          </w:p>
        </w:tc>
        <w:tc>
          <w:tcPr>
            <w:tcW w:w="1440" w:type="dxa"/>
            <w:shd w:val="clear" w:color="auto" w:fill="0F243E" w:themeFill="text2" w:themeFillShade="80"/>
            <w:noWrap/>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31/12/2015</w:t>
            </w:r>
          </w:p>
        </w:tc>
        <w:tc>
          <w:tcPr>
            <w:tcW w:w="138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Var</w:t>
            </w:r>
          </w:p>
        </w:tc>
        <w:tc>
          <w:tcPr>
            <w:tcW w:w="900" w:type="dxa"/>
            <w:shd w:val="clear" w:color="auto" w:fill="0F243E" w:themeFill="text2" w:themeFillShade="80"/>
            <w:vAlign w:val="center"/>
            <w:hideMark/>
          </w:tcPr>
          <w:p w:rsidR="00CD34A0" w:rsidRPr="00C64D47" w:rsidRDefault="00CD34A0" w:rsidP="00C64D47">
            <w:pPr>
              <w:spacing w:after="0" w:line="240" w:lineRule="auto"/>
              <w:jc w:val="center"/>
              <w:rPr>
                <w:rFonts w:ascii="Bodoni MT" w:eastAsia="Times New Roman" w:hAnsi="Bodoni MT" w:cs="Times New Roman"/>
                <w:b/>
                <w:bCs/>
                <w:iCs/>
                <w:color w:val="FFFFFF" w:themeColor="background1"/>
                <w:sz w:val="18"/>
                <w:szCs w:val="18"/>
                <w:lang w:eastAsia="it-IT"/>
              </w:rPr>
            </w:pPr>
            <w:r w:rsidRPr="00C64D47">
              <w:rPr>
                <w:rFonts w:ascii="Bodoni MT" w:eastAsia="Times New Roman" w:hAnsi="Bodoni MT" w:cs="Times New Roman"/>
                <w:b/>
                <w:bCs/>
                <w:iCs/>
                <w:color w:val="FFFFFF" w:themeColor="background1"/>
                <w:sz w:val="18"/>
                <w:szCs w:val="18"/>
                <w:lang w:eastAsia="it-IT"/>
              </w:rPr>
              <w:t>Var%</w:t>
            </w:r>
          </w:p>
        </w:tc>
      </w:tr>
      <w:tr w:rsidR="00CD34A0" w:rsidRPr="00CD34A0" w:rsidTr="002C1F0C">
        <w:trPr>
          <w:trHeight w:val="240"/>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1  Conto di tesoreria</w:t>
            </w:r>
          </w:p>
        </w:tc>
        <w:tc>
          <w:tcPr>
            <w:tcW w:w="14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59.353.302</w:t>
            </w:r>
          </w:p>
        </w:tc>
        <w:tc>
          <w:tcPr>
            <w:tcW w:w="144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340.832.737</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-281.479.435</w:t>
            </w:r>
          </w:p>
        </w:tc>
        <w:tc>
          <w:tcPr>
            <w:tcW w:w="90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-83%</w:t>
            </w:r>
          </w:p>
        </w:tc>
      </w:tr>
      <w:tr w:rsidR="00CD34A0" w:rsidRPr="00CD34A0" w:rsidTr="002C1F0C">
        <w:trPr>
          <w:trHeight w:val="222"/>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0454A6">
              <w:rPr>
                <w:rFonts w:ascii="Bodoni MT" w:eastAsia="Times New Roman" w:hAnsi="Bodoni MT" w:cs="Times New Roman"/>
                <w:iCs/>
                <w:color w:val="FFFFFF" w:themeColor="background1"/>
                <w:sz w:val="18"/>
                <w:szCs w:val="18"/>
                <w:lang w:eastAsia="it-IT"/>
              </w:rPr>
              <w:t>a  Istituto tesoriere</w:t>
            </w:r>
          </w:p>
        </w:tc>
        <w:tc>
          <w:tcPr>
            <w:tcW w:w="148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44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iCs/>
                <w:color w:val="000000"/>
                <w:sz w:val="18"/>
                <w:szCs w:val="18"/>
                <w:lang w:eastAsia="it-IT"/>
              </w:rPr>
            </w:pPr>
            <w:r w:rsidRPr="000454A6">
              <w:rPr>
                <w:rFonts w:eastAsia="Times New Roman" w:cstheme="minorHAnsi"/>
                <w:iCs/>
                <w:color w:val="000000"/>
                <w:sz w:val="18"/>
                <w:szCs w:val="18"/>
                <w:lang w:eastAsia="it-IT"/>
              </w:rPr>
              <w:t>0</w:t>
            </w:r>
          </w:p>
        </w:tc>
        <w:tc>
          <w:tcPr>
            <w:tcW w:w="90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iCs/>
                <w:sz w:val="18"/>
                <w:szCs w:val="18"/>
                <w:lang w:eastAsia="it-IT"/>
              </w:rPr>
            </w:pPr>
            <w:r w:rsidRPr="000454A6">
              <w:rPr>
                <w:rFonts w:eastAsia="Times New Roman" w:cstheme="minorHAnsi"/>
                <w:iCs/>
                <w:sz w:val="18"/>
                <w:szCs w:val="18"/>
                <w:lang w:eastAsia="it-IT"/>
              </w:rPr>
              <w:t>-</w:t>
            </w:r>
          </w:p>
        </w:tc>
      </w:tr>
      <w:tr w:rsidR="00CD34A0" w:rsidRPr="00CD34A0" w:rsidTr="002C1F0C">
        <w:trPr>
          <w:trHeight w:val="222"/>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iCs/>
                <w:color w:val="FFFFFF" w:themeColor="background1"/>
                <w:sz w:val="18"/>
                <w:szCs w:val="18"/>
                <w:lang w:eastAsia="it-IT"/>
              </w:rPr>
            </w:pPr>
            <w:r w:rsidRPr="000454A6">
              <w:rPr>
                <w:rFonts w:ascii="Bodoni MT" w:eastAsia="Times New Roman" w:hAnsi="Bodoni MT" w:cs="Times New Roman"/>
                <w:iCs/>
                <w:color w:val="FFFFFF" w:themeColor="background1"/>
                <w:sz w:val="18"/>
                <w:szCs w:val="18"/>
                <w:lang w:eastAsia="it-IT"/>
              </w:rPr>
              <w:t>b  Presso Banca d'Italia</w:t>
            </w:r>
          </w:p>
        </w:tc>
        <w:tc>
          <w:tcPr>
            <w:tcW w:w="14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iCs/>
                <w:color w:val="000000"/>
                <w:sz w:val="18"/>
                <w:szCs w:val="18"/>
                <w:lang w:eastAsia="it-IT"/>
              </w:rPr>
            </w:pPr>
            <w:r w:rsidRPr="000454A6">
              <w:rPr>
                <w:rFonts w:eastAsia="Times New Roman" w:cstheme="minorHAnsi"/>
                <w:iCs/>
                <w:color w:val="000000"/>
                <w:sz w:val="18"/>
                <w:szCs w:val="18"/>
                <w:lang w:eastAsia="it-IT"/>
              </w:rPr>
              <w:t>59.353.302</w:t>
            </w:r>
          </w:p>
        </w:tc>
        <w:tc>
          <w:tcPr>
            <w:tcW w:w="144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iCs/>
                <w:color w:val="000000"/>
                <w:sz w:val="18"/>
                <w:szCs w:val="18"/>
                <w:lang w:eastAsia="it-IT"/>
              </w:rPr>
            </w:pPr>
            <w:r w:rsidRPr="000454A6">
              <w:rPr>
                <w:rFonts w:eastAsia="Times New Roman" w:cstheme="minorHAnsi"/>
                <w:iCs/>
                <w:color w:val="000000"/>
                <w:sz w:val="18"/>
                <w:szCs w:val="18"/>
                <w:lang w:eastAsia="it-IT"/>
              </w:rPr>
              <w:t>340.832.737</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iCs/>
                <w:color w:val="000000"/>
                <w:sz w:val="18"/>
                <w:szCs w:val="18"/>
                <w:lang w:eastAsia="it-IT"/>
              </w:rPr>
            </w:pPr>
            <w:r w:rsidRPr="000454A6">
              <w:rPr>
                <w:rFonts w:eastAsia="Times New Roman" w:cstheme="minorHAnsi"/>
                <w:iCs/>
                <w:color w:val="000000"/>
                <w:sz w:val="18"/>
                <w:szCs w:val="18"/>
                <w:lang w:eastAsia="it-IT"/>
              </w:rPr>
              <w:t>-281.479.435</w:t>
            </w:r>
          </w:p>
        </w:tc>
        <w:tc>
          <w:tcPr>
            <w:tcW w:w="90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iCs/>
                <w:color w:val="000000"/>
                <w:sz w:val="18"/>
                <w:szCs w:val="18"/>
                <w:lang w:eastAsia="it-IT"/>
              </w:rPr>
            </w:pPr>
            <w:r w:rsidRPr="000454A6">
              <w:rPr>
                <w:rFonts w:eastAsia="Times New Roman" w:cstheme="minorHAnsi"/>
                <w:iCs/>
                <w:color w:val="000000"/>
                <w:sz w:val="18"/>
                <w:szCs w:val="18"/>
                <w:lang w:eastAsia="it-IT"/>
              </w:rPr>
              <w:t>-83%</w:t>
            </w:r>
          </w:p>
        </w:tc>
      </w:tr>
      <w:tr w:rsidR="00CD34A0" w:rsidRPr="00CD34A0" w:rsidTr="002C1F0C">
        <w:trPr>
          <w:trHeight w:val="222"/>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2  Altri depositi bancari e postali</w:t>
            </w:r>
          </w:p>
        </w:tc>
        <w:tc>
          <w:tcPr>
            <w:tcW w:w="14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443.310.713</w:t>
            </w:r>
          </w:p>
        </w:tc>
        <w:tc>
          <w:tcPr>
            <w:tcW w:w="144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474.628.361</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-31.317.648</w:t>
            </w:r>
          </w:p>
        </w:tc>
        <w:tc>
          <w:tcPr>
            <w:tcW w:w="90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-7%</w:t>
            </w:r>
          </w:p>
        </w:tc>
      </w:tr>
      <w:tr w:rsidR="00CD34A0" w:rsidRPr="00CD34A0" w:rsidTr="002C1F0C">
        <w:trPr>
          <w:trHeight w:val="222"/>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3  Cassa</w:t>
            </w:r>
          </w:p>
        </w:tc>
        <w:tc>
          <w:tcPr>
            <w:tcW w:w="148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44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0</w:t>
            </w:r>
          </w:p>
        </w:tc>
        <w:tc>
          <w:tcPr>
            <w:tcW w:w="90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sz w:val="18"/>
                <w:szCs w:val="18"/>
                <w:lang w:eastAsia="it-IT"/>
              </w:rPr>
            </w:pPr>
            <w:r w:rsidRPr="000454A6">
              <w:rPr>
                <w:rFonts w:eastAsia="Times New Roman" w:cstheme="minorHAnsi"/>
                <w:sz w:val="18"/>
                <w:szCs w:val="18"/>
                <w:lang w:eastAsia="it-IT"/>
              </w:rPr>
              <w:t>-</w:t>
            </w:r>
          </w:p>
        </w:tc>
      </w:tr>
      <w:tr w:rsidR="00CD34A0" w:rsidRPr="00CD34A0" w:rsidTr="002C1F0C">
        <w:trPr>
          <w:trHeight w:val="199"/>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0454A6">
              <w:rPr>
                <w:rFonts w:ascii="Bodoni MT" w:eastAsia="Times New Roman" w:hAnsi="Bodoni MT" w:cs="Times New Roman"/>
                <w:color w:val="FFFFFF" w:themeColor="background1"/>
                <w:sz w:val="18"/>
                <w:szCs w:val="18"/>
                <w:lang w:eastAsia="it-IT"/>
              </w:rPr>
              <w:t>4  Altri conti presso la tesoreria statale</w:t>
            </w:r>
          </w:p>
        </w:tc>
        <w:tc>
          <w:tcPr>
            <w:tcW w:w="148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44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 </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color w:val="000000"/>
                <w:sz w:val="18"/>
                <w:szCs w:val="18"/>
                <w:lang w:eastAsia="it-IT"/>
              </w:rPr>
            </w:pPr>
            <w:r w:rsidRPr="000454A6">
              <w:rPr>
                <w:rFonts w:eastAsia="Times New Roman" w:cstheme="minorHAnsi"/>
                <w:color w:val="000000"/>
                <w:sz w:val="18"/>
                <w:szCs w:val="18"/>
                <w:lang w:eastAsia="it-IT"/>
              </w:rPr>
              <w:t>0</w:t>
            </w:r>
          </w:p>
        </w:tc>
        <w:tc>
          <w:tcPr>
            <w:tcW w:w="900" w:type="dxa"/>
            <w:shd w:val="clear" w:color="auto" w:fill="FFFFFF" w:themeFill="background1"/>
            <w:vAlign w:val="center"/>
            <w:hideMark/>
          </w:tcPr>
          <w:p w:rsidR="00CD34A0" w:rsidRPr="000454A6" w:rsidRDefault="00CD34A0" w:rsidP="002C1F0C">
            <w:pPr>
              <w:spacing w:after="0" w:line="240" w:lineRule="auto"/>
              <w:jc w:val="right"/>
              <w:rPr>
                <w:rFonts w:eastAsia="Times New Roman" w:cstheme="minorHAnsi"/>
                <w:sz w:val="18"/>
                <w:szCs w:val="18"/>
                <w:lang w:eastAsia="it-IT"/>
              </w:rPr>
            </w:pPr>
            <w:r w:rsidRPr="000454A6">
              <w:rPr>
                <w:rFonts w:eastAsia="Times New Roman" w:cstheme="minorHAnsi"/>
                <w:sz w:val="18"/>
                <w:szCs w:val="18"/>
                <w:lang w:eastAsia="it-IT"/>
              </w:rPr>
              <w:t>-</w:t>
            </w:r>
          </w:p>
        </w:tc>
      </w:tr>
      <w:tr w:rsidR="00CD34A0" w:rsidRPr="00CD34A0" w:rsidTr="002C1F0C">
        <w:trPr>
          <w:trHeight w:val="259"/>
          <w:jc w:val="center"/>
        </w:trPr>
        <w:tc>
          <w:tcPr>
            <w:tcW w:w="4220" w:type="dxa"/>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0454A6">
              <w:rPr>
                <w:rFonts w:ascii="Bodoni MT" w:eastAsia="Times New Roman" w:hAnsi="Bodoni MT" w:cs="Times New Roman"/>
                <w:b/>
                <w:bCs/>
                <w:iCs/>
                <w:color w:val="FFFFFF" w:themeColor="background1"/>
                <w:sz w:val="18"/>
                <w:szCs w:val="18"/>
                <w:lang w:eastAsia="it-IT"/>
              </w:rPr>
              <w:t>IV   Disponibilità liquide</w:t>
            </w:r>
          </w:p>
        </w:tc>
        <w:tc>
          <w:tcPr>
            <w:tcW w:w="14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b/>
                <w:bCs/>
                <w:iCs/>
                <w:color w:val="000000"/>
                <w:sz w:val="18"/>
                <w:szCs w:val="18"/>
                <w:lang w:eastAsia="it-IT"/>
              </w:rPr>
            </w:pPr>
            <w:r w:rsidRPr="000454A6">
              <w:rPr>
                <w:rFonts w:eastAsia="Times New Roman" w:cstheme="minorHAnsi"/>
                <w:b/>
                <w:bCs/>
                <w:iCs/>
                <w:color w:val="000000"/>
                <w:sz w:val="18"/>
                <w:szCs w:val="18"/>
                <w:lang w:eastAsia="it-IT"/>
              </w:rPr>
              <w:t>502.664.015</w:t>
            </w:r>
          </w:p>
        </w:tc>
        <w:tc>
          <w:tcPr>
            <w:tcW w:w="144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b/>
                <w:bCs/>
                <w:iCs/>
                <w:color w:val="000000"/>
                <w:sz w:val="18"/>
                <w:szCs w:val="18"/>
                <w:lang w:eastAsia="it-IT"/>
              </w:rPr>
            </w:pPr>
            <w:r w:rsidRPr="000454A6">
              <w:rPr>
                <w:rFonts w:eastAsia="Times New Roman" w:cstheme="minorHAnsi"/>
                <w:b/>
                <w:bCs/>
                <w:iCs/>
                <w:color w:val="000000"/>
                <w:sz w:val="18"/>
                <w:szCs w:val="18"/>
                <w:lang w:eastAsia="it-IT"/>
              </w:rPr>
              <w:t>815.461.098</w:t>
            </w:r>
          </w:p>
        </w:tc>
        <w:tc>
          <w:tcPr>
            <w:tcW w:w="138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b/>
                <w:bCs/>
                <w:iCs/>
                <w:color w:val="000000"/>
                <w:sz w:val="18"/>
                <w:szCs w:val="18"/>
                <w:lang w:eastAsia="it-IT"/>
              </w:rPr>
            </w:pPr>
            <w:r w:rsidRPr="000454A6">
              <w:rPr>
                <w:rFonts w:eastAsia="Times New Roman" w:cstheme="minorHAnsi"/>
                <w:b/>
                <w:bCs/>
                <w:iCs/>
                <w:color w:val="000000"/>
                <w:sz w:val="18"/>
                <w:szCs w:val="18"/>
                <w:lang w:eastAsia="it-IT"/>
              </w:rPr>
              <w:t>-312.797.083</w:t>
            </w:r>
          </w:p>
        </w:tc>
        <w:tc>
          <w:tcPr>
            <w:tcW w:w="900" w:type="dxa"/>
            <w:shd w:val="clear" w:color="auto" w:fill="FFFFFF" w:themeFill="background1"/>
            <w:noWrap/>
            <w:vAlign w:val="center"/>
            <w:hideMark/>
          </w:tcPr>
          <w:p w:rsidR="00CD34A0" w:rsidRPr="000454A6" w:rsidRDefault="00CD34A0" w:rsidP="002C1F0C">
            <w:pPr>
              <w:spacing w:after="0" w:line="240" w:lineRule="auto"/>
              <w:jc w:val="right"/>
              <w:rPr>
                <w:rFonts w:eastAsia="Times New Roman" w:cstheme="minorHAnsi"/>
                <w:b/>
                <w:bCs/>
                <w:iCs/>
                <w:color w:val="000000"/>
                <w:sz w:val="18"/>
                <w:szCs w:val="18"/>
                <w:lang w:eastAsia="it-IT"/>
              </w:rPr>
            </w:pPr>
            <w:r w:rsidRPr="000454A6">
              <w:rPr>
                <w:rFonts w:eastAsia="Times New Roman" w:cstheme="minorHAnsi"/>
                <w:b/>
                <w:bCs/>
                <w:iCs/>
                <w:color w:val="000000"/>
                <w:sz w:val="18"/>
                <w:szCs w:val="18"/>
                <w:lang w:eastAsia="it-IT"/>
              </w:rPr>
              <w:t>-38,4%</w:t>
            </w:r>
          </w:p>
        </w:tc>
      </w:tr>
    </w:tbl>
    <w:p w:rsidR="00CD34A0" w:rsidRPr="00CD34A0" w:rsidRDefault="000454A6" w:rsidP="000454A6">
      <w:pPr>
        <w:pStyle w:val="Didascalia"/>
        <w:rPr>
          <w:rFonts w:eastAsia="Times New Roman" w:cs="Bodoni MT"/>
          <w:color w:val="000000"/>
          <w:sz w:val="24"/>
          <w:szCs w:val="24"/>
          <w:highlight w:val="yellow"/>
        </w:rPr>
      </w:pPr>
      <w:bookmarkStart w:id="384" w:name="_Toc507422588"/>
      <w:r>
        <w:lastRenderedPageBreak/>
        <w:t xml:space="preserve">Tabella </w:t>
      </w:r>
      <w:r w:rsidR="00B90472">
        <w:fldChar w:fldCharType="begin"/>
      </w:r>
      <w:r w:rsidR="00B90472">
        <w:instrText xml:space="preserve"> SEQ Tabella \* ARABIC </w:instrText>
      </w:r>
      <w:r w:rsidR="00B90472">
        <w:fldChar w:fldCharType="separate"/>
      </w:r>
      <w:r w:rsidR="008616B3">
        <w:rPr>
          <w:noProof/>
        </w:rPr>
        <w:t>120</w:t>
      </w:r>
      <w:r w:rsidR="00B90472">
        <w:rPr>
          <w:noProof/>
        </w:rPr>
        <w:fldChar w:fldCharType="end"/>
      </w:r>
      <w:r>
        <w:t xml:space="preserve"> – Movimentazione del conto di tesoreria, dei depositi bancari e postali</w:t>
      </w:r>
      <w:bookmarkEnd w:id="3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2"/>
        <w:gridCol w:w="1968"/>
        <w:gridCol w:w="2271"/>
        <w:gridCol w:w="1967"/>
      </w:tblGrid>
      <w:tr w:rsidR="000454A6" w:rsidRPr="000454A6" w:rsidTr="000454A6">
        <w:trPr>
          <w:trHeight w:val="259"/>
          <w:jc w:val="center"/>
        </w:trPr>
        <w:tc>
          <w:tcPr>
            <w:tcW w:w="1826"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Voci</w:t>
            </w:r>
          </w:p>
        </w:tc>
        <w:tc>
          <w:tcPr>
            <w:tcW w:w="1006"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31/12/2016</w:t>
            </w:r>
          </w:p>
        </w:tc>
        <w:tc>
          <w:tcPr>
            <w:tcW w:w="1161"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Variazioni</w:t>
            </w:r>
          </w:p>
        </w:tc>
        <w:tc>
          <w:tcPr>
            <w:tcW w:w="1006"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31/12/2015</w:t>
            </w:r>
          </w:p>
        </w:tc>
      </w:tr>
      <w:tr w:rsidR="00CD34A0" w:rsidRPr="000454A6" w:rsidTr="002C1F0C">
        <w:trPr>
          <w:trHeight w:val="259"/>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Conto di tesoreria</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59.353.302</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-281.479.435</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340.832.737</w:t>
            </w:r>
          </w:p>
        </w:tc>
      </w:tr>
      <w:tr w:rsidR="00CD34A0" w:rsidRPr="000454A6" w:rsidTr="002C1F0C">
        <w:trPr>
          <w:trHeight w:val="222"/>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C/c Ras c/o tesoriere</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54.223.844</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-9.601.110</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63.824.954</w:t>
            </w:r>
          </w:p>
        </w:tc>
      </w:tr>
      <w:tr w:rsidR="00CD34A0" w:rsidRPr="000454A6" w:rsidTr="002C1F0C">
        <w:trPr>
          <w:trHeight w:val="222"/>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C/c Ras c/o altre banche-rotativi</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20.900.842</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-3.399.194</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24.300.036</w:t>
            </w:r>
          </w:p>
        </w:tc>
      </w:tr>
      <w:tr w:rsidR="00CD34A0" w:rsidRPr="000454A6" w:rsidTr="002C1F0C">
        <w:trPr>
          <w:trHeight w:val="222"/>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C/c Ras c/o altre banche-assimilati</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367.222.645</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-19.091.265</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386.313.910</w:t>
            </w:r>
          </w:p>
        </w:tc>
      </w:tr>
      <w:tr w:rsidR="00CD34A0" w:rsidRPr="000454A6" w:rsidTr="002C1F0C">
        <w:trPr>
          <w:trHeight w:val="222"/>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Conto corrente postale</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963.382</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773.921</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189.461</w:t>
            </w:r>
          </w:p>
        </w:tc>
      </w:tr>
      <w:tr w:rsidR="00CD34A0" w:rsidRPr="000454A6" w:rsidTr="002C1F0C">
        <w:trPr>
          <w:trHeight w:val="259"/>
          <w:jc w:val="center"/>
        </w:trPr>
        <w:tc>
          <w:tcPr>
            <w:tcW w:w="1826" w:type="pct"/>
            <w:shd w:val="clear" w:color="auto" w:fill="95B3D7" w:themeFill="accent1" w:themeFillTint="99"/>
            <w:hideMark/>
          </w:tcPr>
          <w:p w:rsidR="00CD34A0" w:rsidRPr="000454A6" w:rsidRDefault="00CD34A0" w:rsidP="00CD34A0">
            <w:pPr>
              <w:spacing w:after="0" w:line="240" w:lineRule="auto"/>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Totale</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502.664.015</w:t>
            </w:r>
          </w:p>
        </w:tc>
        <w:tc>
          <w:tcPr>
            <w:tcW w:w="1161"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-312.797.083</w:t>
            </w:r>
          </w:p>
        </w:tc>
        <w:tc>
          <w:tcPr>
            <w:tcW w:w="1006" w:type="pct"/>
            <w:shd w:val="clear" w:color="auto" w:fill="FFFFFF" w:themeFill="background1"/>
            <w:noWrap/>
            <w:vAlign w:val="center"/>
            <w:hideMark/>
          </w:tcPr>
          <w:p w:rsidR="00CD34A0" w:rsidRPr="00184B93" w:rsidRDefault="00CD34A0" w:rsidP="002C1F0C">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815.461.098</w:t>
            </w:r>
          </w:p>
        </w:tc>
      </w:tr>
    </w:tbl>
    <w:p w:rsidR="00CD34A0" w:rsidRPr="004469B5"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4469B5">
        <w:rPr>
          <w:rFonts w:ascii="Bodoni MT" w:eastAsia="Times New Roman" w:hAnsi="Bodoni MT" w:cs="Bodoni MT"/>
          <w:color w:val="000000"/>
          <w:sz w:val="18"/>
          <w:szCs w:val="18"/>
        </w:rPr>
        <w:t>Fonte RAS Rendiconto sulla gestione 2016 – Allegato 3.1</w:t>
      </w:r>
    </w:p>
    <w:p w:rsidR="00CD34A0" w:rsidRPr="00CD34A0" w:rsidRDefault="00CD34A0" w:rsidP="000454A6">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D)</w:t>
      </w:r>
      <w:r w:rsidRPr="00535EB3">
        <w:rPr>
          <w:rFonts w:ascii="Bodoni MT" w:eastAsia="Times New Roman" w:hAnsi="Bodoni MT" w:cs="Bodoni MT"/>
          <w:b/>
          <w:color w:val="000000"/>
          <w:sz w:val="24"/>
          <w:szCs w:val="24"/>
        </w:rPr>
        <w:tab/>
        <w:t>Ratei e risconti attivi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 Risconti attivi fanno riferimento alla versata anticipazione di fitti di compe</w:t>
      </w:r>
      <w:r w:rsidR="004469B5">
        <w:rPr>
          <w:rFonts w:ascii="Bodoni MT" w:eastAsia="Times New Roman" w:hAnsi="Bodoni MT" w:cs="Bodoni MT"/>
          <w:color w:val="000000"/>
          <w:sz w:val="24"/>
          <w:szCs w:val="24"/>
        </w:rPr>
        <w:t>tenza dell’esercizio successivo.</w:t>
      </w:r>
    </w:p>
    <w:p w:rsidR="00CD34A0" w:rsidRPr="00CD34A0" w:rsidRDefault="000454A6" w:rsidP="000454A6">
      <w:pPr>
        <w:pStyle w:val="Didascalia"/>
        <w:rPr>
          <w:rFonts w:eastAsia="Times New Roman" w:cs="Bodoni MT"/>
          <w:color w:val="000000"/>
          <w:sz w:val="24"/>
          <w:szCs w:val="24"/>
        </w:rPr>
      </w:pPr>
      <w:bookmarkStart w:id="385" w:name="_Toc507422589"/>
      <w:r>
        <w:t xml:space="preserve">Tabella </w:t>
      </w:r>
      <w:r w:rsidR="00B90472">
        <w:fldChar w:fldCharType="begin"/>
      </w:r>
      <w:r w:rsidR="00B90472">
        <w:instrText xml:space="preserve"> SEQ Tabella \* ARABIC </w:instrText>
      </w:r>
      <w:r w:rsidR="00B90472">
        <w:fldChar w:fldCharType="separate"/>
      </w:r>
      <w:r w:rsidR="008616B3">
        <w:rPr>
          <w:noProof/>
        </w:rPr>
        <w:t>121</w:t>
      </w:r>
      <w:r w:rsidR="00B90472">
        <w:rPr>
          <w:noProof/>
        </w:rPr>
        <w:fldChar w:fldCharType="end"/>
      </w:r>
      <w:r>
        <w:t xml:space="preserve"> – Ratei e risconti attivi</w:t>
      </w:r>
      <w:bookmarkEnd w:id="385"/>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9"/>
        <w:gridCol w:w="1568"/>
        <w:gridCol w:w="1789"/>
        <w:gridCol w:w="1811"/>
        <w:gridCol w:w="1191"/>
      </w:tblGrid>
      <w:tr w:rsidR="000454A6" w:rsidRPr="000454A6" w:rsidTr="000454A6">
        <w:trPr>
          <w:trHeight w:val="259"/>
          <w:jc w:val="center"/>
        </w:trPr>
        <w:tc>
          <w:tcPr>
            <w:tcW w:w="1748"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Voci</w:t>
            </w:r>
          </w:p>
        </w:tc>
        <w:tc>
          <w:tcPr>
            <w:tcW w:w="802"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31/12/2016</w:t>
            </w:r>
          </w:p>
        </w:tc>
        <w:tc>
          <w:tcPr>
            <w:tcW w:w="915"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31/12/2015</w:t>
            </w:r>
          </w:p>
        </w:tc>
        <w:tc>
          <w:tcPr>
            <w:tcW w:w="926"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Var</w:t>
            </w:r>
          </w:p>
        </w:tc>
        <w:tc>
          <w:tcPr>
            <w:tcW w:w="609"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Var%</w:t>
            </w:r>
          </w:p>
        </w:tc>
      </w:tr>
      <w:tr w:rsidR="00CD34A0" w:rsidRPr="000454A6" w:rsidTr="000454A6">
        <w:trPr>
          <w:trHeight w:val="241"/>
          <w:jc w:val="center"/>
        </w:trPr>
        <w:tc>
          <w:tcPr>
            <w:tcW w:w="1748" w:type="pct"/>
            <w:shd w:val="clear" w:color="auto" w:fill="95B3D7" w:themeFill="accent1" w:themeFillTint="99"/>
            <w:vAlign w:val="center"/>
            <w:hideMark/>
          </w:tcPr>
          <w:p w:rsidR="00CD34A0" w:rsidRPr="000454A6" w:rsidRDefault="00CD34A0" w:rsidP="000454A6">
            <w:pPr>
              <w:spacing w:after="0" w:line="240" w:lineRule="auto"/>
              <w:rPr>
                <w:rFonts w:ascii="Bodoni MT" w:eastAsia="Times New Roman" w:hAnsi="Bodoni MT" w:cs="Times New Roman"/>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1 Ratei attivi</w:t>
            </w:r>
          </w:p>
        </w:tc>
        <w:tc>
          <w:tcPr>
            <w:tcW w:w="802" w:type="pct"/>
            <w:shd w:val="clear" w:color="auto" w:fill="FFFFFF" w:themeFill="background1"/>
            <w:noWrap/>
            <w:vAlign w:val="center"/>
            <w:hideMark/>
          </w:tcPr>
          <w:p w:rsidR="00CD34A0" w:rsidRPr="000454A6" w:rsidRDefault="00CD34A0" w:rsidP="000454A6">
            <w:pPr>
              <w:spacing w:after="0" w:line="240" w:lineRule="auto"/>
              <w:jc w:val="center"/>
              <w:rPr>
                <w:rFonts w:eastAsia="Times New Roman" w:cstheme="minorHAnsi"/>
                <w:color w:val="000000"/>
                <w:sz w:val="20"/>
                <w:szCs w:val="20"/>
                <w:lang w:eastAsia="it-IT"/>
              </w:rPr>
            </w:pPr>
          </w:p>
        </w:tc>
        <w:tc>
          <w:tcPr>
            <w:tcW w:w="915" w:type="pct"/>
            <w:shd w:val="clear" w:color="auto" w:fill="FFFFFF" w:themeFill="background1"/>
            <w:vAlign w:val="center"/>
            <w:hideMark/>
          </w:tcPr>
          <w:p w:rsidR="00CD34A0" w:rsidRPr="000454A6" w:rsidRDefault="00CD34A0" w:rsidP="000454A6">
            <w:pPr>
              <w:spacing w:after="0" w:line="240" w:lineRule="auto"/>
              <w:jc w:val="right"/>
              <w:rPr>
                <w:rFonts w:eastAsia="Times New Roman" w:cstheme="minorHAnsi"/>
                <w:color w:val="000000"/>
                <w:sz w:val="20"/>
                <w:szCs w:val="20"/>
                <w:lang w:eastAsia="it-IT"/>
              </w:rPr>
            </w:pPr>
          </w:p>
        </w:tc>
        <w:tc>
          <w:tcPr>
            <w:tcW w:w="926" w:type="pct"/>
            <w:shd w:val="clear" w:color="auto" w:fill="FFFFFF" w:themeFill="background1"/>
            <w:vAlign w:val="center"/>
          </w:tcPr>
          <w:p w:rsidR="00CD34A0" w:rsidRPr="000454A6" w:rsidRDefault="000454A6" w:rsidP="000454A6">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0</w:t>
            </w:r>
          </w:p>
        </w:tc>
        <w:tc>
          <w:tcPr>
            <w:tcW w:w="609" w:type="pct"/>
            <w:shd w:val="clear" w:color="auto" w:fill="FFFFFF" w:themeFill="background1"/>
            <w:vAlign w:val="center"/>
          </w:tcPr>
          <w:p w:rsidR="00CD34A0" w:rsidRPr="000454A6" w:rsidRDefault="000454A6" w:rsidP="000454A6">
            <w:pPr>
              <w:spacing w:after="0" w:line="240" w:lineRule="auto"/>
              <w:jc w:val="right"/>
              <w:rPr>
                <w:rFonts w:eastAsia="Times New Roman" w:cstheme="minorHAnsi"/>
                <w:color w:val="000000"/>
                <w:sz w:val="20"/>
                <w:szCs w:val="20"/>
                <w:lang w:eastAsia="it-IT"/>
              </w:rPr>
            </w:pPr>
            <w:r w:rsidRPr="000454A6">
              <w:rPr>
                <w:rFonts w:eastAsia="Times New Roman" w:cstheme="minorHAnsi"/>
                <w:color w:val="000000"/>
                <w:sz w:val="20"/>
                <w:szCs w:val="20"/>
                <w:lang w:eastAsia="it-IT"/>
              </w:rPr>
              <w:t>-</w:t>
            </w:r>
          </w:p>
        </w:tc>
      </w:tr>
      <w:tr w:rsidR="000454A6" w:rsidRPr="000454A6" w:rsidTr="000454A6">
        <w:trPr>
          <w:trHeight w:val="259"/>
          <w:jc w:val="center"/>
        </w:trPr>
        <w:tc>
          <w:tcPr>
            <w:tcW w:w="1748" w:type="pct"/>
            <w:shd w:val="clear" w:color="auto" w:fill="95B3D7" w:themeFill="accent1" w:themeFillTint="99"/>
          </w:tcPr>
          <w:p w:rsidR="000454A6" w:rsidRPr="000454A6" w:rsidRDefault="000454A6" w:rsidP="000454A6">
            <w:pPr>
              <w:spacing w:after="0" w:line="240" w:lineRule="auto"/>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color w:val="FFFFFF" w:themeColor="background1"/>
                <w:sz w:val="20"/>
                <w:szCs w:val="20"/>
                <w:lang w:eastAsia="it-IT"/>
              </w:rPr>
              <w:t>2 Risconti attivi</w:t>
            </w:r>
          </w:p>
        </w:tc>
        <w:tc>
          <w:tcPr>
            <w:tcW w:w="802" w:type="pct"/>
            <w:shd w:val="clear" w:color="auto" w:fill="FFFFFF" w:themeFill="background1"/>
            <w:noWrap/>
            <w:vAlign w:val="center"/>
          </w:tcPr>
          <w:p w:rsidR="000454A6" w:rsidRPr="000454A6" w:rsidRDefault="000454A6" w:rsidP="000454A6">
            <w:pPr>
              <w:spacing w:after="0" w:line="240" w:lineRule="auto"/>
              <w:jc w:val="right"/>
              <w:rPr>
                <w:rFonts w:eastAsia="Times New Roman" w:cstheme="minorHAnsi"/>
                <w:b/>
                <w:bCs/>
                <w:iCs/>
                <w:color w:val="000000"/>
                <w:sz w:val="20"/>
                <w:szCs w:val="20"/>
                <w:lang w:eastAsia="it-IT"/>
              </w:rPr>
            </w:pPr>
            <w:r w:rsidRPr="000454A6">
              <w:rPr>
                <w:rFonts w:eastAsia="Times New Roman" w:cstheme="minorHAnsi"/>
                <w:color w:val="000000"/>
                <w:sz w:val="20"/>
                <w:szCs w:val="20"/>
                <w:lang w:eastAsia="it-IT"/>
              </w:rPr>
              <w:t>236.614</w:t>
            </w:r>
          </w:p>
        </w:tc>
        <w:tc>
          <w:tcPr>
            <w:tcW w:w="915" w:type="pct"/>
            <w:shd w:val="clear" w:color="auto" w:fill="FFFFFF" w:themeFill="background1"/>
            <w:noWrap/>
            <w:vAlign w:val="center"/>
          </w:tcPr>
          <w:p w:rsidR="000454A6" w:rsidRPr="000454A6" w:rsidRDefault="000454A6" w:rsidP="000454A6">
            <w:pPr>
              <w:spacing w:after="0" w:line="240" w:lineRule="auto"/>
              <w:jc w:val="right"/>
              <w:rPr>
                <w:rFonts w:eastAsia="Times New Roman" w:cstheme="minorHAnsi"/>
                <w:b/>
                <w:bCs/>
                <w:iCs/>
                <w:color w:val="000000"/>
                <w:sz w:val="20"/>
                <w:szCs w:val="20"/>
                <w:lang w:eastAsia="it-IT"/>
              </w:rPr>
            </w:pPr>
          </w:p>
        </w:tc>
        <w:tc>
          <w:tcPr>
            <w:tcW w:w="926" w:type="pct"/>
            <w:shd w:val="clear" w:color="auto" w:fill="FFFFFF" w:themeFill="background1"/>
            <w:noWrap/>
            <w:vAlign w:val="center"/>
          </w:tcPr>
          <w:p w:rsidR="000454A6" w:rsidRPr="000454A6" w:rsidRDefault="000454A6" w:rsidP="000454A6">
            <w:pPr>
              <w:spacing w:after="0" w:line="240" w:lineRule="auto"/>
              <w:jc w:val="right"/>
              <w:rPr>
                <w:rFonts w:eastAsia="Times New Roman" w:cstheme="minorHAnsi"/>
                <w:color w:val="000000"/>
                <w:sz w:val="20"/>
                <w:szCs w:val="20"/>
                <w:lang w:eastAsia="it-IT"/>
              </w:rPr>
            </w:pPr>
            <w:r w:rsidRPr="000454A6">
              <w:rPr>
                <w:rFonts w:eastAsia="Times New Roman" w:cstheme="minorHAnsi"/>
                <w:sz w:val="20"/>
                <w:szCs w:val="20"/>
                <w:lang w:eastAsia="it-IT"/>
              </w:rPr>
              <w:t>236.614</w:t>
            </w:r>
          </w:p>
        </w:tc>
        <w:tc>
          <w:tcPr>
            <w:tcW w:w="609" w:type="pct"/>
            <w:shd w:val="clear" w:color="auto" w:fill="FFFFFF" w:themeFill="background1"/>
            <w:vAlign w:val="center"/>
          </w:tcPr>
          <w:p w:rsidR="000454A6" w:rsidRPr="000454A6" w:rsidRDefault="000454A6" w:rsidP="000454A6">
            <w:pPr>
              <w:spacing w:after="0" w:line="240" w:lineRule="auto"/>
              <w:jc w:val="right"/>
              <w:rPr>
                <w:rFonts w:eastAsia="Times New Roman" w:cstheme="minorHAnsi"/>
                <w:color w:val="000000"/>
                <w:sz w:val="20"/>
                <w:szCs w:val="20"/>
                <w:lang w:eastAsia="it-IT"/>
              </w:rPr>
            </w:pPr>
          </w:p>
        </w:tc>
      </w:tr>
      <w:tr w:rsidR="000454A6" w:rsidRPr="000454A6" w:rsidTr="000454A6">
        <w:trPr>
          <w:trHeight w:val="259"/>
          <w:jc w:val="center"/>
        </w:trPr>
        <w:tc>
          <w:tcPr>
            <w:tcW w:w="1748" w:type="pct"/>
            <w:shd w:val="clear" w:color="auto" w:fill="95B3D7" w:themeFill="accent1" w:themeFillTint="99"/>
            <w:hideMark/>
          </w:tcPr>
          <w:p w:rsidR="000454A6" w:rsidRPr="000454A6" w:rsidRDefault="000454A6" w:rsidP="000454A6">
            <w:pPr>
              <w:spacing w:after="0" w:line="240" w:lineRule="auto"/>
              <w:rPr>
                <w:rFonts w:ascii="Bodoni MT" w:eastAsia="Times New Roman" w:hAnsi="Bodoni MT" w:cs="Times New Roman"/>
                <w:b/>
                <w:bCs/>
                <w:iCs/>
                <w:color w:val="FFFFFF" w:themeColor="background1"/>
                <w:sz w:val="20"/>
                <w:szCs w:val="20"/>
                <w:lang w:eastAsia="it-IT"/>
              </w:rPr>
            </w:pPr>
            <w:r w:rsidRPr="000454A6">
              <w:rPr>
                <w:rFonts w:ascii="Bodoni MT" w:eastAsia="Times New Roman" w:hAnsi="Bodoni MT" w:cs="Times New Roman"/>
                <w:b/>
                <w:bCs/>
                <w:iCs/>
                <w:color w:val="FFFFFF" w:themeColor="background1"/>
                <w:sz w:val="20"/>
                <w:szCs w:val="20"/>
                <w:lang w:eastAsia="it-IT"/>
              </w:rPr>
              <w:t>D   Totale Ratei e Risconti attivi</w:t>
            </w:r>
          </w:p>
        </w:tc>
        <w:tc>
          <w:tcPr>
            <w:tcW w:w="802" w:type="pct"/>
            <w:shd w:val="clear" w:color="auto" w:fill="FFFFFF" w:themeFill="background1"/>
            <w:noWrap/>
            <w:vAlign w:val="center"/>
            <w:hideMark/>
          </w:tcPr>
          <w:p w:rsidR="000454A6" w:rsidRPr="000454A6" w:rsidRDefault="000454A6" w:rsidP="000454A6">
            <w:pPr>
              <w:spacing w:after="0" w:line="240" w:lineRule="auto"/>
              <w:jc w:val="right"/>
              <w:rPr>
                <w:rFonts w:eastAsia="Times New Roman" w:cstheme="minorHAnsi"/>
                <w:b/>
                <w:bCs/>
                <w:iCs/>
                <w:color w:val="000000"/>
                <w:sz w:val="20"/>
                <w:szCs w:val="20"/>
                <w:lang w:eastAsia="it-IT"/>
              </w:rPr>
            </w:pPr>
            <w:r w:rsidRPr="000454A6">
              <w:rPr>
                <w:rFonts w:eastAsia="Times New Roman" w:cstheme="minorHAnsi"/>
                <w:b/>
                <w:bCs/>
                <w:iCs/>
                <w:color w:val="000000"/>
                <w:sz w:val="20"/>
                <w:szCs w:val="20"/>
                <w:lang w:eastAsia="it-IT"/>
              </w:rPr>
              <w:t>236.614</w:t>
            </w:r>
          </w:p>
        </w:tc>
        <w:tc>
          <w:tcPr>
            <w:tcW w:w="915" w:type="pct"/>
            <w:shd w:val="clear" w:color="auto" w:fill="FFFFFF" w:themeFill="background1"/>
            <w:noWrap/>
            <w:vAlign w:val="center"/>
            <w:hideMark/>
          </w:tcPr>
          <w:p w:rsidR="000454A6" w:rsidRPr="000454A6" w:rsidRDefault="000454A6" w:rsidP="000454A6">
            <w:pPr>
              <w:spacing w:after="0" w:line="240" w:lineRule="auto"/>
              <w:jc w:val="right"/>
              <w:rPr>
                <w:rFonts w:eastAsia="Times New Roman" w:cstheme="minorHAnsi"/>
                <w:b/>
                <w:bCs/>
                <w:iCs/>
                <w:color w:val="000000"/>
                <w:sz w:val="20"/>
                <w:szCs w:val="20"/>
                <w:lang w:eastAsia="it-IT"/>
              </w:rPr>
            </w:pPr>
            <w:r w:rsidRPr="000454A6">
              <w:rPr>
                <w:rFonts w:eastAsia="Times New Roman" w:cstheme="minorHAnsi"/>
                <w:b/>
                <w:bCs/>
                <w:iCs/>
                <w:color w:val="000000"/>
                <w:sz w:val="20"/>
                <w:szCs w:val="20"/>
                <w:lang w:eastAsia="it-IT"/>
              </w:rPr>
              <w:t>0</w:t>
            </w:r>
          </w:p>
        </w:tc>
        <w:tc>
          <w:tcPr>
            <w:tcW w:w="926" w:type="pct"/>
            <w:shd w:val="clear" w:color="auto" w:fill="FFFFFF" w:themeFill="background1"/>
            <w:noWrap/>
            <w:vAlign w:val="center"/>
            <w:hideMark/>
          </w:tcPr>
          <w:p w:rsidR="000454A6" w:rsidRPr="000454A6" w:rsidRDefault="000454A6" w:rsidP="000454A6">
            <w:pPr>
              <w:spacing w:after="0" w:line="240" w:lineRule="auto"/>
              <w:jc w:val="right"/>
              <w:rPr>
                <w:rFonts w:eastAsia="Times New Roman" w:cstheme="minorHAnsi"/>
                <w:b/>
                <w:bCs/>
                <w:iCs/>
                <w:color w:val="000000"/>
                <w:sz w:val="20"/>
                <w:szCs w:val="20"/>
                <w:lang w:eastAsia="it-IT"/>
              </w:rPr>
            </w:pPr>
            <w:r w:rsidRPr="000454A6">
              <w:rPr>
                <w:rFonts w:eastAsia="Times New Roman" w:cstheme="minorHAnsi"/>
                <w:b/>
                <w:bCs/>
                <w:iCs/>
                <w:color w:val="000000"/>
                <w:sz w:val="20"/>
                <w:szCs w:val="20"/>
                <w:lang w:eastAsia="it-IT"/>
              </w:rPr>
              <w:t>236.614</w:t>
            </w:r>
          </w:p>
        </w:tc>
        <w:tc>
          <w:tcPr>
            <w:tcW w:w="609" w:type="pct"/>
            <w:shd w:val="clear" w:color="auto" w:fill="FFFFFF" w:themeFill="background1"/>
            <w:vAlign w:val="center"/>
            <w:hideMark/>
          </w:tcPr>
          <w:p w:rsidR="000454A6" w:rsidRPr="000454A6" w:rsidRDefault="000454A6" w:rsidP="000454A6">
            <w:pPr>
              <w:spacing w:after="0" w:line="240" w:lineRule="auto"/>
              <w:jc w:val="right"/>
              <w:rPr>
                <w:rFonts w:eastAsia="Times New Roman" w:cstheme="minorHAnsi"/>
                <w:b/>
                <w:bCs/>
                <w:iCs/>
                <w:sz w:val="20"/>
                <w:szCs w:val="20"/>
                <w:lang w:eastAsia="it-IT"/>
              </w:rPr>
            </w:pPr>
            <w:r w:rsidRPr="000454A6">
              <w:rPr>
                <w:rFonts w:eastAsia="Times New Roman" w:cstheme="minorHAnsi"/>
                <w:b/>
                <w:bCs/>
                <w:iCs/>
                <w:sz w:val="20"/>
                <w:szCs w:val="20"/>
                <w:lang w:eastAsia="it-IT"/>
              </w:rPr>
              <w:t>-</w:t>
            </w:r>
          </w:p>
        </w:tc>
      </w:tr>
    </w:tbl>
    <w:p w:rsidR="00CD34A0" w:rsidRPr="000454A6"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0454A6">
        <w:rPr>
          <w:rFonts w:ascii="Bodoni MT" w:eastAsia="Times New Roman" w:hAnsi="Bodoni MT" w:cs="Bodoni MT"/>
          <w:color w:val="000000"/>
          <w:sz w:val="18"/>
          <w:szCs w:val="18"/>
        </w:rPr>
        <w:t>Fonte RAS Rendiconto sulla gestione 2016 – Allegato 3.3</w:t>
      </w:r>
    </w:p>
    <w:p w:rsidR="00CD34A0" w:rsidRPr="00CD34A0" w:rsidRDefault="00C3327F" w:rsidP="001A775F">
      <w:pPr>
        <w:pStyle w:val="Titolo3"/>
        <w:tabs>
          <w:tab w:val="left" w:pos="1134"/>
        </w:tabs>
        <w:ind w:left="851" w:hanging="851"/>
        <w:rPr>
          <w:rFonts w:eastAsia="Times New Roman"/>
        </w:rPr>
      </w:pPr>
      <w:bookmarkStart w:id="386" w:name="_Toc507422700"/>
      <w:r>
        <w:rPr>
          <w:rFonts w:eastAsia="Times New Roman"/>
        </w:rPr>
        <w:t xml:space="preserve">Gli elementi patrimoniali del </w:t>
      </w:r>
      <w:r w:rsidRPr="00CD34A0">
        <w:rPr>
          <w:rFonts w:eastAsia="Times New Roman"/>
        </w:rPr>
        <w:t>passivo</w:t>
      </w:r>
      <w:bookmarkEnd w:id="386"/>
    </w:p>
    <w:p w:rsidR="00CD34A0" w:rsidRPr="00CD34A0" w:rsidRDefault="004469B5" w:rsidP="007D10C5">
      <w:pPr>
        <w:numPr>
          <w:ilvl w:val="0"/>
          <w:numId w:val="16"/>
        </w:numPr>
        <w:tabs>
          <w:tab w:val="left" w:pos="284"/>
          <w:tab w:val="left" w:pos="426"/>
        </w:tabs>
        <w:autoSpaceDE w:val="0"/>
        <w:autoSpaceDN w:val="0"/>
        <w:adjustRightInd w:val="0"/>
        <w:spacing w:after="120" w:line="360" w:lineRule="auto"/>
        <w:ind w:left="0" w:firstLine="0"/>
        <w:contextualSpacing/>
        <w:jc w:val="both"/>
        <w:textAlignment w:val="center"/>
        <w:rPr>
          <w:rFonts w:ascii="Bodoni MT" w:eastAsia="Times New Roman" w:hAnsi="Bodoni MT" w:cs="Bodoni MT"/>
          <w:b/>
          <w:color w:val="000000"/>
          <w:sz w:val="24"/>
          <w:szCs w:val="24"/>
        </w:rPr>
      </w:pPr>
      <w:r>
        <w:rPr>
          <w:rFonts w:ascii="Bodoni MT" w:eastAsia="Times New Roman" w:hAnsi="Bodoni MT" w:cs="Bodoni MT"/>
          <w:b/>
          <w:color w:val="000000"/>
          <w:sz w:val="24"/>
          <w:szCs w:val="24"/>
        </w:rPr>
        <w:t>Il Patrimonio netto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Il Patrimonio netto si compone come segue:</w:t>
      </w:r>
    </w:p>
    <w:p w:rsidR="00CD34A0" w:rsidRPr="00CD34A0" w:rsidRDefault="00CD34A0" w:rsidP="007D10C5">
      <w:pPr>
        <w:numPr>
          <w:ilvl w:val="0"/>
          <w:numId w:val="17"/>
        </w:numPr>
        <w:tabs>
          <w:tab w:val="left" w:pos="284"/>
          <w:tab w:val="left" w:pos="426"/>
        </w:tabs>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
          <w:iCs/>
          <w:color w:val="000000"/>
          <w:sz w:val="24"/>
          <w:szCs w:val="24"/>
        </w:rPr>
        <w:t>Fondo di dotazione</w:t>
      </w:r>
      <w:r w:rsidRPr="00CD34A0">
        <w:rPr>
          <w:rFonts w:ascii="Bodoni MT" w:eastAsia="Times New Roman" w:hAnsi="Bodoni MT" w:cs="Bodoni MT"/>
          <w:color w:val="000000"/>
          <w:sz w:val="24"/>
          <w:szCs w:val="24"/>
        </w:rPr>
        <w:t xml:space="preserve">. Il </w:t>
      </w:r>
      <w:r w:rsidRPr="00CD34A0">
        <w:rPr>
          <w:rFonts w:ascii="Bodoni MT" w:eastAsia="Times New Roman" w:hAnsi="Bodoni MT" w:cs="Bodoni MT"/>
          <w:i/>
          <w:iCs/>
          <w:color w:val="000000"/>
          <w:sz w:val="24"/>
          <w:szCs w:val="24"/>
        </w:rPr>
        <w:t xml:space="preserve">Fondo di dotazione iniziale </w:t>
      </w:r>
      <w:r w:rsidRPr="00CD34A0">
        <w:rPr>
          <w:rFonts w:ascii="Bodoni MT" w:eastAsia="Times New Roman" w:hAnsi="Bodoni MT" w:cs="Bodoni MT"/>
          <w:color w:val="000000"/>
          <w:sz w:val="24"/>
          <w:szCs w:val="24"/>
        </w:rPr>
        <w:t>è stato calcolato come differenza tra il totale dell’attivo e del pass</w:t>
      </w:r>
      <w:r w:rsidR="00184B93">
        <w:rPr>
          <w:rFonts w:ascii="Bodoni MT" w:eastAsia="Times New Roman" w:hAnsi="Bodoni MT" w:cs="Bodoni MT"/>
          <w:color w:val="000000"/>
          <w:sz w:val="24"/>
          <w:szCs w:val="24"/>
        </w:rPr>
        <w:t>ivo dello stato patrimoniale all’0</w:t>
      </w:r>
      <w:r w:rsidRPr="00CD34A0">
        <w:rPr>
          <w:rFonts w:ascii="Bodoni MT" w:eastAsia="Times New Roman" w:hAnsi="Bodoni MT" w:cs="Bodoni MT"/>
          <w:color w:val="000000"/>
          <w:sz w:val="24"/>
          <w:szCs w:val="24"/>
        </w:rPr>
        <w:t>1.</w:t>
      </w:r>
      <w:r w:rsidR="00184B93">
        <w:rPr>
          <w:rFonts w:ascii="Bodoni MT" w:eastAsia="Times New Roman" w:hAnsi="Bodoni MT" w:cs="Bodoni MT"/>
          <w:color w:val="000000"/>
          <w:sz w:val="24"/>
          <w:szCs w:val="24"/>
        </w:rPr>
        <w:t>0</w:t>
      </w:r>
      <w:r w:rsidRPr="00CD34A0">
        <w:rPr>
          <w:rFonts w:ascii="Bodoni MT" w:eastAsia="Times New Roman" w:hAnsi="Bodoni MT" w:cs="Bodoni MT"/>
          <w:color w:val="000000"/>
          <w:sz w:val="24"/>
          <w:szCs w:val="24"/>
        </w:rPr>
        <w:t xml:space="preserve">1.2016. In </w:t>
      </w:r>
      <w:r w:rsidR="00A956C8" w:rsidRPr="00CD34A0">
        <w:rPr>
          <w:rFonts w:ascii="Bodoni MT" w:eastAsia="Times New Roman" w:hAnsi="Bodoni MT" w:cs="Bodoni MT"/>
          <w:color w:val="000000"/>
          <w:sz w:val="24"/>
          <w:szCs w:val="24"/>
        </w:rPr>
        <w:t xml:space="preserve">Nota </w:t>
      </w:r>
      <w:r w:rsidRPr="00CD34A0">
        <w:rPr>
          <w:rFonts w:ascii="Bodoni MT" w:eastAsia="Times New Roman" w:hAnsi="Bodoni MT" w:cs="Bodoni MT"/>
          <w:color w:val="000000"/>
          <w:sz w:val="24"/>
          <w:szCs w:val="24"/>
        </w:rPr>
        <w:t xml:space="preserve">integrativa si dichiara che </w:t>
      </w:r>
      <w:r w:rsidR="000454A6">
        <w:rPr>
          <w:rFonts w:ascii="Bodoni MT" w:eastAsia="Times New Roman" w:hAnsi="Bodoni MT" w:cs="Bodoni MT"/>
          <w:color w:val="000000"/>
          <w:sz w:val="24"/>
          <w:szCs w:val="24"/>
        </w:rPr>
        <w:t>il fondo</w:t>
      </w:r>
      <w:r w:rsidRPr="00CD34A0">
        <w:rPr>
          <w:rFonts w:ascii="Bodoni MT" w:eastAsia="Times New Roman" w:hAnsi="Bodoni MT" w:cs="Bodoni MT"/>
          <w:color w:val="000000"/>
          <w:sz w:val="24"/>
          <w:szCs w:val="24"/>
        </w:rPr>
        <w:t xml:space="preserve"> </w:t>
      </w:r>
      <w:r w:rsidRPr="00CD34A0">
        <w:rPr>
          <w:rFonts w:ascii="Bodoni MT" w:eastAsia="Times New Roman" w:hAnsi="Bodoni MT" w:cs="Bodoni MT"/>
          <w:i/>
          <w:color w:val="000000"/>
          <w:sz w:val="24"/>
          <w:szCs w:val="24"/>
        </w:rPr>
        <w:t>“potrà essere rettificato per consentire il recepimento delle migliori stime e valutazioni che verranno svolte, nonché per considerare eventuali ulteriori elementi patrimoniali già in essere, che al momento sono ancora in sede di determinazione”</w:t>
      </w:r>
      <w:r w:rsidRPr="00CD34A0">
        <w:rPr>
          <w:rFonts w:ascii="Bodoni MT" w:eastAsia="Times New Roman" w:hAnsi="Bodoni MT" w:cs="Bodoni MT"/>
          <w:color w:val="000000"/>
          <w:sz w:val="24"/>
          <w:szCs w:val="24"/>
        </w:rPr>
        <w:t>. Secondo le risultanze della ricostr</w:t>
      </w:r>
      <w:r w:rsidR="000454A6">
        <w:rPr>
          <w:rFonts w:ascii="Bodoni MT" w:eastAsia="Times New Roman" w:hAnsi="Bodoni MT" w:cs="Bodoni MT"/>
          <w:color w:val="000000"/>
          <w:sz w:val="24"/>
          <w:szCs w:val="24"/>
        </w:rPr>
        <w:t>uzione patrimoniale effettuata, il fondo (i</w:t>
      </w:r>
      <w:r w:rsidRPr="00CD34A0">
        <w:rPr>
          <w:rFonts w:ascii="Bodoni MT" w:eastAsia="Times New Roman" w:hAnsi="Bodoni MT" w:cs="Bodoni MT"/>
          <w:color w:val="000000"/>
          <w:sz w:val="24"/>
          <w:szCs w:val="24"/>
        </w:rPr>
        <w:t>nizialmente calcolato come differenza tra il totale dell’at</w:t>
      </w:r>
      <w:r w:rsidR="002C53FB">
        <w:rPr>
          <w:rFonts w:ascii="Bodoni MT" w:eastAsia="Times New Roman" w:hAnsi="Bodoni MT" w:cs="Bodoni MT"/>
          <w:color w:val="000000"/>
          <w:sz w:val="24"/>
          <w:szCs w:val="24"/>
        </w:rPr>
        <w:t>tivo e del passivo dello SP</w:t>
      </w:r>
      <w:r w:rsidR="00184B93">
        <w:rPr>
          <w:rFonts w:ascii="Bodoni MT" w:eastAsia="Times New Roman" w:hAnsi="Bodoni MT" w:cs="Bodoni MT"/>
          <w:color w:val="000000"/>
          <w:sz w:val="24"/>
          <w:szCs w:val="24"/>
        </w:rPr>
        <w:t xml:space="preserve"> all’0</w:t>
      </w:r>
      <w:r w:rsidRPr="00CD34A0">
        <w:rPr>
          <w:rFonts w:ascii="Bodoni MT" w:eastAsia="Times New Roman" w:hAnsi="Bodoni MT" w:cs="Bodoni MT"/>
          <w:color w:val="000000"/>
          <w:sz w:val="24"/>
          <w:szCs w:val="24"/>
        </w:rPr>
        <w:t>1/</w:t>
      </w:r>
      <w:r w:rsidR="00184B93">
        <w:rPr>
          <w:rFonts w:ascii="Bodoni MT" w:eastAsia="Times New Roman" w:hAnsi="Bodoni MT" w:cs="Bodoni MT"/>
          <w:color w:val="000000"/>
          <w:sz w:val="24"/>
          <w:szCs w:val="24"/>
        </w:rPr>
        <w:t>0</w:t>
      </w:r>
      <w:r w:rsidRPr="00CD34A0">
        <w:rPr>
          <w:rFonts w:ascii="Bodoni MT" w:eastAsia="Times New Roman" w:hAnsi="Bodoni MT" w:cs="Bodoni MT"/>
          <w:color w:val="000000"/>
          <w:sz w:val="24"/>
          <w:szCs w:val="24"/>
        </w:rPr>
        <w:t>1/2016) è stato movimentato in corso d’esercizio principalmente a seguito della cancellazione d</w:t>
      </w:r>
      <w:r w:rsidR="00184B93">
        <w:rPr>
          <w:rFonts w:ascii="Bodoni MT" w:eastAsia="Times New Roman" w:hAnsi="Bodoni MT" w:cs="Bodoni MT"/>
          <w:color w:val="000000"/>
          <w:sz w:val="24"/>
          <w:szCs w:val="24"/>
        </w:rPr>
        <w:t>i residui perenti iscritti all’0</w:t>
      </w:r>
      <w:r w:rsidRPr="00CD34A0">
        <w:rPr>
          <w:rFonts w:ascii="Bodoni MT" w:eastAsia="Times New Roman" w:hAnsi="Bodoni MT" w:cs="Bodoni MT"/>
          <w:color w:val="000000"/>
          <w:sz w:val="24"/>
          <w:szCs w:val="24"/>
        </w:rPr>
        <w:t>1/</w:t>
      </w:r>
      <w:r w:rsidR="00184B93">
        <w:rPr>
          <w:rFonts w:ascii="Bodoni MT" w:eastAsia="Times New Roman" w:hAnsi="Bodoni MT" w:cs="Bodoni MT"/>
          <w:color w:val="000000"/>
          <w:sz w:val="24"/>
          <w:szCs w:val="24"/>
        </w:rPr>
        <w:t>0</w:t>
      </w:r>
      <w:r w:rsidRPr="00CD34A0">
        <w:rPr>
          <w:rFonts w:ascii="Bodoni MT" w:eastAsia="Times New Roman" w:hAnsi="Bodoni MT" w:cs="Bodoni MT"/>
          <w:color w:val="000000"/>
          <w:sz w:val="24"/>
          <w:szCs w:val="24"/>
        </w:rPr>
        <w:t>1/2016 nonché per rettifiche connesse all’adeguamento/ins</w:t>
      </w:r>
      <w:r w:rsidR="000454A6">
        <w:rPr>
          <w:rFonts w:ascii="Bodoni MT" w:eastAsia="Times New Roman" w:hAnsi="Bodoni MT" w:cs="Bodoni MT"/>
          <w:color w:val="000000"/>
          <w:sz w:val="24"/>
          <w:szCs w:val="24"/>
        </w:rPr>
        <w:t>erimento del volume dei crediti</w:t>
      </w:r>
      <w:r w:rsidRPr="00CD34A0">
        <w:rPr>
          <w:rFonts w:ascii="Bodoni MT" w:eastAsia="Times New Roman" w:hAnsi="Bodoni MT" w:cs="Bodoni MT"/>
          <w:color w:val="000000"/>
          <w:sz w:val="24"/>
          <w:szCs w:val="24"/>
        </w:rPr>
        <w:t>.</w:t>
      </w:r>
    </w:p>
    <w:p w:rsidR="00CD34A0" w:rsidRPr="00CD34A0" w:rsidRDefault="00CD34A0" w:rsidP="007D10C5">
      <w:pPr>
        <w:numPr>
          <w:ilvl w:val="0"/>
          <w:numId w:val="17"/>
        </w:numPr>
        <w:tabs>
          <w:tab w:val="left" w:pos="284"/>
          <w:tab w:val="left" w:pos="426"/>
        </w:tabs>
        <w:autoSpaceDE w:val="0"/>
        <w:autoSpaceDN w:val="0"/>
        <w:adjustRightInd w:val="0"/>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
          <w:color w:val="000000"/>
          <w:sz w:val="24"/>
          <w:szCs w:val="24"/>
        </w:rPr>
        <w:t>Risultato economico dell’esercizio</w:t>
      </w:r>
      <w:r w:rsidRPr="00CD34A0">
        <w:rPr>
          <w:rFonts w:ascii="Bodoni MT" w:eastAsia="Times New Roman" w:hAnsi="Bodoni MT" w:cs="Bodoni MT"/>
          <w:color w:val="000000"/>
          <w:sz w:val="24"/>
          <w:szCs w:val="24"/>
        </w:rPr>
        <w:t>.</w:t>
      </w:r>
    </w:p>
    <w:p w:rsidR="00CD34A0" w:rsidRPr="00CD34A0" w:rsidRDefault="00CD34A0" w:rsidP="007D10C5">
      <w:pPr>
        <w:numPr>
          <w:ilvl w:val="0"/>
          <w:numId w:val="17"/>
        </w:numPr>
        <w:tabs>
          <w:tab w:val="left" w:pos="284"/>
          <w:tab w:val="left" w:pos="426"/>
        </w:tabs>
        <w:autoSpaceDE w:val="0"/>
        <w:autoSpaceDN w:val="0"/>
        <w:adjustRightInd w:val="0"/>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i/>
          <w:iCs/>
          <w:color w:val="000000"/>
          <w:sz w:val="24"/>
          <w:szCs w:val="24"/>
        </w:rPr>
        <w:lastRenderedPageBreak/>
        <w:t>Altre riserve</w:t>
      </w:r>
      <w:r w:rsidRPr="00CD34A0">
        <w:rPr>
          <w:rFonts w:ascii="Bodoni MT" w:eastAsia="Times New Roman" w:hAnsi="Bodoni MT" w:cs="Bodoni MT"/>
          <w:b/>
          <w:i/>
          <w:iCs/>
          <w:color w:val="000000"/>
          <w:sz w:val="24"/>
          <w:szCs w:val="24"/>
          <w:vertAlign w:val="superscript"/>
        </w:rPr>
        <w:footnoteReference w:id="226"/>
      </w:r>
      <w:r w:rsidRPr="00CD34A0">
        <w:rPr>
          <w:rFonts w:ascii="Bodoni MT" w:eastAsia="Times New Roman" w:hAnsi="Bodoni MT" w:cs="Bodoni MT"/>
          <w:i/>
          <w:iCs/>
          <w:color w:val="000000"/>
          <w:sz w:val="24"/>
          <w:szCs w:val="24"/>
        </w:rPr>
        <w:t xml:space="preserve">. </w:t>
      </w:r>
      <w:r w:rsidRPr="00CD34A0">
        <w:rPr>
          <w:rFonts w:ascii="Bodoni MT" w:eastAsia="Times New Roman" w:hAnsi="Bodoni MT" w:cs="Bodoni MT"/>
          <w:iCs/>
          <w:color w:val="000000"/>
          <w:sz w:val="24"/>
          <w:szCs w:val="24"/>
        </w:rPr>
        <w:t xml:space="preserve">La Regione ha ritenuto di </w:t>
      </w:r>
      <w:r w:rsidRPr="00CD34A0">
        <w:rPr>
          <w:rFonts w:ascii="Bodoni MT" w:eastAsia="Times New Roman" w:hAnsi="Bodoni MT" w:cs="Bodoni MT"/>
          <w:color w:val="000000"/>
          <w:sz w:val="24"/>
          <w:szCs w:val="24"/>
        </w:rPr>
        <w:t xml:space="preserve">inserire la nuova voce </w:t>
      </w:r>
      <w:r w:rsidRPr="00CD34A0">
        <w:rPr>
          <w:rFonts w:ascii="Bodoni MT" w:eastAsia="Times New Roman" w:hAnsi="Bodoni MT" w:cs="Bodoni MT"/>
          <w:i/>
          <w:iCs/>
          <w:color w:val="000000"/>
          <w:sz w:val="24"/>
          <w:szCs w:val="24"/>
        </w:rPr>
        <w:t xml:space="preserve">Altre riserve, </w:t>
      </w:r>
      <w:r w:rsidRPr="00CD34A0">
        <w:rPr>
          <w:rFonts w:ascii="Bodoni MT" w:eastAsia="Times New Roman" w:hAnsi="Bodoni MT" w:cs="Bodoni MT"/>
          <w:color w:val="000000"/>
          <w:sz w:val="24"/>
          <w:szCs w:val="24"/>
        </w:rPr>
        <w:t xml:space="preserve">in armonia con le classificazioni del piano dei conti patrimoniale - secondo quanto previsto dal punto 6.1.3 del </w:t>
      </w:r>
      <w:r w:rsidRPr="00CD34A0">
        <w:rPr>
          <w:rFonts w:ascii="Bodoni MT" w:eastAsia="Times New Roman" w:hAnsi="Bodoni MT" w:cs="Bodoni MT"/>
          <w:i/>
          <w:iCs/>
          <w:color w:val="000000"/>
          <w:sz w:val="24"/>
          <w:szCs w:val="24"/>
        </w:rPr>
        <w:t xml:space="preserve">Principio contabile applicato 4/3 </w:t>
      </w:r>
      <w:r w:rsidRPr="00CD34A0">
        <w:rPr>
          <w:rFonts w:ascii="Bodoni MT" w:eastAsia="Times New Roman" w:hAnsi="Bodoni MT" w:cs="Bodoni MT"/>
          <w:color w:val="000000"/>
          <w:sz w:val="24"/>
          <w:szCs w:val="24"/>
        </w:rPr>
        <w:t>per le immobilizzazioni finanziarie – iscrivendo l’incremento di valore delle partecipazioni societarie derivante da utili d’esercizio.</w:t>
      </w:r>
    </w:p>
    <w:p w:rsidR="00CD34A0" w:rsidRPr="00CD34A0" w:rsidRDefault="000454A6" w:rsidP="000454A6">
      <w:pPr>
        <w:pStyle w:val="Didascalia"/>
        <w:rPr>
          <w:rFonts w:eastAsia="Times New Roman" w:cs="Bodoni MT"/>
          <w:color w:val="000000"/>
          <w:sz w:val="24"/>
          <w:szCs w:val="24"/>
          <w:highlight w:val="yellow"/>
        </w:rPr>
      </w:pPr>
      <w:bookmarkStart w:id="387" w:name="_Toc507422590"/>
      <w:r>
        <w:t xml:space="preserve">Tabella </w:t>
      </w:r>
      <w:r w:rsidR="00B90472">
        <w:fldChar w:fldCharType="begin"/>
      </w:r>
      <w:r w:rsidR="00B90472">
        <w:instrText xml:space="preserve"> SEQ Tabella \* ARABIC </w:instrText>
      </w:r>
      <w:r w:rsidR="00B90472">
        <w:fldChar w:fldCharType="separate"/>
      </w:r>
      <w:r w:rsidR="008616B3">
        <w:rPr>
          <w:noProof/>
        </w:rPr>
        <w:t>122</w:t>
      </w:r>
      <w:r w:rsidR="00B90472">
        <w:rPr>
          <w:noProof/>
        </w:rPr>
        <w:fldChar w:fldCharType="end"/>
      </w:r>
      <w:r>
        <w:t xml:space="preserve"> – Patrimonio netto</w:t>
      </w:r>
      <w:bookmarkEnd w:id="3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3"/>
        <w:gridCol w:w="1513"/>
        <w:gridCol w:w="1512"/>
        <w:gridCol w:w="1408"/>
        <w:gridCol w:w="952"/>
      </w:tblGrid>
      <w:tr w:rsidR="000454A6" w:rsidRPr="000454A6" w:rsidTr="000454A6">
        <w:trPr>
          <w:trHeight w:val="259"/>
          <w:jc w:val="center"/>
        </w:trPr>
        <w:tc>
          <w:tcPr>
            <w:tcW w:w="2246"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Arial"/>
                <w:b/>
                <w:bCs/>
                <w:iCs/>
                <w:color w:val="FFFFFF" w:themeColor="background1"/>
                <w:sz w:val="20"/>
                <w:szCs w:val="20"/>
                <w:lang w:eastAsia="it-IT"/>
              </w:rPr>
            </w:pPr>
            <w:r w:rsidRPr="000454A6">
              <w:rPr>
                <w:rFonts w:ascii="Bodoni MT" w:eastAsia="Times New Roman" w:hAnsi="Bodoni MT" w:cs="Arial"/>
                <w:b/>
                <w:bCs/>
                <w:iCs/>
                <w:color w:val="FFFFFF" w:themeColor="background1"/>
                <w:sz w:val="20"/>
                <w:szCs w:val="20"/>
                <w:lang w:eastAsia="it-IT"/>
              </w:rPr>
              <w:t>Voci</w:t>
            </w:r>
          </w:p>
        </w:tc>
        <w:tc>
          <w:tcPr>
            <w:tcW w:w="773"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Arial"/>
                <w:b/>
                <w:bCs/>
                <w:iCs/>
                <w:color w:val="FFFFFF" w:themeColor="background1"/>
                <w:sz w:val="20"/>
                <w:szCs w:val="20"/>
                <w:lang w:eastAsia="it-IT"/>
              </w:rPr>
            </w:pPr>
            <w:r w:rsidRPr="000454A6">
              <w:rPr>
                <w:rFonts w:ascii="Bodoni MT" w:eastAsia="Times New Roman" w:hAnsi="Bodoni MT" w:cs="Arial"/>
                <w:b/>
                <w:bCs/>
                <w:iCs/>
                <w:color w:val="FFFFFF" w:themeColor="background1"/>
                <w:sz w:val="20"/>
                <w:szCs w:val="20"/>
                <w:lang w:eastAsia="it-IT"/>
              </w:rPr>
              <w:t>31/12/2016</w:t>
            </w:r>
          </w:p>
        </w:tc>
        <w:tc>
          <w:tcPr>
            <w:tcW w:w="773" w:type="pct"/>
            <w:shd w:val="clear" w:color="auto" w:fill="0F243E" w:themeFill="text2" w:themeFillShade="80"/>
            <w:noWrap/>
            <w:vAlign w:val="center"/>
            <w:hideMark/>
          </w:tcPr>
          <w:p w:rsidR="00CD34A0" w:rsidRPr="000454A6" w:rsidRDefault="00CD34A0" w:rsidP="000454A6">
            <w:pPr>
              <w:spacing w:after="0" w:line="240" w:lineRule="auto"/>
              <w:jc w:val="center"/>
              <w:rPr>
                <w:rFonts w:ascii="Bodoni MT" w:eastAsia="Times New Roman" w:hAnsi="Bodoni MT" w:cs="Arial"/>
                <w:b/>
                <w:bCs/>
                <w:iCs/>
                <w:color w:val="FFFFFF" w:themeColor="background1"/>
                <w:sz w:val="20"/>
                <w:szCs w:val="20"/>
                <w:lang w:eastAsia="it-IT"/>
              </w:rPr>
            </w:pPr>
            <w:r w:rsidRPr="000454A6">
              <w:rPr>
                <w:rFonts w:ascii="Bodoni MT" w:eastAsia="Times New Roman" w:hAnsi="Bodoni MT" w:cs="Arial"/>
                <w:b/>
                <w:bCs/>
                <w:iCs/>
                <w:color w:val="FFFFFF" w:themeColor="background1"/>
                <w:sz w:val="20"/>
                <w:szCs w:val="20"/>
                <w:lang w:eastAsia="it-IT"/>
              </w:rPr>
              <w:t>31/12/2015</w:t>
            </w:r>
          </w:p>
        </w:tc>
        <w:tc>
          <w:tcPr>
            <w:tcW w:w="720"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Arial"/>
                <w:b/>
                <w:bCs/>
                <w:iCs/>
                <w:color w:val="FFFFFF" w:themeColor="background1"/>
                <w:sz w:val="20"/>
                <w:szCs w:val="20"/>
                <w:lang w:eastAsia="it-IT"/>
              </w:rPr>
            </w:pPr>
            <w:r w:rsidRPr="000454A6">
              <w:rPr>
                <w:rFonts w:ascii="Bodoni MT" w:eastAsia="Times New Roman" w:hAnsi="Bodoni MT" w:cs="Arial"/>
                <w:b/>
                <w:bCs/>
                <w:iCs/>
                <w:color w:val="FFFFFF" w:themeColor="background1"/>
                <w:sz w:val="20"/>
                <w:szCs w:val="20"/>
                <w:lang w:eastAsia="it-IT"/>
              </w:rPr>
              <w:t>Var</w:t>
            </w:r>
          </w:p>
        </w:tc>
        <w:tc>
          <w:tcPr>
            <w:tcW w:w="487" w:type="pct"/>
            <w:shd w:val="clear" w:color="auto" w:fill="0F243E" w:themeFill="text2" w:themeFillShade="80"/>
            <w:vAlign w:val="center"/>
            <w:hideMark/>
          </w:tcPr>
          <w:p w:rsidR="00CD34A0" w:rsidRPr="000454A6" w:rsidRDefault="00CD34A0" w:rsidP="000454A6">
            <w:pPr>
              <w:spacing w:after="0" w:line="240" w:lineRule="auto"/>
              <w:jc w:val="center"/>
              <w:rPr>
                <w:rFonts w:ascii="Bodoni MT" w:eastAsia="Times New Roman" w:hAnsi="Bodoni MT" w:cs="Arial"/>
                <w:b/>
                <w:bCs/>
                <w:iCs/>
                <w:color w:val="FFFFFF" w:themeColor="background1"/>
                <w:sz w:val="20"/>
                <w:szCs w:val="20"/>
                <w:lang w:eastAsia="it-IT"/>
              </w:rPr>
            </w:pPr>
            <w:r w:rsidRPr="000454A6">
              <w:rPr>
                <w:rFonts w:ascii="Bodoni MT" w:eastAsia="Times New Roman" w:hAnsi="Bodoni MT" w:cs="Arial"/>
                <w:b/>
                <w:bCs/>
                <w:iCs/>
                <w:color w:val="FFFFFF" w:themeColor="background1"/>
                <w:sz w:val="20"/>
                <w:szCs w:val="20"/>
                <w:lang w:eastAsia="it-IT"/>
              </w:rPr>
              <w:t>Var%</w:t>
            </w:r>
          </w:p>
        </w:tc>
      </w:tr>
      <w:tr w:rsidR="00CD34A0" w:rsidRPr="000454A6" w:rsidTr="00FE2BA1">
        <w:trPr>
          <w:trHeight w:val="240"/>
          <w:jc w:val="center"/>
        </w:trPr>
        <w:tc>
          <w:tcPr>
            <w:tcW w:w="2246"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Arial"/>
                <w:color w:val="FFFFFF" w:themeColor="background1"/>
                <w:sz w:val="20"/>
                <w:szCs w:val="20"/>
                <w:lang w:eastAsia="it-IT"/>
              </w:rPr>
            </w:pPr>
            <w:r w:rsidRPr="00FE2BA1">
              <w:rPr>
                <w:rFonts w:ascii="Bodoni MT" w:eastAsia="Times New Roman" w:hAnsi="Bodoni MT" w:cs="Arial"/>
                <w:color w:val="FFFFFF" w:themeColor="background1"/>
                <w:sz w:val="20"/>
                <w:szCs w:val="20"/>
                <w:lang w:eastAsia="it-IT"/>
              </w:rPr>
              <w:t>I   Fondo di dotazione</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204.377.720</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-15.945.678</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220.323.398</w:t>
            </w:r>
          </w:p>
        </w:tc>
        <w:tc>
          <w:tcPr>
            <w:tcW w:w="487"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-1382%</w:t>
            </w:r>
          </w:p>
        </w:tc>
      </w:tr>
      <w:tr w:rsidR="00CD34A0" w:rsidRPr="000454A6" w:rsidTr="00FE2BA1">
        <w:trPr>
          <w:trHeight w:val="222"/>
          <w:jc w:val="center"/>
        </w:trPr>
        <w:tc>
          <w:tcPr>
            <w:tcW w:w="2246"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Arial"/>
                <w:color w:val="FFFFFF" w:themeColor="background1"/>
                <w:sz w:val="20"/>
                <w:szCs w:val="20"/>
                <w:lang w:eastAsia="it-IT"/>
              </w:rPr>
            </w:pPr>
            <w:r w:rsidRPr="00FE2BA1">
              <w:rPr>
                <w:rFonts w:ascii="Bodoni MT" w:eastAsia="Times New Roman" w:hAnsi="Bodoni MT" w:cs="Arial"/>
                <w:color w:val="FFFFFF" w:themeColor="background1"/>
                <w:sz w:val="20"/>
                <w:szCs w:val="20"/>
                <w:lang w:eastAsia="it-IT"/>
              </w:rPr>
              <w:t>II   Riserve</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8.958.185</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8.958.185</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sz w:val="18"/>
                <w:szCs w:val="18"/>
                <w:lang w:eastAsia="it-IT"/>
              </w:rPr>
            </w:pPr>
            <w:r w:rsidRPr="00184B93">
              <w:rPr>
                <w:rFonts w:eastAsia="Times New Roman" w:cstheme="minorHAnsi"/>
                <w:sz w:val="18"/>
                <w:szCs w:val="18"/>
                <w:lang w:eastAsia="it-IT"/>
              </w:rPr>
              <w:t>-</w:t>
            </w:r>
          </w:p>
        </w:tc>
      </w:tr>
      <w:tr w:rsidR="00CD34A0" w:rsidRPr="000454A6" w:rsidTr="00FE2BA1">
        <w:trPr>
          <w:trHeight w:val="222"/>
          <w:jc w:val="center"/>
        </w:trPr>
        <w:tc>
          <w:tcPr>
            <w:tcW w:w="2246" w:type="pct"/>
            <w:shd w:val="clear" w:color="auto" w:fill="95B3D7" w:themeFill="accent1" w:themeFillTint="99"/>
            <w:hideMark/>
          </w:tcPr>
          <w:p w:rsidR="00CD34A0" w:rsidRPr="00FE2BA1" w:rsidRDefault="000454A6" w:rsidP="00CD34A0">
            <w:pPr>
              <w:spacing w:after="0" w:line="240" w:lineRule="auto"/>
              <w:rPr>
                <w:rFonts w:ascii="Bodoni MT" w:eastAsia="Times New Roman" w:hAnsi="Bodoni MT" w:cs="Arial"/>
                <w:iCs/>
                <w:color w:val="FFFFFF" w:themeColor="background1"/>
                <w:sz w:val="20"/>
                <w:szCs w:val="20"/>
                <w:lang w:eastAsia="it-IT"/>
              </w:rPr>
            </w:pPr>
            <w:r w:rsidRPr="00FE2BA1">
              <w:rPr>
                <w:rFonts w:ascii="Bodoni MT" w:eastAsia="Times New Roman" w:hAnsi="Bodoni MT" w:cs="Arial"/>
                <w:iCs/>
                <w:color w:val="FFFFFF" w:themeColor="background1"/>
                <w:sz w:val="20"/>
                <w:szCs w:val="20"/>
                <w:lang w:eastAsia="it-IT"/>
              </w:rPr>
              <w:t>a)</w:t>
            </w:r>
            <w:r w:rsidR="00CD34A0" w:rsidRPr="00FE2BA1">
              <w:rPr>
                <w:rFonts w:ascii="Bodoni MT" w:eastAsia="Times New Roman" w:hAnsi="Bodoni MT" w:cs="Arial"/>
                <w:iCs/>
                <w:color w:val="FFFFFF" w:themeColor="background1"/>
                <w:sz w:val="20"/>
                <w:szCs w:val="20"/>
                <w:lang w:eastAsia="it-IT"/>
              </w:rPr>
              <w:t xml:space="preserve"> da risultato economico es.precedenti</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0454A6" w:rsidTr="00FE2BA1">
        <w:trPr>
          <w:trHeight w:val="222"/>
          <w:jc w:val="center"/>
        </w:trPr>
        <w:tc>
          <w:tcPr>
            <w:tcW w:w="2246" w:type="pct"/>
            <w:shd w:val="clear" w:color="auto" w:fill="95B3D7" w:themeFill="accent1" w:themeFillTint="99"/>
            <w:hideMark/>
          </w:tcPr>
          <w:p w:rsidR="00CD34A0" w:rsidRPr="00FE2BA1" w:rsidRDefault="000454A6" w:rsidP="00CD34A0">
            <w:pPr>
              <w:spacing w:after="0" w:line="240" w:lineRule="auto"/>
              <w:rPr>
                <w:rFonts w:ascii="Bodoni MT" w:eastAsia="Times New Roman" w:hAnsi="Bodoni MT" w:cs="Arial"/>
                <w:iCs/>
                <w:color w:val="FFFFFF" w:themeColor="background1"/>
                <w:sz w:val="20"/>
                <w:szCs w:val="20"/>
                <w:lang w:eastAsia="it-IT"/>
              </w:rPr>
            </w:pPr>
            <w:r w:rsidRPr="00FE2BA1">
              <w:rPr>
                <w:rFonts w:ascii="Bodoni MT" w:eastAsia="Times New Roman" w:hAnsi="Bodoni MT" w:cs="Arial"/>
                <w:iCs/>
                <w:color w:val="FFFFFF" w:themeColor="background1"/>
                <w:sz w:val="20"/>
                <w:szCs w:val="20"/>
                <w:lang w:eastAsia="it-IT"/>
              </w:rPr>
              <w:t>b)</w:t>
            </w:r>
            <w:r w:rsidR="00CD34A0" w:rsidRPr="00FE2BA1">
              <w:rPr>
                <w:rFonts w:ascii="Bodoni MT" w:eastAsia="Times New Roman" w:hAnsi="Bodoni MT" w:cs="Arial"/>
                <w:iCs/>
                <w:color w:val="FFFFFF" w:themeColor="background1"/>
                <w:sz w:val="20"/>
                <w:szCs w:val="20"/>
                <w:lang w:eastAsia="it-IT"/>
              </w:rPr>
              <w:t xml:space="preserve"> da capitale</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0454A6" w:rsidTr="00FE2BA1">
        <w:trPr>
          <w:trHeight w:val="222"/>
          <w:jc w:val="center"/>
        </w:trPr>
        <w:tc>
          <w:tcPr>
            <w:tcW w:w="2246" w:type="pct"/>
            <w:shd w:val="clear" w:color="auto" w:fill="95B3D7" w:themeFill="accent1" w:themeFillTint="99"/>
            <w:hideMark/>
          </w:tcPr>
          <w:p w:rsidR="00CD34A0" w:rsidRPr="00FE2BA1" w:rsidRDefault="000454A6" w:rsidP="00CD34A0">
            <w:pPr>
              <w:spacing w:after="0" w:line="240" w:lineRule="auto"/>
              <w:rPr>
                <w:rFonts w:ascii="Bodoni MT" w:eastAsia="Times New Roman" w:hAnsi="Bodoni MT" w:cs="Arial"/>
                <w:iCs/>
                <w:color w:val="FFFFFF" w:themeColor="background1"/>
                <w:sz w:val="20"/>
                <w:szCs w:val="20"/>
                <w:lang w:eastAsia="it-IT"/>
              </w:rPr>
            </w:pPr>
            <w:r w:rsidRPr="00FE2BA1">
              <w:rPr>
                <w:rFonts w:ascii="Bodoni MT" w:eastAsia="Times New Roman" w:hAnsi="Bodoni MT" w:cs="Arial"/>
                <w:iCs/>
                <w:color w:val="FFFFFF" w:themeColor="background1"/>
                <w:sz w:val="20"/>
                <w:szCs w:val="20"/>
                <w:lang w:eastAsia="it-IT"/>
              </w:rPr>
              <w:t xml:space="preserve">c) </w:t>
            </w:r>
            <w:r w:rsidR="00CD34A0" w:rsidRPr="00FE2BA1">
              <w:rPr>
                <w:rFonts w:ascii="Bodoni MT" w:eastAsia="Times New Roman" w:hAnsi="Bodoni MT" w:cs="Arial"/>
                <w:iCs/>
                <w:color w:val="FFFFFF" w:themeColor="background1"/>
                <w:sz w:val="20"/>
                <w:szCs w:val="20"/>
                <w:lang w:eastAsia="it-IT"/>
              </w:rPr>
              <w:t>da permessi di costruire</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0454A6" w:rsidTr="00FE2BA1">
        <w:trPr>
          <w:trHeight w:val="222"/>
          <w:jc w:val="center"/>
        </w:trPr>
        <w:tc>
          <w:tcPr>
            <w:tcW w:w="2246" w:type="pct"/>
            <w:shd w:val="clear" w:color="auto" w:fill="95B3D7" w:themeFill="accent1" w:themeFillTint="99"/>
            <w:hideMark/>
          </w:tcPr>
          <w:p w:rsidR="00CD34A0" w:rsidRPr="00FE2BA1" w:rsidRDefault="000454A6" w:rsidP="00CD34A0">
            <w:pPr>
              <w:spacing w:after="0" w:line="240" w:lineRule="auto"/>
              <w:rPr>
                <w:rFonts w:ascii="Bodoni MT" w:eastAsia="Times New Roman" w:hAnsi="Bodoni MT" w:cs="Arial"/>
                <w:iCs/>
                <w:color w:val="FFFFFF" w:themeColor="background1"/>
                <w:sz w:val="20"/>
                <w:szCs w:val="20"/>
                <w:lang w:eastAsia="it-IT"/>
              </w:rPr>
            </w:pPr>
            <w:r w:rsidRPr="00FE2BA1">
              <w:rPr>
                <w:rFonts w:ascii="Bodoni MT" w:eastAsia="Times New Roman" w:hAnsi="Bodoni MT" w:cs="Arial"/>
                <w:iCs/>
                <w:color w:val="FFFFFF" w:themeColor="background1"/>
                <w:sz w:val="20"/>
                <w:szCs w:val="20"/>
                <w:lang w:eastAsia="it-IT"/>
              </w:rPr>
              <w:t>d)</w:t>
            </w:r>
            <w:r w:rsidR="00CD34A0" w:rsidRPr="00FE2BA1">
              <w:rPr>
                <w:rFonts w:ascii="Bodoni MT" w:eastAsia="Times New Roman" w:hAnsi="Bodoni MT" w:cs="Arial"/>
                <w:iCs/>
                <w:color w:val="FFFFFF" w:themeColor="background1"/>
                <w:sz w:val="20"/>
                <w:szCs w:val="20"/>
                <w:lang w:eastAsia="it-IT"/>
              </w:rPr>
              <w:t xml:space="preserve"> altre riserve</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8.958.185</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8.958.185</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r>
      <w:tr w:rsidR="00CD34A0" w:rsidRPr="000454A6" w:rsidTr="00FE2BA1">
        <w:trPr>
          <w:trHeight w:val="199"/>
          <w:jc w:val="center"/>
        </w:trPr>
        <w:tc>
          <w:tcPr>
            <w:tcW w:w="2246"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Arial"/>
                <w:color w:val="FFFFFF" w:themeColor="background1"/>
                <w:sz w:val="20"/>
                <w:szCs w:val="20"/>
                <w:lang w:eastAsia="it-IT"/>
              </w:rPr>
            </w:pPr>
            <w:r w:rsidRPr="00FE2BA1">
              <w:rPr>
                <w:rFonts w:ascii="Bodoni MT" w:eastAsia="Times New Roman" w:hAnsi="Bodoni MT" w:cs="Arial"/>
                <w:color w:val="FFFFFF" w:themeColor="background1"/>
                <w:sz w:val="20"/>
                <w:szCs w:val="20"/>
                <w:lang w:eastAsia="it-IT"/>
              </w:rPr>
              <w:t>III  Risultato economico dell'esercizio</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901.719.362</w:t>
            </w:r>
          </w:p>
        </w:tc>
        <w:tc>
          <w:tcPr>
            <w:tcW w:w="773"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901.719.362</w:t>
            </w:r>
          </w:p>
        </w:tc>
        <w:tc>
          <w:tcPr>
            <w:tcW w:w="487" w:type="pct"/>
            <w:shd w:val="clear" w:color="auto" w:fill="FFFFFF" w:themeFill="background1"/>
            <w:vAlign w:val="center"/>
            <w:hideMark/>
          </w:tcPr>
          <w:p w:rsidR="00CD34A0" w:rsidRPr="00184B93" w:rsidRDefault="00CD34A0" w:rsidP="00FE2BA1">
            <w:pPr>
              <w:spacing w:after="0" w:line="240" w:lineRule="auto"/>
              <w:jc w:val="right"/>
              <w:rPr>
                <w:rFonts w:eastAsia="Times New Roman" w:cstheme="minorHAnsi"/>
                <w:sz w:val="18"/>
                <w:szCs w:val="18"/>
                <w:lang w:eastAsia="it-IT"/>
              </w:rPr>
            </w:pPr>
            <w:r w:rsidRPr="00184B93">
              <w:rPr>
                <w:rFonts w:eastAsia="Times New Roman" w:cstheme="minorHAnsi"/>
                <w:sz w:val="18"/>
                <w:szCs w:val="18"/>
                <w:lang w:eastAsia="it-IT"/>
              </w:rPr>
              <w:t>-</w:t>
            </w:r>
          </w:p>
        </w:tc>
      </w:tr>
      <w:tr w:rsidR="00CD34A0" w:rsidRPr="000454A6" w:rsidTr="00FE2BA1">
        <w:trPr>
          <w:trHeight w:val="259"/>
          <w:jc w:val="center"/>
        </w:trPr>
        <w:tc>
          <w:tcPr>
            <w:tcW w:w="2246"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Arial"/>
                <w:b/>
                <w:bCs/>
                <w:iCs/>
                <w:color w:val="FFFFFF" w:themeColor="background1"/>
                <w:sz w:val="20"/>
                <w:szCs w:val="20"/>
                <w:lang w:eastAsia="it-IT"/>
              </w:rPr>
            </w:pPr>
            <w:r w:rsidRPr="00FE2BA1">
              <w:rPr>
                <w:rFonts w:ascii="Bodoni MT" w:eastAsia="Times New Roman" w:hAnsi="Bodoni MT" w:cs="Arial"/>
                <w:b/>
                <w:bCs/>
                <w:iCs/>
                <w:color w:val="FFFFFF" w:themeColor="background1"/>
                <w:sz w:val="20"/>
                <w:szCs w:val="20"/>
                <w:lang w:eastAsia="it-IT"/>
              </w:rPr>
              <w:t>A   Totale Patrimonio Netto</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1.115.055.267</w:t>
            </w:r>
          </w:p>
        </w:tc>
        <w:tc>
          <w:tcPr>
            <w:tcW w:w="773"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-15.945.678</w:t>
            </w:r>
          </w:p>
        </w:tc>
        <w:tc>
          <w:tcPr>
            <w:tcW w:w="720"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1.131.000.945</w:t>
            </w:r>
          </w:p>
        </w:tc>
        <w:tc>
          <w:tcPr>
            <w:tcW w:w="487" w:type="pct"/>
            <w:shd w:val="clear" w:color="auto" w:fill="FFFFFF" w:themeFill="background1"/>
            <w:noWrap/>
            <w:vAlign w:val="center"/>
            <w:hideMark/>
          </w:tcPr>
          <w:p w:rsidR="00CD34A0" w:rsidRPr="00184B93" w:rsidRDefault="00CD34A0" w:rsidP="00FE2BA1">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-7092,8%</w:t>
            </w:r>
          </w:p>
        </w:tc>
      </w:tr>
    </w:tbl>
    <w:p w:rsidR="00CD34A0" w:rsidRPr="00FE2BA1" w:rsidRDefault="00CD34A0" w:rsidP="00FE2BA1">
      <w:pPr>
        <w:tabs>
          <w:tab w:val="left" w:pos="284"/>
          <w:tab w:val="left" w:pos="426"/>
        </w:tabs>
        <w:autoSpaceDE w:val="0"/>
        <w:autoSpaceDN w:val="0"/>
        <w:adjustRightInd w:val="0"/>
        <w:spacing w:after="240" w:line="360" w:lineRule="auto"/>
        <w:jc w:val="both"/>
        <w:textAlignment w:val="center"/>
        <w:rPr>
          <w:rFonts w:ascii="Bodoni MT" w:eastAsia="Times New Roman" w:hAnsi="Bodoni MT" w:cs="Bodoni MT"/>
          <w:color w:val="000000"/>
          <w:sz w:val="24"/>
          <w:szCs w:val="24"/>
          <w:highlight w:val="yellow"/>
        </w:rPr>
      </w:pPr>
      <w:r w:rsidRPr="00FE2BA1">
        <w:rPr>
          <w:rFonts w:ascii="Bodoni MT" w:eastAsia="Times New Roman" w:hAnsi="Bodoni MT" w:cs="Bodoni MT"/>
          <w:color w:val="000000"/>
          <w:sz w:val="18"/>
          <w:szCs w:val="18"/>
        </w:rPr>
        <w:t>Fonte RAS Rendiconto sulla gestione 2016 – Allegato 3.3</w:t>
      </w:r>
    </w:p>
    <w:p w:rsidR="00CD34A0" w:rsidRPr="00CD34A0" w:rsidRDefault="004469B5" w:rsidP="007D10C5">
      <w:pPr>
        <w:numPr>
          <w:ilvl w:val="0"/>
          <w:numId w:val="16"/>
        </w:numPr>
        <w:tabs>
          <w:tab w:val="left" w:pos="284"/>
          <w:tab w:val="left" w:pos="426"/>
        </w:tabs>
        <w:autoSpaceDE w:val="0"/>
        <w:autoSpaceDN w:val="0"/>
        <w:adjustRightInd w:val="0"/>
        <w:spacing w:before="360" w:after="120" w:line="360" w:lineRule="auto"/>
        <w:ind w:left="0" w:firstLine="0"/>
        <w:contextualSpacing/>
        <w:jc w:val="both"/>
        <w:textAlignment w:val="center"/>
        <w:rPr>
          <w:rFonts w:ascii="Bodoni MT" w:eastAsia="Times New Roman" w:hAnsi="Bodoni MT" w:cs="Bodoni MT"/>
          <w:b/>
          <w:color w:val="000000"/>
          <w:sz w:val="24"/>
          <w:szCs w:val="24"/>
        </w:rPr>
      </w:pPr>
      <w:r>
        <w:rPr>
          <w:rFonts w:ascii="Bodoni MT" w:eastAsia="Times New Roman" w:hAnsi="Bodoni MT" w:cs="Bodoni MT"/>
          <w:b/>
          <w:color w:val="000000"/>
          <w:sz w:val="24"/>
          <w:szCs w:val="24"/>
        </w:rPr>
        <w:t>Fondo per rischi e oneri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Il fondo è costituito da accantonamenti destinati alla copertura di passività certe ma il cui ammontare o la cui data di esti</w:t>
      </w:r>
      <w:r w:rsidR="00FE2BA1">
        <w:rPr>
          <w:rFonts w:ascii="Bodoni MT" w:eastAsia="Times New Roman" w:hAnsi="Bodoni MT" w:cs="Bodoni MT"/>
          <w:color w:val="000000"/>
          <w:sz w:val="24"/>
          <w:szCs w:val="24"/>
        </w:rPr>
        <w:t xml:space="preserve">nzione sono indeterminati o da </w:t>
      </w:r>
      <w:r w:rsidRPr="00CD34A0">
        <w:rPr>
          <w:rFonts w:ascii="Bodoni MT" w:eastAsia="Times New Roman" w:hAnsi="Bodoni MT" w:cs="Bodoni MT"/>
          <w:color w:val="000000"/>
          <w:sz w:val="24"/>
          <w:szCs w:val="24"/>
        </w:rPr>
        <w:t>accantonamenti per passività la cui esistenza è solo probabile (valutate secondo stime realistiche dell’onere necessario a soddisfarle).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Si evidenzia che, secondo quanto previsto al punto 4.22 del </w:t>
      </w:r>
      <w:r w:rsidRPr="00CD34A0">
        <w:rPr>
          <w:rFonts w:ascii="Bodoni MT" w:eastAsia="Times New Roman" w:hAnsi="Bodoni MT" w:cs="Bodoni MT"/>
          <w:i/>
          <w:iCs/>
          <w:color w:val="000000"/>
          <w:sz w:val="24"/>
          <w:szCs w:val="24"/>
        </w:rPr>
        <w:t xml:space="preserve">Principio contabile applicato 4/3 </w:t>
      </w:r>
      <w:r w:rsidRPr="00CD34A0">
        <w:rPr>
          <w:rFonts w:ascii="Bodoni MT" w:eastAsia="Times New Roman" w:hAnsi="Bodoni MT" w:cs="Bodoni MT"/>
          <w:color w:val="000000"/>
          <w:sz w:val="24"/>
          <w:szCs w:val="24"/>
        </w:rPr>
        <w:t>gli accantonamenti confluiti nel risultato di amministrazione finanziario devono presentare lo stesso importo dei corrispondenti accantonamenti effettuati in contabilità economico-patrimoniale.</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i/>
          <w:color w:val="000000"/>
          <w:sz w:val="24"/>
          <w:szCs w:val="24"/>
        </w:rPr>
      </w:pPr>
      <w:r w:rsidRPr="00CD34A0">
        <w:rPr>
          <w:rFonts w:ascii="Bodoni MT" w:eastAsia="Times New Roman" w:hAnsi="Bodoni MT" w:cs="Bodoni MT"/>
          <w:color w:val="000000"/>
          <w:sz w:val="24"/>
          <w:szCs w:val="24"/>
        </w:rPr>
        <w:t xml:space="preserve">Tuttavia, la Nota integrativa chiarisce che </w:t>
      </w:r>
      <w:r w:rsidRPr="00CD34A0">
        <w:rPr>
          <w:rFonts w:ascii="Bodoni MT" w:eastAsia="Times New Roman" w:hAnsi="Bodoni MT" w:cs="Bodoni MT"/>
          <w:i/>
          <w:color w:val="000000"/>
          <w:sz w:val="24"/>
          <w:szCs w:val="24"/>
        </w:rPr>
        <w:t>“la citata corrispondenza non è ritenuta applicabile alle seguenti voci:</w:t>
      </w:r>
    </w:p>
    <w:p w:rsidR="00CD34A0" w:rsidRPr="00FE2BA1" w:rsidRDefault="00CD34A0" w:rsidP="007D10C5">
      <w:pPr>
        <w:pStyle w:val="Paragrafoelenco"/>
        <w:numPr>
          <w:ilvl w:val="0"/>
          <w:numId w:val="19"/>
        </w:numPr>
        <w:tabs>
          <w:tab w:val="left" w:pos="284"/>
          <w:tab w:val="left" w:pos="426"/>
        </w:tabs>
        <w:autoSpaceDE w:val="0"/>
        <w:autoSpaceDN w:val="0"/>
        <w:adjustRightInd w:val="0"/>
        <w:spacing w:after="120"/>
        <w:ind w:left="284" w:hanging="284"/>
        <w:jc w:val="both"/>
        <w:textAlignment w:val="center"/>
        <w:rPr>
          <w:rFonts w:ascii="Bodoni MT" w:eastAsia="Times New Roman" w:hAnsi="Bodoni MT" w:cs="Bodoni MT"/>
          <w:i/>
          <w:color w:val="000000"/>
          <w:sz w:val="24"/>
          <w:szCs w:val="24"/>
        </w:rPr>
      </w:pPr>
      <w:r w:rsidRPr="00FE2BA1">
        <w:rPr>
          <w:rFonts w:ascii="Bodoni MT" w:eastAsia="Times New Roman" w:hAnsi="Bodoni MT" w:cs="Bodoni MT"/>
          <w:b/>
          <w:i/>
          <w:color w:val="000000"/>
          <w:sz w:val="24"/>
          <w:szCs w:val="24"/>
        </w:rPr>
        <w:t>il fondo crediti di dubbia esigibilità</w:t>
      </w:r>
      <w:r w:rsidRPr="00FE2BA1">
        <w:rPr>
          <w:rFonts w:ascii="Bodoni MT" w:eastAsia="Times New Roman" w:hAnsi="Bodoni MT" w:cs="Bodoni MT"/>
          <w:i/>
          <w:color w:val="000000"/>
          <w:sz w:val="24"/>
          <w:szCs w:val="24"/>
        </w:rPr>
        <w:t xml:space="preserve"> (che trova corrispondenza nel fondo svalutazione crediti iscritto nell’attivo quale posta rettificativa dei crediti);</w:t>
      </w:r>
    </w:p>
    <w:p w:rsidR="00CD34A0" w:rsidRPr="00FE2BA1" w:rsidRDefault="00CD34A0" w:rsidP="007D10C5">
      <w:pPr>
        <w:pStyle w:val="Paragrafoelenco"/>
        <w:numPr>
          <w:ilvl w:val="0"/>
          <w:numId w:val="19"/>
        </w:numPr>
        <w:tabs>
          <w:tab w:val="left" w:pos="284"/>
          <w:tab w:val="left" w:pos="426"/>
        </w:tabs>
        <w:autoSpaceDE w:val="0"/>
        <w:autoSpaceDN w:val="0"/>
        <w:adjustRightInd w:val="0"/>
        <w:spacing w:after="120"/>
        <w:jc w:val="both"/>
        <w:textAlignment w:val="center"/>
        <w:rPr>
          <w:rFonts w:ascii="Bodoni MT" w:eastAsia="Times New Roman" w:hAnsi="Bodoni MT" w:cs="Bodoni MT"/>
          <w:i/>
          <w:color w:val="000000"/>
          <w:sz w:val="24"/>
          <w:szCs w:val="24"/>
        </w:rPr>
      </w:pPr>
      <w:r w:rsidRPr="00FE2BA1">
        <w:rPr>
          <w:rFonts w:ascii="Bodoni MT" w:eastAsia="Times New Roman" w:hAnsi="Bodoni MT" w:cs="Bodoni MT"/>
          <w:b/>
          <w:i/>
          <w:color w:val="000000"/>
          <w:sz w:val="24"/>
          <w:szCs w:val="24"/>
        </w:rPr>
        <w:t>la parte corrente ed in conto capitale dei residui perenti</w:t>
      </w:r>
      <w:r w:rsidRPr="00FE2BA1">
        <w:rPr>
          <w:rFonts w:ascii="Bodoni MT" w:eastAsia="Times New Roman" w:hAnsi="Bodoni MT" w:cs="Bodoni MT"/>
          <w:i/>
          <w:color w:val="000000"/>
          <w:sz w:val="24"/>
          <w:szCs w:val="24"/>
        </w:rPr>
        <w:t>, inclusi per intero alla voce debiti;</w:t>
      </w:r>
    </w:p>
    <w:p w:rsidR="00CD34A0" w:rsidRPr="00FE2BA1" w:rsidRDefault="00CD34A0" w:rsidP="007D10C5">
      <w:pPr>
        <w:pStyle w:val="Paragrafoelenco"/>
        <w:numPr>
          <w:ilvl w:val="0"/>
          <w:numId w:val="19"/>
        </w:numPr>
        <w:tabs>
          <w:tab w:val="left" w:pos="284"/>
          <w:tab w:val="left" w:pos="426"/>
        </w:tabs>
        <w:autoSpaceDE w:val="0"/>
        <w:autoSpaceDN w:val="0"/>
        <w:adjustRightInd w:val="0"/>
        <w:spacing w:after="120"/>
        <w:jc w:val="both"/>
        <w:textAlignment w:val="center"/>
        <w:rPr>
          <w:rFonts w:ascii="Bodoni MT" w:eastAsia="Times New Roman" w:hAnsi="Bodoni MT" w:cs="Bodoni MT"/>
          <w:i/>
          <w:color w:val="000000"/>
          <w:sz w:val="24"/>
          <w:szCs w:val="24"/>
        </w:rPr>
      </w:pPr>
      <w:r w:rsidRPr="00FE2BA1">
        <w:rPr>
          <w:rFonts w:ascii="Bodoni MT" w:eastAsia="Times New Roman" w:hAnsi="Bodoni MT" w:cs="Bodoni MT"/>
          <w:b/>
          <w:i/>
          <w:color w:val="000000"/>
          <w:sz w:val="24"/>
          <w:szCs w:val="24"/>
        </w:rPr>
        <w:t>il fondo per perdite reiterate delle società partecipate</w:t>
      </w:r>
      <w:r w:rsidRPr="00FE2BA1">
        <w:rPr>
          <w:rFonts w:ascii="Bodoni MT" w:eastAsia="Times New Roman" w:hAnsi="Bodoni MT" w:cs="Bodoni MT"/>
          <w:i/>
          <w:color w:val="000000"/>
          <w:sz w:val="24"/>
          <w:szCs w:val="24"/>
        </w:rPr>
        <w:t>, in quanto eventuali perdite che potrebbero maturare in esercizi successivi al 31.12.2016 non risultano di competenza dell’esercizio in chiusura (</w:t>
      </w:r>
      <w:r w:rsidR="00A956C8" w:rsidRPr="00FE2BA1">
        <w:rPr>
          <w:rFonts w:ascii="Bodoni MT" w:eastAsia="Times New Roman" w:hAnsi="Bodoni MT" w:cs="Bodoni MT"/>
          <w:i/>
          <w:color w:val="000000"/>
          <w:sz w:val="24"/>
          <w:szCs w:val="24"/>
        </w:rPr>
        <w:t xml:space="preserve">si </w:t>
      </w:r>
      <w:r w:rsidRPr="00FE2BA1">
        <w:rPr>
          <w:rFonts w:ascii="Bodoni MT" w:eastAsia="Times New Roman" w:hAnsi="Bodoni MT" w:cs="Bodoni MT"/>
          <w:i/>
          <w:color w:val="000000"/>
          <w:sz w:val="24"/>
          <w:szCs w:val="24"/>
        </w:rPr>
        <w:t>considerano invece di competenza gli oneri potenziali per la copertura dei deficit patrimoniali delle società al 31.12.2016, di competenza della Regione);</w:t>
      </w:r>
    </w:p>
    <w:p w:rsidR="00CD34A0" w:rsidRPr="00FE2BA1" w:rsidRDefault="00FE2BA1" w:rsidP="007D10C5">
      <w:pPr>
        <w:pStyle w:val="Paragrafoelenco"/>
        <w:numPr>
          <w:ilvl w:val="0"/>
          <w:numId w:val="19"/>
        </w:numPr>
        <w:tabs>
          <w:tab w:val="left" w:pos="284"/>
          <w:tab w:val="left" w:pos="426"/>
        </w:tabs>
        <w:autoSpaceDE w:val="0"/>
        <w:autoSpaceDN w:val="0"/>
        <w:adjustRightInd w:val="0"/>
        <w:spacing w:after="120"/>
        <w:jc w:val="both"/>
        <w:textAlignment w:val="center"/>
        <w:rPr>
          <w:rFonts w:ascii="Bodoni MT" w:eastAsia="Times New Roman" w:hAnsi="Bodoni MT" w:cs="Bodoni MT"/>
          <w:i/>
          <w:color w:val="000000"/>
          <w:sz w:val="24"/>
          <w:szCs w:val="24"/>
        </w:rPr>
      </w:pPr>
      <w:r>
        <w:rPr>
          <w:rFonts w:ascii="Bodoni MT" w:eastAsia="Times New Roman" w:hAnsi="Bodoni MT" w:cs="Bodoni MT"/>
          <w:b/>
          <w:i/>
          <w:color w:val="000000"/>
          <w:sz w:val="24"/>
          <w:szCs w:val="24"/>
        </w:rPr>
        <w:lastRenderedPageBreak/>
        <w:t>i</w:t>
      </w:r>
      <w:r w:rsidR="00CD34A0" w:rsidRPr="00FE2BA1">
        <w:rPr>
          <w:rFonts w:ascii="Bodoni MT" w:eastAsia="Times New Roman" w:hAnsi="Bodoni MT" w:cs="Bodoni MT"/>
          <w:b/>
          <w:i/>
          <w:color w:val="000000"/>
          <w:sz w:val="24"/>
          <w:szCs w:val="24"/>
        </w:rPr>
        <w:t>l fondo anticipazione di liquidità dei mutui</w:t>
      </w:r>
      <w:r w:rsidR="00CD34A0" w:rsidRPr="00FE2BA1">
        <w:rPr>
          <w:rFonts w:ascii="Bodoni MT" w:eastAsia="Times New Roman" w:hAnsi="Bodoni MT" w:cs="Bodoni MT"/>
          <w:i/>
          <w:color w:val="000000"/>
          <w:sz w:val="24"/>
          <w:szCs w:val="24"/>
        </w:rPr>
        <w:t xml:space="preserve"> assunti per il finanziamento dei debiti di cui al D.L. n.</w:t>
      </w:r>
      <w:r w:rsidR="00F00825">
        <w:rPr>
          <w:rFonts w:ascii="Bodoni MT" w:eastAsia="Times New Roman" w:hAnsi="Bodoni MT" w:cs="Bodoni MT"/>
          <w:i/>
          <w:color w:val="000000"/>
          <w:sz w:val="24"/>
          <w:szCs w:val="24"/>
        </w:rPr>
        <w:t xml:space="preserve"> </w:t>
      </w:r>
      <w:r w:rsidR="00CD34A0" w:rsidRPr="00FE2BA1">
        <w:rPr>
          <w:rFonts w:ascii="Bodoni MT" w:eastAsia="Times New Roman" w:hAnsi="Bodoni MT" w:cs="Bodoni MT"/>
          <w:i/>
          <w:color w:val="000000"/>
          <w:sz w:val="24"/>
          <w:szCs w:val="24"/>
        </w:rPr>
        <w:t xml:space="preserve">78/2015, </w:t>
      </w:r>
      <w:r w:rsidR="00A956C8">
        <w:rPr>
          <w:rFonts w:ascii="Bodoni MT" w:eastAsia="Times New Roman" w:hAnsi="Bodoni MT" w:cs="Bodoni MT"/>
          <w:i/>
          <w:color w:val="000000"/>
          <w:sz w:val="24"/>
          <w:szCs w:val="24"/>
        </w:rPr>
        <w:t>non rilevante ai fini economici</w:t>
      </w:r>
      <w:r w:rsidR="00CD34A0" w:rsidRPr="00FE2BA1">
        <w:rPr>
          <w:rFonts w:ascii="Bodoni MT" w:eastAsia="Times New Roman" w:hAnsi="Bodoni MT" w:cs="Bodoni MT"/>
          <w:i/>
          <w:color w:val="000000"/>
          <w:sz w:val="24"/>
          <w:szCs w:val="24"/>
        </w:rPr>
        <w:t>”</w:t>
      </w:r>
      <w:r w:rsidR="00A956C8">
        <w:rPr>
          <w:rFonts w:ascii="Bodoni MT" w:eastAsia="Times New Roman" w:hAnsi="Bodoni MT" w:cs="Bodoni MT"/>
          <w:i/>
          <w:color w:val="000000"/>
          <w:sz w:val="24"/>
          <w:szCs w:val="24"/>
        </w:rPr>
        <w:t>.</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Nelle tabelle che seguono sono riportate le movimentazioni complessive e specificatamente quelle per partec</w:t>
      </w:r>
      <w:r w:rsidR="00FE2BA1">
        <w:rPr>
          <w:rFonts w:ascii="Bodoni MT" w:eastAsia="Times New Roman" w:hAnsi="Bodoni MT" w:cs="Bodoni MT"/>
          <w:color w:val="000000"/>
          <w:sz w:val="24"/>
          <w:szCs w:val="24"/>
        </w:rPr>
        <w:t>ipazioni societarie.</w:t>
      </w:r>
    </w:p>
    <w:p w:rsidR="00FE2BA1" w:rsidRPr="00FE2BA1" w:rsidRDefault="00FE2BA1" w:rsidP="00FE2BA1">
      <w:pPr>
        <w:pStyle w:val="Didascalia"/>
        <w:rPr>
          <w:rFonts w:eastAsia="Times New Roman" w:cs="Bodoni MT"/>
          <w:color w:val="000000"/>
        </w:rPr>
      </w:pPr>
      <w:bookmarkStart w:id="388" w:name="_Toc507422591"/>
      <w:r>
        <w:t xml:space="preserve">Tabella </w:t>
      </w:r>
      <w:r w:rsidR="00B90472">
        <w:fldChar w:fldCharType="begin"/>
      </w:r>
      <w:r w:rsidR="00B90472">
        <w:instrText xml:space="preserve"> SEQ Tabella \* ARABIC </w:instrText>
      </w:r>
      <w:r w:rsidR="00B90472">
        <w:fldChar w:fldCharType="separate"/>
      </w:r>
      <w:r w:rsidR="008616B3">
        <w:rPr>
          <w:noProof/>
        </w:rPr>
        <w:t>123</w:t>
      </w:r>
      <w:r w:rsidR="00B90472">
        <w:rPr>
          <w:noProof/>
        </w:rPr>
        <w:fldChar w:fldCharType="end"/>
      </w:r>
      <w:r>
        <w:t xml:space="preserve"> - </w:t>
      </w:r>
      <w:r w:rsidRPr="00FE2BA1">
        <w:rPr>
          <w:rFonts w:eastAsia="Times New Roman" w:cs="Times New Roman"/>
          <w:iCs/>
          <w:lang w:eastAsia="it-IT"/>
        </w:rPr>
        <w:t>Movimentazione</w:t>
      </w:r>
      <w:r w:rsidRPr="00FE2BA1">
        <w:rPr>
          <w:rFonts w:eastAsia="Times New Roman" w:cs="Times New Roman"/>
          <w:lang w:eastAsia="it-IT"/>
        </w:rPr>
        <w:t xml:space="preserve"> </w:t>
      </w:r>
      <w:r w:rsidRPr="00FE2BA1">
        <w:rPr>
          <w:rFonts w:eastAsia="Times New Roman" w:cs="Times New Roman"/>
          <w:iCs/>
          <w:lang w:eastAsia="it-IT"/>
        </w:rPr>
        <w:t>del</w:t>
      </w:r>
      <w:r w:rsidRPr="00FE2BA1">
        <w:rPr>
          <w:rFonts w:eastAsia="Times New Roman" w:cs="Times New Roman"/>
          <w:lang w:eastAsia="it-IT"/>
        </w:rPr>
        <w:t xml:space="preserve"> </w:t>
      </w:r>
      <w:r w:rsidRPr="00FE2BA1">
        <w:rPr>
          <w:rFonts w:eastAsia="Times New Roman" w:cs="Times New Roman"/>
          <w:iCs/>
          <w:lang w:eastAsia="it-IT"/>
        </w:rPr>
        <w:t>Fondo</w:t>
      </w:r>
      <w:r w:rsidRPr="00FE2BA1">
        <w:rPr>
          <w:rFonts w:eastAsia="Times New Roman" w:cs="Times New Roman"/>
          <w:lang w:eastAsia="it-IT"/>
        </w:rPr>
        <w:t xml:space="preserve"> </w:t>
      </w:r>
      <w:r w:rsidRPr="00FE2BA1">
        <w:rPr>
          <w:rFonts w:eastAsia="Times New Roman" w:cs="Times New Roman"/>
          <w:iCs/>
          <w:lang w:eastAsia="it-IT"/>
        </w:rPr>
        <w:t>per</w:t>
      </w:r>
      <w:r w:rsidRPr="00FE2BA1">
        <w:rPr>
          <w:rFonts w:eastAsia="Times New Roman" w:cs="Times New Roman"/>
          <w:lang w:eastAsia="it-IT"/>
        </w:rPr>
        <w:t xml:space="preserve"> </w:t>
      </w:r>
      <w:r w:rsidRPr="00FE2BA1">
        <w:rPr>
          <w:rFonts w:eastAsia="Times New Roman" w:cs="Times New Roman"/>
          <w:iCs/>
          <w:lang w:eastAsia="it-IT"/>
        </w:rPr>
        <w:t>rischi</w:t>
      </w:r>
      <w:r w:rsidRPr="00FE2BA1">
        <w:rPr>
          <w:rFonts w:eastAsia="Times New Roman" w:cs="Times New Roman"/>
          <w:lang w:eastAsia="it-IT"/>
        </w:rPr>
        <w:t xml:space="preserve"> </w:t>
      </w:r>
      <w:r w:rsidRPr="00FE2BA1">
        <w:rPr>
          <w:rFonts w:eastAsia="Times New Roman" w:cs="Times New Roman"/>
          <w:iCs/>
          <w:lang w:eastAsia="it-IT"/>
        </w:rPr>
        <w:t>ed</w:t>
      </w:r>
      <w:r w:rsidRPr="00FE2BA1">
        <w:rPr>
          <w:rFonts w:eastAsia="Times New Roman" w:cs="Times New Roman"/>
          <w:lang w:eastAsia="it-IT"/>
        </w:rPr>
        <w:t xml:space="preserve"> </w:t>
      </w:r>
      <w:r w:rsidRPr="00FE2BA1">
        <w:rPr>
          <w:rFonts w:eastAsia="Times New Roman" w:cs="Times New Roman"/>
          <w:iCs/>
          <w:lang w:eastAsia="it-IT"/>
        </w:rPr>
        <w:t>oneri</w:t>
      </w:r>
      <w:bookmarkEnd w:id="3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0"/>
        <w:gridCol w:w="1533"/>
        <w:gridCol w:w="1791"/>
        <w:gridCol w:w="1711"/>
        <w:gridCol w:w="1723"/>
      </w:tblGrid>
      <w:tr w:rsidR="00FE2BA1" w:rsidRPr="00FE2BA1" w:rsidTr="00FE2BA1">
        <w:trPr>
          <w:trHeight w:val="259"/>
          <w:jc w:val="center"/>
        </w:trPr>
        <w:tc>
          <w:tcPr>
            <w:tcW w:w="1544"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Voci</w:t>
            </w:r>
          </w:p>
        </w:tc>
        <w:tc>
          <w:tcPr>
            <w:tcW w:w="784"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31/12/2016</w:t>
            </w:r>
          </w:p>
        </w:tc>
        <w:tc>
          <w:tcPr>
            <w:tcW w:w="916"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Utilizzi/stralci</w:t>
            </w:r>
          </w:p>
        </w:tc>
        <w:tc>
          <w:tcPr>
            <w:tcW w:w="875"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Accantonam.</w:t>
            </w:r>
          </w:p>
        </w:tc>
        <w:tc>
          <w:tcPr>
            <w:tcW w:w="881"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31/12/2015</w:t>
            </w:r>
          </w:p>
        </w:tc>
      </w:tr>
      <w:tr w:rsidR="00CD34A0" w:rsidRPr="00CD34A0" w:rsidTr="002C1F0C">
        <w:trPr>
          <w:trHeight w:val="240"/>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so</w:t>
            </w:r>
            <w:r w:rsidR="00A956C8">
              <w:rPr>
                <w:rFonts w:ascii="Bodoni MT" w:eastAsia="Times New Roman" w:hAnsi="Bodoni MT" w:cs="Times New Roman"/>
                <w:color w:val="FFFFFF" w:themeColor="background1"/>
                <w:sz w:val="18"/>
                <w:szCs w:val="18"/>
                <w:lang w:eastAsia="it-IT"/>
              </w:rPr>
              <w:t>p</w:t>
            </w:r>
            <w:r w:rsidRPr="00FE2BA1">
              <w:rPr>
                <w:rFonts w:ascii="Bodoni MT" w:eastAsia="Times New Roman" w:hAnsi="Bodoni MT" w:cs="Times New Roman"/>
                <w:color w:val="FFFFFF" w:themeColor="background1"/>
                <w:sz w:val="18"/>
                <w:szCs w:val="18"/>
                <w:lang w:eastAsia="it-IT"/>
              </w:rPr>
              <w:t>pressione fondi di garanzia</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36.543.224</w:t>
            </w:r>
          </w:p>
        </w:tc>
        <w:tc>
          <w:tcPr>
            <w:tcW w:w="916"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5.000.000</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31.543.224</w:t>
            </w:r>
          </w:p>
        </w:tc>
      </w:tr>
      <w:tr w:rsidR="00CD34A0" w:rsidRPr="00CD34A0" w:rsidTr="002C1F0C">
        <w:trPr>
          <w:trHeight w:val="222"/>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contenzioso legale</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3.899.208</w:t>
            </w:r>
          </w:p>
        </w:tc>
        <w:tc>
          <w:tcPr>
            <w:tcW w:w="916"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3.899.208</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0</w:t>
            </w:r>
          </w:p>
        </w:tc>
      </w:tr>
      <w:tr w:rsidR="00CD34A0" w:rsidRPr="00CD34A0" w:rsidTr="002C1F0C">
        <w:trPr>
          <w:trHeight w:val="222"/>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passività diverse</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32.512</w:t>
            </w:r>
          </w:p>
        </w:tc>
        <w:tc>
          <w:tcPr>
            <w:tcW w:w="916"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32.512</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0</w:t>
            </w:r>
          </w:p>
        </w:tc>
      </w:tr>
      <w:tr w:rsidR="00CD34A0" w:rsidRPr="00CD34A0" w:rsidTr="002C1F0C">
        <w:trPr>
          <w:trHeight w:val="222"/>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copertura deficit partecipazioni</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13.756.654</w:t>
            </w:r>
          </w:p>
        </w:tc>
        <w:tc>
          <w:tcPr>
            <w:tcW w:w="91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1.018.199</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1.459.534</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13.315.319</w:t>
            </w:r>
          </w:p>
        </w:tc>
      </w:tr>
      <w:tr w:rsidR="00CD34A0" w:rsidRPr="00CD34A0" w:rsidTr="002C1F0C">
        <w:trPr>
          <w:trHeight w:val="222"/>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perdite aziende sanitarie</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397.655.151</w:t>
            </w:r>
          </w:p>
        </w:tc>
        <w:tc>
          <w:tcPr>
            <w:tcW w:w="91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356.068.259</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289.584.000</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464.139.410</w:t>
            </w:r>
          </w:p>
        </w:tc>
      </w:tr>
      <w:tr w:rsidR="00CD34A0" w:rsidRPr="00CD34A0" w:rsidTr="002C1F0C">
        <w:trPr>
          <w:trHeight w:val="222"/>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F.do debiti fuori bilancio</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2.960.043</w:t>
            </w:r>
          </w:p>
        </w:tc>
        <w:tc>
          <w:tcPr>
            <w:tcW w:w="916"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2.960.043</w:t>
            </w:r>
          </w:p>
        </w:tc>
        <w:tc>
          <w:tcPr>
            <w:tcW w:w="881"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r>
      <w:tr w:rsidR="00CD34A0" w:rsidRPr="00CD34A0" w:rsidTr="002C1F0C">
        <w:trPr>
          <w:trHeight w:val="259"/>
          <w:jc w:val="center"/>
        </w:trPr>
        <w:tc>
          <w:tcPr>
            <w:tcW w:w="154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Totale</w:t>
            </w:r>
          </w:p>
        </w:tc>
        <w:tc>
          <w:tcPr>
            <w:tcW w:w="7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454.846.793</w:t>
            </w:r>
          </w:p>
        </w:tc>
        <w:tc>
          <w:tcPr>
            <w:tcW w:w="91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357.086.457</w:t>
            </w:r>
          </w:p>
        </w:tc>
        <w:tc>
          <w:tcPr>
            <w:tcW w:w="875"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302.935.297</w:t>
            </w:r>
          </w:p>
        </w:tc>
        <w:tc>
          <w:tcPr>
            <w:tcW w:w="881"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508.997.953</w:t>
            </w:r>
          </w:p>
        </w:tc>
      </w:tr>
    </w:tbl>
    <w:p w:rsidR="00CD34A0" w:rsidRPr="00FE2BA1" w:rsidRDefault="00FE2BA1" w:rsidP="00FE2BA1">
      <w:pPr>
        <w:pStyle w:val="Didascalia"/>
        <w:rPr>
          <w:rFonts w:eastAsia="Times New Roman" w:cs="Bodoni MT"/>
          <w:color w:val="000000"/>
          <w:highlight w:val="yellow"/>
        </w:rPr>
      </w:pPr>
      <w:bookmarkStart w:id="389" w:name="_Toc507422592"/>
      <w:r>
        <w:t xml:space="preserve">Tabella </w:t>
      </w:r>
      <w:r w:rsidR="00B90472">
        <w:fldChar w:fldCharType="begin"/>
      </w:r>
      <w:r w:rsidR="00B90472">
        <w:instrText xml:space="preserve"> SEQ Tabella \* ARABIC </w:instrText>
      </w:r>
      <w:r w:rsidR="00B90472">
        <w:fldChar w:fldCharType="separate"/>
      </w:r>
      <w:r w:rsidR="008616B3">
        <w:rPr>
          <w:noProof/>
        </w:rPr>
        <w:t>124</w:t>
      </w:r>
      <w:r w:rsidR="00B90472">
        <w:rPr>
          <w:noProof/>
        </w:rPr>
        <w:fldChar w:fldCharType="end"/>
      </w:r>
      <w:r>
        <w:t xml:space="preserve"> - </w:t>
      </w:r>
      <w:r w:rsidRPr="00FE2BA1">
        <w:rPr>
          <w:rFonts w:eastAsia="Times New Roman" w:cs="Times New Roman"/>
          <w:bCs w:val="0"/>
          <w:iCs/>
          <w:lang w:eastAsia="it-IT"/>
        </w:rPr>
        <w:t>Movimentazione</w:t>
      </w:r>
      <w:r w:rsidRPr="00FE2BA1">
        <w:rPr>
          <w:rFonts w:eastAsia="Times New Roman" w:cs="Times New Roman"/>
          <w:bCs w:val="0"/>
          <w:lang w:eastAsia="it-IT"/>
        </w:rPr>
        <w:t xml:space="preserve"> </w:t>
      </w:r>
      <w:r w:rsidRPr="00FE2BA1">
        <w:rPr>
          <w:rFonts w:eastAsia="Times New Roman" w:cs="Times New Roman"/>
          <w:bCs w:val="0"/>
          <w:iCs/>
          <w:lang w:eastAsia="it-IT"/>
        </w:rPr>
        <w:t>del</w:t>
      </w:r>
      <w:r w:rsidRPr="00FE2BA1">
        <w:rPr>
          <w:rFonts w:eastAsia="Times New Roman" w:cs="Times New Roman"/>
          <w:bCs w:val="0"/>
          <w:lang w:eastAsia="it-IT"/>
        </w:rPr>
        <w:t xml:space="preserve"> </w:t>
      </w:r>
      <w:r w:rsidRPr="00FE2BA1">
        <w:rPr>
          <w:rFonts w:eastAsia="Times New Roman" w:cs="Times New Roman"/>
          <w:bCs w:val="0"/>
          <w:iCs/>
          <w:lang w:eastAsia="it-IT"/>
        </w:rPr>
        <w:t>fondo</w:t>
      </w:r>
      <w:r w:rsidRPr="00FE2BA1">
        <w:rPr>
          <w:rFonts w:eastAsia="Times New Roman" w:cs="Times New Roman"/>
          <w:bCs w:val="0"/>
          <w:lang w:eastAsia="it-IT"/>
        </w:rPr>
        <w:t xml:space="preserve"> </w:t>
      </w:r>
      <w:r w:rsidRPr="00FE2BA1">
        <w:rPr>
          <w:rFonts w:eastAsia="Times New Roman" w:cs="Times New Roman"/>
          <w:bCs w:val="0"/>
          <w:iCs/>
          <w:lang w:eastAsia="it-IT"/>
        </w:rPr>
        <w:t>rischi</w:t>
      </w:r>
      <w:r w:rsidRPr="00FE2BA1">
        <w:rPr>
          <w:rFonts w:eastAsia="Times New Roman" w:cs="Times New Roman"/>
          <w:bCs w:val="0"/>
          <w:lang w:eastAsia="it-IT"/>
        </w:rPr>
        <w:t xml:space="preserve"> </w:t>
      </w:r>
      <w:r w:rsidRPr="00FE2BA1">
        <w:rPr>
          <w:rFonts w:eastAsia="Times New Roman" w:cs="Times New Roman"/>
          <w:bCs w:val="0"/>
          <w:iCs/>
          <w:lang w:eastAsia="it-IT"/>
        </w:rPr>
        <w:t>per</w:t>
      </w:r>
      <w:r w:rsidRPr="00FE2BA1">
        <w:rPr>
          <w:rFonts w:eastAsia="Times New Roman" w:cs="Times New Roman"/>
          <w:bCs w:val="0"/>
          <w:lang w:eastAsia="it-IT"/>
        </w:rPr>
        <w:t xml:space="preserve"> </w:t>
      </w:r>
      <w:r w:rsidRPr="00FE2BA1">
        <w:rPr>
          <w:rFonts w:eastAsia="Times New Roman" w:cs="Times New Roman"/>
          <w:bCs w:val="0"/>
          <w:iCs/>
          <w:lang w:eastAsia="it-IT"/>
        </w:rPr>
        <w:t>copertura</w:t>
      </w:r>
      <w:r w:rsidRPr="00FE2BA1">
        <w:rPr>
          <w:rFonts w:eastAsia="Times New Roman" w:cs="Times New Roman"/>
          <w:bCs w:val="0"/>
          <w:lang w:eastAsia="it-IT"/>
        </w:rPr>
        <w:t xml:space="preserve"> </w:t>
      </w:r>
      <w:r w:rsidRPr="00FE2BA1">
        <w:rPr>
          <w:rFonts w:eastAsia="Times New Roman" w:cs="Times New Roman"/>
          <w:bCs w:val="0"/>
          <w:iCs/>
          <w:lang w:eastAsia="it-IT"/>
        </w:rPr>
        <w:t>deficit</w:t>
      </w:r>
      <w:r w:rsidRPr="00FE2BA1">
        <w:rPr>
          <w:rFonts w:eastAsia="Times New Roman" w:cs="Times New Roman"/>
          <w:bCs w:val="0"/>
          <w:lang w:eastAsia="it-IT"/>
        </w:rPr>
        <w:t xml:space="preserve"> </w:t>
      </w:r>
      <w:r w:rsidRPr="00FE2BA1">
        <w:rPr>
          <w:rFonts w:eastAsia="Times New Roman" w:cs="Times New Roman"/>
          <w:bCs w:val="0"/>
          <w:iCs/>
          <w:lang w:eastAsia="it-IT"/>
        </w:rPr>
        <w:t>partecipazioni</w:t>
      </w:r>
      <w:bookmarkEnd w:id="3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01"/>
        <w:gridCol w:w="1538"/>
        <w:gridCol w:w="1795"/>
        <w:gridCol w:w="1715"/>
        <w:gridCol w:w="1729"/>
      </w:tblGrid>
      <w:tr w:rsidR="00FE2BA1" w:rsidRPr="00FE2BA1" w:rsidTr="00FE2BA1">
        <w:trPr>
          <w:trHeight w:val="259"/>
          <w:jc w:val="center"/>
        </w:trPr>
        <w:tc>
          <w:tcPr>
            <w:tcW w:w="1534"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Voci</w:t>
            </w:r>
          </w:p>
        </w:tc>
        <w:tc>
          <w:tcPr>
            <w:tcW w:w="786"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31/12/2016</w:t>
            </w:r>
          </w:p>
        </w:tc>
        <w:tc>
          <w:tcPr>
            <w:tcW w:w="918"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Utilizzi/stralci</w:t>
            </w:r>
          </w:p>
        </w:tc>
        <w:tc>
          <w:tcPr>
            <w:tcW w:w="877"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Accantonam.</w:t>
            </w:r>
          </w:p>
        </w:tc>
        <w:tc>
          <w:tcPr>
            <w:tcW w:w="884"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31/12/2015</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Fase 1 Srl in Liq.ne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597.583</w:t>
            </w:r>
          </w:p>
        </w:tc>
        <w:tc>
          <w:tcPr>
            <w:tcW w:w="918"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7"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597.583</w:t>
            </w:r>
          </w:p>
        </w:tc>
        <w:tc>
          <w:tcPr>
            <w:tcW w:w="884"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Hydrocontrol Srl in Liq.ne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0</w:t>
            </w:r>
          </w:p>
        </w:tc>
        <w:tc>
          <w:tcPr>
            <w:tcW w:w="918"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722</w:t>
            </w:r>
          </w:p>
        </w:tc>
        <w:tc>
          <w:tcPr>
            <w:tcW w:w="877"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722</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Nuova Min.Silius in Liq.ne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11.074.444</w:t>
            </w:r>
          </w:p>
        </w:tc>
        <w:tc>
          <w:tcPr>
            <w:tcW w:w="918"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7"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861.393</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10.213.051</w:t>
            </w:r>
          </w:p>
        </w:tc>
      </w:tr>
      <w:tr w:rsidR="00CD34A0" w:rsidRPr="00CD34A0" w:rsidTr="002C1F0C">
        <w:trPr>
          <w:trHeight w:val="240"/>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Saremar Spa in Conc.prev.</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2.062.438</w:t>
            </w:r>
          </w:p>
        </w:tc>
        <w:tc>
          <w:tcPr>
            <w:tcW w:w="918"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7"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2.062.438</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Sogeaal Spa</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0</w:t>
            </w:r>
          </w:p>
        </w:tc>
        <w:tc>
          <w:tcPr>
            <w:tcW w:w="918"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1.017.477</w:t>
            </w:r>
          </w:p>
        </w:tc>
        <w:tc>
          <w:tcPr>
            <w:tcW w:w="877"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1.017.477</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Deficit Sogeaor Spa in Liq.ne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511</w:t>
            </w:r>
          </w:p>
        </w:tc>
        <w:tc>
          <w:tcPr>
            <w:tcW w:w="918"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7"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511</w:t>
            </w:r>
          </w:p>
        </w:tc>
        <w:tc>
          <w:tcPr>
            <w:tcW w:w="884"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r>
      <w:tr w:rsidR="00CD34A0" w:rsidRPr="00CD34A0" w:rsidTr="002C1F0C">
        <w:trPr>
          <w:trHeight w:val="222"/>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FE2BA1">
              <w:rPr>
                <w:rFonts w:ascii="Bodoni MT" w:eastAsia="Times New Roman" w:hAnsi="Bodoni MT" w:cs="Times New Roman"/>
                <w:color w:val="FFFFFF" w:themeColor="background1"/>
                <w:sz w:val="18"/>
                <w:szCs w:val="18"/>
                <w:lang w:eastAsia="it-IT"/>
              </w:rPr>
              <w:t>Agrosarda Scarl in Liquidazione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21.678</w:t>
            </w:r>
          </w:p>
        </w:tc>
        <w:tc>
          <w:tcPr>
            <w:tcW w:w="918" w:type="pct"/>
            <w:shd w:val="clear" w:color="auto" w:fill="FFFFFF" w:themeFill="background1"/>
            <w:vAlign w:val="center"/>
            <w:hideMark/>
          </w:tcPr>
          <w:p w:rsidR="00CD34A0" w:rsidRPr="00FE2BA1" w:rsidRDefault="00CD34A0" w:rsidP="002C1F0C">
            <w:pPr>
              <w:spacing w:after="0" w:line="240" w:lineRule="auto"/>
              <w:jc w:val="right"/>
              <w:rPr>
                <w:rFonts w:eastAsia="Times New Roman" w:cstheme="minorHAnsi"/>
                <w:color w:val="000000"/>
                <w:sz w:val="20"/>
                <w:szCs w:val="20"/>
                <w:lang w:eastAsia="it-IT"/>
              </w:rPr>
            </w:pPr>
            <w:r w:rsidRPr="00FE2BA1">
              <w:rPr>
                <w:rFonts w:eastAsia="Times New Roman" w:cstheme="minorHAnsi"/>
                <w:color w:val="000000"/>
                <w:sz w:val="20"/>
                <w:szCs w:val="20"/>
                <w:lang w:eastAsia="it-IT"/>
              </w:rPr>
              <w:t> </w:t>
            </w:r>
          </w:p>
        </w:tc>
        <w:tc>
          <w:tcPr>
            <w:tcW w:w="877"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46</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color w:val="000000"/>
                <w:sz w:val="18"/>
                <w:szCs w:val="18"/>
                <w:lang w:eastAsia="it-IT"/>
              </w:rPr>
            </w:pPr>
            <w:r w:rsidRPr="00FE2BA1">
              <w:rPr>
                <w:rFonts w:eastAsia="Times New Roman" w:cstheme="minorHAnsi"/>
                <w:color w:val="000000"/>
                <w:sz w:val="18"/>
                <w:szCs w:val="18"/>
                <w:lang w:eastAsia="it-IT"/>
              </w:rPr>
              <w:t>21.632</w:t>
            </w:r>
          </w:p>
        </w:tc>
      </w:tr>
      <w:tr w:rsidR="00CD34A0" w:rsidRPr="00CD34A0" w:rsidTr="002C1F0C">
        <w:trPr>
          <w:trHeight w:val="259"/>
          <w:jc w:val="center"/>
        </w:trPr>
        <w:tc>
          <w:tcPr>
            <w:tcW w:w="1534" w:type="pct"/>
            <w:shd w:val="clear" w:color="auto" w:fill="95B3D7" w:themeFill="accent1" w:themeFillTint="99"/>
            <w:hideMark/>
          </w:tcPr>
          <w:p w:rsidR="00CD34A0" w:rsidRPr="00FE2BA1" w:rsidRDefault="00CD34A0" w:rsidP="00CD34A0">
            <w:pPr>
              <w:spacing w:after="0" w:line="240" w:lineRule="auto"/>
              <w:rPr>
                <w:rFonts w:ascii="Bodoni MT" w:eastAsia="Times New Roman" w:hAnsi="Bodoni MT" w:cs="Times New Roman"/>
                <w:b/>
                <w:bCs/>
                <w:iCs/>
                <w:color w:val="FFFFFF" w:themeColor="background1"/>
                <w:sz w:val="18"/>
                <w:szCs w:val="18"/>
                <w:lang w:eastAsia="it-IT"/>
              </w:rPr>
            </w:pPr>
            <w:r w:rsidRPr="00FE2BA1">
              <w:rPr>
                <w:rFonts w:ascii="Bodoni MT" w:eastAsia="Times New Roman" w:hAnsi="Bodoni MT" w:cs="Times New Roman"/>
                <w:b/>
                <w:bCs/>
                <w:iCs/>
                <w:color w:val="FFFFFF" w:themeColor="background1"/>
                <w:sz w:val="18"/>
                <w:szCs w:val="18"/>
                <w:lang w:eastAsia="it-IT"/>
              </w:rPr>
              <w:t>Totale</w:t>
            </w:r>
          </w:p>
        </w:tc>
        <w:tc>
          <w:tcPr>
            <w:tcW w:w="786"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13.756.654</w:t>
            </w:r>
          </w:p>
        </w:tc>
        <w:tc>
          <w:tcPr>
            <w:tcW w:w="918"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1.018.199</w:t>
            </w:r>
          </w:p>
        </w:tc>
        <w:tc>
          <w:tcPr>
            <w:tcW w:w="877"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1.459.533</w:t>
            </w:r>
          </w:p>
        </w:tc>
        <w:tc>
          <w:tcPr>
            <w:tcW w:w="884" w:type="pct"/>
            <w:shd w:val="clear" w:color="auto" w:fill="FFFFFF" w:themeFill="background1"/>
            <w:noWrap/>
            <w:vAlign w:val="center"/>
            <w:hideMark/>
          </w:tcPr>
          <w:p w:rsidR="00CD34A0" w:rsidRPr="00FE2BA1" w:rsidRDefault="00CD34A0" w:rsidP="002C1F0C">
            <w:pPr>
              <w:spacing w:after="0" w:line="240" w:lineRule="auto"/>
              <w:jc w:val="right"/>
              <w:rPr>
                <w:rFonts w:eastAsia="Times New Roman" w:cstheme="minorHAnsi"/>
                <w:b/>
                <w:bCs/>
                <w:iCs/>
                <w:color w:val="000000"/>
                <w:sz w:val="18"/>
                <w:szCs w:val="18"/>
                <w:lang w:eastAsia="it-IT"/>
              </w:rPr>
            </w:pPr>
            <w:r w:rsidRPr="00FE2BA1">
              <w:rPr>
                <w:rFonts w:eastAsia="Times New Roman" w:cstheme="minorHAnsi"/>
                <w:b/>
                <w:bCs/>
                <w:iCs/>
                <w:color w:val="000000"/>
                <w:sz w:val="18"/>
                <w:szCs w:val="18"/>
                <w:lang w:eastAsia="it-IT"/>
              </w:rPr>
              <w:t>13.315.319</w:t>
            </w:r>
          </w:p>
        </w:tc>
      </w:tr>
    </w:tbl>
    <w:p w:rsidR="00CD34A0" w:rsidRPr="00FE2BA1" w:rsidRDefault="00CD34A0" w:rsidP="00FE2BA1">
      <w:pPr>
        <w:tabs>
          <w:tab w:val="left" w:pos="284"/>
          <w:tab w:val="left" w:pos="426"/>
        </w:tabs>
        <w:autoSpaceDE w:val="0"/>
        <w:autoSpaceDN w:val="0"/>
        <w:adjustRightInd w:val="0"/>
        <w:spacing w:after="360" w:line="360" w:lineRule="auto"/>
        <w:jc w:val="both"/>
        <w:textAlignment w:val="center"/>
        <w:rPr>
          <w:rFonts w:ascii="Bodoni MT" w:eastAsia="Times New Roman" w:hAnsi="Bodoni MT" w:cs="Bodoni MT"/>
          <w:color w:val="000000"/>
          <w:sz w:val="24"/>
          <w:szCs w:val="24"/>
          <w:highlight w:val="yellow"/>
        </w:rPr>
      </w:pPr>
      <w:r w:rsidRPr="00FE2BA1">
        <w:rPr>
          <w:rFonts w:ascii="Bodoni MT" w:eastAsia="Times New Roman" w:hAnsi="Bodoni MT" w:cs="Bodoni MT"/>
          <w:color w:val="000000"/>
          <w:sz w:val="18"/>
          <w:szCs w:val="18"/>
        </w:rPr>
        <w:t>Fonte RAS Rendiconto sulla gestione 2016 – Allegato 3.3</w:t>
      </w:r>
    </w:p>
    <w:p w:rsidR="004469B5" w:rsidRDefault="00CD34A0" w:rsidP="007D10C5">
      <w:pPr>
        <w:numPr>
          <w:ilvl w:val="0"/>
          <w:numId w:val="16"/>
        </w:numPr>
        <w:tabs>
          <w:tab w:val="left" w:pos="284"/>
          <w:tab w:val="left" w:pos="426"/>
        </w:tabs>
        <w:autoSpaceDE w:val="0"/>
        <w:autoSpaceDN w:val="0"/>
        <w:adjustRightInd w:val="0"/>
        <w:spacing w:after="240" w:line="360" w:lineRule="auto"/>
        <w:ind w:left="0" w:firstLine="0"/>
        <w:contextualSpacing/>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b/>
          <w:color w:val="000000"/>
          <w:sz w:val="24"/>
          <w:szCs w:val="24"/>
        </w:rPr>
        <w:t xml:space="preserve">Trattamento di fine rapporto </w:t>
      </w:r>
    </w:p>
    <w:p w:rsidR="00CD34A0" w:rsidRPr="00CD34A0" w:rsidRDefault="00CD34A0" w:rsidP="00A956C8">
      <w:pPr>
        <w:tabs>
          <w:tab w:val="left" w:pos="284"/>
          <w:tab w:val="left" w:pos="426"/>
        </w:tabs>
        <w:autoSpaceDE w:val="0"/>
        <w:autoSpaceDN w:val="0"/>
        <w:adjustRightInd w:val="0"/>
        <w:spacing w:after="240" w:line="360" w:lineRule="auto"/>
        <w:contextualSpacing/>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color w:val="000000"/>
          <w:sz w:val="24"/>
          <w:szCs w:val="24"/>
        </w:rPr>
        <w:t>Non iscritto nello stato patrimoniale perché pagato dall’Inps sulla base dei versamenti mensili effettuati dalla Regione.</w:t>
      </w:r>
    </w:p>
    <w:p w:rsidR="00CD34A0" w:rsidRPr="00CD34A0" w:rsidRDefault="00C04384" w:rsidP="007D10C5">
      <w:pPr>
        <w:numPr>
          <w:ilvl w:val="0"/>
          <w:numId w:val="16"/>
        </w:numPr>
        <w:tabs>
          <w:tab w:val="left" w:pos="284"/>
          <w:tab w:val="left" w:pos="426"/>
        </w:tabs>
        <w:autoSpaceDE w:val="0"/>
        <w:autoSpaceDN w:val="0"/>
        <w:adjustRightInd w:val="0"/>
        <w:spacing w:after="120" w:line="360" w:lineRule="auto"/>
        <w:ind w:left="0" w:firstLine="0"/>
        <w:contextualSpacing/>
        <w:jc w:val="both"/>
        <w:textAlignment w:val="center"/>
        <w:rPr>
          <w:rFonts w:ascii="Bodoni MT" w:eastAsia="Times New Roman" w:hAnsi="Bodoni MT" w:cs="Bodoni MT"/>
          <w:b/>
          <w:color w:val="000000"/>
          <w:sz w:val="24"/>
          <w:szCs w:val="24"/>
        </w:rPr>
      </w:pPr>
      <w:r>
        <w:rPr>
          <w:rFonts w:ascii="Bodoni MT" w:eastAsia="Times New Roman" w:hAnsi="Bodoni MT" w:cs="Bodoni MT"/>
          <w:b/>
          <w:color w:val="000000"/>
          <w:sz w:val="24"/>
          <w:szCs w:val="24"/>
        </w:rPr>
        <w:t>Debiti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
          <w:color w:val="000000"/>
          <w:sz w:val="24"/>
          <w:szCs w:val="24"/>
        </w:rPr>
      </w:pPr>
      <w:r w:rsidRPr="00CD34A0">
        <w:rPr>
          <w:rFonts w:ascii="Bodoni MT" w:eastAsia="Times New Roman" w:hAnsi="Bodoni MT" w:cs="Bodoni MT"/>
          <w:color w:val="000000"/>
          <w:sz w:val="24"/>
          <w:szCs w:val="24"/>
        </w:rPr>
        <w:t>I debi</w:t>
      </w:r>
      <w:r w:rsidR="00FE2BA1">
        <w:rPr>
          <w:rFonts w:ascii="Bodoni MT" w:eastAsia="Times New Roman" w:hAnsi="Bodoni MT" w:cs="Bodoni MT"/>
          <w:color w:val="000000"/>
          <w:sz w:val="24"/>
          <w:szCs w:val="24"/>
        </w:rPr>
        <w:t>ti ammontano complessivamente a</w:t>
      </w:r>
      <w:r w:rsidRPr="00CD34A0">
        <w:rPr>
          <w:rFonts w:ascii="Bodoni MT" w:eastAsia="Times New Roman" w:hAnsi="Bodoni MT" w:cs="Bodoni MT"/>
          <w:color w:val="000000"/>
          <w:sz w:val="24"/>
          <w:szCs w:val="24"/>
        </w:rPr>
        <w:t xml:space="preserve"> € 4.100.848.878, e sono riferiti prevalentemente a:</w:t>
      </w:r>
    </w:p>
    <w:p w:rsidR="00CD34A0" w:rsidRPr="00CD34A0" w:rsidRDefault="00CD34A0" w:rsidP="007D10C5">
      <w:pPr>
        <w:numPr>
          <w:ilvl w:val="0"/>
          <w:numId w:val="18"/>
        </w:numPr>
        <w:tabs>
          <w:tab w:val="left" w:pos="284"/>
          <w:tab w:val="left" w:pos="426"/>
        </w:tabs>
        <w:autoSpaceDE w:val="0"/>
        <w:autoSpaceDN w:val="0"/>
        <w:adjustRightInd w:val="0"/>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per € 1.338.032.677 a “Debiti da finanziamento”;</w:t>
      </w:r>
    </w:p>
    <w:p w:rsidR="00CD34A0" w:rsidRPr="00CD34A0" w:rsidRDefault="00CD34A0" w:rsidP="007D10C5">
      <w:pPr>
        <w:numPr>
          <w:ilvl w:val="0"/>
          <w:numId w:val="18"/>
        </w:numPr>
        <w:tabs>
          <w:tab w:val="left" w:pos="284"/>
          <w:tab w:val="left" w:pos="426"/>
        </w:tabs>
        <w:autoSpaceDE w:val="0"/>
        <w:autoSpaceDN w:val="0"/>
        <w:adjustRightInd w:val="0"/>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per € 1.174.593.883 per “Debiti per trasferimenti e contributi”;</w:t>
      </w:r>
    </w:p>
    <w:p w:rsidR="00CD34A0" w:rsidRPr="00CD34A0" w:rsidRDefault="00CD34A0" w:rsidP="007D10C5">
      <w:pPr>
        <w:numPr>
          <w:ilvl w:val="0"/>
          <w:numId w:val="18"/>
        </w:numPr>
        <w:tabs>
          <w:tab w:val="left" w:pos="284"/>
          <w:tab w:val="left" w:pos="426"/>
        </w:tabs>
        <w:autoSpaceDE w:val="0"/>
        <w:autoSpaceDN w:val="0"/>
        <w:adjustRightInd w:val="0"/>
        <w:spacing w:after="120" w:line="360" w:lineRule="auto"/>
        <w:contextualSpacing/>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per € 1.572.730.826 per “</w:t>
      </w:r>
      <w:r w:rsidR="001A775F" w:rsidRPr="00CD34A0">
        <w:rPr>
          <w:rFonts w:ascii="Bodoni MT" w:eastAsia="Times New Roman" w:hAnsi="Bodoni MT" w:cs="Bodoni MT"/>
          <w:color w:val="000000"/>
          <w:sz w:val="24"/>
          <w:szCs w:val="24"/>
        </w:rPr>
        <w:t xml:space="preserve">Altri </w:t>
      </w:r>
      <w:r w:rsidRPr="00CD34A0">
        <w:rPr>
          <w:rFonts w:ascii="Bodoni MT" w:eastAsia="Times New Roman" w:hAnsi="Bodoni MT" w:cs="Bodoni MT"/>
          <w:color w:val="000000"/>
          <w:sz w:val="24"/>
          <w:szCs w:val="24"/>
        </w:rPr>
        <w:t xml:space="preserve">debiti” </w:t>
      </w:r>
    </w:p>
    <w:p w:rsidR="00CD34A0" w:rsidRPr="00CD34A0" w:rsidRDefault="00CD34A0" w:rsidP="00FE2BA1">
      <w:pPr>
        <w:pStyle w:val="CdcTesto"/>
        <w:rPr>
          <w:rFonts w:eastAsia="Times New Roman"/>
        </w:rPr>
      </w:pPr>
      <w:r w:rsidRPr="00CD34A0">
        <w:rPr>
          <w:rFonts w:eastAsia="Times New Roman"/>
        </w:rPr>
        <w:t xml:space="preserve">La tabella che segue rappresenta nel dettaglio (nel raffronto con il </w:t>
      </w:r>
      <w:r w:rsidR="00FE2BA1">
        <w:rPr>
          <w:rFonts w:eastAsia="Times New Roman"/>
        </w:rPr>
        <w:t>2015) le singole voci debitorie.</w:t>
      </w:r>
    </w:p>
    <w:p w:rsidR="00FE2BA1" w:rsidRDefault="00FE2BA1" w:rsidP="00FE2BA1">
      <w:pPr>
        <w:pStyle w:val="Didascalia"/>
      </w:pPr>
      <w:r>
        <w:br w:type="page"/>
      </w:r>
    </w:p>
    <w:p w:rsidR="00CD34A0" w:rsidRPr="00FE2BA1" w:rsidRDefault="00FE2BA1" w:rsidP="00FE2BA1">
      <w:pPr>
        <w:pStyle w:val="Didascalia"/>
        <w:rPr>
          <w:rFonts w:eastAsia="Times New Roman" w:cs="Bodoni MT"/>
          <w:color w:val="000000"/>
        </w:rPr>
      </w:pPr>
      <w:bookmarkStart w:id="390" w:name="_Toc507422593"/>
      <w:r>
        <w:lastRenderedPageBreak/>
        <w:t xml:space="preserve">Tabella </w:t>
      </w:r>
      <w:r w:rsidR="00B90472">
        <w:fldChar w:fldCharType="begin"/>
      </w:r>
      <w:r w:rsidR="00B90472">
        <w:instrText xml:space="preserve"> SEQ Tabella \* ARABIC </w:instrText>
      </w:r>
      <w:r w:rsidR="00B90472">
        <w:fldChar w:fldCharType="separate"/>
      </w:r>
      <w:r w:rsidR="008616B3">
        <w:rPr>
          <w:noProof/>
        </w:rPr>
        <w:t>125</w:t>
      </w:r>
      <w:r w:rsidR="00B90472">
        <w:rPr>
          <w:noProof/>
        </w:rPr>
        <w:fldChar w:fldCharType="end"/>
      </w:r>
      <w:r>
        <w:t xml:space="preserve"> - </w:t>
      </w:r>
      <w:r w:rsidRPr="00FE2BA1">
        <w:rPr>
          <w:rFonts w:eastAsia="Times New Roman" w:cs="Times New Roman"/>
          <w:bCs w:val="0"/>
          <w:lang w:eastAsia="it-IT"/>
        </w:rPr>
        <w:t>Debiti</w:t>
      </w:r>
      <w:bookmarkEnd w:id="3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79"/>
        <w:gridCol w:w="1365"/>
        <w:gridCol w:w="1402"/>
        <w:gridCol w:w="1480"/>
        <w:gridCol w:w="1252"/>
      </w:tblGrid>
      <w:tr w:rsidR="00FE2BA1" w:rsidRPr="00FE2BA1" w:rsidTr="00FE2BA1">
        <w:trPr>
          <w:trHeight w:val="259"/>
          <w:jc w:val="center"/>
        </w:trPr>
        <w:tc>
          <w:tcPr>
            <w:tcW w:w="2188" w:type="pct"/>
            <w:shd w:val="clear" w:color="auto" w:fill="0F243E" w:themeFill="text2" w:themeFillShade="80"/>
            <w:hideMark/>
          </w:tcPr>
          <w:p w:rsidR="00CD34A0" w:rsidRPr="00FE2BA1" w:rsidRDefault="00CD34A0" w:rsidP="00CD34A0">
            <w:pPr>
              <w:spacing w:after="0" w:line="240" w:lineRule="auto"/>
              <w:jc w:val="center"/>
              <w:rPr>
                <w:rFonts w:ascii="Bodoni MT" w:eastAsia="Times New Roman" w:hAnsi="Bodoni MT" w:cs="Times New Roman"/>
                <w:b/>
                <w:bCs/>
                <w:iCs/>
                <w:color w:val="FFFFFF" w:themeColor="background1"/>
                <w:sz w:val="20"/>
                <w:szCs w:val="20"/>
                <w:lang w:eastAsia="it-IT"/>
              </w:rPr>
            </w:pPr>
            <w:r w:rsidRPr="00FE2BA1">
              <w:rPr>
                <w:rFonts w:ascii="Bodoni MT" w:eastAsia="Times New Roman" w:hAnsi="Bodoni MT" w:cs="Times New Roman"/>
                <w:b/>
                <w:bCs/>
                <w:iCs/>
                <w:color w:val="FFFFFF" w:themeColor="background1"/>
                <w:sz w:val="20"/>
                <w:szCs w:val="20"/>
                <w:lang w:eastAsia="it-IT"/>
              </w:rPr>
              <w:t>Voci</w:t>
            </w:r>
          </w:p>
        </w:tc>
        <w:tc>
          <w:tcPr>
            <w:tcW w:w="698"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20"/>
                <w:szCs w:val="20"/>
                <w:lang w:eastAsia="it-IT"/>
              </w:rPr>
            </w:pPr>
            <w:r w:rsidRPr="00FE2BA1">
              <w:rPr>
                <w:rFonts w:ascii="Bodoni MT" w:eastAsia="Times New Roman" w:hAnsi="Bodoni MT" w:cs="Times New Roman"/>
                <w:b/>
                <w:bCs/>
                <w:iCs/>
                <w:color w:val="FFFFFF" w:themeColor="background1"/>
                <w:sz w:val="20"/>
                <w:szCs w:val="20"/>
                <w:lang w:eastAsia="it-IT"/>
              </w:rPr>
              <w:t>31/12/2016</w:t>
            </w:r>
          </w:p>
        </w:tc>
        <w:tc>
          <w:tcPr>
            <w:tcW w:w="717" w:type="pct"/>
            <w:shd w:val="clear" w:color="auto" w:fill="0F243E" w:themeFill="text2" w:themeFillShade="80"/>
            <w:noWrap/>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20"/>
                <w:szCs w:val="20"/>
                <w:lang w:eastAsia="it-IT"/>
              </w:rPr>
            </w:pPr>
            <w:r w:rsidRPr="00FE2BA1">
              <w:rPr>
                <w:rFonts w:ascii="Bodoni MT" w:eastAsia="Times New Roman" w:hAnsi="Bodoni MT" w:cs="Times New Roman"/>
                <w:b/>
                <w:bCs/>
                <w:iCs/>
                <w:color w:val="FFFFFF" w:themeColor="background1"/>
                <w:sz w:val="20"/>
                <w:szCs w:val="20"/>
                <w:lang w:eastAsia="it-IT"/>
              </w:rPr>
              <w:t>31/12/2015</w:t>
            </w:r>
          </w:p>
        </w:tc>
        <w:tc>
          <w:tcPr>
            <w:tcW w:w="757"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20"/>
                <w:szCs w:val="20"/>
                <w:lang w:eastAsia="it-IT"/>
              </w:rPr>
            </w:pPr>
            <w:r w:rsidRPr="00FE2BA1">
              <w:rPr>
                <w:rFonts w:ascii="Bodoni MT" w:eastAsia="Times New Roman" w:hAnsi="Bodoni MT" w:cs="Times New Roman"/>
                <w:b/>
                <w:bCs/>
                <w:iCs/>
                <w:color w:val="FFFFFF" w:themeColor="background1"/>
                <w:sz w:val="20"/>
                <w:szCs w:val="20"/>
                <w:lang w:eastAsia="it-IT"/>
              </w:rPr>
              <w:t>Var</w:t>
            </w:r>
          </w:p>
        </w:tc>
        <w:tc>
          <w:tcPr>
            <w:tcW w:w="640" w:type="pct"/>
            <w:shd w:val="clear" w:color="auto" w:fill="0F243E" w:themeFill="text2" w:themeFillShade="80"/>
            <w:vAlign w:val="center"/>
            <w:hideMark/>
          </w:tcPr>
          <w:p w:rsidR="00CD34A0" w:rsidRPr="00FE2BA1" w:rsidRDefault="00CD34A0" w:rsidP="00FE2BA1">
            <w:pPr>
              <w:spacing w:after="0" w:line="240" w:lineRule="auto"/>
              <w:jc w:val="center"/>
              <w:rPr>
                <w:rFonts w:ascii="Bodoni MT" w:eastAsia="Times New Roman" w:hAnsi="Bodoni MT" w:cs="Times New Roman"/>
                <w:b/>
                <w:bCs/>
                <w:iCs/>
                <w:color w:val="FFFFFF" w:themeColor="background1"/>
                <w:sz w:val="20"/>
                <w:szCs w:val="20"/>
                <w:lang w:eastAsia="it-IT"/>
              </w:rPr>
            </w:pPr>
            <w:r w:rsidRPr="00FE2BA1">
              <w:rPr>
                <w:rFonts w:ascii="Bodoni MT" w:eastAsia="Times New Roman" w:hAnsi="Bodoni MT" w:cs="Times New Roman"/>
                <w:b/>
                <w:bCs/>
                <w:iCs/>
                <w:color w:val="FFFFFF" w:themeColor="background1"/>
                <w:sz w:val="20"/>
                <w:szCs w:val="20"/>
                <w:lang w:eastAsia="it-IT"/>
              </w:rPr>
              <w:t>Var%</w:t>
            </w:r>
          </w:p>
        </w:tc>
      </w:tr>
      <w:tr w:rsidR="00CD34A0" w:rsidRPr="00FE2BA1" w:rsidTr="00D7342A">
        <w:trPr>
          <w:trHeight w:val="240"/>
          <w:jc w:val="center"/>
        </w:trPr>
        <w:tc>
          <w:tcPr>
            <w:tcW w:w="2188" w:type="pct"/>
            <w:shd w:val="clear" w:color="auto" w:fill="95B3D7" w:themeFill="accent1" w:themeFillTint="99"/>
            <w:vAlign w:val="center"/>
            <w:hideMark/>
          </w:tcPr>
          <w:p w:rsidR="00CD34A0" w:rsidRPr="00FE2BA1" w:rsidRDefault="00CD34A0" w:rsidP="00FE2BA1">
            <w:pPr>
              <w:spacing w:after="0" w:line="240" w:lineRule="auto"/>
              <w:rPr>
                <w:rFonts w:ascii="Bodoni MT" w:eastAsia="Times New Roman" w:hAnsi="Bodoni MT" w:cs="Times New Roman"/>
                <w:color w:val="FFFFFF" w:themeColor="background1"/>
                <w:sz w:val="20"/>
                <w:szCs w:val="20"/>
                <w:lang w:eastAsia="it-IT"/>
              </w:rPr>
            </w:pPr>
            <w:r w:rsidRPr="00FE2BA1">
              <w:rPr>
                <w:rFonts w:ascii="Bodoni MT" w:eastAsia="Times New Roman" w:hAnsi="Bodoni MT" w:cs="Times New Roman"/>
                <w:color w:val="FFFFFF" w:themeColor="background1"/>
                <w:sz w:val="20"/>
                <w:szCs w:val="20"/>
                <w:lang w:eastAsia="it-IT"/>
              </w:rPr>
              <w:t>1 Debiti da finanziamento</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1.338.032.677</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1.143.873.404</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194.159.273</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17%</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a) </w:t>
            </w:r>
            <w:r w:rsidR="00CD34A0" w:rsidRPr="00FE2BA1">
              <w:rPr>
                <w:rFonts w:ascii="Bodoni MT" w:eastAsia="Times New Roman" w:hAnsi="Bodoni MT" w:cs="Times New Roman"/>
                <w:iCs/>
                <w:color w:val="FFFFFF" w:themeColor="background1"/>
                <w:sz w:val="20"/>
                <w:szCs w:val="20"/>
                <w:lang w:eastAsia="it-IT"/>
              </w:rPr>
              <w:t>Prestiti obbligazionari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752.770.477</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779.279.825</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-26.509.348</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-3%</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b) </w:t>
            </w:r>
            <w:r w:rsidR="00CD34A0" w:rsidRPr="00FE2BA1">
              <w:rPr>
                <w:rFonts w:ascii="Bodoni MT" w:eastAsia="Times New Roman" w:hAnsi="Bodoni MT" w:cs="Times New Roman"/>
                <w:iCs/>
                <w:color w:val="FFFFFF" w:themeColor="background1"/>
                <w:sz w:val="20"/>
                <w:szCs w:val="20"/>
                <w:lang w:eastAsia="it-IT"/>
              </w:rPr>
              <w:t>V/ altre amministrazioni pubbliche</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215.657.793</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215.657.793</w:t>
            </w:r>
          </w:p>
        </w:tc>
        <w:tc>
          <w:tcPr>
            <w:tcW w:w="640"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c) </w:t>
            </w:r>
            <w:r w:rsidR="00CD34A0" w:rsidRPr="00FE2BA1">
              <w:rPr>
                <w:rFonts w:ascii="Bodoni MT" w:eastAsia="Times New Roman" w:hAnsi="Bodoni MT" w:cs="Times New Roman"/>
                <w:iCs/>
                <w:color w:val="FFFFFF" w:themeColor="background1"/>
                <w:sz w:val="20"/>
                <w:szCs w:val="20"/>
                <w:lang w:eastAsia="it-IT"/>
              </w:rPr>
              <w:t>Verso banche e tesoriere</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640"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d)</w:t>
            </w:r>
            <w:r w:rsidR="00CD34A0" w:rsidRPr="00FE2BA1">
              <w:rPr>
                <w:rFonts w:ascii="Bodoni MT" w:eastAsia="Times New Roman" w:hAnsi="Bodoni MT" w:cs="Times New Roman"/>
                <w:iCs/>
                <w:color w:val="FFFFFF" w:themeColor="background1"/>
                <w:sz w:val="20"/>
                <w:szCs w:val="20"/>
                <w:lang w:eastAsia="it-IT"/>
              </w:rPr>
              <w:t xml:space="preserve"> Verso altri finanziatori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369.604.407</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364.593.579</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5.010.828</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CD34A0" w:rsidP="00FE2BA1">
            <w:pPr>
              <w:spacing w:after="0" w:line="240" w:lineRule="auto"/>
              <w:rPr>
                <w:rFonts w:ascii="Bodoni MT" w:eastAsia="Times New Roman" w:hAnsi="Bodoni MT" w:cs="Times New Roman"/>
                <w:color w:val="FFFFFF" w:themeColor="background1"/>
                <w:sz w:val="20"/>
                <w:szCs w:val="20"/>
                <w:lang w:eastAsia="it-IT"/>
              </w:rPr>
            </w:pPr>
            <w:r w:rsidRPr="00FE2BA1">
              <w:rPr>
                <w:rFonts w:ascii="Bodoni MT" w:eastAsia="Times New Roman" w:hAnsi="Bodoni MT" w:cs="Times New Roman"/>
                <w:color w:val="FFFFFF" w:themeColor="background1"/>
                <w:sz w:val="20"/>
                <w:szCs w:val="20"/>
                <w:lang w:eastAsia="it-IT"/>
              </w:rPr>
              <w:t>2 Debiti verso fornitori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15.491.492</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122.245.669</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-106.754.177</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-87%</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CD34A0" w:rsidP="00FE2BA1">
            <w:pPr>
              <w:spacing w:after="0" w:line="240" w:lineRule="auto"/>
              <w:rPr>
                <w:rFonts w:ascii="Bodoni MT" w:eastAsia="Times New Roman" w:hAnsi="Bodoni MT" w:cs="Times New Roman"/>
                <w:color w:val="FFFFFF" w:themeColor="background1"/>
                <w:sz w:val="20"/>
                <w:szCs w:val="20"/>
                <w:lang w:eastAsia="it-IT"/>
              </w:rPr>
            </w:pPr>
            <w:r w:rsidRPr="00FE2BA1">
              <w:rPr>
                <w:rFonts w:ascii="Bodoni MT" w:eastAsia="Times New Roman" w:hAnsi="Bodoni MT" w:cs="Times New Roman"/>
                <w:color w:val="FFFFFF" w:themeColor="background1"/>
                <w:sz w:val="20"/>
                <w:szCs w:val="20"/>
                <w:lang w:eastAsia="it-IT"/>
              </w:rPr>
              <w:t>3 Acconti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0</w:t>
            </w:r>
          </w:p>
        </w:tc>
        <w:tc>
          <w:tcPr>
            <w:tcW w:w="640"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sz w:val="18"/>
                <w:szCs w:val="18"/>
                <w:lang w:eastAsia="it-IT"/>
              </w:rPr>
            </w:pPr>
            <w:r w:rsidRPr="00184B93">
              <w:rPr>
                <w:rFonts w:eastAsia="Times New Roman" w:cstheme="minorHAnsi"/>
                <w:sz w:val="18"/>
                <w:szCs w:val="18"/>
                <w:lang w:eastAsia="it-IT"/>
              </w:rPr>
              <w:t>-</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CD34A0" w:rsidP="00FE2BA1">
            <w:pPr>
              <w:spacing w:after="0" w:line="240" w:lineRule="auto"/>
              <w:rPr>
                <w:rFonts w:ascii="Bodoni MT" w:eastAsia="Times New Roman" w:hAnsi="Bodoni MT" w:cs="Times New Roman"/>
                <w:color w:val="FFFFFF" w:themeColor="background1"/>
                <w:sz w:val="20"/>
                <w:szCs w:val="20"/>
                <w:lang w:eastAsia="it-IT"/>
              </w:rPr>
            </w:pPr>
            <w:r w:rsidRPr="00FE2BA1">
              <w:rPr>
                <w:rFonts w:ascii="Bodoni MT" w:eastAsia="Times New Roman" w:hAnsi="Bodoni MT" w:cs="Times New Roman"/>
                <w:color w:val="FFFFFF" w:themeColor="background1"/>
                <w:sz w:val="20"/>
                <w:szCs w:val="20"/>
                <w:lang w:eastAsia="it-IT"/>
              </w:rPr>
              <w:t>4 Debiti per trasferimenti e contributi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1.174.593.883</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1.342.069.448</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-167.475.565</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-12%</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55441F"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a) </w:t>
            </w:r>
            <w:r w:rsidR="00CD34A0" w:rsidRPr="00FE2BA1">
              <w:rPr>
                <w:rFonts w:ascii="Bodoni MT" w:eastAsia="Times New Roman" w:hAnsi="Bodoni MT" w:cs="Times New Roman"/>
                <w:iCs/>
                <w:color w:val="FFFFFF" w:themeColor="background1"/>
                <w:sz w:val="20"/>
                <w:szCs w:val="20"/>
                <w:lang w:eastAsia="it-IT"/>
              </w:rPr>
              <w:t>Enti finanziati dal servizio sanitario naz.</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717"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 </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0</w:t>
            </w:r>
          </w:p>
        </w:tc>
        <w:tc>
          <w:tcPr>
            <w:tcW w:w="640"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b) </w:t>
            </w:r>
            <w:r w:rsidR="00CD34A0" w:rsidRPr="00FE2BA1">
              <w:rPr>
                <w:rFonts w:ascii="Bodoni MT" w:eastAsia="Times New Roman" w:hAnsi="Bodoni MT" w:cs="Times New Roman"/>
                <w:iCs/>
                <w:color w:val="FFFFFF" w:themeColor="background1"/>
                <w:sz w:val="20"/>
                <w:szCs w:val="20"/>
                <w:lang w:eastAsia="it-IT"/>
              </w:rPr>
              <w:t>Altre amministrazioni pubbliche</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1.008.700.838</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1.229.443.041</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-220.742.203</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-18%</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c) </w:t>
            </w:r>
            <w:r w:rsidR="00CD34A0" w:rsidRPr="00FE2BA1">
              <w:rPr>
                <w:rFonts w:ascii="Bodoni MT" w:eastAsia="Times New Roman" w:hAnsi="Bodoni MT" w:cs="Times New Roman"/>
                <w:iCs/>
                <w:color w:val="FFFFFF" w:themeColor="background1"/>
                <w:sz w:val="20"/>
                <w:szCs w:val="20"/>
                <w:lang w:eastAsia="it-IT"/>
              </w:rPr>
              <w:t>Imprese controllate</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83.738.724</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53.600.362</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30.138.362</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56%</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d) </w:t>
            </w:r>
            <w:r w:rsidR="00CD34A0" w:rsidRPr="00FE2BA1">
              <w:rPr>
                <w:rFonts w:ascii="Bodoni MT" w:eastAsia="Times New Roman" w:hAnsi="Bodoni MT" w:cs="Times New Roman"/>
                <w:iCs/>
                <w:color w:val="FFFFFF" w:themeColor="background1"/>
                <w:sz w:val="20"/>
                <w:szCs w:val="20"/>
                <w:lang w:eastAsia="it-IT"/>
              </w:rPr>
              <w:t>Imprese partecipate</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3.695.105</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7.868.175</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-4.173.070</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-53%</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e) </w:t>
            </w:r>
            <w:r w:rsidR="00CD34A0" w:rsidRPr="00FE2BA1">
              <w:rPr>
                <w:rFonts w:ascii="Bodoni MT" w:eastAsia="Times New Roman" w:hAnsi="Bodoni MT" w:cs="Times New Roman"/>
                <w:iCs/>
                <w:color w:val="FFFFFF" w:themeColor="background1"/>
                <w:sz w:val="20"/>
                <w:szCs w:val="20"/>
                <w:lang w:eastAsia="it-IT"/>
              </w:rPr>
              <w:t>Altri soggetti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78.459.216</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51.157.870</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27.301.346</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53%</w:t>
            </w:r>
          </w:p>
        </w:tc>
      </w:tr>
      <w:tr w:rsidR="00CD34A0" w:rsidRPr="00FE2BA1" w:rsidTr="00D7342A">
        <w:trPr>
          <w:trHeight w:val="222"/>
          <w:jc w:val="center"/>
        </w:trPr>
        <w:tc>
          <w:tcPr>
            <w:tcW w:w="2188" w:type="pct"/>
            <w:shd w:val="clear" w:color="auto" w:fill="95B3D7" w:themeFill="accent1" w:themeFillTint="99"/>
            <w:vAlign w:val="center"/>
            <w:hideMark/>
          </w:tcPr>
          <w:p w:rsidR="00CD34A0" w:rsidRPr="00FE2BA1" w:rsidRDefault="00CD34A0" w:rsidP="00FE2BA1">
            <w:pPr>
              <w:spacing w:after="0" w:line="240" w:lineRule="auto"/>
              <w:rPr>
                <w:rFonts w:ascii="Bodoni MT" w:eastAsia="Times New Roman" w:hAnsi="Bodoni MT" w:cs="Times New Roman"/>
                <w:color w:val="FFFFFF" w:themeColor="background1"/>
                <w:sz w:val="20"/>
                <w:szCs w:val="20"/>
                <w:lang w:eastAsia="it-IT"/>
              </w:rPr>
            </w:pPr>
            <w:r w:rsidRPr="00FE2BA1">
              <w:rPr>
                <w:rFonts w:ascii="Bodoni MT" w:eastAsia="Times New Roman" w:hAnsi="Bodoni MT" w:cs="Times New Roman"/>
                <w:color w:val="FFFFFF" w:themeColor="background1"/>
                <w:sz w:val="20"/>
                <w:szCs w:val="20"/>
                <w:lang w:eastAsia="it-IT"/>
              </w:rPr>
              <w:t>5 Altri debiti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1.572.730.826</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1.804.120.765</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-231.389.939</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-13%</w:t>
            </w:r>
          </w:p>
        </w:tc>
      </w:tr>
      <w:tr w:rsidR="00CD34A0" w:rsidRPr="00FE2BA1" w:rsidTr="00D7342A">
        <w:trPr>
          <w:trHeight w:val="199"/>
          <w:jc w:val="center"/>
        </w:trPr>
        <w:tc>
          <w:tcPr>
            <w:tcW w:w="2188" w:type="pct"/>
            <w:shd w:val="clear" w:color="auto" w:fill="95B3D7" w:themeFill="accent1" w:themeFillTint="99"/>
            <w:vAlign w:val="center"/>
            <w:hideMark/>
          </w:tcPr>
          <w:p w:rsidR="00CD34A0" w:rsidRPr="00FE2BA1" w:rsidRDefault="00D7342A"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a) </w:t>
            </w:r>
            <w:r w:rsidR="00CD34A0" w:rsidRPr="00FE2BA1">
              <w:rPr>
                <w:rFonts w:ascii="Bodoni MT" w:eastAsia="Times New Roman" w:hAnsi="Bodoni MT" w:cs="Times New Roman"/>
                <w:iCs/>
                <w:color w:val="FFFFFF" w:themeColor="background1"/>
                <w:sz w:val="20"/>
                <w:szCs w:val="20"/>
                <w:lang w:eastAsia="it-IT"/>
              </w:rPr>
              <w:t>Tributari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1.009.398</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1.949.828</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-940.430</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-48%</w:t>
            </w:r>
          </w:p>
        </w:tc>
      </w:tr>
      <w:tr w:rsidR="00CD34A0" w:rsidRPr="00FE2BA1" w:rsidTr="00D7342A">
        <w:trPr>
          <w:trHeight w:val="64"/>
          <w:jc w:val="center"/>
        </w:trPr>
        <w:tc>
          <w:tcPr>
            <w:tcW w:w="2188" w:type="pct"/>
            <w:shd w:val="clear" w:color="auto" w:fill="95B3D7" w:themeFill="accent1" w:themeFillTint="99"/>
            <w:vAlign w:val="center"/>
            <w:hideMark/>
          </w:tcPr>
          <w:p w:rsidR="00CD34A0" w:rsidRPr="00FE2BA1" w:rsidRDefault="0055441F" w:rsidP="00FE2BA1">
            <w:pPr>
              <w:spacing w:after="0" w:line="240" w:lineRule="auto"/>
              <w:rPr>
                <w:rFonts w:ascii="Bodoni MT" w:eastAsia="Times New Roman" w:hAnsi="Bodoni MT" w:cs="Times New Roman"/>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b) </w:t>
            </w:r>
            <w:r w:rsidR="00CD34A0" w:rsidRPr="00FE2BA1">
              <w:rPr>
                <w:rFonts w:ascii="Bodoni MT" w:eastAsia="Times New Roman" w:hAnsi="Bodoni MT" w:cs="Times New Roman"/>
                <w:iCs/>
                <w:color w:val="FFFFFF" w:themeColor="background1"/>
                <w:sz w:val="20"/>
                <w:szCs w:val="20"/>
                <w:lang w:eastAsia="it-IT"/>
              </w:rPr>
              <w:t xml:space="preserve">Verso istituti di previdenza e sicurezza soc. c  </w:t>
            </w:r>
          </w:p>
        </w:tc>
        <w:tc>
          <w:tcPr>
            <w:tcW w:w="698" w:type="pct"/>
            <w:shd w:val="clear" w:color="auto" w:fill="FFFFFF" w:themeFill="background1"/>
            <w:noWrap/>
            <w:vAlign w:val="center"/>
          </w:tcPr>
          <w:p w:rsidR="00CD34A0" w:rsidRPr="00184B93" w:rsidRDefault="00CD34A0" w:rsidP="00D7342A">
            <w:pPr>
              <w:spacing w:after="0" w:line="240" w:lineRule="auto"/>
              <w:jc w:val="right"/>
              <w:rPr>
                <w:rFonts w:eastAsia="Times New Roman" w:cstheme="minorHAnsi"/>
                <w:iCs/>
                <w:color w:val="000000"/>
                <w:sz w:val="18"/>
                <w:szCs w:val="18"/>
                <w:lang w:eastAsia="it-IT"/>
              </w:rPr>
            </w:pPr>
          </w:p>
        </w:tc>
        <w:tc>
          <w:tcPr>
            <w:tcW w:w="717" w:type="pct"/>
            <w:shd w:val="clear" w:color="auto" w:fill="FFFFFF" w:themeFill="background1"/>
            <w:noWrap/>
            <w:vAlign w:val="center"/>
          </w:tcPr>
          <w:p w:rsidR="00CD34A0" w:rsidRPr="00184B93" w:rsidRDefault="00CD34A0" w:rsidP="00D7342A">
            <w:pPr>
              <w:spacing w:after="0" w:line="240" w:lineRule="auto"/>
              <w:jc w:val="right"/>
              <w:rPr>
                <w:rFonts w:eastAsia="Times New Roman" w:cstheme="minorHAnsi"/>
                <w:iCs/>
                <w:color w:val="000000"/>
                <w:sz w:val="18"/>
                <w:szCs w:val="18"/>
                <w:lang w:eastAsia="it-IT"/>
              </w:rPr>
            </w:pPr>
          </w:p>
        </w:tc>
        <w:tc>
          <w:tcPr>
            <w:tcW w:w="757" w:type="pct"/>
            <w:shd w:val="clear" w:color="auto" w:fill="FFFFFF" w:themeFill="background1"/>
            <w:vAlign w:val="center"/>
            <w:hideMark/>
          </w:tcPr>
          <w:p w:rsidR="00CD34A0" w:rsidRPr="00184B93" w:rsidRDefault="00CD34A0"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iCs/>
                <w:sz w:val="18"/>
                <w:szCs w:val="18"/>
                <w:lang w:eastAsia="it-IT"/>
              </w:rPr>
              <w:t>0</w:t>
            </w:r>
          </w:p>
        </w:tc>
        <w:tc>
          <w:tcPr>
            <w:tcW w:w="640" w:type="pct"/>
            <w:shd w:val="clear" w:color="auto" w:fill="FFFFFF" w:themeFill="background1"/>
            <w:vAlign w:val="center"/>
            <w:hideMark/>
          </w:tcPr>
          <w:p w:rsidR="00CD34A0" w:rsidRPr="00184B93" w:rsidRDefault="0055441F" w:rsidP="00D7342A">
            <w:pPr>
              <w:spacing w:after="0" w:line="240" w:lineRule="auto"/>
              <w:jc w:val="right"/>
              <w:rPr>
                <w:rFonts w:eastAsia="Times New Roman" w:cstheme="minorHAnsi"/>
                <w:color w:val="000000"/>
                <w:sz w:val="18"/>
                <w:szCs w:val="18"/>
                <w:lang w:eastAsia="it-IT"/>
              </w:rPr>
            </w:pPr>
            <w:r w:rsidRPr="00184B93">
              <w:rPr>
                <w:rFonts w:eastAsia="Times New Roman" w:cstheme="minorHAnsi"/>
                <w:color w:val="000000"/>
                <w:sz w:val="18"/>
                <w:szCs w:val="18"/>
                <w:lang w:eastAsia="it-IT"/>
              </w:rPr>
              <w:t>-</w:t>
            </w:r>
          </w:p>
        </w:tc>
      </w:tr>
      <w:tr w:rsidR="0055441F" w:rsidRPr="00FE2BA1" w:rsidTr="00D7342A">
        <w:trPr>
          <w:trHeight w:val="235"/>
          <w:jc w:val="center"/>
        </w:trPr>
        <w:tc>
          <w:tcPr>
            <w:tcW w:w="2188" w:type="pct"/>
            <w:shd w:val="clear" w:color="auto" w:fill="95B3D7" w:themeFill="accent1" w:themeFillTint="99"/>
            <w:vAlign w:val="center"/>
          </w:tcPr>
          <w:p w:rsidR="0055441F" w:rsidRPr="00FE2BA1" w:rsidRDefault="0055441F" w:rsidP="0055441F">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c) </w:t>
            </w:r>
            <w:r w:rsidRPr="00FE2BA1">
              <w:rPr>
                <w:rFonts w:ascii="Bodoni MT" w:eastAsia="Times New Roman" w:hAnsi="Bodoni MT" w:cs="Times New Roman"/>
                <w:iCs/>
                <w:color w:val="FFFFFF" w:themeColor="background1"/>
                <w:sz w:val="20"/>
                <w:szCs w:val="20"/>
                <w:lang w:eastAsia="it-IT"/>
              </w:rPr>
              <w:t>Per attività svolta per c/terzi</w:t>
            </w:r>
          </w:p>
        </w:tc>
        <w:tc>
          <w:tcPr>
            <w:tcW w:w="698" w:type="pct"/>
            <w:shd w:val="clear" w:color="auto" w:fill="FFFFFF" w:themeFill="background1"/>
            <w:noWrap/>
            <w:vAlign w:val="center"/>
          </w:tcPr>
          <w:p w:rsidR="0055441F" w:rsidRPr="00184B93" w:rsidRDefault="0055441F"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1.571.721.428</w:t>
            </w:r>
          </w:p>
        </w:tc>
        <w:tc>
          <w:tcPr>
            <w:tcW w:w="717" w:type="pct"/>
            <w:shd w:val="clear" w:color="auto" w:fill="FFFFFF" w:themeFill="background1"/>
            <w:noWrap/>
            <w:vAlign w:val="center"/>
          </w:tcPr>
          <w:p w:rsidR="0055441F" w:rsidRPr="00184B93" w:rsidRDefault="0055441F" w:rsidP="00D7342A">
            <w:pPr>
              <w:spacing w:after="0" w:line="240" w:lineRule="auto"/>
              <w:jc w:val="right"/>
              <w:rPr>
                <w:rFonts w:eastAsia="Times New Roman" w:cstheme="minorHAnsi"/>
                <w:iCs/>
                <w:color w:val="000000"/>
                <w:sz w:val="18"/>
                <w:szCs w:val="18"/>
                <w:lang w:eastAsia="it-IT"/>
              </w:rPr>
            </w:pPr>
            <w:r w:rsidRPr="00184B93">
              <w:rPr>
                <w:rFonts w:eastAsia="Times New Roman" w:cstheme="minorHAnsi"/>
                <w:iCs/>
                <w:color w:val="000000"/>
                <w:sz w:val="18"/>
                <w:szCs w:val="18"/>
                <w:lang w:eastAsia="it-IT"/>
              </w:rPr>
              <w:t>1.802.170.937</w:t>
            </w:r>
          </w:p>
        </w:tc>
        <w:tc>
          <w:tcPr>
            <w:tcW w:w="757" w:type="pct"/>
            <w:shd w:val="clear" w:color="auto" w:fill="FFFFFF" w:themeFill="background1"/>
            <w:vAlign w:val="center"/>
          </w:tcPr>
          <w:p w:rsidR="0055441F" w:rsidRPr="00184B93" w:rsidRDefault="0055441F"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0</w:t>
            </w:r>
          </w:p>
        </w:tc>
        <w:tc>
          <w:tcPr>
            <w:tcW w:w="640" w:type="pct"/>
            <w:shd w:val="clear" w:color="auto" w:fill="FFFFFF" w:themeFill="background1"/>
            <w:vAlign w:val="center"/>
          </w:tcPr>
          <w:p w:rsidR="0055441F" w:rsidRPr="00184B93" w:rsidRDefault="0055441F"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w:t>
            </w:r>
          </w:p>
        </w:tc>
      </w:tr>
      <w:tr w:rsidR="00FE2BA1" w:rsidRPr="00FE2BA1" w:rsidTr="00D7342A">
        <w:trPr>
          <w:trHeight w:val="255"/>
          <w:jc w:val="center"/>
        </w:trPr>
        <w:tc>
          <w:tcPr>
            <w:tcW w:w="2188" w:type="pct"/>
            <w:shd w:val="clear" w:color="auto" w:fill="95B3D7" w:themeFill="accent1" w:themeFillTint="99"/>
            <w:vAlign w:val="center"/>
          </w:tcPr>
          <w:p w:rsidR="00FE2BA1" w:rsidRPr="00FE2BA1" w:rsidRDefault="0055441F" w:rsidP="00FE2BA1">
            <w:pPr>
              <w:spacing w:after="0" w:line="240" w:lineRule="auto"/>
              <w:rPr>
                <w:rFonts w:ascii="Bodoni MT" w:eastAsia="Times New Roman" w:hAnsi="Bodoni MT" w:cs="Times New Roman"/>
                <w:iCs/>
                <w:color w:val="FFFFFF" w:themeColor="background1"/>
                <w:sz w:val="20"/>
                <w:szCs w:val="20"/>
                <w:lang w:eastAsia="it-IT"/>
              </w:rPr>
            </w:pPr>
            <w:r>
              <w:rPr>
                <w:rFonts w:ascii="Bodoni MT" w:eastAsia="Times New Roman" w:hAnsi="Bodoni MT" w:cs="Times New Roman"/>
                <w:iCs/>
                <w:color w:val="FFFFFF" w:themeColor="background1"/>
                <w:sz w:val="20"/>
                <w:szCs w:val="20"/>
                <w:lang w:eastAsia="it-IT"/>
              </w:rPr>
              <w:t xml:space="preserve">d) </w:t>
            </w:r>
            <w:r w:rsidRPr="00FE2BA1">
              <w:rPr>
                <w:rFonts w:ascii="Bodoni MT" w:eastAsia="Times New Roman" w:hAnsi="Bodoni MT" w:cs="Times New Roman"/>
                <w:iCs/>
                <w:color w:val="FFFFFF" w:themeColor="background1"/>
                <w:sz w:val="20"/>
                <w:szCs w:val="20"/>
                <w:lang w:eastAsia="it-IT"/>
              </w:rPr>
              <w:t>Per attività svolta per c/terzi</w:t>
            </w:r>
          </w:p>
        </w:tc>
        <w:tc>
          <w:tcPr>
            <w:tcW w:w="698" w:type="pct"/>
            <w:shd w:val="clear" w:color="auto" w:fill="FFFFFF" w:themeFill="background1"/>
            <w:noWrap/>
            <w:vAlign w:val="center"/>
          </w:tcPr>
          <w:p w:rsidR="00FE2BA1" w:rsidRPr="00184B93" w:rsidRDefault="00FE2BA1" w:rsidP="00D7342A">
            <w:pPr>
              <w:spacing w:after="0" w:line="240" w:lineRule="auto"/>
              <w:jc w:val="right"/>
              <w:rPr>
                <w:rFonts w:eastAsia="Times New Roman" w:cstheme="minorHAnsi"/>
                <w:iCs/>
                <w:color w:val="000000"/>
                <w:sz w:val="18"/>
                <w:szCs w:val="18"/>
                <w:lang w:eastAsia="it-IT"/>
              </w:rPr>
            </w:pPr>
          </w:p>
        </w:tc>
        <w:tc>
          <w:tcPr>
            <w:tcW w:w="717" w:type="pct"/>
            <w:shd w:val="clear" w:color="auto" w:fill="FFFFFF" w:themeFill="background1"/>
            <w:noWrap/>
            <w:vAlign w:val="center"/>
          </w:tcPr>
          <w:p w:rsidR="00FE2BA1" w:rsidRPr="00184B93" w:rsidRDefault="00FE2BA1" w:rsidP="00D7342A">
            <w:pPr>
              <w:spacing w:after="0" w:line="240" w:lineRule="auto"/>
              <w:jc w:val="right"/>
              <w:rPr>
                <w:rFonts w:eastAsia="Times New Roman" w:cstheme="minorHAnsi"/>
                <w:iCs/>
                <w:color w:val="000000"/>
                <w:sz w:val="18"/>
                <w:szCs w:val="18"/>
                <w:lang w:eastAsia="it-IT"/>
              </w:rPr>
            </w:pPr>
          </w:p>
        </w:tc>
        <w:tc>
          <w:tcPr>
            <w:tcW w:w="757" w:type="pct"/>
            <w:shd w:val="clear" w:color="auto" w:fill="FFFFFF" w:themeFill="background1"/>
            <w:vAlign w:val="center"/>
          </w:tcPr>
          <w:p w:rsidR="00FE2BA1" w:rsidRPr="00184B93" w:rsidRDefault="0055441F"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-230.449.509</w:t>
            </w:r>
          </w:p>
        </w:tc>
        <w:tc>
          <w:tcPr>
            <w:tcW w:w="640" w:type="pct"/>
            <w:shd w:val="clear" w:color="auto" w:fill="FFFFFF" w:themeFill="background1"/>
            <w:vAlign w:val="center"/>
          </w:tcPr>
          <w:p w:rsidR="00FE2BA1" w:rsidRPr="00184B93" w:rsidRDefault="0055441F" w:rsidP="00D7342A">
            <w:pPr>
              <w:spacing w:after="0" w:line="240" w:lineRule="auto"/>
              <w:jc w:val="right"/>
              <w:rPr>
                <w:rFonts w:eastAsia="Times New Roman" w:cstheme="minorHAnsi"/>
                <w:iCs/>
                <w:sz w:val="18"/>
                <w:szCs w:val="18"/>
                <w:lang w:eastAsia="it-IT"/>
              </w:rPr>
            </w:pPr>
            <w:r w:rsidRPr="00184B93">
              <w:rPr>
                <w:rFonts w:eastAsia="Times New Roman" w:cstheme="minorHAnsi"/>
                <w:iCs/>
                <w:sz w:val="18"/>
                <w:szCs w:val="18"/>
                <w:lang w:eastAsia="it-IT"/>
              </w:rPr>
              <w:t>-13%</w:t>
            </w:r>
          </w:p>
        </w:tc>
      </w:tr>
      <w:tr w:rsidR="00CD34A0" w:rsidRPr="00FE2BA1" w:rsidTr="00D7342A">
        <w:trPr>
          <w:trHeight w:val="270"/>
          <w:jc w:val="center"/>
        </w:trPr>
        <w:tc>
          <w:tcPr>
            <w:tcW w:w="2188" w:type="pct"/>
            <w:shd w:val="clear" w:color="auto" w:fill="95B3D7" w:themeFill="accent1" w:themeFillTint="99"/>
            <w:vAlign w:val="center"/>
            <w:hideMark/>
          </w:tcPr>
          <w:p w:rsidR="00CD34A0" w:rsidRPr="00FE2BA1" w:rsidRDefault="00C04384" w:rsidP="00FE2BA1">
            <w:pPr>
              <w:spacing w:after="0" w:line="240" w:lineRule="auto"/>
              <w:rPr>
                <w:rFonts w:ascii="Bodoni MT" w:eastAsia="Times New Roman" w:hAnsi="Bodoni MT" w:cs="Times New Roman"/>
                <w:b/>
                <w:bCs/>
                <w:iCs/>
                <w:color w:val="FFFFFF" w:themeColor="background1"/>
                <w:sz w:val="20"/>
                <w:szCs w:val="20"/>
                <w:lang w:eastAsia="it-IT"/>
              </w:rPr>
            </w:pPr>
            <w:r>
              <w:rPr>
                <w:rFonts w:ascii="Bodoni MT" w:eastAsia="Times New Roman" w:hAnsi="Bodoni MT" w:cs="Times New Roman"/>
                <w:b/>
                <w:bCs/>
                <w:iCs/>
                <w:color w:val="FFFFFF" w:themeColor="background1"/>
                <w:sz w:val="20"/>
                <w:szCs w:val="20"/>
                <w:lang w:eastAsia="it-IT"/>
              </w:rPr>
              <w:t xml:space="preserve">D - </w:t>
            </w:r>
            <w:r w:rsidR="00CD34A0" w:rsidRPr="00FE2BA1">
              <w:rPr>
                <w:rFonts w:ascii="Bodoni MT" w:eastAsia="Times New Roman" w:hAnsi="Bodoni MT" w:cs="Times New Roman"/>
                <w:b/>
                <w:bCs/>
                <w:iCs/>
                <w:color w:val="FFFFFF" w:themeColor="background1"/>
                <w:sz w:val="20"/>
                <w:szCs w:val="20"/>
                <w:lang w:eastAsia="it-IT"/>
              </w:rPr>
              <w:t>Totale Debiti</w:t>
            </w:r>
          </w:p>
        </w:tc>
        <w:tc>
          <w:tcPr>
            <w:tcW w:w="698"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4.100.848.878</w:t>
            </w:r>
          </w:p>
        </w:tc>
        <w:tc>
          <w:tcPr>
            <w:tcW w:w="71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4.412.309.286</w:t>
            </w:r>
          </w:p>
        </w:tc>
        <w:tc>
          <w:tcPr>
            <w:tcW w:w="757"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-311.460.408</w:t>
            </w:r>
          </w:p>
        </w:tc>
        <w:tc>
          <w:tcPr>
            <w:tcW w:w="640" w:type="pct"/>
            <w:shd w:val="clear" w:color="auto" w:fill="FFFFFF" w:themeFill="background1"/>
            <w:noWrap/>
            <w:vAlign w:val="center"/>
            <w:hideMark/>
          </w:tcPr>
          <w:p w:rsidR="00CD34A0" w:rsidRPr="00184B93" w:rsidRDefault="00CD34A0" w:rsidP="00D7342A">
            <w:pPr>
              <w:spacing w:after="0" w:line="240" w:lineRule="auto"/>
              <w:jc w:val="right"/>
              <w:rPr>
                <w:rFonts w:eastAsia="Times New Roman" w:cstheme="minorHAnsi"/>
                <w:b/>
                <w:bCs/>
                <w:iCs/>
                <w:color w:val="000000"/>
                <w:sz w:val="18"/>
                <w:szCs w:val="18"/>
                <w:lang w:eastAsia="it-IT"/>
              </w:rPr>
            </w:pPr>
            <w:r w:rsidRPr="00184B93">
              <w:rPr>
                <w:rFonts w:eastAsia="Times New Roman" w:cstheme="minorHAnsi"/>
                <w:b/>
                <w:bCs/>
                <w:iCs/>
                <w:color w:val="000000"/>
                <w:sz w:val="18"/>
                <w:szCs w:val="18"/>
                <w:lang w:eastAsia="it-IT"/>
              </w:rPr>
              <w:t>-7,1%</w:t>
            </w:r>
          </w:p>
        </w:tc>
      </w:tr>
    </w:tbl>
    <w:p w:rsidR="00CD34A0" w:rsidRPr="00D7342A"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D7342A">
        <w:rPr>
          <w:rFonts w:ascii="Bodoni MT" w:eastAsia="Times New Roman" w:hAnsi="Bodoni MT" w:cs="Bodoni MT"/>
          <w:color w:val="000000"/>
          <w:sz w:val="18"/>
          <w:szCs w:val="18"/>
        </w:rPr>
        <w:t>Fonte RAS Rendiconto sulla gestione 2016 – Allegato 3.3</w:t>
      </w:r>
    </w:p>
    <w:p w:rsidR="00CD34A0" w:rsidRPr="00CD34A0" w:rsidRDefault="00CD34A0" w:rsidP="00D7342A">
      <w:pPr>
        <w:tabs>
          <w:tab w:val="left" w:pos="284"/>
          <w:tab w:val="left" w:pos="426"/>
        </w:tabs>
        <w:autoSpaceDE w:val="0"/>
        <w:autoSpaceDN w:val="0"/>
        <w:adjustRightInd w:val="0"/>
        <w:spacing w:before="360"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Da evidenziare che la voce </w:t>
      </w:r>
      <w:r w:rsidRPr="00CD34A0">
        <w:rPr>
          <w:rFonts w:ascii="Bodoni MT" w:eastAsia="Times New Roman" w:hAnsi="Bodoni MT" w:cs="Bodoni MT"/>
          <w:b/>
          <w:color w:val="000000"/>
          <w:sz w:val="24"/>
          <w:szCs w:val="24"/>
        </w:rPr>
        <w:t>“altri debiti”</w:t>
      </w:r>
      <w:r w:rsidRPr="00CD34A0">
        <w:rPr>
          <w:rFonts w:ascii="Bodoni MT" w:eastAsia="Times New Roman" w:hAnsi="Bodoni MT" w:cs="Bodoni MT"/>
          <w:color w:val="000000"/>
          <w:sz w:val="24"/>
          <w:szCs w:val="24"/>
        </w:rPr>
        <w:t xml:space="preserve"> fa riferimento a debiti tributari di diversa natura e altri debiti fra cui figurano </w:t>
      </w:r>
      <w:r w:rsidRPr="00CD34A0">
        <w:rPr>
          <w:rFonts w:ascii="Bodoni MT" w:eastAsia="Times New Roman" w:hAnsi="Bodoni MT" w:cs="Bodoni MT"/>
          <w:b/>
          <w:color w:val="000000"/>
          <w:sz w:val="24"/>
          <w:szCs w:val="24"/>
        </w:rPr>
        <w:t>i de</w:t>
      </w:r>
      <w:r w:rsidR="00D7342A">
        <w:rPr>
          <w:rFonts w:ascii="Bodoni MT" w:eastAsia="Times New Roman" w:hAnsi="Bodoni MT" w:cs="Bodoni MT"/>
          <w:b/>
          <w:color w:val="000000"/>
          <w:sz w:val="24"/>
          <w:szCs w:val="24"/>
        </w:rPr>
        <w:t>biti per residui perenti pari a</w:t>
      </w:r>
      <w:r w:rsidRPr="00CD34A0">
        <w:rPr>
          <w:rFonts w:ascii="Bodoni MT" w:eastAsia="Times New Roman" w:hAnsi="Bodoni MT" w:cs="Bodoni MT"/>
          <w:b/>
          <w:color w:val="000000"/>
          <w:sz w:val="24"/>
          <w:szCs w:val="24"/>
        </w:rPr>
        <w:t xml:space="preserve"> € 1.361.852.322</w:t>
      </w:r>
      <w:r w:rsidRPr="00CD34A0">
        <w:rPr>
          <w:rFonts w:ascii="Bodoni MT" w:eastAsia="Times New Roman" w:hAnsi="Bodoni MT" w:cs="Bodoni MT"/>
          <w:color w:val="000000"/>
          <w:sz w:val="24"/>
          <w:szCs w:val="24"/>
        </w:rPr>
        <w:t>. Pertanto, i debiti dello stato patrimoniale derivano dai residui passivi, ma includono anche le voci relative a quote di capitale non ancora scadute relative a mutui passivi, a debiti finanziari di ogni</w:t>
      </w:r>
      <w:r w:rsidR="00D7342A">
        <w:rPr>
          <w:rFonts w:ascii="Bodoni MT" w:eastAsia="Times New Roman" w:hAnsi="Bodoni MT" w:cs="Bodoni MT"/>
          <w:color w:val="000000"/>
          <w:sz w:val="24"/>
          <w:szCs w:val="24"/>
        </w:rPr>
        <w:t xml:space="preserve"> genere e ai </w:t>
      </w:r>
      <w:r w:rsidRPr="00CD34A0">
        <w:rPr>
          <w:rFonts w:ascii="Bodoni MT" w:eastAsia="Times New Roman" w:hAnsi="Bodoni MT" w:cs="Bodoni MT"/>
          <w:color w:val="000000"/>
          <w:sz w:val="24"/>
          <w:szCs w:val="24"/>
        </w:rPr>
        <w:t>residui perenti.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La Nota integrativa precisa che “</w:t>
      </w:r>
      <w:r w:rsidRPr="00CD34A0">
        <w:rPr>
          <w:rFonts w:ascii="Bodoni MT" w:eastAsia="Times New Roman" w:hAnsi="Bodoni MT" w:cs="Bodoni MT"/>
          <w:i/>
          <w:color w:val="000000"/>
          <w:sz w:val="24"/>
          <w:szCs w:val="24"/>
        </w:rPr>
        <w:t>nel caso di riassegnazione di residui perenti per spese d’investimento, in sede di determinazione dello stato patrimoniale iniziale, alla vo</w:t>
      </w:r>
      <w:r w:rsidR="00184B93">
        <w:rPr>
          <w:rFonts w:ascii="Bodoni MT" w:eastAsia="Times New Roman" w:hAnsi="Bodoni MT" w:cs="Bodoni MT"/>
          <w:i/>
          <w:color w:val="000000"/>
          <w:sz w:val="24"/>
          <w:szCs w:val="24"/>
        </w:rPr>
        <w:t>ce immobilizzazioni in corso all’</w:t>
      </w:r>
      <w:r w:rsidR="004469B5">
        <w:rPr>
          <w:rFonts w:ascii="Bodoni MT" w:eastAsia="Times New Roman" w:hAnsi="Bodoni MT" w:cs="Bodoni MT"/>
          <w:i/>
          <w:color w:val="000000"/>
          <w:sz w:val="24"/>
          <w:szCs w:val="24"/>
        </w:rPr>
        <w:t>0</w:t>
      </w:r>
      <w:r w:rsidRPr="00CD34A0">
        <w:rPr>
          <w:rFonts w:ascii="Bodoni MT" w:eastAsia="Times New Roman" w:hAnsi="Bodoni MT" w:cs="Bodoni MT"/>
          <w:i/>
          <w:color w:val="000000"/>
          <w:sz w:val="24"/>
          <w:szCs w:val="24"/>
        </w:rPr>
        <w:t>1.</w:t>
      </w:r>
      <w:r w:rsidR="004469B5">
        <w:rPr>
          <w:rFonts w:ascii="Bodoni MT" w:eastAsia="Times New Roman" w:hAnsi="Bodoni MT" w:cs="Bodoni MT"/>
          <w:i/>
          <w:color w:val="000000"/>
          <w:sz w:val="24"/>
          <w:szCs w:val="24"/>
        </w:rPr>
        <w:t>0</w:t>
      </w:r>
      <w:r w:rsidRPr="00CD34A0">
        <w:rPr>
          <w:rFonts w:ascii="Bodoni MT" w:eastAsia="Times New Roman" w:hAnsi="Bodoni MT" w:cs="Bodoni MT"/>
          <w:i/>
          <w:color w:val="000000"/>
          <w:sz w:val="24"/>
          <w:szCs w:val="24"/>
        </w:rPr>
        <w:t>1.2016 è stato inserito l’intero importo debito...  si ritiene corretto rilevare il debito iniziale correlato al costo dell’investimento</w:t>
      </w:r>
      <w:r w:rsidRPr="00CD34A0">
        <w:rPr>
          <w:rFonts w:ascii="Bodoni MT" w:eastAsia="Times New Roman" w:hAnsi="Bodoni MT" w:cs="Bodoni MT"/>
          <w:color w:val="000000"/>
          <w:sz w:val="24"/>
          <w:szCs w:val="24"/>
        </w:rPr>
        <w:t xml:space="preserve">”. Per contro, è detto pure che relativamente alle </w:t>
      </w:r>
      <w:r w:rsidRPr="00CD34A0">
        <w:rPr>
          <w:rFonts w:ascii="Bodoni MT" w:eastAsia="Times New Roman" w:hAnsi="Bodoni MT" w:cs="Bodoni MT"/>
          <w:i/>
          <w:color w:val="000000"/>
          <w:sz w:val="24"/>
          <w:szCs w:val="24"/>
        </w:rPr>
        <w:t>“riassegnazioni di residui perenti successivamente stralciati dalla contabilità, si è ritenuto corretto procedere alla diminuzione del debito per residui perenti, rilevando in contropartita un incremento del valore del Fondo di dotazione iniziale</w:t>
      </w:r>
      <w:r w:rsidRPr="00CD34A0">
        <w:rPr>
          <w:rFonts w:ascii="Bodoni MT" w:eastAsia="Times New Roman" w:hAnsi="Bodoni MT" w:cs="Bodoni MT"/>
          <w:color w:val="000000"/>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Vediamo nel dettaglio la composizione dei debiti relativamente alla loro natura e la riconcili</w:t>
      </w:r>
      <w:r w:rsidR="002D60C3">
        <w:rPr>
          <w:rFonts w:ascii="Bodoni MT" w:eastAsia="Times New Roman" w:hAnsi="Bodoni MT" w:cs="Bodoni MT"/>
          <w:color w:val="000000"/>
          <w:sz w:val="24"/>
          <w:szCs w:val="24"/>
        </w:rPr>
        <w:t>azione debiti-residui passivi.</w:t>
      </w:r>
    </w:p>
    <w:p w:rsidR="002D60C3" w:rsidRDefault="002D60C3" w:rsidP="002D60C3">
      <w:pPr>
        <w:pStyle w:val="Didascalia"/>
      </w:pPr>
      <w:r>
        <w:br w:type="page"/>
      </w:r>
    </w:p>
    <w:p w:rsidR="00CD34A0" w:rsidRPr="00CD34A0" w:rsidRDefault="002D60C3" w:rsidP="002D60C3">
      <w:pPr>
        <w:pStyle w:val="Didascalia"/>
        <w:rPr>
          <w:rFonts w:eastAsia="Times New Roman" w:cs="Bodoni MT"/>
          <w:color w:val="000000"/>
          <w:sz w:val="24"/>
          <w:szCs w:val="24"/>
        </w:rPr>
      </w:pPr>
      <w:bookmarkStart w:id="391" w:name="_Toc507422594"/>
      <w:r>
        <w:lastRenderedPageBreak/>
        <w:t xml:space="preserve">Tabella </w:t>
      </w:r>
      <w:r w:rsidR="00B90472">
        <w:fldChar w:fldCharType="begin"/>
      </w:r>
      <w:r w:rsidR="00B90472">
        <w:instrText xml:space="preserve"> SEQ Tabella \* ARABIC </w:instrText>
      </w:r>
      <w:r w:rsidR="00B90472">
        <w:fldChar w:fldCharType="separate"/>
      </w:r>
      <w:r w:rsidR="008616B3">
        <w:rPr>
          <w:noProof/>
        </w:rPr>
        <w:t>126</w:t>
      </w:r>
      <w:r w:rsidR="00B90472">
        <w:rPr>
          <w:noProof/>
        </w:rPr>
        <w:fldChar w:fldCharType="end"/>
      </w:r>
      <w:r>
        <w:t xml:space="preserve"> – Debiti – Analisi per natura</w:t>
      </w:r>
      <w:bookmarkEnd w:id="3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8"/>
        <w:gridCol w:w="1834"/>
        <w:gridCol w:w="2662"/>
        <w:gridCol w:w="1834"/>
      </w:tblGrid>
      <w:tr w:rsidR="002D60C3" w:rsidRPr="002D60C3" w:rsidTr="002D60C3">
        <w:trPr>
          <w:trHeight w:val="259"/>
          <w:jc w:val="center"/>
        </w:trPr>
        <w:tc>
          <w:tcPr>
            <w:tcW w:w="1763"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Voci</w:t>
            </w:r>
          </w:p>
        </w:tc>
        <w:tc>
          <w:tcPr>
            <w:tcW w:w="938" w:type="pct"/>
            <w:shd w:val="clear" w:color="auto" w:fill="0F243E" w:themeFill="text2" w:themeFillShade="80"/>
            <w:noWrap/>
            <w:vAlign w:val="center"/>
            <w:hideMark/>
          </w:tcPr>
          <w:p w:rsidR="00CD34A0" w:rsidRPr="002D60C3" w:rsidRDefault="00CD34A0" w:rsidP="002D60C3">
            <w:pPr>
              <w:spacing w:after="0" w:line="240" w:lineRule="auto"/>
              <w:jc w:val="center"/>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31/12/2016</w:t>
            </w:r>
          </w:p>
        </w:tc>
        <w:tc>
          <w:tcPr>
            <w:tcW w:w="1361"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Variazioni</w:t>
            </w:r>
          </w:p>
        </w:tc>
        <w:tc>
          <w:tcPr>
            <w:tcW w:w="938" w:type="pct"/>
            <w:shd w:val="clear" w:color="auto" w:fill="0F243E" w:themeFill="text2" w:themeFillShade="80"/>
            <w:noWrap/>
            <w:vAlign w:val="center"/>
            <w:hideMark/>
          </w:tcPr>
          <w:p w:rsidR="00CD34A0" w:rsidRPr="002D60C3" w:rsidRDefault="00CD34A0" w:rsidP="002D60C3">
            <w:pPr>
              <w:spacing w:after="0" w:line="240" w:lineRule="auto"/>
              <w:jc w:val="center"/>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31/12/2015</w:t>
            </w:r>
          </w:p>
        </w:tc>
      </w:tr>
      <w:tr w:rsidR="00CD34A0" w:rsidRPr="00CD34A0" w:rsidTr="002D60C3">
        <w:trPr>
          <w:trHeight w:val="240"/>
          <w:jc w:val="center"/>
        </w:trPr>
        <w:tc>
          <w:tcPr>
            <w:tcW w:w="1763"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Residui passivi</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1.400.963.880</w:t>
            </w:r>
          </w:p>
        </w:tc>
        <w:tc>
          <w:tcPr>
            <w:tcW w:w="1361"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-101.270.202</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1.502.234.082</w:t>
            </w:r>
          </w:p>
        </w:tc>
      </w:tr>
      <w:tr w:rsidR="00CD34A0" w:rsidRPr="00CD34A0" w:rsidTr="002D60C3">
        <w:trPr>
          <w:trHeight w:val="222"/>
          <w:jc w:val="center"/>
        </w:trPr>
        <w:tc>
          <w:tcPr>
            <w:tcW w:w="1763"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Debiti per mutui non scaduti</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1.338.032.677</w:t>
            </w:r>
          </w:p>
        </w:tc>
        <w:tc>
          <w:tcPr>
            <w:tcW w:w="1361"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194.159.273</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1.143.873.404</w:t>
            </w:r>
          </w:p>
        </w:tc>
      </w:tr>
      <w:tr w:rsidR="00CD34A0" w:rsidRPr="00CD34A0" w:rsidTr="002D60C3">
        <w:trPr>
          <w:trHeight w:val="222"/>
          <w:jc w:val="center"/>
        </w:trPr>
        <w:tc>
          <w:tcPr>
            <w:tcW w:w="1763"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Debiti per residui perenti</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1.361.852.321</w:t>
            </w:r>
          </w:p>
        </w:tc>
        <w:tc>
          <w:tcPr>
            <w:tcW w:w="1361"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-404.349.479</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1.766.201.800</w:t>
            </w:r>
          </w:p>
        </w:tc>
      </w:tr>
      <w:tr w:rsidR="00CD34A0" w:rsidRPr="00CD34A0" w:rsidTr="002D60C3">
        <w:trPr>
          <w:trHeight w:val="259"/>
          <w:jc w:val="center"/>
        </w:trPr>
        <w:tc>
          <w:tcPr>
            <w:tcW w:w="1763"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Totale</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4.100.848.878</w:t>
            </w:r>
          </w:p>
        </w:tc>
        <w:tc>
          <w:tcPr>
            <w:tcW w:w="1361"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-311.460.408</w:t>
            </w:r>
          </w:p>
        </w:tc>
        <w:tc>
          <w:tcPr>
            <w:tcW w:w="938"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4.412.309.286</w:t>
            </w:r>
          </w:p>
        </w:tc>
      </w:tr>
    </w:tbl>
    <w:p w:rsidR="00CD34A0" w:rsidRPr="002D60C3" w:rsidRDefault="002D60C3" w:rsidP="002D60C3">
      <w:pPr>
        <w:pStyle w:val="Didascalia"/>
        <w:rPr>
          <w:rFonts w:eastAsia="Times New Roman" w:cs="Bodoni MT"/>
          <w:color w:val="000000"/>
        </w:rPr>
      </w:pPr>
      <w:bookmarkStart w:id="392" w:name="_Toc507422595"/>
      <w:r>
        <w:t xml:space="preserve">Tabella </w:t>
      </w:r>
      <w:r w:rsidR="00B90472">
        <w:fldChar w:fldCharType="begin"/>
      </w:r>
      <w:r w:rsidR="00B90472">
        <w:instrText xml:space="preserve"> SEQ Tabella \* ARABIC </w:instrText>
      </w:r>
      <w:r w:rsidR="00B90472">
        <w:fldChar w:fldCharType="separate"/>
      </w:r>
      <w:r w:rsidR="008616B3">
        <w:rPr>
          <w:noProof/>
        </w:rPr>
        <w:t>127</w:t>
      </w:r>
      <w:r w:rsidR="00B90472">
        <w:rPr>
          <w:noProof/>
        </w:rPr>
        <w:fldChar w:fldCharType="end"/>
      </w:r>
      <w:r>
        <w:t xml:space="preserve"> - </w:t>
      </w:r>
      <w:r w:rsidRPr="002D60C3">
        <w:rPr>
          <w:rFonts w:eastAsia="Times New Roman" w:cs="Times New Roman"/>
          <w:bCs w:val="0"/>
          <w:iCs/>
          <w:lang w:eastAsia="it-IT"/>
        </w:rPr>
        <w:t>Riconciliazione</w:t>
      </w:r>
      <w:r w:rsidRPr="002D60C3">
        <w:rPr>
          <w:rFonts w:eastAsia="Times New Roman" w:cs="Times New Roman"/>
          <w:bCs w:val="0"/>
          <w:lang w:eastAsia="it-IT"/>
        </w:rPr>
        <w:t xml:space="preserve"> </w:t>
      </w:r>
      <w:r w:rsidRPr="002D60C3">
        <w:rPr>
          <w:rFonts w:eastAsia="Times New Roman" w:cs="Times New Roman"/>
          <w:bCs w:val="0"/>
          <w:iCs/>
          <w:lang w:eastAsia="it-IT"/>
        </w:rPr>
        <w:t>dei</w:t>
      </w:r>
      <w:r w:rsidRPr="002D60C3">
        <w:rPr>
          <w:rFonts w:eastAsia="Times New Roman" w:cs="Times New Roman"/>
          <w:bCs w:val="0"/>
          <w:lang w:eastAsia="it-IT"/>
        </w:rPr>
        <w:t xml:space="preserve"> </w:t>
      </w:r>
      <w:r w:rsidRPr="002D60C3">
        <w:rPr>
          <w:rFonts w:eastAsia="Times New Roman" w:cs="Times New Roman"/>
          <w:bCs w:val="0"/>
          <w:iCs/>
          <w:lang w:eastAsia="it-IT"/>
        </w:rPr>
        <w:t>debiti e dei residui passivi</w:t>
      </w:r>
      <w:bookmarkEnd w:id="3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10"/>
        <w:gridCol w:w="1727"/>
        <w:gridCol w:w="2214"/>
        <w:gridCol w:w="1727"/>
      </w:tblGrid>
      <w:tr w:rsidR="002D60C3" w:rsidRPr="002D60C3" w:rsidTr="002D60C3">
        <w:trPr>
          <w:trHeight w:val="720"/>
          <w:jc w:val="center"/>
        </w:trPr>
        <w:tc>
          <w:tcPr>
            <w:tcW w:w="2102"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Voci</w:t>
            </w:r>
          </w:p>
        </w:tc>
        <w:tc>
          <w:tcPr>
            <w:tcW w:w="883"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color w:val="FFFFFF" w:themeColor="background1"/>
                <w:sz w:val="20"/>
                <w:szCs w:val="20"/>
                <w:lang w:eastAsia="it-IT"/>
              </w:rPr>
            </w:pPr>
            <w:r w:rsidRPr="002D60C3">
              <w:rPr>
                <w:rFonts w:ascii="Bodoni MT" w:eastAsia="Times New Roman" w:hAnsi="Bodoni MT" w:cs="Times New Roman"/>
                <w:b/>
                <w:bCs/>
                <w:iCs/>
                <w:color w:val="FFFFFF" w:themeColor="background1"/>
                <w:sz w:val="18"/>
                <w:szCs w:val="18"/>
                <w:lang w:eastAsia="it-IT"/>
              </w:rPr>
              <w:t>Debiti 31/12/2016</w:t>
            </w:r>
          </w:p>
        </w:tc>
        <w:tc>
          <w:tcPr>
            <w:tcW w:w="1132"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color w:val="FFFFFF" w:themeColor="background1"/>
                <w:sz w:val="20"/>
                <w:szCs w:val="20"/>
                <w:lang w:eastAsia="it-IT"/>
              </w:rPr>
            </w:pPr>
            <w:r w:rsidRPr="002D60C3">
              <w:rPr>
                <w:rFonts w:ascii="Bodoni MT" w:eastAsia="Times New Roman" w:hAnsi="Bodoni MT" w:cs="Times New Roman"/>
                <w:b/>
                <w:bCs/>
                <w:iCs/>
                <w:color w:val="FFFFFF" w:themeColor="background1"/>
                <w:sz w:val="18"/>
                <w:szCs w:val="18"/>
                <w:lang w:eastAsia="it-IT"/>
              </w:rPr>
              <w:t>Debiti non compresi nei residui</w:t>
            </w:r>
          </w:p>
        </w:tc>
        <w:tc>
          <w:tcPr>
            <w:tcW w:w="883" w:type="pct"/>
            <w:shd w:val="clear" w:color="auto" w:fill="0F243E" w:themeFill="text2" w:themeFillShade="80"/>
            <w:vAlign w:val="center"/>
            <w:hideMark/>
          </w:tcPr>
          <w:p w:rsidR="00CD34A0" w:rsidRPr="002D60C3" w:rsidRDefault="00CD34A0" w:rsidP="002D60C3">
            <w:pPr>
              <w:spacing w:after="0" w:line="240" w:lineRule="auto"/>
              <w:jc w:val="center"/>
              <w:rPr>
                <w:rFonts w:ascii="Bodoni MT" w:eastAsia="Times New Roman" w:hAnsi="Bodoni MT" w:cs="Times New Roman"/>
                <w:color w:val="FFFFFF" w:themeColor="background1"/>
                <w:sz w:val="20"/>
                <w:szCs w:val="20"/>
                <w:lang w:eastAsia="it-IT"/>
              </w:rPr>
            </w:pPr>
            <w:r w:rsidRPr="002D60C3">
              <w:rPr>
                <w:rFonts w:ascii="Bodoni MT" w:eastAsia="Times New Roman" w:hAnsi="Bodoni MT" w:cs="Times New Roman"/>
                <w:b/>
                <w:bCs/>
                <w:iCs/>
                <w:color w:val="FFFFFF" w:themeColor="background1"/>
                <w:sz w:val="18"/>
                <w:szCs w:val="18"/>
                <w:lang w:eastAsia="it-IT"/>
              </w:rPr>
              <w:t>Residui passivi 31/12/2016</w:t>
            </w:r>
          </w:p>
        </w:tc>
      </w:tr>
      <w:tr w:rsidR="00CD34A0" w:rsidRPr="00CD34A0" w:rsidTr="002D60C3">
        <w:trPr>
          <w:trHeight w:val="330"/>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Debiti da finanziamento</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1.338.032.677</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color w:val="000000"/>
                <w:sz w:val="18"/>
                <w:szCs w:val="18"/>
                <w:lang w:eastAsia="it-IT"/>
              </w:rPr>
            </w:pPr>
            <w:r w:rsidRPr="00CF06C2">
              <w:rPr>
                <w:rFonts w:eastAsia="Times New Roman" w:cstheme="minorHAnsi"/>
                <w:b/>
                <w:bCs/>
                <w:color w:val="000000"/>
                <w:sz w:val="18"/>
                <w:szCs w:val="18"/>
                <w:lang w:eastAsia="it-IT"/>
              </w:rPr>
              <w:t>1.338.032.677</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r>
      <w:tr w:rsidR="00CD34A0" w:rsidRPr="00CD34A0" w:rsidTr="002D60C3">
        <w:trPr>
          <w:trHeight w:val="222"/>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Debiti verso fornitori</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15.491.492</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15.491.492</w:t>
            </w:r>
          </w:p>
        </w:tc>
      </w:tr>
      <w:tr w:rsidR="00CD34A0" w:rsidRPr="00CD34A0" w:rsidTr="002D60C3">
        <w:trPr>
          <w:trHeight w:val="222"/>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Acconti</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r>
      <w:tr w:rsidR="00CD34A0" w:rsidRPr="00CD34A0" w:rsidTr="002D60C3">
        <w:trPr>
          <w:trHeight w:val="222"/>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Debiti per trasferimenti e contributi</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1.174.593.884</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0</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1.174.593.884</w:t>
            </w:r>
          </w:p>
        </w:tc>
      </w:tr>
      <w:tr w:rsidR="00CD34A0" w:rsidRPr="00CD34A0" w:rsidTr="002D60C3">
        <w:trPr>
          <w:trHeight w:val="315"/>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color w:val="FFFFFF" w:themeColor="background1"/>
                <w:sz w:val="18"/>
                <w:szCs w:val="18"/>
                <w:lang w:eastAsia="it-IT"/>
              </w:rPr>
            </w:pPr>
            <w:r w:rsidRPr="002D60C3">
              <w:rPr>
                <w:rFonts w:ascii="Bodoni MT" w:eastAsia="Times New Roman" w:hAnsi="Bodoni MT" w:cs="Times New Roman"/>
                <w:color w:val="FFFFFF" w:themeColor="background1"/>
                <w:sz w:val="18"/>
                <w:szCs w:val="18"/>
                <w:lang w:eastAsia="it-IT"/>
              </w:rPr>
              <w:t>Altri debiti</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1.572.730.825</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color w:val="000000"/>
                <w:sz w:val="18"/>
                <w:szCs w:val="18"/>
                <w:lang w:eastAsia="it-IT"/>
              </w:rPr>
            </w:pPr>
            <w:r w:rsidRPr="00CF06C2">
              <w:rPr>
                <w:rFonts w:eastAsia="Times New Roman" w:cstheme="minorHAnsi"/>
                <w:b/>
                <w:bCs/>
                <w:color w:val="000000"/>
                <w:sz w:val="18"/>
                <w:szCs w:val="18"/>
                <w:lang w:eastAsia="it-IT"/>
              </w:rPr>
              <w:t>1.361.852.321</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color w:val="000000"/>
                <w:sz w:val="18"/>
                <w:szCs w:val="18"/>
                <w:lang w:eastAsia="it-IT"/>
              </w:rPr>
            </w:pPr>
            <w:r w:rsidRPr="00CF06C2">
              <w:rPr>
                <w:rFonts w:eastAsia="Times New Roman" w:cstheme="minorHAnsi"/>
                <w:color w:val="000000"/>
                <w:sz w:val="18"/>
                <w:szCs w:val="18"/>
                <w:lang w:eastAsia="it-IT"/>
              </w:rPr>
              <w:t>210.878.504</w:t>
            </w:r>
          </w:p>
        </w:tc>
      </w:tr>
      <w:tr w:rsidR="00CD34A0" w:rsidRPr="00CD34A0" w:rsidTr="002D60C3">
        <w:trPr>
          <w:trHeight w:val="259"/>
          <w:jc w:val="center"/>
        </w:trPr>
        <w:tc>
          <w:tcPr>
            <w:tcW w:w="2102" w:type="pct"/>
            <w:shd w:val="clear" w:color="auto" w:fill="95B3D7" w:themeFill="accent1" w:themeFillTint="99"/>
            <w:vAlign w:val="center"/>
            <w:hideMark/>
          </w:tcPr>
          <w:p w:rsidR="00CD34A0" w:rsidRPr="002D60C3" w:rsidRDefault="00CD34A0" w:rsidP="002D60C3">
            <w:pPr>
              <w:spacing w:after="0" w:line="240" w:lineRule="auto"/>
              <w:rPr>
                <w:rFonts w:ascii="Bodoni MT" w:eastAsia="Times New Roman" w:hAnsi="Bodoni MT" w:cs="Times New Roman"/>
                <w:b/>
                <w:bCs/>
                <w:iCs/>
                <w:color w:val="FFFFFF" w:themeColor="background1"/>
                <w:sz w:val="18"/>
                <w:szCs w:val="18"/>
                <w:lang w:eastAsia="it-IT"/>
              </w:rPr>
            </w:pPr>
            <w:r w:rsidRPr="002D60C3">
              <w:rPr>
                <w:rFonts w:ascii="Bodoni MT" w:eastAsia="Times New Roman" w:hAnsi="Bodoni MT" w:cs="Times New Roman"/>
                <w:b/>
                <w:bCs/>
                <w:iCs/>
                <w:color w:val="FFFFFF" w:themeColor="background1"/>
                <w:sz w:val="18"/>
                <w:szCs w:val="18"/>
                <w:lang w:eastAsia="it-IT"/>
              </w:rPr>
              <w:t>Totale</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4.100.848.878</w:t>
            </w:r>
          </w:p>
        </w:tc>
        <w:tc>
          <w:tcPr>
            <w:tcW w:w="1132"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2.699.884.998</w:t>
            </w:r>
          </w:p>
        </w:tc>
        <w:tc>
          <w:tcPr>
            <w:tcW w:w="883" w:type="pct"/>
            <w:shd w:val="clear" w:color="auto" w:fill="FFFFFF" w:themeFill="background1"/>
            <w:noWrap/>
            <w:vAlign w:val="center"/>
            <w:hideMark/>
          </w:tcPr>
          <w:p w:rsidR="00CD34A0" w:rsidRPr="00CF06C2" w:rsidRDefault="00CD34A0" w:rsidP="002D60C3">
            <w:pPr>
              <w:spacing w:after="0" w:line="240" w:lineRule="auto"/>
              <w:jc w:val="right"/>
              <w:rPr>
                <w:rFonts w:eastAsia="Times New Roman" w:cstheme="minorHAnsi"/>
                <w:b/>
                <w:bCs/>
                <w:iCs/>
                <w:color w:val="000000"/>
                <w:sz w:val="18"/>
                <w:szCs w:val="18"/>
                <w:lang w:eastAsia="it-IT"/>
              </w:rPr>
            </w:pPr>
            <w:r w:rsidRPr="00CF06C2">
              <w:rPr>
                <w:rFonts w:eastAsia="Times New Roman" w:cstheme="minorHAnsi"/>
                <w:b/>
                <w:bCs/>
                <w:iCs/>
                <w:color w:val="000000"/>
                <w:sz w:val="18"/>
                <w:szCs w:val="18"/>
                <w:lang w:eastAsia="it-IT"/>
              </w:rPr>
              <w:t>1.400.963.880</w:t>
            </w:r>
          </w:p>
        </w:tc>
      </w:tr>
    </w:tbl>
    <w:p w:rsidR="00CD34A0" w:rsidRPr="002D60C3" w:rsidRDefault="00CD34A0" w:rsidP="00CF06C2">
      <w:pPr>
        <w:tabs>
          <w:tab w:val="left" w:pos="284"/>
          <w:tab w:val="left" w:pos="426"/>
        </w:tabs>
        <w:autoSpaceDE w:val="0"/>
        <w:autoSpaceDN w:val="0"/>
        <w:adjustRightInd w:val="0"/>
        <w:spacing w:after="360" w:line="360" w:lineRule="auto"/>
        <w:jc w:val="both"/>
        <w:textAlignment w:val="center"/>
        <w:rPr>
          <w:rFonts w:ascii="Bodoni MT" w:eastAsia="Times New Roman" w:hAnsi="Bodoni MT" w:cs="Bodoni MT"/>
          <w:color w:val="000000"/>
          <w:sz w:val="24"/>
          <w:szCs w:val="24"/>
          <w:highlight w:val="yellow"/>
        </w:rPr>
      </w:pPr>
      <w:r w:rsidRPr="002D60C3">
        <w:rPr>
          <w:rFonts w:ascii="Bodoni MT" w:eastAsia="Times New Roman" w:hAnsi="Bodoni MT" w:cs="Bodoni MT"/>
          <w:color w:val="000000"/>
          <w:sz w:val="18"/>
          <w:szCs w:val="18"/>
        </w:rPr>
        <w:t>Fonte RAS Rendiconto sulla gestione 2016 – Allegato 3.3</w:t>
      </w:r>
    </w:p>
    <w:p w:rsidR="00CD34A0" w:rsidRPr="00CD34A0" w:rsidRDefault="004469B5" w:rsidP="007D10C5">
      <w:pPr>
        <w:numPr>
          <w:ilvl w:val="0"/>
          <w:numId w:val="16"/>
        </w:numPr>
        <w:tabs>
          <w:tab w:val="left" w:pos="284"/>
          <w:tab w:val="left" w:pos="426"/>
        </w:tabs>
        <w:autoSpaceDE w:val="0"/>
        <w:autoSpaceDN w:val="0"/>
        <w:adjustRightInd w:val="0"/>
        <w:spacing w:after="120" w:line="360" w:lineRule="auto"/>
        <w:ind w:left="0" w:firstLine="0"/>
        <w:contextualSpacing/>
        <w:jc w:val="both"/>
        <w:textAlignment w:val="center"/>
        <w:rPr>
          <w:rFonts w:ascii="Bodoni MT" w:eastAsia="Times New Roman" w:hAnsi="Bodoni MT" w:cs="Bodoni MT"/>
          <w:b/>
          <w:color w:val="000000"/>
          <w:sz w:val="24"/>
          <w:szCs w:val="24"/>
        </w:rPr>
      </w:pPr>
      <w:r>
        <w:rPr>
          <w:rFonts w:ascii="Bodoni MT" w:eastAsia="Times New Roman" w:hAnsi="Bodoni MT" w:cs="Bodoni MT"/>
          <w:b/>
          <w:color w:val="000000"/>
          <w:sz w:val="24"/>
          <w:szCs w:val="24"/>
        </w:rPr>
        <w:t>Ratei e Risconti passivi</w:t>
      </w:r>
      <w:r w:rsidR="00CD34A0" w:rsidRPr="00CD34A0">
        <w:rPr>
          <w:rFonts w:ascii="Bodoni MT" w:eastAsia="Times New Roman" w:hAnsi="Bodoni MT" w:cs="Bodoni MT"/>
          <w:b/>
          <w:color w:val="000000"/>
          <w:sz w:val="24"/>
          <w:szCs w:val="24"/>
        </w:rPr>
        <w:t xml:space="preserve"> </w:t>
      </w:r>
    </w:p>
    <w:p w:rsidR="00CD34A0" w:rsidRPr="00CD34A0" w:rsidRDefault="00CF06C2"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sz w:val="24"/>
          <w:szCs w:val="24"/>
        </w:rPr>
      </w:pPr>
      <w:r>
        <w:rPr>
          <w:rFonts w:ascii="Bodoni MT" w:eastAsia="Times New Roman" w:hAnsi="Bodoni MT" w:cs="Bodoni MT"/>
          <w:sz w:val="24"/>
          <w:szCs w:val="24"/>
        </w:rPr>
        <w:t xml:space="preserve">Il </w:t>
      </w:r>
      <w:r w:rsidR="00CD34A0" w:rsidRPr="00CD34A0">
        <w:rPr>
          <w:rFonts w:ascii="Bodoni MT" w:eastAsia="Times New Roman" w:hAnsi="Bodoni MT" w:cs="Bodoni MT"/>
          <w:bCs/>
          <w:sz w:val="24"/>
          <w:szCs w:val="24"/>
        </w:rPr>
        <w:t>rateo passivo</w:t>
      </w:r>
      <w:r>
        <w:rPr>
          <w:rFonts w:ascii="Bodoni MT" w:eastAsia="Times New Roman" w:hAnsi="Bodoni MT" w:cs="Bodoni MT"/>
          <w:sz w:val="24"/>
          <w:szCs w:val="24"/>
        </w:rPr>
        <w:t xml:space="preserve"> </w:t>
      </w:r>
      <w:r w:rsidR="00CD34A0" w:rsidRPr="00CD34A0">
        <w:rPr>
          <w:rFonts w:ascii="Bodoni MT" w:eastAsia="Times New Roman" w:hAnsi="Bodoni MT" w:cs="Bodoni MT"/>
          <w:sz w:val="24"/>
          <w:szCs w:val="24"/>
        </w:rPr>
        <w:t>è la quota di costo di competenza dell'esercizio, che avrà la propria manifestazione finanziaria in un esercizio successivo. Un esempio tipico è dato dal pagamento posticipato di un fitto passivo, laddove il rateo passivo è la quota maturata entro la fine dell'esercizio il cui pagamento effettivo avverrà nell'esercizio o negli esercizi successivi; i ratei riguardano anche quote di polizze assicurative pagate posticipatamente, parzialmente di competenza dell’esercizio e, infine - in base alla DGR n.</w:t>
      </w:r>
      <w:r>
        <w:rPr>
          <w:rFonts w:ascii="Bodoni MT" w:eastAsia="Times New Roman" w:hAnsi="Bodoni MT" w:cs="Bodoni MT"/>
          <w:sz w:val="24"/>
          <w:szCs w:val="24"/>
        </w:rPr>
        <w:t xml:space="preserve"> </w:t>
      </w:r>
      <w:r w:rsidR="00CD34A0" w:rsidRPr="00CD34A0">
        <w:rPr>
          <w:rFonts w:ascii="Bodoni MT" w:eastAsia="Times New Roman" w:hAnsi="Bodoni MT" w:cs="Bodoni MT"/>
          <w:sz w:val="24"/>
          <w:szCs w:val="24"/>
        </w:rPr>
        <w:t>10/4 del 21.</w:t>
      </w:r>
      <w:r>
        <w:rPr>
          <w:rFonts w:ascii="Bodoni MT" w:eastAsia="Times New Roman" w:hAnsi="Bodoni MT" w:cs="Bodoni MT"/>
          <w:sz w:val="24"/>
          <w:szCs w:val="24"/>
        </w:rPr>
        <w:t>0</w:t>
      </w:r>
      <w:r w:rsidR="00CD34A0" w:rsidRPr="00CD34A0">
        <w:rPr>
          <w:rFonts w:ascii="Bodoni MT" w:eastAsia="Times New Roman" w:hAnsi="Bodoni MT" w:cs="Bodoni MT"/>
          <w:sz w:val="24"/>
          <w:szCs w:val="24"/>
        </w:rPr>
        <w:t xml:space="preserve">2.2017 – riguardano le somme relative al rendimento dei dipendenti ed al risultato dei dirigenti maturati al 31.12.2016, oltre agli oneri da adeguamento contrattuale che competono all’esercizio. </w:t>
      </w:r>
    </w:p>
    <w:p w:rsidR="00CD34A0" w:rsidRPr="00CD34A0" w:rsidRDefault="00CF06C2"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sz w:val="24"/>
          <w:szCs w:val="24"/>
        </w:rPr>
      </w:pPr>
      <w:r>
        <w:rPr>
          <w:rFonts w:ascii="Bodoni MT" w:eastAsia="Times New Roman" w:hAnsi="Bodoni MT" w:cs="Bodoni MT"/>
          <w:sz w:val="24"/>
          <w:szCs w:val="24"/>
        </w:rPr>
        <w:t xml:space="preserve">I </w:t>
      </w:r>
      <w:r w:rsidR="00CD34A0" w:rsidRPr="00CD34A0">
        <w:rPr>
          <w:rFonts w:ascii="Bodoni MT" w:eastAsia="Times New Roman" w:hAnsi="Bodoni MT" w:cs="Bodoni MT"/>
          <w:bCs/>
          <w:sz w:val="24"/>
          <w:szCs w:val="24"/>
        </w:rPr>
        <w:t>risconti passivi</w:t>
      </w:r>
      <w:r>
        <w:rPr>
          <w:rFonts w:ascii="Bodoni MT" w:eastAsia="Times New Roman" w:hAnsi="Bodoni MT" w:cs="Bodoni MT"/>
          <w:sz w:val="24"/>
          <w:szCs w:val="24"/>
        </w:rPr>
        <w:t xml:space="preserve"> </w:t>
      </w:r>
      <w:r w:rsidR="00CD34A0" w:rsidRPr="00CD34A0">
        <w:rPr>
          <w:rFonts w:ascii="Bodoni MT" w:eastAsia="Times New Roman" w:hAnsi="Bodoni MT" w:cs="Bodoni MT"/>
          <w:sz w:val="24"/>
          <w:szCs w:val="24"/>
        </w:rPr>
        <w:t>(ricavi anticipati) sono dei ricavi già ottenuti ma di competenza di uno o più esercizi successivi. In particolare si riferiscono a quote del fondo pluriennale vincolato e dell’avanzo di amministrazione che misurano proventi da trasferimenti già incamerati, ma con vincolo di destinazione</w:t>
      </w:r>
      <w:r w:rsidR="00CD34A0" w:rsidRPr="00CD34A0">
        <w:rPr>
          <w:rFonts w:ascii="Bodoni MT" w:eastAsia="Times New Roman" w:hAnsi="Bodoni MT" w:cs="Bodoni MT"/>
          <w:i/>
          <w:sz w:val="24"/>
          <w:szCs w:val="24"/>
        </w:rPr>
        <w:t>.</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b/>
          <w:color w:val="000000"/>
          <w:sz w:val="24"/>
          <w:szCs w:val="24"/>
        </w:rPr>
        <w:t>I ratei</w:t>
      </w:r>
      <w:r w:rsidR="00CF06C2">
        <w:rPr>
          <w:rFonts w:ascii="Bodoni MT" w:eastAsia="Times New Roman" w:hAnsi="Bodoni MT" w:cs="Bodoni MT"/>
          <w:b/>
          <w:color w:val="000000"/>
          <w:sz w:val="24"/>
          <w:szCs w:val="24"/>
        </w:rPr>
        <w:t xml:space="preserve"> e risconti passivi ammontano a</w:t>
      </w:r>
      <w:r w:rsidRPr="00CD34A0">
        <w:rPr>
          <w:rFonts w:ascii="Bodoni MT" w:eastAsia="Times New Roman" w:hAnsi="Bodoni MT" w:cs="Bodoni MT"/>
          <w:b/>
          <w:color w:val="000000"/>
          <w:sz w:val="24"/>
          <w:szCs w:val="24"/>
        </w:rPr>
        <w:t xml:space="preserve"> € 318.227.681</w:t>
      </w:r>
      <w:r w:rsidRPr="00CD34A0">
        <w:rPr>
          <w:rFonts w:ascii="Bodoni MT" w:eastAsia="Times New Roman" w:hAnsi="Bodoni MT" w:cs="Bodoni MT"/>
          <w:color w:val="000000"/>
          <w:sz w:val="24"/>
          <w:szCs w:val="24"/>
        </w:rPr>
        <w:t xml:space="preserve">. In particolare si ribadisce che i risconti passivi (€ </w:t>
      </w:r>
      <w:r w:rsidRPr="00CD34A0">
        <w:rPr>
          <w:rFonts w:ascii="Bodoni MT" w:eastAsia="Times New Roman" w:hAnsi="Bodoni MT" w:cs="Bodoni MT"/>
          <w:bCs/>
          <w:iCs/>
          <w:color w:val="000000"/>
          <w:sz w:val="24"/>
          <w:szCs w:val="24"/>
        </w:rPr>
        <w:t>306.289.875</w:t>
      </w:r>
      <w:r w:rsidRPr="00CD34A0">
        <w:rPr>
          <w:rFonts w:ascii="Bodoni MT" w:eastAsia="Times New Roman" w:hAnsi="Bodoni MT" w:cs="Bodoni MT"/>
          <w:color w:val="000000"/>
          <w:sz w:val="24"/>
          <w:szCs w:val="24"/>
        </w:rPr>
        <w:t>) comprendono il risconto dovuto all’applicazione del fondo pluriennale vincolato e dell’avanzo di amministrazione.</w:t>
      </w:r>
    </w:p>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Le tabelle che seguono riportano il riepilogo generale e, quindi, il dettaglio dei s</w:t>
      </w:r>
      <w:r w:rsidR="00CF06C2">
        <w:rPr>
          <w:rFonts w:ascii="Bodoni MT" w:eastAsia="Times New Roman" w:hAnsi="Bodoni MT" w:cs="Bodoni MT"/>
          <w:color w:val="000000"/>
          <w:sz w:val="24"/>
          <w:szCs w:val="24"/>
        </w:rPr>
        <w:t>ingoli ratei e risconti passivi.</w:t>
      </w:r>
    </w:p>
    <w:p w:rsidR="00CF06C2" w:rsidRDefault="00CF06C2" w:rsidP="00CF06C2">
      <w:pPr>
        <w:pStyle w:val="Didascalia"/>
      </w:pPr>
    </w:p>
    <w:p w:rsidR="00CF06C2" w:rsidRPr="00CD34A0" w:rsidRDefault="00CF06C2" w:rsidP="00CF06C2">
      <w:pPr>
        <w:pStyle w:val="Didascalia"/>
        <w:rPr>
          <w:rFonts w:eastAsia="Times New Roman" w:cs="Bodoni MT"/>
          <w:color w:val="000000"/>
          <w:sz w:val="24"/>
          <w:szCs w:val="24"/>
        </w:rPr>
      </w:pPr>
      <w:bookmarkStart w:id="393" w:name="_Toc507422596"/>
      <w:r>
        <w:lastRenderedPageBreak/>
        <w:t xml:space="preserve">Tabella </w:t>
      </w:r>
      <w:r w:rsidR="00B90472">
        <w:fldChar w:fldCharType="begin"/>
      </w:r>
      <w:r w:rsidR="00B90472">
        <w:instrText xml:space="preserve"> SEQ Tabella \* ARABIC </w:instrText>
      </w:r>
      <w:r w:rsidR="00B90472">
        <w:fldChar w:fldCharType="separate"/>
      </w:r>
      <w:r w:rsidR="008616B3">
        <w:rPr>
          <w:noProof/>
        </w:rPr>
        <w:t>128</w:t>
      </w:r>
      <w:r w:rsidR="00B90472">
        <w:rPr>
          <w:noProof/>
        </w:rPr>
        <w:fldChar w:fldCharType="end"/>
      </w:r>
      <w:r>
        <w:t xml:space="preserve"> – Ratei e risconti passivi</w:t>
      </w:r>
      <w:bookmarkEnd w:id="3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7"/>
        <w:gridCol w:w="2291"/>
        <w:gridCol w:w="1983"/>
        <w:gridCol w:w="1920"/>
        <w:gridCol w:w="1457"/>
      </w:tblGrid>
      <w:tr w:rsidR="00A527F3" w:rsidRPr="004469B5" w:rsidTr="004469B5">
        <w:trPr>
          <w:trHeight w:val="259"/>
          <w:jc w:val="center"/>
        </w:trPr>
        <w:tc>
          <w:tcPr>
            <w:tcW w:w="1087" w:type="pct"/>
            <w:shd w:val="clear" w:color="auto" w:fill="0F243E" w:themeFill="text2" w:themeFillShade="80"/>
          </w:tcPr>
          <w:p w:rsidR="00A527F3" w:rsidRPr="004469B5" w:rsidRDefault="00A527F3" w:rsidP="00CF06C2">
            <w:pPr>
              <w:spacing w:after="0" w:line="240" w:lineRule="auto"/>
              <w:jc w:val="center"/>
              <w:rPr>
                <w:rFonts w:ascii="Bodoni MT" w:eastAsia="Times New Roman" w:hAnsi="Bodoni MT" w:cs="Times New Roman"/>
                <w:b/>
                <w:bCs/>
                <w:iCs/>
                <w:color w:val="FFFFFF" w:themeColor="background1"/>
                <w:sz w:val="20"/>
                <w:szCs w:val="20"/>
                <w:lang w:eastAsia="it-IT"/>
              </w:rPr>
            </w:pPr>
          </w:p>
        </w:tc>
        <w:tc>
          <w:tcPr>
            <w:tcW w:w="1171" w:type="pct"/>
            <w:shd w:val="clear" w:color="auto" w:fill="0F243E" w:themeFill="text2" w:themeFillShade="80"/>
            <w:noWrap/>
            <w:vAlign w:val="center"/>
            <w:hideMark/>
          </w:tcPr>
          <w:p w:rsidR="00A527F3" w:rsidRPr="004469B5" w:rsidRDefault="00A527F3" w:rsidP="00CF06C2">
            <w:pPr>
              <w:spacing w:after="0" w:line="240" w:lineRule="auto"/>
              <w:jc w:val="center"/>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31/12/2016</w:t>
            </w:r>
          </w:p>
        </w:tc>
        <w:tc>
          <w:tcPr>
            <w:tcW w:w="1014" w:type="pct"/>
            <w:shd w:val="clear" w:color="auto" w:fill="0F243E" w:themeFill="text2" w:themeFillShade="80"/>
            <w:noWrap/>
            <w:vAlign w:val="center"/>
            <w:hideMark/>
          </w:tcPr>
          <w:p w:rsidR="00A527F3" w:rsidRPr="004469B5" w:rsidRDefault="00A527F3" w:rsidP="00CF06C2">
            <w:pPr>
              <w:spacing w:after="0" w:line="240" w:lineRule="auto"/>
              <w:jc w:val="center"/>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31/12/2015</w:t>
            </w:r>
          </w:p>
        </w:tc>
        <w:tc>
          <w:tcPr>
            <w:tcW w:w="982" w:type="pct"/>
            <w:shd w:val="clear" w:color="auto" w:fill="0F243E" w:themeFill="text2" w:themeFillShade="80"/>
            <w:vAlign w:val="center"/>
            <w:hideMark/>
          </w:tcPr>
          <w:p w:rsidR="00A527F3" w:rsidRPr="004469B5" w:rsidRDefault="00A527F3" w:rsidP="00CF06C2">
            <w:pPr>
              <w:spacing w:after="0" w:line="240" w:lineRule="auto"/>
              <w:jc w:val="center"/>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Var</w:t>
            </w:r>
          </w:p>
        </w:tc>
        <w:tc>
          <w:tcPr>
            <w:tcW w:w="745" w:type="pct"/>
            <w:shd w:val="clear" w:color="auto" w:fill="0F243E" w:themeFill="text2" w:themeFillShade="80"/>
            <w:vAlign w:val="center"/>
            <w:hideMark/>
          </w:tcPr>
          <w:p w:rsidR="00A527F3" w:rsidRPr="004469B5" w:rsidRDefault="00A527F3" w:rsidP="00CF06C2">
            <w:pPr>
              <w:spacing w:after="0" w:line="240" w:lineRule="auto"/>
              <w:jc w:val="center"/>
              <w:rPr>
                <w:rFonts w:ascii="Bodoni MT" w:eastAsia="Times New Roman" w:hAnsi="Bodoni MT" w:cs="Times New Roman"/>
                <w:b/>
                <w:bCs/>
                <w:iCs/>
                <w:color w:val="FFFFFF" w:themeColor="background1"/>
                <w:sz w:val="20"/>
                <w:szCs w:val="20"/>
                <w:lang w:eastAsia="it-IT"/>
              </w:rPr>
            </w:pPr>
            <w:r w:rsidRPr="004469B5">
              <w:rPr>
                <w:rFonts w:ascii="Bodoni MT" w:eastAsia="Times New Roman" w:hAnsi="Bodoni MT" w:cs="Times New Roman"/>
                <w:b/>
                <w:bCs/>
                <w:iCs/>
                <w:color w:val="FFFFFF" w:themeColor="background1"/>
                <w:sz w:val="20"/>
                <w:szCs w:val="20"/>
                <w:lang w:eastAsia="it-IT"/>
              </w:rPr>
              <w:t>Var%</w:t>
            </w:r>
          </w:p>
        </w:tc>
      </w:tr>
      <w:tr w:rsidR="00A527F3" w:rsidRPr="004469B5" w:rsidTr="004469B5">
        <w:trPr>
          <w:trHeight w:val="240"/>
          <w:jc w:val="center"/>
        </w:trPr>
        <w:tc>
          <w:tcPr>
            <w:tcW w:w="1087" w:type="pct"/>
            <w:shd w:val="clear" w:color="auto" w:fill="95B3D7" w:themeFill="accent1" w:themeFillTint="99"/>
            <w:vAlign w:val="center"/>
          </w:tcPr>
          <w:p w:rsidR="00A527F3" w:rsidRPr="004469B5" w:rsidRDefault="00A527F3"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heme="minorHAnsi"/>
                <w:color w:val="FFFFFF" w:themeColor="background1"/>
                <w:sz w:val="20"/>
                <w:szCs w:val="20"/>
                <w:lang w:eastAsia="it-IT"/>
              </w:rPr>
              <w:t>I Ratei passivi</w:t>
            </w:r>
          </w:p>
        </w:tc>
        <w:tc>
          <w:tcPr>
            <w:tcW w:w="1171"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11.937.806</w:t>
            </w: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9.254.492</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2.683.314</w:t>
            </w:r>
          </w:p>
        </w:tc>
        <w:tc>
          <w:tcPr>
            <w:tcW w:w="745"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r>
      <w:tr w:rsidR="00A527F3" w:rsidRPr="004469B5" w:rsidTr="004469B5">
        <w:trPr>
          <w:trHeight w:val="222"/>
          <w:jc w:val="center"/>
        </w:trPr>
        <w:tc>
          <w:tcPr>
            <w:tcW w:w="1087" w:type="pct"/>
            <w:shd w:val="clear" w:color="auto" w:fill="95B3D7" w:themeFill="accent1" w:themeFillTint="99"/>
            <w:vAlign w:val="center"/>
          </w:tcPr>
          <w:p w:rsidR="00A527F3" w:rsidRPr="004469B5" w:rsidRDefault="00A527F3"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heme="minorHAnsi"/>
                <w:color w:val="FFFFFF" w:themeColor="background1"/>
                <w:sz w:val="20"/>
                <w:szCs w:val="20"/>
                <w:lang w:eastAsia="it-IT"/>
              </w:rPr>
              <w:t>II Risconti passivi</w:t>
            </w:r>
          </w:p>
        </w:tc>
        <w:tc>
          <w:tcPr>
            <w:tcW w:w="1171"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306.289.875</w:t>
            </w: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265.293.029</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40.996.846</w:t>
            </w:r>
          </w:p>
        </w:tc>
        <w:tc>
          <w:tcPr>
            <w:tcW w:w="745"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r>
      <w:tr w:rsidR="00A527F3" w:rsidRPr="004469B5" w:rsidTr="00535EB3">
        <w:trPr>
          <w:trHeight w:val="222"/>
          <w:jc w:val="center"/>
        </w:trPr>
        <w:tc>
          <w:tcPr>
            <w:tcW w:w="1087" w:type="pct"/>
            <w:shd w:val="clear" w:color="auto" w:fill="95B3D7" w:themeFill="accent1" w:themeFillTint="99"/>
            <w:vAlign w:val="center"/>
          </w:tcPr>
          <w:p w:rsidR="00A527F3" w:rsidRPr="004469B5" w:rsidRDefault="00A527F3"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heme="minorHAnsi"/>
                <w:color w:val="FFFFFF" w:themeColor="background1"/>
                <w:sz w:val="20"/>
                <w:szCs w:val="20"/>
                <w:lang w:eastAsia="it-IT"/>
              </w:rPr>
              <w:t xml:space="preserve">1 contributi agli </w:t>
            </w:r>
            <w:r w:rsidRPr="004469B5">
              <w:rPr>
                <w:rFonts w:ascii="Bodoni MT" w:eastAsia="Times New Roman" w:hAnsi="Bodoni MT" w:cs="Times New Roman"/>
                <w:color w:val="FFFFFF" w:themeColor="background1"/>
                <w:sz w:val="20"/>
                <w:szCs w:val="20"/>
                <w:lang w:eastAsia="it-IT"/>
              </w:rPr>
              <w:t>investimenti da aapp</w:t>
            </w:r>
          </w:p>
        </w:tc>
        <w:tc>
          <w:tcPr>
            <w:tcW w:w="1171" w:type="pct"/>
            <w:shd w:val="clear" w:color="auto" w:fill="FFFFFF" w:themeFill="background1"/>
            <w:vAlign w:val="center"/>
          </w:tcPr>
          <w:p w:rsidR="00A527F3" w:rsidRPr="004469B5" w:rsidRDefault="00A527F3" w:rsidP="00CF06C2">
            <w:pPr>
              <w:spacing w:after="0" w:line="240" w:lineRule="auto"/>
              <w:jc w:val="right"/>
              <w:rPr>
                <w:rFonts w:eastAsia="Times New Roman" w:cstheme="minorHAnsi"/>
                <w:color w:val="000000"/>
                <w:sz w:val="20"/>
                <w:szCs w:val="20"/>
                <w:lang w:eastAsia="it-IT"/>
              </w:rPr>
            </w:pP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c>
          <w:tcPr>
            <w:tcW w:w="745" w:type="pct"/>
            <w:shd w:val="clear" w:color="auto" w:fill="FFFFFF" w:themeFill="background1"/>
            <w:vAlign w:val="center"/>
            <w:hideMark/>
          </w:tcPr>
          <w:p w:rsidR="00A527F3" w:rsidRPr="004469B5" w:rsidRDefault="00A527F3" w:rsidP="00CF06C2">
            <w:pPr>
              <w:spacing w:after="0" w:line="240" w:lineRule="auto"/>
              <w:jc w:val="right"/>
              <w:rPr>
                <w:rFonts w:eastAsia="Times New Roman" w:cstheme="minorHAnsi"/>
                <w:sz w:val="20"/>
                <w:szCs w:val="20"/>
                <w:lang w:eastAsia="it-IT"/>
              </w:rPr>
            </w:pPr>
            <w:r w:rsidRPr="004469B5">
              <w:rPr>
                <w:rFonts w:eastAsia="Times New Roman" w:cstheme="minorHAnsi"/>
                <w:sz w:val="20"/>
                <w:szCs w:val="20"/>
                <w:lang w:eastAsia="it-IT"/>
              </w:rPr>
              <w:t>-</w:t>
            </w:r>
          </w:p>
        </w:tc>
      </w:tr>
      <w:tr w:rsidR="00A527F3" w:rsidRPr="004469B5" w:rsidTr="00535EB3">
        <w:trPr>
          <w:trHeight w:val="222"/>
          <w:jc w:val="center"/>
        </w:trPr>
        <w:tc>
          <w:tcPr>
            <w:tcW w:w="1087" w:type="pct"/>
            <w:shd w:val="clear" w:color="auto" w:fill="95B3D7" w:themeFill="accent1" w:themeFillTint="99"/>
            <w:vAlign w:val="center"/>
          </w:tcPr>
          <w:p w:rsidR="00A527F3" w:rsidRPr="004469B5" w:rsidRDefault="00F92698"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imes New Roman"/>
                <w:i/>
                <w:iCs/>
                <w:color w:val="FFFFFF" w:themeColor="background1"/>
                <w:sz w:val="20"/>
                <w:szCs w:val="20"/>
                <w:lang w:eastAsia="it-IT"/>
              </w:rPr>
              <w:t xml:space="preserve">a) </w:t>
            </w:r>
            <w:r w:rsidR="00A527F3" w:rsidRPr="004469B5">
              <w:rPr>
                <w:rFonts w:ascii="Bodoni MT" w:eastAsia="Times New Roman" w:hAnsi="Bodoni MT" w:cs="Times New Roman"/>
                <w:i/>
                <w:iCs/>
                <w:color w:val="FFFFFF" w:themeColor="background1"/>
                <w:sz w:val="20"/>
                <w:szCs w:val="20"/>
                <w:lang w:eastAsia="it-IT"/>
              </w:rPr>
              <w:t>da altre amministrazioni pubbliche</w:t>
            </w:r>
          </w:p>
        </w:tc>
        <w:tc>
          <w:tcPr>
            <w:tcW w:w="1171" w:type="pct"/>
            <w:shd w:val="clear" w:color="auto" w:fill="FFFFFF" w:themeFill="background1"/>
            <w:vAlign w:val="center"/>
          </w:tcPr>
          <w:p w:rsidR="00A527F3" w:rsidRPr="004469B5" w:rsidRDefault="00A527F3" w:rsidP="00CF06C2">
            <w:pPr>
              <w:spacing w:after="0" w:line="240" w:lineRule="auto"/>
              <w:jc w:val="right"/>
              <w:rPr>
                <w:rFonts w:eastAsia="Times New Roman" w:cstheme="minorHAnsi"/>
                <w:color w:val="000000"/>
                <w:sz w:val="20"/>
                <w:szCs w:val="20"/>
                <w:lang w:eastAsia="it-IT"/>
              </w:rPr>
            </w:pP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iCs/>
                <w:color w:val="000000"/>
                <w:sz w:val="20"/>
                <w:szCs w:val="20"/>
                <w:lang w:eastAsia="it-IT"/>
              </w:rPr>
            </w:pPr>
            <w:r w:rsidRPr="004469B5">
              <w:rPr>
                <w:rFonts w:eastAsia="Times New Roman" w:cstheme="minorHAnsi"/>
                <w:iCs/>
                <w:color w:val="000000"/>
                <w:sz w:val="20"/>
                <w:szCs w:val="20"/>
                <w:lang w:eastAsia="it-IT"/>
              </w:rPr>
              <w:t>0</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iCs/>
                <w:color w:val="000000"/>
                <w:sz w:val="20"/>
                <w:szCs w:val="20"/>
                <w:lang w:eastAsia="it-IT"/>
              </w:rPr>
            </w:pPr>
            <w:r w:rsidRPr="004469B5">
              <w:rPr>
                <w:rFonts w:eastAsia="Times New Roman" w:cstheme="minorHAnsi"/>
                <w:iCs/>
                <w:color w:val="000000"/>
                <w:sz w:val="20"/>
                <w:szCs w:val="20"/>
                <w:lang w:eastAsia="it-IT"/>
              </w:rPr>
              <w:t>0</w:t>
            </w:r>
          </w:p>
        </w:tc>
        <w:tc>
          <w:tcPr>
            <w:tcW w:w="745" w:type="pct"/>
            <w:shd w:val="clear" w:color="auto" w:fill="FFFFFF" w:themeFill="background1"/>
            <w:vAlign w:val="center"/>
            <w:hideMark/>
          </w:tcPr>
          <w:p w:rsidR="00A527F3" w:rsidRPr="004469B5" w:rsidRDefault="00A527F3" w:rsidP="00CF06C2">
            <w:pPr>
              <w:spacing w:after="0" w:line="240" w:lineRule="auto"/>
              <w:jc w:val="right"/>
              <w:rPr>
                <w:rFonts w:eastAsia="Times New Roman" w:cstheme="minorHAnsi"/>
                <w:iCs/>
                <w:sz w:val="20"/>
                <w:szCs w:val="20"/>
                <w:lang w:eastAsia="it-IT"/>
              </w:rPr>
            </w:pPr>
            <w:r w:rsidRPr="004469B5">
              <w:rPr>
                <w:rFonts w:eastAsia="Times New Roman" w:cstheme="minorHAnsi"/>
                <w:iCs/>
                <w:sz w:val="20"/>
                <w:szCs w:val="20"/>
                <w:lang w:eastAsia="it-IT"/>
              </w:rPr>
              <w:t>-</w:t>
            </w:r>
          </w:p>
        </w:tc>
      </w:tr>
      <w:tr w:rsidR="00A527F3" w:rsidRPr="004469B5" w:rsidTr="00535EB3">
        <w:trPr>
          <w:trHeight w:val="222"/>
          <w:jc w:val="center"/>
        </w:trPr>
        <w:tc>
          <w:tcPr>
            <w:tcW w:w="1087" w:type="pct"/>
            <w:shd w:val="clear" w:color="auto" w:fill="95B3D7" w:themeFill="accent1" w:themeFillTint="99"/>
            <w:vAlign w:val="center"/>
          </w:tcPr>
          <w:p w:rsidR="00A527F3" w:rsidRPr="004469B5" w:rsidRDefault="004469B5"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imes New Roman"/>
                <w:i/>
                <w:iCs/>
                <w:color w:val="FFFFFF" w:themeColor="background1"/>
                <w:sz w:val="20"/>
                <w:szCs w:val="20"/>
                <w:lang w:eastAsia="it-IT"/>
              </w:rPr>
              <w:t>b)</w:t>
            </w:r>
            <w:r w:rsidR="00A527F3" w:rsidRPr="004469B5">
              <w:rPr>
                <w:rFonts w:ascii="Bodoni MT" w:eastAsia="Times New Roman" w:hAnsi="Bodoni MT" w:cs="Times New Roman"/>
                <w:i/>
                <w:iCs/>
                <w:color w:val="FFFFFF" w:themeColor="background1"/>
                <w:sz w:val="20"/>
                <w:szCs w:val="20"/>
                <w:lang w:eastAsia="it-IT"/>
              </w:rPr>
              <w:t xml:space="preserve"> da altri soggetti</w:t>
            </w:r>
          </w:p>
        </w:tc>
        <w:tc>
          <w:tcPr>
            <w:tcW w:w="1171" w:type="pct"/>
            <w:shd w:val="clear" w:color="auto" w:fill="FFFFFF" w:themeFill="background1"/>
            <w:vAlign w:val="center"/>
          </w:tcPr>
          <w:p w:rsidR="00A527F3" w:rsidRPr="004469B5" w:rsidRDefault="00A527F3" w:rsidP="00CF06C2">
            <w:pPr>
              <w:spacing w:after="0" w:line="240" w:lineRule="auto"/>
              <w:jc w:val="right"/>
              <w:rPr>
                <w:rFonts w:eastAsia="Times New Roman" w:cstheme="minorHAnsi"/>
                <w:color w:val="000000"/>
                <w:sz w:val="20"/>
                <w:szCs w:val="20"/>
                <w:lang w:eastAsia="it-IT"/>
              </w:rPr>
            </w:pP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iCs/>
                <w:color w:val="000000"/>
                <w:sz w:val="20"/>
                <w:szCs w:val="20"/>
                <w:lang w:eastAsia="it-IT"/>
              </w:rPr>
            </w:pPr>
            <w:r w:rsidRPr="004469B5">
              <w:rPr>
                <w:rFonts w:eastAsia="Times New Roman" w:cstheme="minorHAnsi"/>
                <w:iCs/>
                <w:color w:val="000000"/>
                <w:sz w:val="20"/>
                <w:szCs w:val="20"/>
                <w:lang w:eastAsia="it-IT"/>
              </w:rPr>
              <w:t>0</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iCs/>
                <w:color w:val="000000"/>
                <w:sz w:val="20"/>
                <w:szCs w:val="20"/>
                <w:lang w:eastAsia="it-IT"/>
              </w:rPr>
            </w:pPr>
            <w:r w:rsidRPr="004469B5">
              <w:rPr>
                <w:rFonts w:eastAsia="Times New Roman" w:cstheme="minorHAnsi"/>
                <w:iCs/>
                <w:color w:val="000000"/>
                <w:sz w:val="20"/>
                <w:szCs w:val="20"/>
                <w:lang w:eastAsia="it-IT"/>
              </w:rPr>
              <w:t>0</w:t>
            </w:r>
          </w:p>
        </w:tc>
        <w:tc>
          <w:tcPr>
            <w:tcW w:w="745" w:type="pct"/>
            <w:shd w:val="clear" w:color="auto" w:fill="FFFFFF" w:themeFill="background1"/>
            <w:vAlign w:val="center"/>
            <w:hideMark/>
          </w:tcPr>
          <w:p w:rsidR="00A527F3" w:rsidRPr="004469B5" w:rsidRDefault="00A527F3" w:rsidP="00CF06C2">
            <w:pPr>
              <w:spacing w:after="0" w:line="240" w:lineRule="auto"/>
              <w:jc w:val="right"/>
              <w:rPr>
                <w:rFonts w:eastAsia="Times New Roman" w:cstheme="minorHAnsi"/>
                <w:iCs/>
                <w:sz w:val="20"/>
                <w:szCs w:val="20"/>
                <w:lang w:eastAsia="it-IT"/>
              </w:rPr>
            </w:pPr>
            <w:r w:rsidRPr="004469B5">
              <w:rPr>
                <w:rFonts w:eastAsia="Times New Roman" w:cstheme="minorHAnsi"/>
                <w:iCs/>
                <w:sz w:val="20"/>
                <w:szCs w:val="20"/>
                <w:lang w:eastAsia="it-IT"/>
              </w:rPr>
              <w:t>-</w:t>
            </w:r>
          </w:p>
        </w:tc>
      </w:tr>
      <w:tr w:rsidR="00A527F3" w:rsidRPr="004469B5" w:rsidTr="00535EB3">
        <w:trPr>
          <w:trHeight w:val="222"/>
          <w:jc w:val="center"/>
        </w:trPr>
        <w:tc>
          <w:tcPr>
            <w:tcW w:w="1087" w:type="pct"/>
            <w:shd w:val="clear" w:color="auto" w:fill="95B3D7" w:themeFill="accent1" w:themeFillTint="99"/>
            <w:vAlign w:val="center"/>
          </w:tcPr>
          <w:p w:rsidR="00A527F3" w:rsidRPr="004469B5" w:rsidRDefault="00A527F3"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2 Concessioni pluriennali</w:t>
            </w:r>
          </w:p>
        </w:tc>
        <w:tc>
          <w:tcPr>
            <w:tcW w:w="1171" w:type="pct"/>
            <w:shd w:val="clear" w:color="auto" w:fill="FFFFFF" w:themeFill="background1"/>
            <w:vAlign w:val="center"/>
          </w:tcPr>
          <w:p w:rsidR="00A527F3" w:rsidRPr="004469B5" w:rsidRDefault="00A527F3" w:rsidP="00CF06C2">
            <w:pPr>
              <w:spacing w:after="0" w:line="240" w:lineRule="auto"/>
              <w:jc w:val="right"/>
              <w:rPr>
                <w:rFonts w:eastAsia="Times New Roman" w:cstheme="minorHAnsi"/>
                <w:color w:val="000000"/>
                <w:sz w:val="20"/>
                <w:szCs w:val="20"/>
                <w:lang w:eastAsia="it-IT"/>
              </w:rPr>
            </w:pP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c>
          <w:tcPr>
            <w:tcW w:w="745" w:type="pct"/>
            <w:shd w:val="clear" w:color="auto" w:fill="FFFFFF" w:themeFill="background1"/>
            <w:vAlign w:val="center"/>
            <w:hideMark/>
          </w:tcPr>
          <w:p w:rsidR="00A527F3" w:rsidRPr="004469B5" w:rsidRDefault="00A527F3" w:rsidP="00CF06C2">
            <w:pPr>
              <w:spacing w:after="0" w:line="240" w:lineRule="auto"/>
              <w:jc w:val="right"/>
              <w:rPr>
                <w:rFonts w:eastAsia="Times New Roman" w:cstheme="minorHAnsi"/>
                <w:sz w:val="20"/>
                <w:szCs w:val="20"/>
                <w:lang w:eastAsia="it-IT"/>
              </w:rPr>
            </w:pPr>
            <w:r w:rsidRPr="004469B5">
              <w:rPr>
                <w:rFonts w:eastAsia="Times New Roman" w:cstheme="minorHAnsi"/>
                <w:sz w:val="20"/>
                <w:szCs w:val="20"/>
                <w:lang w:eastAsia="it-IT"/>
              </w:rPr>
              <w:t>-</w:t>
            </w:r>
          </w:p>
        </w:tc>
      </w:tr>
      <w:tr w:rsidR="00A527F3" w:rsidRPr="004469B5" w:rsidTr="004469B5">
        <w:trPr>
          <w:trHeight w:val="199"/>
          <w:jc w:val="center"/>
        </w:trPr>
        <w:tc>
          <w:tcPr>
            <w:tcW w:w="1087" w:type="pct"/>
            <w:shd w:val="clear" w:color="auto" w:fill="95B3D7" w:themeFill="accent1" w:themeFillTint="99"/>
            <w:vAlign w:val="center"/>
          </w:tcPr>
          <w:p w:rsidR="00A527F3" w:rsidRPr="004469B5" w:rsidRDefault="00A527F3" w:rsidP="00A527F3">
            <w:pPr>
              <w:spacing w:after="0" w:line="240" w:lineRule="auto"/>
              <w:rPr>
                <w:rFonts w:ascii="Bodoni MT" w:eastAsia="Times New Roman" w:hAnsi="Bodoni MT" w:cstheme="minorHAnsi"/>
                <w:color w:val="FFFFFF" w:themeColor="background1"/>
                <w:sz w:val="20"/>
                <w:szCs w:val="20"/>
                <w:lang w:eastAsia="it-IT"/>
              </w:rPr>
            </w:pPr>
            <w:r w:rsidRPr="004469B5">
              <w:rPr>
                <w:rFonts w:ascii="Bodoni MT" w:eastAsia="Times New Roman" w:hAnsi="Bodoni MT" w:cs="Times New Roman"/>
                <w:color w:val="FFFFFF" w:themeColor="background1"/>
                <w:sz w:val="20"/>
                <w:szCs w:val="20"/>
                <w:lang w:eastAsia="it-IT"/>
              </w:rPr>
              <w:t>3 Altri risconti passivi</w:t>
            </w:r>
          </w:p>
        </w:tc>
        <w:tc>
          <w:tcPr>
            <w:tcW w:w="1171"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306.289.875</w:t>
            </w: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265.293.029</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40.996.846</w:t>
            </w:r>
          </w:p>
        </w:tc>
        <w:tc>
          <w:tcPr>
            <w:tcW w:w="745"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color w:val="000000"/>
                <w:sz w:val="20"/>
                <w:szCs w:val="20"/>
                <w:lang w:eastAsia="it-IT"/>
              </w:rPr>
            </w:pPr>
            <w:r w:rsidRPr="004469B5">
              <w:rPr>
                <w:rFonts w:eastAsia="Times New Roman" w:cstheme="minorHAnsi"/>
                <w:color w:val="000000"/>
                <w:sz w:val="20"/>
                <w:szCs w:val="20"/>
                <w:lang w:eastAsia="it-IT"/>
              </w:rPr>
              <w:t>0</w:t>
            </w:r>
          </w:p>
        </w:tc>
      </w:tr>
      <w:tr w:rsidR="00A527F3" w:rsidRPr="004469B5" w:rsidTr="004469B5">
        <w:trPr>
          <w:trHeight w:val="259"/>
          <w:jc w:val="center"/>
        </w:trPr>
        <w:tc>
          <w:tcPr>
            <w:tcW w:w="1087" w:type="pct"/>
            <w:shd w:val="clear" w:color="auto" w:fill="95B3D7" w:themeFill="accent1" w:themeFillTint="99"/>
            <w:vAlign w:val="center"/>
          </w:tcPr>
          <w:p w:rsidR="00A527F3" w:rsidRPr="004469B5" w:rsidRDefault="00C04384" w:rsidP="00A527F3">
            <w:pPr>
              <w:spacing w:after="0" w:line="240" w:lineRule="auto"/>
              <w:rPr>
                <w:rFonts w:ascii="Bodoni MT" w:eastAsia="Times New Roman" w:hAnsi="Bodoni MT" w:cstheme="minorHAnsi"/>
                <w:b/>
                <w:bCs/>
                <w:iCs/>
                <w:color w:val="FFFFFF" w:themeColor="background1"/>
                <w:sz w:val="20"/>
                <w:szCs w:val="20"/>
                <w:lang w:eastAsia="it-IT"/>
              </w:rPr>
            </w:pPr>
            <w:r>
              <w:rPr>
                <w:rFonts w:ascii="Bodoni MT" w:eastAsia="Times New Roman" w:hAnsi="Bodoni MT" w:cs="Times New Roman"/>
                <w:b/>
                <w:bCs/>
                <w:iCs/>
                <w:color w:val="FFFFFF" w:themeColor="background1"/>
                <w:sz w:val="20"/>
                <w:szCs w:val="20"/>
                <w:lang w:eastAsia="it-IT"/>
              </w:rPr>
              <w:t xml:space="preserve">E - </w:t>
            </w:r>
            <w:r w:rsidR="00A527F3" w:rsidRPr="004469B5">
              <w:rPr>
                <w:rFonts w:ascii="Bodoni MT" w:eastAsia="Times New Roman" w:hAnsi="Bodoni MT" w:cs="Times New Roman"/>
                <w:b/>
                <w:bCs/>
                <w:iCs/>
                <w:color w:val="FFFFFF" w:themeColor="background1"/>
                <w:sz w:val="20"/>
                <w:szCs w:val="20"/>
                <w:lang w:eastAsia="it-IT"/>
              </w:rPr>
              <w:t>Totale Ratei e Risconti passivi</w:t>
            </w:r>
          </w:p>
        </w:tc>
        <w:tc>
          <w:tcPr>
            <w:tcW w:w="1171"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b/>
                <w:bCs/>
                <w:iCs/>
                <w:color w:val="000000"/>
                <w:sz w:val="20"/>
                <w:szCs w:val="20"/>
                <w:lang w:eastAsia="it-IT"/>
              </w:rPr>
            </w:pPr>
            <w:r w:rsidRPr="004469B5">
              <w:rPr>
                <w:rFonts w:eastAsia="Times New Roman" w:cstheme="minorHAnsi"/>
                <w:b/>
                <w:bCs/>
                <w:iCs/>
                <w:color w:val="000000"/>
                <w:sz w:val="20"/>
                <w:szCs w:val="20"/>
                <w:lang w:eastAsia="it-IT"/>
              </w:rPr>
              <w:t>318.227.681</w:t>
            </w:r>
          </w:p>
        </w:tc>
        <w:tc>
          <w:tcPr>
            <w:tcW w:w="1014"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b/>
                <w:bCs/>
                <w:iCs/>
                <w:color w:val="000000"/>
                <w:sz w:val="20"/>
                <w:szCs w:val="20"/>
                <w:lang w:eastAsia="it-IT"/>
              </w:rPr>
            </w:pPr>
            <w:r w:rsidRPr="004469B5">
              <w:rPr>
                <w:rFonts w:eastAsia="Times New Roman" w:cstheme="minorHAnsi"/>
                <w:b/>
                <w:bCs/>
                <w:iCs/>
                <w:color w:val="000000"/>
                <w:sz w:val="20"/>
                <w:szCs w:val="20"/>
                <w:lang w:eastAsia="it-IT"/>
              </w:rPr>
              <w:t>274.547.521</w:t>
            </w:r>
          </w:p>
        </w:tc>
        <w:tc>
          <w:tcPr>
            <w:tcW w:w="982"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b/>
                <w:bCs/>
                <w:iCs/>
                <w:color w:val="000000"/>
                <w:sz w:val="20"/>
                <w:szCs w:val="20"/>
                <w:lang w:eastAsia="it-IT"/>
              </w:rPr>
            </w:pPr>
            <w:r w:rsidRPr="004469B5">
              <w:rPr>
                <w:rFonts w:eastAsia="Times New Roman" w:cstheme="minorHAnsi"/>
                <w:b/>
                <w:bCs/>
                <w:iCs/>
                <w:color w:val="000000"/>
                <w:sz w:val="20"/>
                <w:szCs w:val="20"/>
                <w:lang w:eastAsia="it-IT"/>
              </w:rPr>
              <w:t>43.680.160</w:t>
            </w:r>
          </w:p>
        </w:tc>
        <w:tc>
          <w:tcPr>
            <w:tcW w:w="745" w:type="pct"/>
            <w:shd w:val="clear" w:color="auto" w:fill="FFFFFF" w:themeFill="background1"/>
            <w:noWrap/>
            <w:vAlign w:val="center"/>
            <w:hideMark/>
          </w:tcPr>
          <w:p w:rsidR="00A527F3" w:rsidRPr="004469B5" w:rsidRDefault="00A527F3" w:rsidP="00CF06C2">
            <w:pPr>
              <w:spacing w:after="0" w:line="240" w:lineRule="auto"/>
              <w:jc w:val="right"/>
              <w:rPr>
                <w:rFonts w:eastAsia="Times New Roman" w:cstheme="minorHAnsi"/>
                <w:b/>
                <w:bCs/>
                <w:iCs/>
                <w:color w:val="000000"/>
                <w:sz w:val="20"/>
                <w:szCs w:val="20"/>
                <w:lang w:eastAsia="it-IT"/>
              </w:rPr>
            </w:pPr>
            <w:r w:rsidRPr="004469B5">
              <w:rPr>
                <w:rFonts w:eastAsia="Times New Roman" w:cstheme="minorHAnsi"/>
                <w:b/>
                <w:bCs/>
                <w:iCs/>
                <w:color w:val="000000"/>
                <w:sz w:val="20"/>
                <w:szCs w:val="20"/>
                <w:lang w:eastAsia="it-IT"/>
              </w:rPr>
              <w:t>15,9%</w:t>
            </w:r>
          </w:p>
        </w:tc>
      </w:tr>
    </w:tbl>
    <w:p w:rsidR="00CD34A0" w:rsidRPr="00CD34A0" w:rsidRDefault="004469B5" w:rsidP="004469B5">
      <w:pPr>
        <w:pStyle w:val="Didascalia"/>
        <w:rPr>
          <w:rFonts w:eastAsia="Times New Roman" w:cs="Bodoni MT"/>
          <w:color w:val="000000"/>
          <w:sz w:val="24"/>
          <w:szCs w:val="24"/>
          <w:highlight w:val="yellow"/>
        </w:rPr>
      </w:pPr>
      <w:bookmarkStart w:id="394" w:name="_Toc507422597"/>
      <w:r>
        <w:t xml:space="preserve">Tabella </w:t>
      </w:r>
      <w:r w:rsidR="00B90472">
        <w:fldChar w:fldCharType="begin"/>
      </w:r>
      <w:r w:rsidR="00B90472">
        <w:instrText xml:space="preserve"> SEQ Tabella \* ARABIC </w:instrText>
      </w:r>
      <w:r w:rsidR="00B90472">
        <w:fldChar w:fldCharType="separate"/>
      </w:r>
      <w:r w:rsidR="008616B3">
        <w:rPr>
          <w:noProof/>
        </w:rPr>
        <w:t>129</w:t>
      </w:r>
      <w:r w:rsidR="00B90472">
        <w:rPr>
          <w:noProof/>
        </w:rPr>
        <w:fldChar w:fldCharType="end"/>
      </w:r>
      <w:r>
        <w:t xml:space="preserve"> – Ratei passivi</w:t>
      </w:r>
      <w:bookmarkEnd w:id="3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59"/>
        <w:gridCol w:w="1868"/>
        <w:gridCol w:w="2153"/>
        <w:gridCol w:w="2098"/>
      </w:tblGrid>
      <w:tr w:rsidR="004469B5" w:rsidRPr="004469B5" w:rsidTr="004469B5">
        <w:trPr>
          <w:trHeight w:val="259"/>
          <w:jc w:val="center"/>
        </w:trPr>
        <w:tc>
          <w:tcPr>
            <w:tcW w:w="1871" w:type="pct"/>
            <w:shd w:val="clear" w:color="auto" w:fill="0F243E" w:themeFill="text2" w:themeFillShade="80"/>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Voci</w:t>
            </w:r>
          </w:p>
        </w:tc>
        <w:tc>
          <w:tcPr>
            <w:tcW w:w="955" w:type="pct"/>
            <w:shd w:val="clear" w:color="auto" w:fill="0F243E" w:themeFill="text2" w:themeFillShade="80"/>
            <w:noWrap/>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31/12/2016</w:t>
            </w:r>
          </w:p>
        </w:tc>
        <w:tc>
          <w:tcPr>
            <w:tcW w:w="1101" w:type="pct"/>
            <w:shd w:val="clear" w:color="auto" w:fill="0F243E" w:themeFill="text2" w:themeFillShade="80"/>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Variazioni</w:t>
            </w:r>
          </w:p>
        </w:tc>
        <w:tc>
          <w:tcPr>
            <w:tcW w:w="1073" w:type="pct"/>
            <w:shd w:val="clear" w:color="auto" w:fill="0F243E" w:themeFill="text2" w:themeFillShade="80"/>
            <w:noWrap/>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31/12/2015</w:t>
            </w:r>
          </w:p>
        </w:tc>
      </w:tr>
      <w:tr w:rsidR="00CD34A0" w:rsidRPr="00CD34A0" w:rsidTr="004469B5">
        <w:trPr>
          <w:trHeight w:val="259"/>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Indennità risultato dirigenti</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3.635.000</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653.420</w:t>
            </w:r>
          </w:p>
        </w:tc>
        <w:tc>
          <w:tcPr>
            <w:tcW w:w="107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2.981.580</w:t>
            </w:r>
          </w:p>
        </w:tc>
      </w:tr>
      <w:tr w:rsidR="00CD34A0" w:rsidRPr="00CD34A0" w:rsidTr="004469B5">
        <w:trPr>
          <w:trHeight w:val="259"/>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Indennità rendimento dipendenti</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6.292.696</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19.784</w:t>
            </w:r>
          </w:p>
        </w:tc>
        <w:tc>
          <w:tcPr>
            <w:tcW w:w="107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6.272.912</w:t>
            </w:r>
          </w:p>
        </w:tc>
      </w:tr>
      <w:tr w:rsidR="00CD34A0" w:rsidRPr="00CD34A0" w:rsidTr="004469B5">
        <w:trPr>
          <w:trHeight w:val="259"/>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Adeguamento contrattuale</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1.591.000</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1.591.000</w:t>
            </w:r>
          </w:p>
        </w:tc>
        <w:tc>
          <w:tcPr>
            <w:tcW w:w="1073" w:type="pct"/>
            <w:shd w:val="clear" w:color="auto" w:fill="FFFFFF" w:themeFill="background1"/>
            <w:vAlign w:val="center"/>
            <w:hideMark/>
          </w:tcPr>
          <w:p w:rsidR="00CD34A0" w:rsidRPr="004469B5" w:rsidRDefault="00CD34A0" w:rsidP="00CD34A0">
            <w:pPr>
              <w:spacing w:after="0" w:line="240" w:lineRule="auto"/>
              <w:rPr>
                <w:rFonts w:eastAsia="Times New Roman" w:cstheme="minorHAnsi"/>
                <w:color w:val="000000"/>
                <w:sz w:val="20"/>
                <w:szCs w:val="20"/>
                <w:lang w:eastAsia="it-IT"/>
              </w:rPr>
            </w:pPr>
            <w:r w:rsidRPr="004469B5">
              <w:rPr>
                <w:rFonts w:eastAsia="Times New Roman" w:cstheme="minorHAnsi"/>
                <w:color w:val="000000"/>
                <w:sz w:val="20"/>
                <w:szCs w:val="20"/>
                <w:lang w:eastAsia="it-IT"/>
              </w:rPr>
              <w:t> </w:t>
            </w:r>
          </w:p>
        </w:tc>
      </w:tr>
      <w:tr w:rsidR="00CD34A0" w:rsidRPr="00CD34A0" w:rsidTr="004469B5">
        <w:trPr>
          <w:trHeight w:val="222"/>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Polizze assicurative</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105.403</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105.403</w:t>
            </w:r>
          </w:p>
        </w:tc>
        <w:tc>
          <w:tcPr>
            <w:tcW w:w="1073" w:type="pct"/>
            <w:shd w:val="clear" w:color="auto" w:fill="FFFFFF" w:themeFill="background1"/>
            <w:vAlign w:val="bottom"/>
            <w:hideMark/>
          </w:tcPr>
          <w:p w:rsidR="00CD34A0" w:rsidRPr="004469B5" w:rsidRDefault="00CD34A0" w:rsidP="00CD34A0">
            <w:pPr>
              <w:spacing w:after="0" w:line="240" w:lineRule="auto"/>
              <w:rPr>
                <w:rFonts w:eastAsia="Times New Roman" w:cstheme="minorHAnsi"/>
                <w:color w:val="000000"/>
                <w:sz w:val="20"/>
                <w:szCs w:val="20"/>
                <w:lang w:eastAsia="it-IT"/>
              </w:rPr>
            </w:pPr>
            <w:r w:rsidRPr="004469B5">
              <w:rPr>
                <w:rFonts w:eastAsia="Times New Roman" w:cstheme="minorHAnsi"/>
                <w:color w:val="000000"/>
                <w:sz w:val="20"/>
                <w:szCs w:val="20"/>
                <w:lang w:eastAsia="it-IT"/>
              </w:rPr>
              <w:t> </w:t>
            </w:r>
          </w:p>
        </w:tc>
      </w:tr>
      <w:tr w:rsidR="00CD34A0" w:rsidRPr="00CD34A0" w:rsidTr="004469B5">
        <w:trPr>
          <w:trHeight w:val="222"/>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Franchigie su risarcimenti</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49.050</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49.050</w:t>
            </w:r>
          </w:p>
        </w:tc>
        <w:tc>
          <w:tcPr>
            <w:tcW w:w="1073" w:type="pct"/>
            <w:shd w:val="clear" w:color="auto" w:fill="FFFFFF" w:themeFill="background1"/>
            <w:vAlign w:val="bottom"/>
            <w:hideMark/>
          </w:tcPr>
          <w:p w:rsidR="00CD34A0" w:rsidRPr="004469B5" w:rsidRDefault="00CD34A0" w:rsidP="00CD34A0">
            <w:pPr>
              <w:spacing w:after="0" w:line="240" w:lineRule="auto"/>
              <w:rPr>
                <w:rFonts w:eastAsia="Times New Roman" w:cstheme="minorHAnsi"/>
                <w:color w:val="000000"/>
                <w:sz w:val="20"/>
                <w:szCs w:val="20"/>
                <w:lang w:eastAsia="it-IT"/>
              </w:rPr>
            </w:pPr>
            <w:r w:rsidRPr="004469B5">
              <w:rPr>
                <w:rFonts w:eastAsia="Times New Roman" w:cstheme="minorHAnsi"/>
                <w:color w:val="000000"/>
                <w:sz w:val="20"/>
                <w:szCs w:val="20"/>
                <w:lang w:eastAsia="it-IT"/>
              </w:rPr>
              <w:t> </w:t>
            </w:r>
          </w:p>
        </w:tc>
      </w:tr>
      <w:tr w:rsidR="00CD34A0" w:rsidRPr="00CD34A0" w:rsidTr="004469B5">
        <w:trPr>
          <w:trHeight w:val="222"/>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Fitti passivi</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264.657</w:t>
            </w:r>
          </w:p>
        </w:tc>
        <w:tc>
          <w:tcPr>
            <w:tcW w:w="1101" w:type="pct"/>
            <w:shd w:val="clear" w:color="auto" w:fill="FFFFFF" w:themeFill="background1"/>
            <w:vAlign w:val="bottom"/>
            <w:hideMark/>
          </w:tcPr>
          <w:p w:rsidR="00CD34A0" w:rsidRPr="004469B5" w:rsidRDefault="00CD34A0" w:rsidP="00CD34A0">
            <w:pPr>
              <w:spacing w:after="0" w:line="240" w:lineRule="auto"/>
              <w:rPr>
                <w:rFonts w:eastAsia="Times New Roman" w:cstheme="minorHAnsi"/>
                <w:color w:val="000000"/>
                <w:sz w:val="20"/>
                <w:szCs w:val="20"/>
                <w:lang w:eastAsia="it-IT"/>
              </w:rPr>
            </w:pPr>
            <w:r w:rsidRPr="004469B5">
              <w:rPr>
                <w:rFonts w:eastAsia="Times New Roman" w:cstheme="minorHAnsi"/>
                <w:color w:val="000000"/>
                <w:sz w:val="20"/>
                <w:szCs w:val="20"/>
                <w:lang w:eastAsia="it-IT"/>
              </w:rPr>
              <w:t> </w:t>
            </w:r>
          </w:p>
        </w:tc>
        <w:tc>
          <w:tcPr>
            <w:tcW w:w="1073" w:type="pct"/>
            <w:shd w:val="clear" w:color="auto" w:fill="FFFFFF" w:themeFill="background1"/>
            <w:vAlign w:val="bottom"/>
            <w:hideMark/>
          </w:tcPr>
          <w:p w:rsidR="00CD34A0" w:rsidRPr="004469B5" w:rsidRDefault="00CD34A0" w:rsidP="00CD34A0">
            <w:pPr>
              <w:spacing w:after="0" w:line="240" w:lineRule="auto"/>
              <w:rPr>
                <w:rFonts w:eastAsia="Times New Roman" w:cstheme="minorHAnsi"/>
                <w:color w:val="000000"/>
                <w:sz w:val="20"/>
                <w:szCs w:val="20"/>
                <w:lang w:eastAsia="it-IT"/>
              </w:rPr>
            </w:pPr>
            <w:r w:rsidRPr="004469B5">
              <w:rPr>
                <w:rFonts w:eastAsia="Times New Roman" w:cstheme="minorHAnsi"/>
                <w:color w:val="000000"/>
                <w:sz w:val="20"/>
                <w:szCs w:val="20"/>
                <w:lang w:eastAsia="it-IT"/>
              </w:rPr>
              <w:t> </w:t>
            </w:r>
          </w:p>
        </w:tc>
      </w:tr>
      <w:tr w:rsidR="00CD34A0" w:rsidRPr="00CD34A0" w:rsidTr="004469B5">
        <w:trPr>
          <w:trHeight w:val="259"/>
          <w:jc w:val="center"/>
        </w:trPr>
        <w:tc>
          <w:tcPr>
            <w:tcW w:w="187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Totale</w:t>
            </w:r>
          </w:p>
        </w:tc>
        <w:tc>
          <w:tcPr>
            <w:tcW w:w="955"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11.937.806</w:t>
            </w:r>
          </w:p>
        </w:tc>
        <w:tc>
          <w:tcPr>
            <w:tcW w:w="1101"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2.418.657</w:t>
            </w:r>
          </w:p>
        </w:tc>
        <w:tc>
          <w:tcPr>
            <w:tcW w:w="107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9.254.492</w:t>
            </w:r>
          </w:p>
        </w:tc>
      </w:tr>
    </w:tbl>
    <w:p w:rsidR="00CD34A0" w:rsidRPr="00CD34A0" w:rsidRDefault="004469B5" w:rsidP="004469B5">
      <w:pPr>
        <w:pStyle w:val="Didascalia"/>
        <w:rPr>
          <w:rFonts w:eastAsia="Times New Roman" w:cs="Bodoni MT"/>
          <w:color w:val="000000"/>
          <w:sz w:val="24"/>
          <w:szCs w:val="24"/>
          <w:highlight w:val="yellow"/>
        </w:rPr>
      </w:pPr>
      <w:bookmarkStart w:id="395" w:name="_Toc507422598"/>
      <w:r>
        <w:t xml:space="preserve">Tabella </w:t>
      </w:r>
      <w:r w:rsidR="00B90472">
        <w:fldChar w:fldCharType="begin"/>
      </w:r>
      <w:r w:rsidR="00B90472">
        <w:instrText xml:space="preserve"> SEQ Tabella \* ARABIC </w:instrText>
      </w:r>
      <w:r w:rsidR="00B90472">
        <w:fldChar w:fldCharType="separate"/>
      </w:r>
      <w:r w:rsidR="008616B3">
        <w:rPr>
          <w:noProof/>
        </w:rPr>
        <w:t>130</w:t>
      </w:r>
      <w:r w:rsidR="00B90472">
        <w:rPr>
          <w:noProof/>
        </w:rPr>
        <w:fldChar w:fldCharType="end"/>
      </w:r>
      <w:r>
        <w:t xml:space="preserve"> – Risconti passivi</w:t>
      </w:r>
      <w:bookmarkEnd w:id="39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62"/>
        <w:gridCol w:w="1971"/>
        <w:gridCol w:w="2274"/>
        <w:gridCol w:w="1971"/>
      </w:tblGrid>
      <w:tr w:rsidR="004469B5" w:rsidRPr="004469B5" w:rsidTr="004469B5">
        <w:trPr>
          <w:trHeight w:val="259"/>
          <w:jc w:val="center"/>
        </w:trPr>
        <w:tc>
          <w:tcPr>
            <w:tcW w:w="1821" w:type="pct"/>
            <w:shd w:val="clear" w:color="auto" w:fill="0F243E" w:themeFill="text2" w:themeFillShade="80"/>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Voci</w:t>
            </w:r>
          </w:p>
        </w:tc>
        <w:tc>
          <w:tcPr>
            <w:tcW w:w="1008" w:type="pct"/>
            <w:shd w:val="clear" w:color="auto" w:fill="0F243E" w:themeFill="text2" w:themeFillShade="80"/>
            <w:noWrap/>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31/12/2016</w:t>
            </w:r>
          </w:p>
        </w:tc>
        <w:tc>
          <w:tcPr>
            <w:tcW w:w="1163" w:type="pct"/>
            <w:shd w:val="clear" w:color="auto" w:fill="0F243E" w:themeFill="text2" w:themeFillShade="80"/>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Variazioni</w:t>
            </w:r>
          </w:p>
        </w:tc>
        <w:tc>
          <w:tcPr>
            <w:tcW w:w="1008" w:type="pct"/>
            <w:shd w:val="clear" w:color="auto" w:fill="0F243E" w:themeFill="text2" w:themeFillShade="80"/>
            <w:noWrap/>
            <w:vAlign w:val="center"/>
            <w:hideMark/>
          </w:tcPr>
          <w:p w:rsidR="00CD34A0" w:rsidRPr="004469B5" w:rsidRDefault="00CD34A0" w:rsidP="004469B5">
            <w:pPr>
              <w:spacing w:after="0" w:line="240" w:lineRule="auto"/>
              <w:jc w:val="center"/>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31/12/2015</w:t>
            </w:r>
          </w:p>
        </w:tc>
      </w:tr>
      <w:tr w:rsidR="00CD34A0" w:rsidRPr="00CD34A0" w:rsidTr="004469B5">
        <w:trPr>
          <w:trHeight w:val="222"/>
          <w:jc w:val="center"/>
        </w:trPr>
        <w:tc>
          <w:tcPr>
            <w:tcW w:w="182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Proventi in avanzo vincolato</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231.139.239</w:t>
            </w:r>
          </w:p>
        </w:tc>
        <w:tc>
          <w:tcPr>
            <w:tcW w:w="116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-3.459.784</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234.599.023</w:t>
            </w:r>
          </w:p>
        </w:tc>
      </w:tr>
      <w:tr w:rsidR="00CD34A0" w:rsidRPr="00CD34A0" w:rsidTr="004469B5">
        <w:trPr>
          <w:trHeight w:val="222"/>
          <w:jc w:val="center"/>
        </w:trPr>
        <w:tc>
          <w:tcPr>
            <w:tcW w:w="182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Proventi in FPV da avanzo vincolato</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9.691.420</w:t>
            </w:r>
          </w:p>
        </w:tc>
        <w:tc>
          <w:tcPr>
            <w:tcW w:w="116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9.691.420</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0</w:t>
            </w:r>
          </w:p>
        </w:tc>
      </w:tr>
      <w:tr w:rsidR="00CD34A0" w:rsidRPr="00CD34A0" w:rsidTr="004469B5">
        <w:trPr>
          <w:trHeight w:val="222"/>
          <w:jc w:val="center"/>
        </w:trPr>
        <w:tc>
          <w:tcPr>
            <w:tcW w:w="182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color w:val="FFFFFF" w:themeColor="background1"/>
                <w:sz w:val="18"/>
                <w:szCs w:val="18"/>
                <w:lang w:eastAsia="it-IT"/>
              </w:rPr>
            </w:pPr>
            <w:r w:rsidRPr="004469B5">
              <w:rPr>
                <w:rFonts w:ascii="Bodoni MT" w:eastAsia="Times New Roman" w:hAnsi="Bodoni MT" w:cs="Times New Roman"/>
                <w:color w:val="FFFFFF" w:themeColor="background1"/>
                <w:sz w:val="18"/>
                <w:szCs w:val="18"/>
                <w:lang w:eastAsia="it-IT"/>
              </w:rPr>
              <w:t>Proventi in FPV</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65.459.217</w:t>
            </w:r>
          </w:p>
        </w:tc>
        <w:tc>
          <w:tcPr>
            <w:tcW w:w="116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34.765.211</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color w:val="000000"/>
                <w:sz w:val="18"/>
                <w:szCs w:val="18"/>
                <w:lang w:eastAsia="it-IT"/>
              </w:rPr>
            </w:pPr>
            <w:r w:rsidRPr="004469B5">
              <w:rPr>
                <w:rFonts w:eastAsia="Times New Roman" w:cstheme="minorHAnsi"/>
                <w:color w:val="000000"/>
                <w:sz w:val="18"/>
                <w:szCs w:val="18"/>
                <w:lang w:eastAsia="it-IT"/>
              </w:rPr>
              <w:t>30.694.006</w:t>
            </w:r>
          </w:p>
        </w:tc>
      </w:tr>
      <w:tr w:rsidR="00CD34A0" w:rsidRPr="00CD34A0" w:rsidTr="004469B5">
        <w:trPr>
          <w:trHeight w:val="259"/>
          <w:jc w:val="center"/>
        </w:trPr>
        <w:tc>
          <w:tcPr>
            <w:tcW w:w="1821" w:type="pct"/>
            <w:shd w:val="clear" w:color="auto" w:fill="95B3D7" w:themeFill="accent1" w:themeFillTint="99"/>
            <w:vAlign w:val="center"/>
            <w:hideMark/>
          </w:tcPr>
          <w:p w:rsidR="00CD34A0" w:rsidRPr="004469B5" w:rsidRDefault="00CD34A0" w:rsidP="004469B5">
            <w:pPr>
              <w:spacing w:after="0" w:line="240" w:lineRule="auto"/>
              <w:rPr>
                <w:rFonts w:ascii="Bodoni MT" w:eastAsia="Times New Roman" w:hAnsi="Bodoni MT" w:cs="Times New Roman"/>
                <w:b/>
                <w:bCs/>
                <w:iCs/>
                <w:color w:val="FFFFFF" w:themeColor="background1"/>
                <w:sz w:val="18"/>
                <w:szCs w:val="18"/>
                <w:lang w:eastAsia="it-IT"/>
              </w:rPr>
            </w:pPr>
            <w:r w:rsidRPr="004469B5">
              <w:rPr>
                <w:rFonts w:ascii="Bodoni MT" w:eastAsia="Times New Roman" w:hAnsi="Bodoni MT" w:cs="Times New Roman"/>
                <w:b/>
                <w:bCs/>
                <w:iCs/>
                <w:color w:val="FFFFFF" w:themeColor="background1"/>
                <w:sz w:val="18"/>
                <w:szCs w:val="18"/>
                <w:lang w:eastAsia="it-IT"/>
              </w:rPr>
              <w:t>Totale</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306.289.875</w:t>
            </w:r>
          </w:p>
        </w:tc>
        <w:tc>
          <w:tcPr>
            <w:tcW w:w="1163"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40.996.846</w:t>
            </w:r>
          </w:p>
        </w:tc>
        <w:tc>
          <w:tcPr>
            <w:tcW w:w="1008" w:type="pct"/>
            <w:shd w:val="clear" w:color="auto" w:fill="FFFFFF" w:themeFill="background1"/>
            <w:noWrap/>
            <w:hideMark/>
          </w:tcPr>
          <w:p w:rsidR="00CD34A0" w:rsidRPr="004469B5" w:rsidRDefault="00CD34A0" w:rsidP="00CD34A0">
            <w:pPr>
              <w:spacing w:after="0" w:line="240" w:lineRule="auto"/>
              <w:jc w:val="right"/>
              <w:rPr>
                <w:rFonts w:eastAsia="Times New Roman" w:cstheme="minorHAnsi"/>
                <w:b/>
                <w:bCs/>
                <w:iCs/>
                <w:color w:val="000000"/>
                <w:sz w:val="18"/>
                <w:szCs w:val="18"/>
                <w:lang w:eastAsia="it-IT"/>
              </w:rPr>
            </w:pPr>
            <w:r w:rsidRPr="004469B5">
              <w:rPr>
                <w:rFonts w:eastAsia="Times New Roman" w:cstheme="minorHAnsi"/>
                <w:b/>
                <w:bCs/>
                <w:iCs/>
                <w:color w:val="000000"/>
                <w:sz w:val="18"/>
                <w:szCs w:val="18"/>
                <w:lang w:eastAsia="it-IT"/>
              </w:rPr>
              <w:t>265.293.029</w:t>
            </w:r>
          </w:p>
        </w:tc>
      </w:tr>
    </w:tbl>
    <w:p w:rsidR="00CD34A0" w:rsidRPr="004469B5"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4469B5">
        <w:rPr>
          <w:rFonts w:ascii="Bodoni MT" w:eastAsia="Times New Roman" w:hAnsi="Bodoni MT" w:cs="Bodoni MT"/>
          <w:color w:val="000000"/>
          <w:sz w:val="18"/>
          <w:szCs w:val="18"/>
        </w:rPr>
        <w:t>Fonte RAS Rendiconto sulla gestione 2016 – Allegato 3.3</w:t>
      </w:r>
    </w:p>
    <w:p w:rsidR="00CD34A0" w:rsidRPr="00CD34A0" w:rsidRDefault="00CD34A0" w:rsidP="00C04384">
      <w:pPr>
        <w:pStyle w:val="Titolo3"/>
        <w:rPr>
          <w:rFonts w:eastAsia="Times New Roman"/>
        </w:rPr>
      </w:pPr>
      <w:bookmarkStart w:id="396" w:name="_Toc507422701"/>
      <w:r w:rsidRPr="00CD34A0">
        <w:rPr>
          <w:rFonts w:eastAsia="Times New Roman"/>
        </w:rPr>
        <w:t>I Conti d’o</w:t>
      </w:r>
      <w:r w:rsidR="00C04384">
        <w:rPr>
          <w:rFonts w:eastAsia="Times New Roman"/>
        </w:rPr>
        <w:t>rdine</w:t>
      </w:r>
      <w:bookmarkEnd w:id="396"/>
    </w:p>
    <w:p w:rsidR="00CD34A0" w:rsidRDefault="00CD34A0" w:rsidP="00C04384">
      <w:pPr>
        <w:pStyle w:val="CdcTesto"/>
        <w:rPr>
          <w:rFonts w:eastAsia="Times New Roman"/>
        </w:rPr>
      </w:pPr>
      <w:r w:rsidRPr="0052128D">
        <w:rPr>
          <w:rFonts w:eastAsia="Times New Roman"/>
        </w:rPr>
        <w:t xml:space="preserve">Infine, tra i conti d’ordine è stata registrata la somma complessiva di </w:t>
      </w:r>
      <w:r w:rsidR="00535EB3" w:rsidRPr="0052128D">
        <w:rPr>
          <w:rFonts w:eastAsia="Times New Roman"/>
        </w:rPr>
        <w:t>€</w:t>
      </w:r>
      <w:r w:rsidRPr="0052128D">
        <w:rPr>
          <w:rFonts w:eastAsia="Times New Roman"/>
        </w:rPr>
        <w:t xml:space="preserve"> 2.237.364.894. Si tratta dei conti di "memoria" e c</w:t>
      </w:r>
      <w:r w:rsidR="00535EB3" w:rsidRPr="0052128D">
        <w:rPr>
          <w:rFonts w:eastAsia="Times New Roman"/>
        </w:rPr>
        <w:t xml:space="preserve">he al momento non costituiscono </w:t>
      </w:r>
      <w:hyperlink r:id="rId78" w:tooltip="w:costo" w:history="1">
        <w:r w:rsidRPr="0052128D">
          <w:rPr>
            <w:rFonts w:eastAsia="Times New Roman"/>
          </w:rPr>
          <w:t>costo</w:t>
        </w:r>
      </w:hyperlink>
      <w:r w:rsidR="00535EB3" w:rsidRPr="0052128D">
        <w:rPr>
          <w:rFonts w:eastAsia="Times New Roman"/>
        </w:rPr>
        <w:t xml:space="preserve">, </w:t>
      </w:r>
      <w:hyperlink r:id="rId79" w:tooltip="w:ricavo" w:history="1">
        <w:r w:rsidRPr="0052128D">
          <w:rPr>
            <w:rFonts w:eastAsia="Times New Roman"/>
          </w:rPr>
          <w:t>ricavo</w:t>
        </w:r>
      </w:hyperlink>
      <w:r w:rsidR="00535EB3" w:rsidRPr="0052128D">
        <w:rPr>
          <w:rFonts w:eastAsia="Times New Roman"/>
        </w:rPr>
        <w:t xml:space="preserve">, </w:t>
      </w:r>
      <w:hyperlink r:id="rId80" w:tooltip="w:attività" w:history="1">
        <w:r w:rsidRPr="0052128D">
          <w:rPr>
            <w:rFonts w:eastAsia="Times New Roman"/>
          </w:rPr>
          <w:t>attività</w:t>
        </w:r>
      </w:hyperlink>
      <w:r w:rsidR="00535EB3" w:rsidRPr="0052128D">
        <w:rPr>
          <w:rFonts w:eastAsia="Times New Roman"/>
        </w:rPr>
        <w:t xml:space="preserve"> e </w:t>
      </w:r>
      <w:hyperlink r:id="rId81" w:tooltip="w:passività" w:history="1">
        <w:r w:rsidRPr="0052128D">
          <w:rPr>
            <w:rFonts w:eastAsia="Times New Roman"/>
          </w:rPr>
          <w:t>passività</w:t>
        </w:r>
      </w:hyperlink>
      <w:r w:rsidRPr="0052128D">
        <w:rPr>
          <w:rFonts w:eastAsia="Times New Roman"/>
        </w:rPr>
        <w:t xml:space="preserve">. Fino a quando le poste sono allocate nei conti d'ordine significa che non si è verificata alcuna variazione patrimoniale e che nessun costo o ricavo ha interessato il conto economico. </w:t>
      </w:r>
      <w:r w:rsidRPr="0052128D">
        <w:rPr>
          <w:rFonts w:eastAsia="Times New Roman"/>
          <w:b/>
        </w:rPr>
        <w:t>Nel caso della Regione si tratta soprattutto di impegni su esercizi futuri (</w:t>
      </w:r>
      <w:r w:rsidRPr="0052128D">
        <w:rPr>
          <w:rFonts w:eastAsia="Times New Roman"/>
        </w:rPr>
        <w:t>obbligazioni</w:t>
      </w:r>
      <w:r w:rsidRPr="00CD34A0">
        <w:rPr>
          <w:rFonts w:eastAsia="Times New Roman"/>
        </w:rPr>
        <w:t xml:space="preserve"> giuridicamente perfezionate, per le quali, sulla base del principio della competenza finanziaria potenziata, l’imputazione della spesa interessa esercizi successivi al 2016).</w:t>
      </w:r>
    </w:p>
    <w:p w:rsidR="00C04384" w:rsidRDefault="00C04384" w:rsidP="00C04384">
      <w:pPr>
        <w:pStyle w:val="Didascalia"/>
      </w:pPr>
    </w:p>
    <w:p w:rsidR="00C04384" w:rsidRDefault="00C04384" w:rsidP="00C04384">
      <w:pPr>
        <w:pStyle w:val="Didascalia"/>
      </w:pPr>
    </w:p>
    <w:p w:rsidR="00C04384" w:rsidRPr="00CD34A0" w:rsidRDefault="00C04384" w:rsidP="00C04384">
      <w:pPr>
        <w:pStyle w:val="Didascalia"/>
        <w:rPr>
          <w:rFonts w:eastAsia="Times New Roman"/>
        </w:rPr>
      </w:pPr>
      <w:bookmarkStart w:id="397" w:name="_Toc507422599"/>
      <w:r>
        <w:lastRenderedPageBreak/>
        <w:t xml:space="preserve">Tabella </w:t>
      </w:r>
      <w:r w:rsidR="00B90472">
        <w:fldChar w:fldCharType="begin"/>
      </w:r>
      <w:r w:rsidR="00B90472">
        <w:instrText xml:space="preserve"> SEQ Tabella \* ARABIC </w:instrText>
      </w:r>
      <w:r w:rsidR="00B90472">
        <w:fldChar w:fldCharType="separate"/>
      </w:r>
      <w:r w:rsidR="008616B3">
        <w:rPr>
          <w:noProof/>
        </w:rPr>
        <w:t>131</w:t>
      </w:r>
      <w:r w:rsidR="00B90472">
        <w:rPr>
          <w:noProof/>
        </w:rPr>
        <w:fldChar w:fldCharType="end"/>
      </w:r>
      <w:r>
        <w:t xml:space="preserve"> – Conti d’ordine</w:t>
      </w:r>
      <w:bookmarkEnd w:id="3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73"/>
        <w:gridCol w:w="2505"/>
      </w:tblGrid>
      <w:tr w:rsidR="00C04384" w:rsidRPr="00C04384" w:rsidTr="00C04384">
        <w:trPr>
          <w:trHeight w:val="259"/>
          <w:jc w:val="center"/>
        </w:trPr>
        <w:tc>
          <w:tcPr>
            <w:tcW w:w="3719" w:type="pct"/>
            <w:shd w:val="clear" w:color="auto" w:fill="0F243E" w:themeFill="text2" w:themeFillShade="80"/>
            <w:vAlign w:val="center"/>
            <w:hideMark/>
          </w:tcPr>
          <w:p w:rsidR="00CD34A0" w:rsidRPr="00C04384" w:rsidRDefault="00CD34A0" w:rsidP="00C04384">
            <w:pPr>
              <w:spacing w:after="0" w:line="240" w:lineRule="auto"/>
              <w:jc w:val="center"/>
              <w:rPr>
                <w:rFonts w:ascii="Bodoni MT" w:eastAsia="Times New Roman" w:hAnsi="Bodoni MT" w:cs="Times New Roman"/>
                <w:b/>
                <w:bCs/>
                <w:iCs/>
                <w:color w:val="FFFFFF" w:themeColor="background1"/>
                <w:sz w:val="20"/>
                <w:szCs w:val="20"/>
                <w:lang w:eastAsia="it-IT"/>
              </w:rPr>
            </w:pPr>
            <w:r w:rsidRPr="00C04384">
              <w:rPr>
                <w:rFonts w:ascii="Bodoni MT" w:eastAsia="Times New Roman" w:hAnsi="Bodoni MT" w:cs="Times New Roman"/>
                <w:b/>
                <w:bCs/>
                <w:iCs/>
                <w:color w:val="FFFFFF" w:themeColor="background1"/>
                <w:sz w:val="20"/>
                <w:szCs w:val="20"/>
                <w:lang w:eastAsia="it-IT"/>
              </w:rPr>
              <w:t>Voci</w:t>
            </w:r>
          </w:p>
        </w:tc>
        <w:tc>
          <w:tcPr>
            <w:tcW w:w="1281" w:type="pct"/>
            <w:shd w:val="clear" w:color="auto" w:fill="0F243E" w:themeFill="text2" w:themeFillShade="80"/>
            <w:noWrap/>
            <w:vAlign w:val="center"/>
            <w:hideMark/>
          </w:tcPr>
          <w:p w:rsidR="00CD34A0" w:rsidRPr="00C04384" w:rsidRDefault="00CD34A0" w:rsidP="00C04384">
            <w:pPr>
              <w:spacing w:after="0" w:line="240" w:lineRule="auto"/>
              <w:jc w:val="center"/>
              <w:rPr>
                <w:rFonts w:ascii="Bodoni MT" w:eastAsia="Times New Roman" w:hAnsi="Bodoni MT" w:cs="Times New Roman"/>
                <w:b/>
                <w:bCs/>
                <w:iCs/>
                <w:color w:val="FFFFFF" w:themeColor="background1"/>
                <w:sz w:val="20"/>
                <w:szCs w:val="20"/>
                <w:lang w:eastAsia="it-IT"/>
              </w:rPr>
            </w:pPr>
            <w:r w:rsidRPr="00C04384">
              <w:rPr>
                <w:rFonts w:ascii="Bodoni MT" w:eastAsia="Times New Roman" w:hAnsi="Bodoni MT" w:cs="Times New Roman"/>
                <w:b/>
                <w:bCs/>
                <w:iCs/>
                <w:color w:val="FFFFFF" w:themeColor="background1"/>
                <w:sz w:val="20"/>
                <w:szCs w:val="20"/>
                <w:lang w:eastAsia="it-IT"/>
              </w:rPr>
              <w:t>31/12/2016</w:t>
            </w:r>
          </w:p>
        </w:tc>
      </w:tr>
      <w:tr w:rsidR="00CD34A0" w:rsidRPr="00CD34A0" w:rsidTr="00C04384">
        <w:trPr>
          <w:trHeight w:val="240"/>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1  Impegni su esercizi futuri</w:t>
            </w:r>
          </w:p>
        </w:tc>
        <w:tc>
          <w:tcPr>
            <w:tcW w:w="128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2.113.542.418</w:t>
            </w:r>
          </w:p>
        </w:tc>
      </w:tr>
      <w:tr w:rsidR="00CD34A0" w:rsidRPr="00CD34A0" w:rsidTr="00C04384">
        <w:trPr>
          <w:trHeight w:val="222"/>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2  Beni di terzi in uso</w:t>
            </w:r>
          </w:p>
        </w:tc>
        <w:tc>
          <w:tcPr>
            <w:tcW w:w="128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1.810.969</w:t>
            </w:r>
          </w:p>
        </w:tc>
      </w:tr>
      <w:tr w:rsidR="00CD34A0" w:rsidRPr="00CD34A0" w:rsidTr="00C04384">
        <w:trPr>
          <w:trHeight w:val="222"/>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3  Beni dati in uso a terzi</w:t>
            </w:r>
          </w:p>
        </w:tc>
        <w:tc>
          <w:tcPr>
            <w:tcW w:w="128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 </w:t>
            </w:r>
          </w:p>
        </w:tc>
      </w:tr>
      <w:tr w:rsidR="00CD34A0" w:rsidRPr="00CD34A0" w:rsidTr="00C04384">
        <w:trPr>
          <w:trHeight w:val="222"/>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4  Garanzie prestate a amm.ni pubbliche</w:t>
            </w:r>
          </w:p>
        </w:tc>
        <w:tc>
          <w:tcPr>
            <w:tcW w:w="128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 </w:t>
            </w:r>
          </w:p>
        </w:tc>
      </w:tr>
      <w:tr w:rsidR="00CD34A0" w:rsidRPr="00CD34A0" w:rsidTr="00C04384">
        <w:trPr>
          <w:trHeight w:val="222"/>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5  Garanzie prestate a imprese controllate</w:t>
            </w:r>
          </w:p>
        </w:tc>
        <w:tc>
          <w:tcPr>
            <w:tcW w:w="128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 </w:t>
            </w:r>
          </w:p>
        </w:tc>
      </w:tr>
      <w:tr w:rsidR="00CD34A0" w:rsidRPr="00CD34A0" w:rsidTr="00C04384">
        <w:trPr>
          <w:trHeight w:val="222"/>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6  Garanzie prestate a imprese partecipate</w:t>
            </w:r>
          </w:p>
        </w:tc>
        <w:tc>
          <w:tcPr>
            <w:tcW w:w="128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 </w:t>
            </w:r>
          </w:p>
        </w:tc>
      </w:tr>
      <w:tr w:rsidR="00CD34A0" w:rsidRPr="00CD34A0" w:rsidTr="00C04384">
        <w:trPr>
          <w:trHeight w:val="270"/>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color w:val="FFFFFF" w:themeColor="background1"/>
                <w:sz w:val="20"/>
                <w:szCs w:val="20"/>
                <w:lang w:eastAsia="it-IT"/>
              </w:rPr>
            </w:pPr>
            <w:r w:rsidRPr="00C04384">
              <w:rPr>
                <w:rFonts w:ascii="Bodoni MT" w:eastAsia="Times New Roman" w:hAnsi="Bodoni MT" w:cs="Times New Roman"/>
                <w:color w:val="FFFFFF" w:themeColor="background1"/>
                <w:sz w:val="20"/>
                <w:szCs w:val="20"/>
                <w:lang w:eastAsia="it-IT"/>
              </w:rPr>
              <w:t>7  Garanzie prestate a altre imprese</w:t>
            </w:r>
          </w:p>
        </w:tc>
        <w:tc>
          <w:tcPr>
            <w:tcW w:w="128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20"/>
                <w:szCs w:val="20"/>
                <w:lang w:eastAsia="it-IT"/>
              </w:rPr>
            </w:pPr>
            <w:r w:rsidRPr="00C04384">
              <w:rPr>
                <w:rFonts w:eastAsia="Times New Roman" w:cstheme="minorHAnsi"/>
                <w:color w:val="000000"/>
                <w:sz w:val="20"/>
                <w:szCs w:val="20"/>
                <w:lang w:eastAsia="it-IT"/>
              </w:rPr>
              <w:t>122.011.507</w:t>
            </w:r>
          </w:p>
        </w:tc>
      </w:tr>
      <w:tr w:rsidR="00CD34A0" w:rsidRPr="00CD34A0" w:rsidTr="00C04384">
        <w:trPr>
          <w:trHeight w:val="259"/>
          <w:jc w:val="center"/>
        </w:trPr>
        <w:tc>
          <w:tcPr>
            <w:tcW w:w="3719" w:type="pct"/>
            <w:shd w:val="clear" w:color="auto" w:fill="95B3D7" w:themeFill="accent1" w:themeFillTint="99"/>
            <w:vAlign w:val="center"/>
            <w:hideMark/>
          </w:tcPr>
          <w:p w:rsidR="00CD34A0" w:rsidRPr="00C04384" w:rsidRDefault="00CD34A0" w:rsidP="00C04384">
            <w:pPr>
              <w:spacing w:after="0" w:line="240" w:lineRule="auto"/>
              <w:rPr>
                <w:rFonts w:ascii="Bodoni MT" w:eastAsia="Times New Roman" w:hAnsi="Bodoni MT" w:cs="Times New Roman"/>
                <w:b/>
                <w:bCs/>
                <w:iCs/>
                <w:color w:val="FFFFFF" w:themeColor="background1"/>
                <w:sz w:val="20"/>
                <w:szCs w:val="20"/>
                <w:lang w:eastAsia="it-IT"/>
              </w:rPr>
            </w:pPr>
            <w:r w:rsidRPr="00C04384">
              <w:rPr>
                <w:rFonts w:ascii="Bodoni MT" w:eastAsia="Times New Roman" w:hAnsi="Bodoni MT" w:cs="Times New Roman"/>
                <w:b/>
                <w:bCs/>
                <w:iCs/>
                <w:color w:val="FFFFFF" w:themeColor="background1"/>
                <w:sz w:val="20"/>
                <w:szCs w:val="20"/>
                <w:lang w:eastAsia="it-IT"/>
              </w:rPr>
              <w:t>Totale Conti d'ordine</w:t>
            </w:r>
          </w:p>
        </w:tc>
        <w:tc>
          <w:tcPr>
            <w:tcW w:w="128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iCs/>
                <w:color w:val="000000"/>
                <w:sz w:val="20"/>
                <w:szCs w:val="20"/>
                <w:lang w:eastAsia="it-IT"/>
              </w:rPr>
            </w:pPr>
            <w:r w:rsidRPr="00C04384">
              <w:rPr>
                <w:rFonts w:eastAsia="Times New Roman" w:cstheme="minorHAnsi"/>
                <w:b/>
                <w:bCs/>
                <w:iCs/>
                <w:color w:val="000000"/>
                <w:sz w:val="20"/>
                <w:szCs w:val="20"/>
                <w:lang w:eastAsia="it-IT"/>
              </w:rPr>
              <w:t>2.237.364.894</w:t>
            </w:r>
          </w:p>
        </w:tc>
      </w:tr>
    </w:tbl>
    <w:p w:rsidR="00CD34A0" w:rsidRPr="00C04384"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C04384">
        <w:rPr>
          <w:rFonts w:ascii="Bodoni MT" w:eastAsia="Times New Roman" w:hAnsi="Bodoni MT" w:cs="Bodoni MT"/>
          <w:color w:val="000000"/>
          <w:sz w:val="18"/>
          <w:szCs w:val="18"/>
        </w:rPr>
        <w:t>Fonte RAS Rendiconto sulla gestione 2016 – Allegato 3.3</w:t>
      </w:r>
    </w:p>
    <w:p w:rsidR="00CD34A0" w:rsidRPr="00CD34A0" w:rsidRDefault="00CD34A0" w:rsidP="00C04384">
      <w:pPr>
        <w:pStyle w:val="CdcTesto"/>
        <w:spacing w:before="360"/>
        <w:rPr>
          <w:rFonts w:eastAsia="Times New Roman"/>
        </w:rPr>
      </w:pPr>
      <w:r w:rsidRPr="00CD34A0">
        <w:rPr>
          <w:rFonts w:eastAsia="Times New Roman"/>
        </w:rPr>
        <w:t>Per quanto attiene i beni di terzi presso la Regione, in particolare “</w:t>
      </w:r>
      <w:r w:rsidRPr="00CD34A0">
        <w:rPr>
          <w:rFonts w:eastAsia="Times New Roman"/>
          <w:i/>
        </w:rPr>
        <w:t>si tratta dei fotocopiatori e delle autovetture</w:t>
      </w:r>
      <w:r w:rsidRPr="00CD34A0">
        <w:rPr>
          <w:rFonts w:eastAsia="Times New Roman"/>
        </w:rPr>
        <w:t xml:space="preserve">” per le quali sono stati stipulati </w:t>
      </w:r>
      <w:r w:rsidR="00535EB3">
        <w:rPr>
          <w:rFonts w:eastAsia="Times New Roman"/>
        </w:rPr>
        <w:t>appositi contratti di locazione.</w:t>
      </w:r>
    </w:p>
    <w:p w:rsidR="00CD34A0" w:rsidRPr="00CD34A0" w:rsidRDefault="00CD34A0" w:rsidP="00C04384">
      <w:pPr>
        <w:pStyle w:val="CdcTesto"/>
        <w:rPr>
          <w:rFonts w:eastAsia="Times New Roman"/>
        </w:rPr>
      </w:pPr>
      <w:r w:rsidRPr="00CD34A0">
        <w:rPr>
          <w:rFonts w:eastAsia="Times New Roman"/>
        </w:rPr>
        <w:t>Le garanzie prestate ad altre imprese sono garanzie fideiussorie prestate a favore di imprese del settore privato.</w:t>
      </w:r>
    </w:p>
    <w:p w:rsidR="00CD34A0" w:rsidRPr="00CD34A0" w:rsidRDefault="00CD34A0" w:rsidP="00C04384">
      <w:pPr>
        <w:pStyle w:val="Titolo3"/>
        <w:rPr>
          <w:rFonts w:eastAsia="Times New Roman"/>
        </w:rPr>
      </w:pPr>
      <w:bookmarkStart w:id="398" w:name="_Toc507422702"/>
      <w:r w:rsidRPr="00CD34A0">
        <w:rPr>
          <w:rFonts w:eastAsia="Times New Roman"/>
        </w:rPr>
        <w:t>Il Fondo svalutazione crediti</w:t>
      </w:r>
      <w:bookmarkEnd w:id="398"/>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Il Fondo svalutazione crediti corrisponde alla sommatoria, al netto degli eventuali utilizzi, degli accantonamenti annuali per la svalutazione dei crediti sia di funzionamento che di finanziamento. Il valore del fondo previsto in contabilità finanziaria potrebbe non coincidere rispetto a quello iscritto in contabilità economico-patrimoniale. Infatti in contabilità economico-patrimoniale potrebbero essere iscritti crediti che, invece, in contabilità finanziaria sono imputati nel bilancio di anni successivi a quello cui lo Stato Patrimoniale si riferisce (in ottemperanza al principio della competen</w:t>
      </w:r>
      <w:r w:rsidR="00535EB3">
        <w:rPr>
          <w:rFonts w:ascii="Bodoni MT" w:eastAsia="Times New Roman" w:hAnsi="Bodoni MT" w:cs="Bodoni MT"/>
          <w:color w:val="000000"/>
          <w:sz w:val="24"/>
          <w:szCs w:val="24"/>
        </w:rPr>
        <w:t>za finanziaria potenziata ex D.</w:t>
      </w:r>
      <w:r w:rsidRPr="00CD34A0">
        <w:rPr>
          <w:rFonts w:ascii="Bodoni MT" w:eastAsia="Times New Roman" w:hAnsi="Bodoni MT" w:cs="Bodoni MT"/>
          <w:color w:val="000000"/>
          <w:sz w:val="24"/>
          <w:szCs w:val="24"/>
        </w:rPr>
        <w:t xml:space="preserve">Lgs. 118/2011 all. 4.3).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Nello Stato patrimoniale, il Fondo svalutazione crediti non è iscritto tra le poste del passivo, in quanto è rappresentato nello stato patrimoniale in diminuzione dell’attivo nelle voci riguardanti i crediti cui si riferisce. Tale ripartizione non è necessariamente correlata alla ripartizione tra i residui attivi del fondo crediti di dubbia esigibilità accantonato nel risultato di amministrazione, in quanto: i residui attivi possono essere di importo differente rispetto ai crediti iscritti nello stato patrimoniale e il fondo svalutazione crediti può avere un importo maggiore del fondo crediti di dubbia esigibilità.</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Ai fini del calcolo del Fondo svalutazione crediti la Regione prende in considerazione, in prima istanza, i crediti che si trovano nella contabilità finanziaria,</w:t>
      </w:r>
      <w:r w:rsidR="00184B93">
        <w:rPr>
          <w:rFonts w:ascii="Bodoni MT" w:eastAsia="Times New Roman" w:hAnsi="Bodoni MT" w:cs="Bodoni MT"/>
          <w:color w:val="000000"/>
          <w:sz w:val="24"/>
          <w:szCs w:val="24"/>
        </w:rPr>
        <w:t xml:space="preserve"> ovvero i residui attivi all’01/01/</w:t>
      </w:r>
      <w:r w:rsidRPr="00CD34A0">
        <w:rPr>
          <w:rFonts w:ascii="Bodoni MT" w:eastAsia="Times New Roman" w:hAnsi="Bodoni MT" w:cs="Bodoni MT"/>
          <w:color w:val="000000"/>
          <w:sz w:val="24"/>
          <w:szCs w:val="24"/>
        </w:rPr>
        <w:t xml:space="preserve">2017 (come risultanti dal riaccertamento ordinario), corrispondenti ai crediti (o quote di crediti) </w:t>
      </w:r>
      <w:r w:rsidRPr="00CD34A0">
        <w:rPr>
          <w:rFonts w:ascii="Bodoni MT" w:eastAsia="Times New Roman" w:hAnsi="Bodoni MT" w:cs="Bodoni MT"/>
          <w:color w:val="000000"/>
          <w:sz w:val="24"/>
          <w:szCs w:val="24"/>
        </w:rPr>
        <w:lastRenderedPageBreak/>
        <w:t xml:space="preserve">scaduti, cui si sommano gli accertamenti di entrata con imputazione contabile agli esercizi successivi al 2016, corrispondenti ai crediti (o quote di crediti) non ancora scaduti.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In Nota integrativa si avverte che per il 2016 sono stati presi in considerazione anche i crediti che non sono stati accertati nella contabilità finanziaria (cre</w:t>
      </w:r>
      <w:r w:rsidR="00184B93">
        <w:rPr>
          <w:rFonts w:ascii="Bodoni MT" w:eastAsia="Times New Roman" w:hAnsi="Bodoni MT" w:cs="Bodoni MT"/>
          <w:color w:val="000000"/>
          <w:sz w:val="24"/>
          <w:szCs w:val="24"/>
        </w:rPr>
        <w:t>diti sorti anteriormente all’01/01/</w:t>
      </w:r>
      <w:r w:rsidRPr="00CD34A0">
        <w:rPr>
          <w:rFonts w:ascii="Bodoni MT" w:eastAsia="Times New Roman" w:hAnsi="Bodoni MT" w:cs="Bodoni MT"/>
          <w:color w:val="000000"/>
          <w:sz w:val="24"/>
          <w:szCs w:val="24"/>
        </w:rPr>
        <w:t>2015, data di entrata in vigore dei principi dell’armonizzazione contabile), ovvero quelli oggetto di apposita inventariazione/ricognizione, secondo quanto in precedenza già riferito.</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L’allegato 3.6 al Rendiconto della gestione per il 2016 ha chiarito che “</w:t>
      </w:r>
      <w:r w:rsidRPr="00CD34A0">
        <w:rPr>
          <w:rFonts w:ascii="Bodoni MT" w:eastAsia="Times New Roman" w:hAnsi="Bodoni MT" w:cs="Bodoni MT"/>
          <w:i/>
          <w:color w:val="000000"/>
          <w:sz w:val="24"/>
          <w:szCs w:val="24"/>
        </w:rPr>
        <w:t xml:space="preserve">i crediti devono essere rappresentati al valore di presunto realizzo, rettificando il valore nominale con apposito fondo di svalutazione. Il valore di presunto realizzo deve essere determinato a seguito dell’analisi </w:t>
      </w:r>
      <w:r w:rsidRPr="00CD34A0">
        <w:rPr>
          <w:rFonts w:ascii="Bodoni MT" w:eastAsia="Times New Roman" w:hAnsi="Bodoni MT" w:cs="Bodoni MT"/>
          <w:bCs/>
          <w:i/>
          <w:color w:val="000000"/>
          <w:sz w:val="24"/>
          <w:szCs w:val="24"/>
        </w:rPr>
        <w:t>delle condizioni economico-finanziarie dei singoli debitori</w:t>
      </w:r>
      <w:r w:rsidRPr="00CD34A0">
        <w:rPr>
          <w:rFonts w:ascii="Bodoni MT" w:eastAsia="Times New Roman" w:hAnsi="Bodoni MT" w:cs="Bodoni MT"/>
          <w:b/>
          <w:bCs/>
          <w:i/>
          <w:color w:val="000000"/>
          <w:sz w:val="24"/>
          <w:szCs w:val="24"/>
        </w:rPr>
        <w:t xml:space="preserve"> (</w:t>
      </w:r>
      <w:r w:rsidRPr="00CD34A0">
        <w:rPr>
          <w:rFonts w:ascii="Bodoni MT" w:eastAsia="Times New Roman" w:hAnsi="Bodoni MT" w:cs="Bodoni MT"/>
          <w:i/>
          <w:color w:val="000000"/>
          <w:sz w:val="24"/>
          <w:szCs w:val="24"/>
        </w:rPr>
        <w:t xml:space="preserve">per valutarne il grado di solvibilità) e </w:t>
      </w:r>
      <w:r w:rsidRPr="00CD34A0">
        <w:rPr>
          <w:rFonts w:ascii="Bodoni MT" w:eastAsia="Times New Roman" w:hAnsi="Bodoni MT" w:cs="Bodoni MT"/>
          <w:bCs/>
          <w:i/>
          <w:color w:val="000000"/>
          <w:sz w:val="24"/>
          <w:szCs w:val="24"/>
        </w:rPr>
        <w:t>della situazione economica generale e di settore.</w:t>
      </w:r>
      <w:r w:rsidRPr="00CD34A0">
        <w:rPr>
          <w:rFonts w:ascii="Bodoni MT" w:eastAsia="Times New Roman" w:hAnsi="Bodoni MT" w:cs="Bodoni MT"/>
          <w:i/>
          <w:color w:val="000000"/>
          <w:sz w:val="24"/>
          <w:szCs w:val="24"/>
        </w:rPr>
        <w:t xml:space="preserve"> Poiché tale procedura si presenta eccessivamente lunga e complessa, è ammessa, limitatamente ai crediti meno rilevanti in termini di rischio e importo, </w:t>
      </w:r>
      <w:r w:rsidRPr="00CD34A0">
        <w:rPr>
          <w:rFonts w:ascii="Bodoni MT" w:eastAsia="Times New Roman" w:hAnsi="Bodoni MT" w:cs="Bodoni MT"/>
          <w:b/>
          <w:i/>
          <w:color w:val="000000"/>
          <w:sz w:val="24"/>
          <w:szCs w:val="24"/>
        </w:rPr>
        <w:t>la valutazione secondo metodi forfettari</w:t>
      </w:r>
      <w:r w:rsidRPr="00CD34A0">
        <w:rPr>
          <w:rFonts w:ascii="Bodoni MT" w:eastAsia="Times New Roman" w:hAnsi="Bodoni MT" w:cs="Bodoni MT"/>
          <w:i/>
          <w:color w:val="000000"/>
          <w:sz w:val="24"/>
          <w:szCs w:val="24"/>
        </w:rPr>
        <w:t xml:space="preserve">, basati sull’esperienza passata. A tal fine </w:t>
      </w:r>
      <w:r w:rsidRPr="00CD34A0">
        <w:rPr>
          <w:rFonts w:ascii="Bodoni MT" w:eastAsia="Times New Roman" w:hAnsi="Bodoni MT" w:cs="Bodoni MT"/>
          <w:b/>
          <w:bCs/>
          <w:i/>
          <w:color w:val="000000"/>
          <w:sz w:val="24"/>
          <w:szCs w:val="24"/>
        </w:rPr>
        <w:t>i crediti meno rilevanti devono essere classificati per categorie omogenee</w:t>
      </w:r>
      <w:r w:rsidRPr="00CD34A0">
        <w:rPr>
          <w:rFonts w:ascii="Bodoni MT" w:eastAsia="Times New Roman" w:hAnsi="Bodoni MT" w:cs="Bodoni MT"/>
          <w:i/>
          <w:color w:val="000000"/>
          <w:sz w:val="24"/>
          <w:szCs w:val="24"/>
        </w:rPr>
        <w:t>, sotto il profilo del rischio</w:t>
      </w:r>
      <w:r w:rsidRPr="00CD34A0">
        <w:rPr>
          <w:rFonts w:ascii="Bodoni MT" w:eastAsia="Times New Roman" w:hAnsi="Bodoni MT" w:cs="Bodoni MT"/>
          <w:color w:val="000000"/>
          <w:sz w:val="24"/>
          <w:szCs w:val="24"/>
        </w:rPr>
        <w:t xml:space="preserve">”. Di conseguenza la Regione ha applicato il metodo forfettario ai singoli crediti di importo complessivo non superiore a 100 mila euro (la </w:t>
      </w:r>
      <w:r w:rsidRPr="00CD34A0">
        <w:rPr>
          <w:rFonts w:ascii="Bodoni MT" w:eastAsia="Times New Roman" w:hAnsi="Bodoni MT" w:cs="Bodoni MT"/>
          <w:b/>
          <w:bCs/>
          <w:color w:val="000000"/>
          <w:sz w:val="24"/>
          <w:szCs w:val="24"/>
        </w:rPr>
        <w:t xml:space="preserve">soglia di rilevanza </w:t>
      </w:r>
      <w:r w:rsidRPr="00CD34A0">
        <w:rPr>
          <w:rFonts w:ascii="Bodoni MT" w:eastAsia="Times New Roman" w:hAnsi="Bodoni MT" w:cs="Bodoni MT"/>
          <w:color w:val="000000"/>
          <w:sz w:val="24"/>
          <w:szCs w:val="24"/>
        </w:rPr>
        <w:t xml:space="preserve">dei crediti è stata, infatti, individuata in </w:t>
      </w:r>
      <w:r w:rsidR="00C04384">
        <w:rPr>
          <w:rFonts w:ascii="Bodoni MT" w:eastAsia="Times New Roman" w:hAnsi="Bodoni MT" w:cs="Bodoni MT"/>
          <w:b/>
          <w:bCs/>
          <w:color w:val="000000"/>
          <w:sz w:val="24"/>
          <w:szCs w:val="24"/>
        </w:rPr>
        <w:t>€ </w:t>
      </w:r>
      <w:r w:rsidRPr="00CD34A0">
        <w:rPr>
          <w:rFonts w:ascii="Bodoni MT" w:eastAsia="Times New Roman" w:hAnsi="Bodoni MT" w:cs="Bodoni MT"/>
          <w:b/>
          <w:bCs/>
          <w:color w:val="000000"/>
          <w:sz w:val="24"/>
          <w:szCs w:val="24"/>
        </w:rPr>
        <w:t>100.000,00</w:t>
      </w:r>
      <w:r w:rsidRPr="00CD34A0">
        <w:rPr>
          <w:rFonts w:ascii="Bodoni MT" w:eastAsia="Times New Roman" w:hAnsi="Bodoni MT" w:cs="Bodoni MT"/>
          <w:color w:val="000000"/>
          <w:sz w:val="24"/>
          <w:szCs w:val="24"/>
        </w:rPr>
        <w:t xml:space="preserve"> perché i crediti superiori a tale soglia rappresentano ben l’83% di tutti i crediti regionali).</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bCs/>
          <w:color w:val="000000"/>
          <w:sz w:val="24"/>
          <w:szCs w:val="24"/>
        </w:rPr>
      </w:pPr>
      <w:r w:rsidRPr="00CD34A0">
        <w:rPr>
          <w:rFonts w:ascii="Bodoni MT" w:eastAsia="Times New Roman" w:hAnsi="Bodoni MT" w:cs="Bodoni MT"/>
          <w:bCs/>
          <w:color w:val="000000"/>
          <w:sz w:val="24"/>
          <w:szCs w:val="24"/>
        </w:rPr>
        <w:t>Come già chiarito, l’ammontare complessivo del FSC è pari alla somma del FSC relativo ai residui attivi della contabilità finanziaria, del FSC relativo agli accertamenti con imputazione agli esercizi successivi a quello in chiusura, nonché dell’importo complessivo dei crediti stralciati dalla finanziaria perché inesigibili (ma che devono permanere nello Stato patrimoniale sebbene svalutati al 100%).</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Le tabelle che seguono riportano nello specifico il Fondo accertato in contabilità finanziaria, la parte non accertata in contabilità finanziaria e, dunque, la composizione complessiva e l’accantonamento. </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r w:rsidRPr="00CD34A0">
        <w:rPr>
          <w:rFonts w:ascii="Bodoni MT" w:eastAsia="Times New Roman" w:hAnsi="Bodoni MT" w:cs="Bodoni MT"/>
          <w:color w:val="000000"/>
          <w:sz w:val="24"/>
          <w:szCs w:val="24"/>
        </w:rPr>
        <w:t xml:space="preserve">L’ultima tabella individua in € </w:t>
      </w:r>
      <w:r w:rsidRPr="00CD34A0">
        <w:rPr>
          <w:rFonts w:ascii="Bodoni MT" w:eastAsia="Times New Roman" w:hAnsi="Bodoni MT" w:cs="Bodoni MT"/>
          <w:bCs/>
          <w:color w:val="000000"/>
          <w:sz w:val="24"/>
          <w:szCs w:val="24"/>
        </w:rPr>
        <w:t>26.898.687,63 l’accantonamento al Fondo svalutazione crediti per il 2016 ottenuto dal totale Fondo al 31/12/2016 (€ 550.434.140,44</w:t>
      </w:r>
      <w:r w:rsidR="00C04384">
        <w:rPr>
          <w:rFonts w:ascii="Bodoni MT" w:eastAsia="Times New Roman" w:hAnsi="Bodoni MT" w:cs="Bodoni MT"/>
          <w:bCs/>
          <w:color w:val="000000"/>
          <w:sz w:val="24"/>
          <w:szCs w:val="24"/>
        </w:rPr>
        <w:t>) da cui si sottrae il Fondo all’</w:t>
      </w:r>
      <w:r w:rsidRPr="00CD34A0">
        <w:rPr>
          <w:rFonts w:ascii="Bodoni MT" w:eastAsia="Times New Roman" w:hAnsi="Bodoni MT" w:cs="Bodoni MT"/>
          <w:bCs/>
          <w:color w:val="000000"/>
          <w:sz w:val="24"/>
          <w:szCs w:val="24"/>
        </w:rPr>
        <w:t>01/01/2016 (€ 532.897.275,36) e a cui si aggiungono gli utilizzi per insussistenza (€ 650.990,94) e gli utilizzi per riscossione di crediti svalutati (€ 3.710.831,61).</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sectPr w:rsidR="00CD34A0" w:rsidRPr="00CD34A0" w:rsidSect="00CD34A0">
          <w:pgSz w:w="11906" w:h="16838"/>
          <w:pgMar w:top="1418" w:right="1134" w:bottom="1134" w:left="1134" w:header="709" w:footer="709" w:gutter="0"/>
          <w:cols w:space="708"/>
          <w:docGrid w:linePitch="360"/>
        </w:sectPr>
      </w:pPr>
    </w:p>
    <w:p w:rsidR="00CD34A0" w:rsidRPr="00C04384" w:rsidRDefault="00C04384" w:rsidP="00C04384">
      <w:pPr>
        <w:pStyle w:val="Didascalia"/>
        <w:rPr>
          <w:rFonts w:eastAsia="Times New Roman" w:cs="Bodoni MT"/>
          <w:color w:val="000000"/>
        </w:rPr>
      </w:pPr>
      <w:bookmarkStart w:id="399" w:name="_Toc507422600"/>
      <w:r>
        <w:lastRenderedPageBreak/>
        <w:t xml:space="preserve">Tabella </w:t>
      </w:r>
      <w:r w:rsidR="00B90472">
        <w:fldChar w:fldCharType="begin"/>
      </w:r>
      <w:r w:rsidR="00B90472">
        <w:instrText xml:space="preserve"> SEQ Tabella \* ARABIC </w:instrText>
      </w:r>
      <w:r w:rsidR="00B90472">
        <w:fldChar w:fldCharType="separate"/>
      </w:r>
      <w:r w:rsidR="008616B3">
        <w:rPr>
          <w:noProof/>
        </w:rPr>
        <w:t>132</w:t>
      </w:r>
      <w:r w:rsidR="00B90472">
        <w:rPr>
          <w:noProof/>
        </w:rPr>
        <w:fldChar w:fldCharType="end"/>
      </w:r>
      <w:r>
        <w:t xml:space="preserve"> - </w:t>
      </w:r>
      <w:r w:rsidRPr="00C04384">
        <w:rPr>
          <w:rFonts w:eastAsia="Times New Roman" w:cs="Times New Roman"/>
          <w:bCs w:val="0"/>
          <w:lang w:eastAsia="it-IT"/>
        </w:rPr>
        <w:t>Composizione del FSC al 31.12.2016. Crediti accertati in contabilità finanziaria</w:t>
      </w:r>
      <w:bookmarkEnd w:id="3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8"/>
        <w:gridCol w:w="1468"/>
        <w:gridCol w:w="1232"/>
        <w:gridCol w:w="710"/>
        <w:gridCol w:w="1469"/>
        <w:gridCol w:w="1445"/>
        <w:gridCol w:w="1137"/>
        <w:gridCol w:w="710"/>
        <w:gridCol w:w="993"/>
        <w:gridCol w:w="1469"/>
        <w:gridCol w:w="1232"/>
        <w:gridCol w:w="713"/>
      </w:tblGrid>
      <w:tr w:rsidR="00CD34A0" w:rsidRPr="00CD34A0" w:rsidTr="00C04384">
        <w:trPr>
          <w:trHeight w:val="738"/>
          <w:jc w:val="center"/>
        </w:trPr>
        <w:tc>
          <w:tcPr>
            <w:tcW w:w="641"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Caratteristiche</w:t>
            </w:r>
          </w:p>
        </w:tc>
        <w:tc>
          <w:tcPr>
            <w:tcW w:w="509"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Residui al 31/12/2016</w:t>
            </w:r>
          </w:p>
        </w:tc>
        <w:tc>
          <w:tcPr>
            <w:tcW w:w="427"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FSC crediti scaduti e non incassati al 31/12/2016</w:t>
            </w:r>
          </w:p>
        </w:tc>
        <w:tc>
          <w:tcPr>
            <w:tcW w:w="246"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8"/>
                <w:szCs w:val="18"/>
                <w:lang w:eastAsia="it-IT"/>
              </w:rPr>
            </w:pPr>
            <w:r w:rsidRPr="00CD34A0">
              <w:rPr>
                <w:rFonts w:ascii="Bodoni MT" w:eastAsia="Times New Roman" w:hAnsi="Bodoni MT" w:cs="Times New Roman"/>
                <w:b/>
                <w:bCs/>
                <w:sz w:val="18"/>
                <w:szCs w:val="18"/>
                <w:lang w:eastAsia="it-IT"/>
              </w:rPr>
              <w:t>%</w:t>
            </w:r>
            <w:r w:rsidRPr="00CD34A0">
              <w:rPr>
                <w:rFonts w:ascii="Bodoni MT" w:eastAsia="Times New Roman" w:hAnsi="Bodoni MT" w:cs="Times New Roman"/>
                <w:b/>
                <w:bCs/>
                <w:sz w:val="18"/>
                <w:szCs w:val="18"/>
                <w:lang w:eastAsia="it-IT"/>
              </w:rPr>
              <w:br/>
              <w:t>accant.</w:t>
            </w:r>
          </w:p>
        </w:tc>
        <w:tc>
          <w:tcPr>
            <w:tcW w:w="509"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Accertamenti compet.2017 e ss.</w:t>
            </w:r>
          </w:p>
        </w:tc>
        <w:tc>
          <w:tcPr>
            <w:tcW w:w="501"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8"/>
                <w:szCs w:val="18"/>
                <w:lang w:eastAsia="it-IT"/>
              </w:rPr>
            </w:pPr>
            <w:r w:rsidRPr="00CD34A0">
              <w:rPr>
                <w:rFonts w:ascii="Bodoni MT" w:eastAsia="Times New Roman" w:hAnsi="Bodoni MT" w:cs="Times New Roman"/>
                <w:b/>
                <w:bCs/>
                <w:i/>
                <w:iCs/>
                <w:sz w:val="18"/>
                <w:szCs w:val="18"/>
                <w:lang w:eastAsia="it-IT"/>
              </w:rPr>
              <w:t>di cui corrispondenti a crediti nello SP</w:t>
            </w:r>
          </w:p>
        </w:tc>
        <w:tc>
          <w:tcPr>
            <w:tcW w:w="394"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FSC crediti a scadere al 31/12/2016</w:t>
            </w:r>
          </w:p>
        </w:tc>
        <w:tc>
          <w:tcPr>
            <w:tcW w:w="246"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8"/>
                <w:szCs w:val="18"/>
                <w:lang w:eastAsia="it-IT"/>
              </w:rPr>
            </w:pPr>
            <w:r w:rsidRPr="00CD34A0">
              <w:rPr>
                <w:rFonts w:ascii="Bodoni MT" w:eastAsia="Times New Roman" w:hAnsi="Bodoni MT" w:cs="Times New Roman"/>
                <w:b/>
                <w:bCs/>
                <w:sz w:val="18"/>
                <w:szCs w:val="18"/>
                <w:lang w:eastAsia="it-IT"/>
              </w:rPr>
              <w:t>%</w:t>
            </w:r>
            <w:r w:rsidRPr="00CD34A0">
              <w:rPr>
                <w:rFonts w:ascii="Bodoni MT" w:eastAsia="Times New Roman" w:hAnsi="Bodoni MT" w:cs="Times New Roman"/>
                <w:b/>
                <w:bCs/>
                <w:sz w:val="18"/>
                <w:szCs w:val="18"/>
                <w:lang w:eastAsia="it-IT"/>
              </w:rPr>
              <w:br/>
              <w:t>accant.</w:t>
            </w:r>
          </w:p>
        </w:tc>
        <w:tc>
          <w:tcPr>
            <w:tcW w:w="344"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Crediti inesigibili</w:t>
            </w:r>
          </w:p>
        </w:tc>
        <w:tc>
          <w:tcPr>
            <w:tcW w:w="509"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CREDITI AL 31/12/2016</w:t>
            </w:r>
          </w:p>
        </w:tc>
        <w:tc>
          <w:tcPr>
            <w:tcW w:w="427"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8"/>
                <w:szCs w:val="18"/>
                <w:lang w:eastAsia="it-IT"/>
              </w:rPr>
            </w:pPr>
            <w:r w:rsidRPr="00CD34A0">
              <w:rPr>
                <w:rFonts w:ascii="Bodoni MT" w:eastAsia="Times New Roman" w:hAnsi="Bodoni MT" w:cs="Times New Roman"/>
                <w:b/>
                <w:bCs/>
                <w:sz w:val="18"/>
                <w:szCs w:val="18"/>
                <w:lang w:eastAsia="it-IT"/>
              </w:rPr>
              <w:t>TOTALE FSC AL 31/12/2016</w:t>
            </w:r>
          </w:p>
        </w:tc>
        <w:tc>
          <w:tcPr>
            <w:tcW w:w="247"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8"/>
                <w:szCs w:val="18"/>
                <w:lang w:eastAsia="it-IT"/>
              </w:rPr>
            </w:pPr>
            <w:r w:rsidRPr="00CD34A0">
              <w:rPr>
                <w:rFonts w:ascii="Bodoni MT" w:eastAsia="Times New Roman" w:hAnsi="Bodoni MT" w:cs="Times New Roman"/>
                <w:b/>
                <w:bCs/>
                <w:sz w:val="18"/>
                <w:szCs w:val="18"/>
                <w:lang w:eastAsia="it-IT"/>
              </w:rPr>
              <w:t>%</w:t>
            </w:r>
            <w:r w:rsidRPr="00CD34A0">
              <w:rPr>
                <w:rFonts w:ascii="Bodoni MT" w:eastAsia="Times New Roman" w:hAnsi="Bodoni MT" w:cs="Times New Roman"/>
                <w:b/>
                <w:bCs/>
                <w:sz w:val="18"/>
                <w:szCs w:val="18"/>
                <w:lang w:eastAsia="it-IT"/>
              </w:rPr>
              <w:br/>
              <w:t>accant.</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canoni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1.190.564,37</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1.094.366,77</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91,92</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1.441.532,69</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1.441.532,69</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228.482,93</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15,85</w:t>
            </w:r>
          </w:p>
        </w:tc>
        <w:tc>
          <w:tcPr>
            <w:tcW w:w="34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73.265,19</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2.705.362,25</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1.396.114,89</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50,24</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escussione</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14.636,13</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9.197,34</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62,84</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14.636,13</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9.197,34</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62,84</w:t>
            </w:r>
          </w:p>
        </w:tc>
      </w:tr>
      <w:tr w:rsidR="00CD34A0" w:rsidRPr="00CD34A0" w:rsidTr="00C04384">
        <w:trPr>
          <w:trHeight w:val="510"/>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recuperi aziende farmaceutiche</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34.146.545,35</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13.658.618,14</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40,00</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34.146.545,35</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13.658.618,14</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40,00</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recupero contributi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45.279.639,32</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43.121.661,58</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95,23</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5.809.755,86</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5.809.755,86</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1.805.338,15</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31,07</w:t>
            </w:r>
          </w:p>
        </w:tc>
        <w:tc>
          <w:tcPr>
            <w:tcW w:w="34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113.123,34</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51.202.518,52</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45.040.123,07</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87,77</w:t>
            </w:r>
          </w:p>
        </w:tc>
      </w:tr>
      <w:tr w:rsidR="00CD34A0" w:rsidRPr="00CD34A0" w:rsidTr="00C04384">
        <w:trPr>
          <w:trHeight w:val="510"/>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recupero contributi - interessi attivi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5.753.726,56</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5.451.655,92</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94,75</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5.753.726,56</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5.451.655,92</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94,75</w:t>
            </w:r>
          </w:p>
        </w:tc>
      </w:tr>
      <w:tr w:rsidR="00CD34A0" w:rsidRPr="00CD34A0" w:rsidTr="00C04384">
        <w:trPr>
          <w:trHeight w:val="510"/>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recupero contributi - crediti diversi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39.043,85</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36.994,05</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94,75</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39.043,85</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36.994,05</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94,75</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risarcimento danni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232.023,43</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231.698,60</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99,86</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25.597,27</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25.597,27</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15.481,23</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60,48</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257.620,70</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247.179,83</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95,95</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rivalsa</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sanzioni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1.624.055,52</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1.440.537,25</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88,70</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543.592,08</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543.592,08</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146.661,14</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26,98</w:t>
            </w:r>
          </w:p>
        </w:tc>
        <w:tc>
          <w:tcPr>
            <w:tcW w:w="34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205.851,18</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2.373.498,78</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1.793.049,57</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69,52</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tributi</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1"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vendite immobiliari</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2.849,60</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1.311.829,39</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1.311.829,39</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524,73</w:t>
            </w:r>
          </w:p>
        </w:tc>
        <w:tc>
          <w:tcPr>
            <w:tcW w:w="246"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0,04</w:t>
            </w:r>
          </w:p>
        </w:tc>
        <w:tc>
          <w:tcPr>
            <w:tcW w:w="34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0,01</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1.314.679,00</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524,74</w:t>
            </w:r>
          </w:p>
        </w:tc>
        <w:tc>
          <w:tcPr>
            <w:tcW w:w="24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0,04</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8"/>
                <w:szCs w:val="18"/>
                <w:lang w:eastAsia="it-IT"/>
              </w:rPr>
            </w:pPr>
            <w:r w:rsidRPr="00C04384">
              <w:rPr>
                <w:rFonts w:ascii="Bodoni MT" w:eastAsia="Times New Roman" w:hAnsi="Bodoni MT" w:cs="Times New Roman"/>
                <w:color w:val="FFFFFF" w:themeColor="background1"/>
                <w:sz w:val="18"/>
                <w:szCs w:val="18"/>
                <w:lang w:eastAsia="it-IT"/>
              </w:rPr>
              <w:t>altro</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1.748.585.908,09</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2.115.194.722,17</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8.161.796,77</w:t>
            </w:r>
          </w:p>
        </w:tc>
        <w:tc>
          <w:tcPr>
            <w:tcW w:w="39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344"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1.756.747.704,86</w:t>
            </w:r>
          </w:p>
        </w:tc>
        <w:tc>
          <w:tcPr>
            <w:tcW w:w="42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c>
          <w:tcPr>
            <w:tcW w:w="24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sz w:val="18"/>
                <w:szCs w:val="18"/>
                <w:lang w:eastAsia="it-IT"/>
              </w:rPr>
            </w:pPr>
            <w:r w:rsidRPr="00C04384">
              <w:rPr>
                <w:rFonts w:eastAsia="Times New Roman" w:cstheme="minorHAnsi"/>
                <w:sz w:val="18"/>
                <w:szCs w:val="18"/>
                <w:lang w:eastAsia="it-IT"/>
              </w:rPr>
              <w:t>-</w:t>
            </w:r>
          </w:p>
        </w:tc>
      </w:tr>
      <w:tr w:rsidR="00CD34A0" w:rsidRPr="00CD34A0" w:rsidTr="00C04384">
        <w:trPr>
          <w:trHeight w:val="255"/>
          <w:jc w:val="center"/>
        </w:trPr>
        <w:tc>
          <w:tcPr>
            <w:tcW w:w="641"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b/>
                <w:bCs/>
                <w:color w:val="FFFFFF" w:themeColor="background1"/>
                <w:sz w:val="18"/>
                <w:szCs w:val="18"/>
                <w:lang w:eastAsia="it-IT"/>
              </w:rPr>
            </w:pPr>
            <w:r w:rsidRPr="00C04384">
              <w:rPr>
                <w:rFonts w:ascii="Bodoni MT" w:eastAsia="Times New Roman" w:hAnsi="Bodoni MT" w:cs="Times New Roman"/>
                <w:b/>
                <w:bCs/>
                <w:color w:val="FFFFFF" w:themeColor="background1"/>
                <w:sz w:val="18"/>
                <w:szCs w:val="18"/>
                <w:lang w:eastAsia="it-IT"/>
              </w:rPr>
              <w:t>Totale complessivo</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1.836.868.992,22</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65.044.729,64</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2.124.327.029,46</w:t>
            </w:r>
          </w:p>
        </w:tc>
        <w:tc>
          <w:tcPr>
            <w:tcW w:w="501"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17.294.104,06</w:t>
            </w:r>
          </w:p>
        </w:tc>
        <w:tc>
          <w:tcPr>
            <w:tcW w:w="39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2.196.488,19</w:t>
            </w:r>
          </w:p>
        </w:tc>
        <w:tc>
          <w:tcPr>
            <w:tcW w:w="246"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c>
          <w:tcPr>
            <w:tcW w:w="344"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392.239,72</w:t>
            </w:r>
          </w:p>
        </w:tc>
        <w:tc>
          <w:tcPr>
            <w:tcW w:w="509"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1.854.555.336,00</w:t>
            </w:r>
          </w:p>
        </w:tc>
        <w:tc>
          <w:tcPr>
            <w:tcW w:w="427" w:type="pct"/>
            <w:shd w:val="clear" w:color="auto" w:fill="FFFFFF" w:themeFill="background1"/>
            <w:noWrap/>
            <w:vAlign w:val="center"/>
            <w:hideMark/>
          </w:tcPr>
          <w:p w:rsidR="00CD34A0" w:rsidRPr="00C04384" w:rsidRDefault="00CD34A0" w:rsidP="00C04384">
            <w:pPr>
              <w:spacing w:after="0" w:line="240" w:lineRule="auto"/>
              <w:jc w:val="right"/>
              <w:rPr>
                <w:rFonts w:eastAsia="Times New Roman" w:cstheme="minorHAnsi"/>
                <w:b/>
                <w:bCs/>
                <w:color w:val="000000"/>
                <w:sz w:val="18"/>
                <w:szCs w:val="18"/>
                <w:lang w:eastAsia="it-IT"/>
              </w:rPr>
            </w:pPr>
            <w:r w:rsidRPr="00C04384">
              <w:rPr>
                <w:rFonts w:eastAsia="Times New Roman" w:cstheme="minorHAnsi"/>
                <w:b/>
                <w:bCs/>
                <w:color w:val="000000"/>
                <w:sz w:val="18"/>
                <w:szCs w:val="18"/>
                <w:lang w:eastAsia="it-IT"/>
              </w:rPr>
              <w:t>67.633.457,54</w:t>
            </w:r>
          </w:p>
        </w:tc>
        <w:tc>
          <w:tcPr>
            <w:tcW w:w="247" w:type="pct"/>
            <w:shd w:val="clear" w:color="auto" w:fill="FFFFFF" w:themeFill="background1"/>
            <w:vAlign w:val="center"/>
            <w:hideMark/>
          </w:tcPr>
          <w:p w:rsidR="00CD34A0" w:rsidRPr="00C04384" w:rsidRDefault="00CD34A0" w:rsidP="00C04384">
            <w:pPr>
              <w:spacing w:after="0" w:line="240" w:lineRule="auto"/>
              <w:jc w:val="right"/>
              <w:rPr>
                <w:rFonts w:eastAsia="Times New Roman" w:cstheme="minorHAnsi"/>
                <w:color w:val="000000"/>
                <w:sz w:val="18"/>
                <w:szCs w:val="18"/>
                <w:lang w:eastAsia="it-IT"/>
              </w:rPr>
            </w:pPr>
            <w:r w:rsidRPr="00C04384">
              <w:rPr>
                <w:rFonts w:eastAsia="Times New Roman" w:cstheme="minorHAnsi"/>
                <w:color w:val="000000"/>
                <w:sz w:val="18"/>
                <w:szCs w:val="18"/>
                <w:lang w:eastAsia="it-IT"/>
              </w:rPr>
              <w:t> </w:t>
            </w:r>
          </w:p>
        </w:tc>
      </w:tr>
    </w:tbl>
    <w:p w:rsidR="00CD34A0" w:rsidRPr="00C04384"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C04384">
        <w:rPr>
          <w:rFonts w:ascii="Bodoni MT" w:eastAsia="Times New Roman" w:hAnsi="Bodoni MT" w:cs="Bodoni MT"/>
          <w:color w:val="000000"/>
          <w:sz w:val="18"/>
          <w:szCs w:val="18"/>
        </w:rPr>
        <w:t>Fonte RAS Rendiconto sulla gestione 2016 – Allegato 3.6</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04384" w:rsidRDefault="00C04384" w:rsidP="00C04384">
      <w:pPr>
        <w:pStyle w:val="Didascalia"/>
        <w:rPr>
          <w:rFonts w:eastAsia="Times New Roman" w:cs="Bodoni MT"/>
          <w:color w:val="000000"/>
        </w:rPr>
      </w:pPr>
      <w:bookmarkStart w:id="400" w:name="_Toc507422601"/>
      <w:r>
        <w:lastRenderedPageBreak/>
        <w:t xml:space="preserve">Tabella </w:t>
      </w:r>
      <w:r w:rsidR="00B90472">
        <w:fldChar w:fldCharType="begin"/>
      </w:r>
      <w:r w:rsidR="00B90472">
        <w:instrText xml:space="preserve"> SEQ Tabella \* ARABIC </w:instrText>
      </w:r>
      <w:r w:rsidR="00B90472">
        <w:fldChar w:fldCharType="separate"/>
      </w:r>
      <w:r w:rsidR="008616B3">
        <w:rPr>
          <w:noProof/>
        </w:rPr>
        <w:t>133</w:t>
      </w:r>
      <w:r w:rsidR="00B90472">
        <w:rPr>
          <w:noProof/>
        </w:rPr>
        <w:fldChar w:fldCharType="end"/>
      </w:r>
      <w:r>
        <w:t xml:space="preserve"> - </w:t>
      </w:r>
      <w:r w:rsidRPr="00C04384">
        <w:rPr>
          <w:rFonts w:eastAsia="Times New Roman" w:cs="Times New Roman"/>
          <w:bCs w:val="0"/>
          <w:lang w:eastAsia="it-IT"/>
        </w:rPr>
        <w:t>Composizione del FSC al 31.12.2016. Crediti non accertati in contabilità finanziaria</w:t>
      </w:r>
      <w:bookmarkEnd w:id="4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89"/>
        <w:gridCol w:w="1705"/>
        <w:gridCol w:w="1443"/>
        <w:gridCol w:w="1763"/>
        <w:gridCol w:w="692"/>
        <w:gridCol w:w="1192"/>
        <w:gridCol w:w="1192"/>
        <w:gridCol w:w="692"/>
        <w:gridCol w:w="1281"/>
        <w:gridCol w:w="1396"/>
        <w:gridCol w:w="1281"/>
      </w:tblGrid>
      <w:tr w:rsidR="00CD34A0" w:rsidRPr="00CD34A0" w:rsidTr="00C04384">
        <w:trPr>
          <w:trHeight w:val="679"/>
          <w:jc w:val="center"/>
        </w:trPr>
        <w:tc>
          <w:tcPr>
            <w:tcW w:w="620"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Caratteristiche</w:t>
            </w:r>
          </w:p>
        </w:tc>
        <w:tc>
          <w:tcPr>
            <w:tcW w:w="591"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Piano dei conti patrimoniale</w:t>
            </w:r>
          </w:p>
        </w:tc>
        <w:tc>
          <w:tcPr>
            <w:tcW w:w="500"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Crediti scaduti e non incassati al 31/12/2016</w:t>
            </w:r>
          </w:p>
        </w:tc>
        <w:tc>
          <w:tcPr>
            <w:tcW w:w="611"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6"/>
                <w:szCs w:val="16"/>
                <w:lang w:eastAsia="it-IT"/>
              </w:rPr>
            </w:pPr>
            <w:r w:rsidRPr="00CD34A0">
              <w:rPr>
                <w:rFonts w:ascii="Bodoni MT" w:eastAsia="Times New Roman" w:hAnsi="Bodoni MT" w:cs="Times New Roman"/>
                <w:b/>
                <w:bCs/>
                <w:sz w:val="16"/>
                <w:szCs w:val="16"/>
                <w:lang w:eastAsia="it-IT"/>
              </w:rPr>
              <w:t>FSC crediti scaduti e non incassati al</w:t>
            </w:r>
            <w:r w:rsidRPr="00CD34A0">
              <w:rPr>
                <w:rFonts w:ascii="Bodoni MT" w:eastAsia="Times New Roman" w:hAnsi="Bodoni MT" w:cs="Times New Roman"/>
                <w:b/>
                <w:bCs/>
                <w:sz w:val="16"/>
                <w:szCs w:val="16"/>
                <w:lang w:eastAsia="it-IT"/>
              </w:rPr>
              <w:br/>
              <w:t>31/12/2016</w:t>
            </w:r>
          </w:p>
        </w:tc>
        <w:tc>
          <w:tcPr>
            <w:tcW w:w="240"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6"/>
                <w:szCs w:val="16"/>
                <w:lang w:eastAsia="it-IT"/>
              </w:rPr>
            </w:pPr>
            <w:r w:rsidRPr="00CD34A0">
              <w:rPr>
                <w:rFonts w:ascii="Bodoni MT" w:eastAsia="Times New Roman" w:hAnsi="Bodoni MT" w:cs="Times New Roman"/>
                <w:b/>
                <w:bCs/>
                <w:sz w:val="16"/>
                <w:szCs w:val="16"/>
                <w:lang w:eastAsia="it-IT"/>
              </w:rPr>
              <w:t>%</w:t>
            </w:r>
            <w:r w:rsidRPr="00CD34A0">
              <w:rPr>
                <w:rFonts w:ascii="Bodoni MT" w:eastAsia="Times New Roman" w:hAnsi="Bodoni MT" w:cs="Times New Roman"/>
                <w:b/>
                <w:bCs/>
                <w:sz w:val="16"/>
                <w:szCs w:val="16"/>
                <w:lang w:eastAsia="it-IT"/>
              </w:rPr>
              <w:br/>
              <w:t>accant.</w:t>
            </w:r>
          </w:p>
        </w:tc>
        <w:tc>
          <w:tcPr>
            <w:tcW w:w="413"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Crediti a scadere oltre il 31/12/2016</w:t>
            </w:r>
          </w:p>
        </w:tc>
        <w:tc>
          <w:tcPr>
            <w:tcW w:w="413"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FSC crediti a scadere al 31/12/2016</w:t>
            </w:r>
          </w:p>
        </w:tc>
        <w:tc>
          <w:tcPr>
            <w:tcW w:w="240"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color w:val="000000"/>
                <w:sz w:val="16"/>
                <w:szCs w:val="16"/>
                <w:lang w:eastAsia="it-IT"/>
              </w:rPr>
            </w:pPr>
            <w:r w:rsidRPr="00CD34A0">
              <w:rPr>
                <w:rFonts w:ascii="Bodoni MT" w:eastAsia="Times New Roman" w:hAnsi="Bodoni MT" w:cs="Times New Roman"/>
                <w:b/>
                <w:bCs/>
                <w:sz w:val="16"/>
                <w:szCs w:val="16"/>
                <w:lang w:eastAsia="it-IT"/>
              </w:rPr>
              <w:t>%</w:t>
            </w:r>
            <w:r w:rsidRPr="00CD34A0">
              <w:rPr>
                <w:rFonts w:ascii="Bodoni MT" w:eastAsia="Times New Roman" w:hAnsi="Bodoni MT" w:cs="Times New Roman"/>
                <w:b/>
                <w:bCs/>
                <w:sz w:val="16"/>
                <w:szCs w:val="16"/>
                <w:lang w:eastAsia="it-IT"/>
              </w:rPr>
              <w:br/>
              <w:t>accant.</w:t>
            </w:r>
          </w:p>
        </w:tc>
        <w:tc>
          <w:tcPr>
            <w:tcW w:w="444"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Crediti inesigibili</w:t>
            </w:r>
          </w:p>
        </w:tc>
        <w:tc>
          <w:tcPr>
            <w:tcW w:w="484"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TOTALE CREDITI</w:t>
            </w:r>
          </w:p>
        </w:tc>
        <w:tc>
          <w:tcPr>
            <w:tcW w:w="444" w:type="pct"/>
            <w:shd w:val="clear" w:color="auto" w:fill="0F243E" w:themeFill="text2" w:themeFillShade="80"/>
            <w:vAlign w:val="center"/>
            <w:hideMark/>
          </w:tcPr>
          <w:p w:rsidR="00CD34A0" w:rsidRPr="00CD34A0" w:rsidRDefault="00CD34A0" w:rsidP="00C04384">
            <w:pPr>
              <w:spacing w:after="0" w:line="240" w:lineRule="auto"/>
              <w:jc w:val="center"/>
              <w:rPr>
                <w:rFonts w:ascii="Bodoni MT" w:eastAsia="Times New Roman" w:hAnsi="Bodoni MT" w:cs="Times New Roman"/>
                <w:b/>
                <w:bCs/>
                <w:sz w:val="16"/>
                <w:szCs w:val="16"/>
                <w:lang w:eastAsia="it-IT"/>
              </w:rPr>
            </w:pPr>
            <w:r w:rsidRPr="00CD34A0">
              <w:rPr>
                <w:rFonts w:ascii="Bodoni MT" w:eastAsia="Times New Roman" w:hAnsi="Bodoni MT" w:cs="Times New Roman"/>
                <w:b/>
                <w:bCs/>
                <w:sz w:val="16"/>
                <w:szCs w:val="16"/>
                <w:lang w:eastAsia="it-IT"/>
              </w:rPr>
              <w:t>TOTALE FSC AL 31/12/2016</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canoni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1.3.2.02.03.01.001</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1.518.449,93</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1.369.061,08</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90,16</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1.018.801,96</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604.608,19</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59,35</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2.537.251,89</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1.973.669,28</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escussione</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1.3.2.08.04.04.999</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1.566.042,93</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1.328.134,44</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84,81</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1.566.042,93</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1.328.134,44</w:t>
            </w:r>
          </w:p>
        </w:tc>
      </w:tr>
      <w:tr w:rsidR="00CD34A0" w:rsidRPr="00CD34A0" w:rsidTr="00C3327F">
        <w:trPr>
          <w:trHeight w:val="54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recuperi aziende farmaceutiche</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1.3.2.08.04.99.001</w:t>
            </w:r>
          </w:p>
        </w:tc>
        <w:tc>
          <w:tcPr>
            <w:tcW w:w="50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61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recupero contributi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1.3.2.08.04.06.005</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88.432.764,45</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74.567.901,52</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84,32</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88.432.764,45</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74.567.901,52</w:t>
            </w:r>
          </w:p>
        </w:tc>
      </w:tr>
      <w:tr w:rsidR="00CD34A0" w:rsidRPr="00CD34A0" w:rsidTr="00C3327F">
        <w:trPr>
          <w:trHeight w:val="54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rimborso prestiti da fondi di rotazione</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1.2.3.02.04.03.002</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210.085.325,07</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177.147.259,01</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84,32</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77.103.655,70</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33.601.737,20</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43,58</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167.074.094,46</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454.263.075,23</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377.823.090,67</w:t>
            </w:r>
          </w:p>
        </w:tc>
      </w:tr>
      <w:tr w:rsidR="00CD34A0" w:rsidRPr="00CD34A0" w:rsidTr="00C3327F">
        <w:trPr>
          <w:trHeight w:val="54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recupero contributi - interessi mora</w:t>
            </w:r>
          </w:p>
        </w:tc>
        <w:tc>
          <w:tcPr>
            <w:tcW w:w="591" w:type="pct"/>
            <w:shd w:val="clear" w:color="auto" w:fill="FFFFFF" w:themeFill="background1"/>
            <w:noWrap/>
            <w:vAlign w:val="center"/>
            <w:hideMark/>
          </w:tcPr>
          <w:p w:rsidR="00CD34A0" w:rsidRPr="00C3327F" w:rsidRDefault="00C04384"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Bodoni MT" w:eastAsia="Times New Roman" w:hAnsi="Bodoni MT" w:cs="Times New Roman"/>
                <w:iCs/>
                <w:sz w:val="16"/>
                <w:szCs w:val="16"/>
                <w:lang w:eastAsia="it-IT"/>
              </w:rPr>
              <w:t>1.3.2.07.03.16.999</w:t>
            </w:r>
          </w:p>
        </w:tc>
        <w:tc>
          <w:tcPr>
            <w:tcW w:w="500" w:type="pct"/>
            <w:shd w:val="clear" w:color="auto" w:fill="FFFFFF" w:themeFill="background1"/>
            <w:noWrap/>
            <w:vAlign w:val="center"/>
            <w:hideMark/>
          </w:tcPr>
          <w:p w:rsidR="00CD34A0" w:rsidRPr="00C3327F" w:rsidRDefault="00C04384"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Bodoni MT" w:eastAsia="Times New Roman" w:hAnsi="Bodoni MT" w:cs="Times New Roman"/>
                <w:color w:val="000000"/>
                <w:sz w:val="16"/>
                <w:szCs w:val="16"/>
                <w:lang w:eastAsia="it-IT"/>
              </w:rPr>
              <w:t>26.168,68</w:t>
            </w:r>
          </w:p>
        </w:tc>
        <w:tc>
          <w:tcPr>
            <w:tcW w:w="611" w:type="pct"/>
            <w:shd w:val="clear" w:color="auto" w:fill="FFFFFF" w:themeFill="background1"/>
            <w:noWrap/>
            <w:vAlign w:val="center"/>
            <w:hideMark/>
          </w:tcPr>
          <w:p w:rsidR="00C04384" w:rsidRPr="00C3327F" w:rsidRDefault="00C04384"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Bodoni MT" w:eastAsia="Times New Roman" w:hAnsi="Bodoni MT" w:cs="Times New Roman"/>
                <w:color w:val="000000"/>
                <w:sz w:val="16"/>
                <w:szCs w:val="16"/>
                <w:lang w:eastAsia="it-IT"/>
              </w:rPr>
              <w:t>22.067,99</w:t>
            </w:r>
          </w:p>
        </w:tc>
        <w:tc>
          <w:tcPr>
            <w:tcW w:w="240" w:type="pct"/>
            <w:shd w:val="clear" w:color="auto" w:fill="FFFFFF" w:themeFill="background1"/>
            <w:noWrap/>
            <w:vAlign w:val="center"/>
            <w:hideMark/>
          </w:tcPr>
          <w:p w:rsidR="00CD34A0" w:rsidRPr="00C3327F" w:rsidRDefault="00C04384"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Bodoni MT" w:eastAsia="Times New Roman" w:hAnsi="Bodoni MT" w:cs="Times New Roman"/>
                <w:color w:val="000000"/>
                <w:sz w:val="16"/>
                <w:szCs w:val="16"/>
                <w:lang w:eastAsia="it-IT"/>
              </w:rPr>
              <w:t>84,33</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noProof/>
                <w:color w:val="000000"/>
                <w:sz w:val="16"/>
                <w:szCs w:val="16"/>
                <w:lang w:eastAsia="it-IT"/>
              </w:rPr>
              <mc:AlternateContent>
                <mc:Choice Requires="wps">
                  <w:drawing>
                    <wp:anchor distT="0" distB="0" distL="114300" distR="114300" simplePos="0" relativeHeight="251696128" behindDoc="0" locked="0" layoutInCell="1" allowOverlap="1" wp14:anchorId="7F93E0FA" wp14:editId="672AC962">
                      <wp:simplePos x="0" y="0"/>
                      <wp:positionH relativeFrom="column">
                        <wp:posOffset>476250</wp:posOffset>
                      </wp:positionH>
                      <wp:positionV relativeFrom="paragraph">
                        <wp:posOffset>266700</wp:posOffset>
                      </wp:positionV>
                      <wp:extent cx="9525" cy="9525"/>
                      <wp:effectExtent l="0" t="0" r="28575" b="28575"/>
                      <wp:wrapNone/>
                      <wp:docPr id="26" name="Figura a mano libera: forma 2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D000000}"/>
                          </a:ext>
                        </a:extLst>
                      </wp:docPr>
                      <wp:cNvGraphicFramePr/>
                      <a:graphic xmlns:a="http://schemas.openxmlformats.org/drawingml/2006/main">
                        <a:graphicData uri="http://schemas.microsoft.com/office/word/2010/wordprocessingShape">
                          <wps:wsp>
                            <wps:cNvSpPr/>
                            <wps:spPr>
                              <a:xfrm>
                                <a:off x="0" y="0"/>
                                <a:ext cx="0" cy="1905"/>
                              </a:xfrm>
                              <a:custGeom>
                                <a:avLst/>
                                <a:gdLst/>
                                <a:ahLst/>
                                <a:cxnLst/>
                                <a:rect l="0" t="0" r="0" b="0"/>
                                <a:pathLst>
                                  <a:path h="1905">
                                    <a:moveTo>
                                      <a:pt x="-762" y="761"/>
                                    </a:moveTo>
                                    <a:lnTo>
                                      <a:pt x="762" y="761"/>
                                    </a:lnTo>
                                  </a:path>
                                </a:pathLst>
                              </a:custGeom>
                              <a:ln w="3175">
                                <a:solidFill>
                                  <a:srgbClr val="D0D7E5"/>
                                </a:solidFill>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EB3332" id="Figura a mano libera: forma 26" o:spid="_x0000_s1026" style="position:absolute;margin-left:37.5pt;margin-top:21pt;width:.75pt;height:.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KONQIAAKcEAAAOAAAAZHJzL2Uyb0RvYy54bWysVG2L2zAM/j7YfzD+nualbdoLTQ96bcZg&#10;bAd3+wGu4yQGxw6227Qc998nu0lbdjDGWD7IsixLjx7JWT2eWoGOTBuuZI7jSYQRk1SVXNY5/vla&#10;BEuMjCWyJEJJluMzM/hx/fnTqu8ylqhGiZJpBEGkyfoux421XRaGhjasJWaiOibhsFK6JRa2ug5L&#10;TXqI3oowiaI07JUuO60oMwas28shXvv4VcWo/VFVhlkkcgzYrJfay72T4XpFslqTruF0gEH+AUVL&#10;uISk11BbYgk6aP4hVMupVkZVdkJVG6qq4pT5GqCaOPqtmpeGdMzXAuSY7kqT+X9h6ffjs0a8zHGS&#10;YiRJCz0qeH3QBBHUEqmQ4HumSYZ8DxB4uTLZyX4zdtAuhb4VRbKZ74pZUIAWzKLNLNjsZg9BkUyX&#10;u2RRPCXT9N3djtOMakYsjMzXciQ9Tv+uqKH9jq5Z6Gn36N+i4QtgXToRBdHUCfdtvYzeXbtDj35c&#10;fRVh35nMM+Hmxqsv3bMGZ7czoLpKT5Vu3QpNQyc/QefrBAEfiF6MFKzxQzQfco236MHYL0z5COQI&#10;aS+TV44aaUaNnuSoapjfP05uR6y752A5FTVDbmdo1ZG9Kn9kHeBgkSYYAbpFGg/gbi5C3rt+9Lyc&#10;A3cujSfvmhqM98UJifocT+PF3E+KUYKXBRfCATG63j8JjY4EnuM22i52I013bhBPSEhx495pe1We&#10;fUu8HV6DBzG8XPfc7vf+9u3/sv4FAAD//wMAUEsDBBQABgAIAAAAIQAf2PUT3AAAAAcBAAAPAAAA&#10;ZHJzL2Rvd25yZXYueG1sTI/BTsMwEETvSPyDtUjcqNNCkirEqRBSTyAhWj7AibdJaLyO4m0b+HqW&#10;E5xGo1nNvC03sx/UGafYBzKwXCSgkJrgemoNfOy3d2tQkS05OwRCA18YYVNdX5W2cOFC73jecauk&#10;hGJhDXTMY6F1bDr0Ni7CiCTZIUzestip1W6yFyn3g14lSaa97UkWOjvic4fNcXfyBuZtnb3q+jPu&#10;j/lbu/zmFyLOjbm9mZ8eQTHO/HcMv/iCDpUw1eFELqrBQJ7KK2zgYSUqeZ6loGrx9ynoqtT/+asf&#10;AAAA//8DAFBLAQItABQABgAIAAAAIQC2gziS/gAAAOEBAAATAAAAAAAAAAAAAAAAAAAAAABbQ29u&#10;dGVudF9UeXBlc10ueG1sUEsBAi0AFAAGAAgAAAAhADj9If/WAAAAlAEAAAsAAAAAAAAAAAAAAAAA&#10;LwEAAF9yZWxzLy5yZWxzUEsBAi0AFAAGAAgAAAAhAOoYQo41AgAApwQAAA4AAAAAAAAAAAAAAAAA&#10;LgIAAGRycy9lMm9Eb2MueG1sUEsBAi0AFAAGAAgAAAAhAB/Y9RPcAAAABwEAAA8AAAAAAAAAAAAA&#10;AAAAjwQAAGRycy9kb3ducmV2LnhtbFBLBQYAAAAABAAEAPMAAACYBQAAAAA=&#10;" path="m-762,761r1524,e" filled="f" strokecolor="#d0d7e5" strokeweight=".25pt">
                      <v:path arrowok="t" textboxrect="0,0,0,1905"/>
                    </v:shape>
                  </w:pict>
                </mc:Fallback>
              </mc:AlternateConten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noProof/>
                <w:color w:val="000000"/>
                <w:sz w:val="16"/>
                <w:szCs w:val="16"/>
                <w:lang w:eastAsia="it-IT"/>
              </w:rPr>
              <mc:AlternateContent>
                <mc:Choice Requires="wps">
                  <w:drawing>
                    <wp:anchor distT="0" distB="0" distL="114300" distR="114300" simplePos="0" relativeHeight="251697152" behindDoc="0" locked="0" layoutInCell="1" allowOverlap="1" wp14:anchorId="6F7CAA76" wp14:editId="1CA4665B">
                      <wp:simplePos x="0" y="0"/>
                      <wp:positionH relativeFrom="column">
                        <wp:posOffset>123825</wp:posOffset>
                      </wp:positionH>
                      <wp:positionV relativeFrom="paragraph">
                        <wp:posOffset>266700</wp:posOffset>
                      </wp:positionV>
                      <wp:extent cx="19050" cy="9525"/>
                      <wp:effectExtent l="0" t="0" r="19050" b="28575"/>
                      <wp:wrapNone/>
                      <wp:docPr id="25" name="Figura a mano libera: forma 2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E000000}"/>
                          </a:ext>
                        </a:extLst>
                      </wp:docPr>
                      <wp:cNvGraphicFramePr/>
                      <a:graphic xmlns:a="http://schemas.openxmlformats.org/drawingml/2006/main">
                        <a:graphicData uri="http://schemas.microsoft.com/office/word/2010/wordprocessingShape">
                          <wps:wsp>
                            <wps:cNvSpPr/>
                            <wps:spPr>
                              <a:xfrm>
                                <a:off x="0" y="0"/>
                                <a:ext cx="0" cy="1905"/>
                              </a:xfrm>
                              <a:custGeom>
                                <a:avLst/>
                                <a:gdLst/>
                                <a:ahLst/>
                                <a:cxnLst/>
                                <a:rect l="0" t="0" r="0" b="0"/>
                                <a:pathLst>
                                  <a:path h="1905">
                                    <a:moveTo>
                                      <a:pt x="-762" y="761"/>
                                    </a:moveTo>
                                    <a:lnTo>
                                      <a:pt x="762" y="761"/>
                                    </a:lnTo>
                                  </a:path>
                                </a:pathLst>
                              </a:custGeom>
                              <a:ln w="3175">
                                <a:solidFill>
                                  <a:srgbClr val="D0D7E5"/>
                                </a:solidFill>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018674" id="Figura a mano libera: forma 25" o:spid="_x0000_s1026" style="position:absolute;margin-left:9.75pt;margin-top:21pt;width:1.5pt;height:.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34DNQIAAKcEAAAOAAAAZHJzL2Uyb0RvYy54bWysVG2L2zAM/j7YfzD+nualbdoLTQ96bcZg&#10;bAd3+wGu4zQGxw6227Qc998nO0lbdjDGWD7IsixLjx7JWT2eG4FOTBuuZI7jSYQRk1SVXB5y/PO1&#10;CJYYGUtkSYSSLMcXZvDj+vOnVddmLFG1EiXTCIJIk3Vtjmtr2ywMDa1ZQ8xEtUzCYaV0Qyxs9SEs&#10;NekgeiPCJIrSsFO6bLWizBiwbvtDvPbxq4pR+6OqDLNI5BiwWS+1l3snw/WKZAdN2prTAQb5BxQN&#10;4RKSXkNtiSXoqPmHUA2nWhlV2QlVTaiqilPma4Bq4ui3al5q0jJfC5Bj2itN5v+Fpd9PzxrxMsfJ&#10;HCNJGuhRwQ9HTRBBDZEKCb5nmmTI9wCBlyuTne03YwetL/StKJLNfFfMggK0YBZtZsFmN3sIimS6&#10;3CWL4imZpu/udpxmVDNiYWS+liPpcfp3RQ3td3TNQk+7R/8WDV8A69KJKIimTrhv52X07todevTj&#10;6qsIu9Zkngk3N159aZ81OLudAdVVeq5041ZoGjr7CbpcJwj4QLQ3UrDGD9F8yDXeokdjvzDlI5AT&#10;pO0nrxw1Uo8aPctR1TC/f5zcllh3z8FyKqqH3M7QqBN7Vf7IOsDBIk0wAnSLNB7A3VyEvHf96Nmf&#10;A3cujSfvmhqM98UJibocT+NFPylGCV4WXAgHxOjD/klodCLwHLfRdrEbabpzg3hCQoob907bq/Li&#10;W+Lt8Bo8iOHluud2v/e3b/+X9S8AAAD//wMAUEsDBBQABgAIAAAAIQA7ZWD82gAAAAcBAAAPAAAA&#10;ZHJzL2Rvd25yZXYueG1sTI/RTsJAEEXfTfiHzZj4JluqgNZuCTHhSRMj+AHb7thWurNNd4DK1zM+&#10;yePJvblzJl+NvlNHHGIbyMBsmoBCqoJrqTbwtdvcP4GKbMnZLhAa+MUIq2Jyk9vMhRN94nHLtZIR&#10;ipk10DD3mdaxatDbOA09kmTfYfCWBYdau8GeZNx3Ok2Shfa2JbnQ2B5fG6z224M3MG7Kxbsuf+Ju&#10;v/yoZ2d+I+KlMXe34/oFFOPI/2X40xd1KMSpDAdyUXXCz3NpGnhM5SXJ01S4FH6Ygy5yfe1fXAAA&#10;AP//AwBQSwECLQAUAAYACAAAACEAtoM4kv4AAADhAQAAEwAAAAAAAAAAAAAAAAAAAAAAW0NvbnRl&#10;bnRfVHlwZXNdLnhtbFBLAQItABQABgAIAAAAIQA4/SH/1gAAAJQBAAALAAAAAAAAAAAAAAAAAC8B&#10;AABfcmVscy8ucmVsc1BLAQItABQABgAIAAAAIQBXG34DNQIAAKcEAAAOAAAAAAAAAAAAAAAAAC4C&#10;AABkcnMvZTJvRG9jLnhtbFBLAQItABQABgAIAAAAIQA7ZWD82gAAAAcBAAAPAAAAAAAAAAAAAAAA&#10;AI8EAABkcnMvZG93bnJldi54bWxQSwUGAAAAAAQABADzAAAAlgUAAAAA&#10;" path="m-762,761r1524,e" filled="f" strokecolor="#d0d7e5" strokeweight=".25pt">
                      <v:path arrowok="t" textboxrect="0,0,0,1905"/>
                    </v:shape>
                  </w:pict>
                </mc:Fallback>
              </mc:AlternateContent>
            </w:r>
            <w:r w:rsidRPr="00C3327F">
              <w:rPr>
                <w:rFonts w:ascii="Bodoni MT" w:eastAsia="Times New Roman" w:hAnsi="Bodoni MT" w:cs="Times New Roman"/>
                <w:noProof/>
                <w:color w:val="000000"/>
                <w:sz w:val="16"/>
                <w:szCs w:val="16"/>
                <w:lang w:eastAsia="it-IT"/>
              </w:rPr>
              <mc:AlternateContent>
                <mc:Choice Requires="wps">
                  <w:drawing>
                    <wp:anchor distT="0" distB="0" distL="114300" distR="114300" simplePos="0" relativeHeight="251698176" behindDoc="0" locked="0" layoutInCell="1" allowOverlap="1" wp14:anchorId="69F783B4" wp14:editId="578477A4">
                      <wp:simplePos x="0" y="0"/>
                      <wp:positionH relativeFrom="column">
                        <wp:posOffset>619125</wp:posOffset>
                      </wp:positionH>
                      <wp:positionV relativeFrom="paragraph">
                        <wp:posOffset>266700</wp:posOffset>
                      </wp:positionV>
                      <wp:extent cx="19050" cy="9525"/>
                      <wp:effectExtent l="0" t="0" r="19050" b="28575"/>
                      <wp:wrapNone/>
                      <wp:docPr id="33" name="Figura a mano libera: forma 33">
                        <a:extLst xmlns:a="http://schemas.openxmlformats.org/drawingml/2006/main"/>
                      </wp:docPr>
                      <wp:cNvGraphicFramePr/>
                      <a:graphic xmlns:a="http://schemas.openxmlformats.org/drawingml/2006/main">
                        <a:graphicData uri="http://schemas.microsoft.com/office/word/2010/wordprocessingShape">
                          <wps:wsp>
                            <wps:cNvSpPr/>
                            <wps:spPr>
                              <a:xfrm>
                                <a:off x="0" y="0"/>
                                <a:ext cx="0" cy="1905"/>
                              </a:xfrm>
                              <a:custGeom>
                                <a:avLst/>
                                <a:gdLst/>
                                <a:ahLst/>
                                <a:cxnLst/>
                                <a:rect l="0" t="0" r="0" b="0"/>
                                <a:pathLst>
                                  <a:path h="1905">
                                    <a:moveTo>
                                      <a:pt x="-762" y="761"/>
                                    </a:moveTo>
                                    <a:lnTo>
                                      <a:pt x="762" y="761"/>
                                    </a:lnTo>
                                  </a:path>
                                </a:pathLst>
                              </a:custGeom>
                              <a:ln w="3175">
                                <a:solidFill>
                                  <a:srgbClr val="D0D7E5"/>
                                </a:solidFill>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47663" id="Figura a mano libera: forma 33" o:spid="_x0000_s1026" style="position:absolute;margin-left:48.75pt;margin-top:21pt;width:1.5pt;height:.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0i2QEAAOIDAAAOAAAAZHJzL2Uyb0RvYy54bWysU01v2zAMvQ/YfxB0b2ynaLIZcXpYll2K&#10;tkC7H8DIsi1AX5AU2/n3pWTnAyuww7CLTJHUI/kevXkclSQ9d14YXdFikVPCNTO10G1Ff7/v775R&#10;4gPoGqTRvKIn7unj9uuXzWBLvjSdkTV3BEG0Lwdb0S4EW2aZZx1X4BfGco3BxjgFAa+uzWoHA6Ir&#10;mS3zfJUNxtXWGca9R+9uCtJtwm8azsJL03geiKwo9hbS6dJ5iGe23UDZOrCdYHMb8A9dKBAai16g&#10;dhCAHJ34BKUEc8abJiyYUZlpGsF4mgGnKfI/pnnrwPI0C5Lj7YUm//9g2XP/6oioK3p/T4kGhRrt&#10;RXt0QIAo0IZIceAOSpI0IJgVx+RjePIBycsG68sEEilP5pt9dRiJN49mTB8bp+IX5yVjIv90IR+h&#10;CJucDL3F9/whqpJdX7GjD7+4SQjQT3WR6fpsQXe22KjPpkPp/yq6hRDfxbaiSbq5dnQo0/N3k0Ih&#10;Nny3Xi0pwe7Wq2Ju7poi9W3q58wpjvPEMmmwS2l03g4nNRlQiGL9kEj2Rop6L6SMjXjXHn5IR3rA&#10;Td7lu/XPM003aYgn9SzKxH1U4WDqU5IkiYWLlJqYlz5u6u09vb7+mtsPAAAA//8DAFBLAwQUAAYA&#10;CAAAACEABteCcNwAAAAIAQAADwAAAGRycy9kb3ducmV2LnhtbEyPwU7DMBBE70j8g7VI3KjdQhsI&#10;cSqE1BNIiJYP2MRLEhqvo9htA1/P9gTHnRnNvinWk+/VkcbYBbYwnxlQxHVwHTcWPnabm3tQMSE7&#10;7AOThW+KsC4vLwrMXTjxOx23qVFSwjFHC21KQ651rFvyGGdhIBbvM4wek5xjo92IJyn3vV4Ys9Ie&#10;O5YPLQ703FK93x68hWlTrV519RV3++ytmf+kF+aUWXt9NT09gko0pb8wnPEFHUphqsKBXVS9hYds&#10;KUkLdwuZdPaNEaES4XYJuiz0/wHlLwAAAP//AwBQSwECLQAUAAYACAAAACEAtoM4kv4AAADhAQAA&#10;EwAAAAAAAAAAAAAAAAAAAAAAW0NvbnRlbnRfVHlwZXNdLnhtbFBLAQItABQABgAIAAAAIQA4/SH/&#10;1gAAAJQBAAALAAAAAAAAAAAAAAAAAC8BAABfcmVscy8ucmVsc1BLAQItABQABgAIAAAAIQANIV0i&#10;2QEAAOIDAAAOAAAAAAAAAAAAAAAAAC4CAABkcnMvZTJvRG9jLnhtbFBLAQItABQABgAIAAAAIQAG&#10;14Jw3AAAAAgBAAAPAAAAAAAAAAAAAAAAADMEAABkcnMvZG93bnJldi54bWxQSwUGAAAAAAQABADz&#10;AAAAPAUAAAAA&#10;" path="m-762,761r1524,e" filled="f" strokecolor="#d0d7e5" strokeweight=".25pt">
                      <v:path arrowok="t" textboxrect="0,0,0,1905"/>
                    </v:shape>
                  </w:pict>
                </mc:Fallback>
              </mc:AlternateConten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noProof/>
                <w:color w:val="000000"/>
                <w:sz w:val="16"/>
                <w:szCs w:val="16"/>
                <w:lang w:eastAsia="it-IT"/>
              </w:rPr>
              <mc:AlternateContent>
                <mc:Choice Requires="wps">
                  <w:drawing>
                    <wp:anchor distT="0" distB="0" distL="114300" distR="114300" simplePos="0" relativeHeight="251699200" behindDoc="0" locked="0" layoutInCell="1" allowOverlap="1" wp14:anchorId="0FEEB3F6" wp14:editId="537A8EA0">
                      <wp:simplePos x="0" y="0"/>
                      <wp:positionH relativeFrom="column">
                        <wp:posOffset>342900</wp:posOffset>
                      </wp:positionH>
                      <wp:positionV relativeFrom="paragraph">
                        <wp:posOffset>266700</wp:posOffset>
                      </wp:positionV>
                      <wp:extent cx="9525" cy="9525"/>
                      <wp:effectExtent l="0" t="0" r="28575" b="28575"/>
                      <wp:wrapNone/>
                      <wp:docPr id="34" name="Figura a mano libera: forma 34">
                        <a:extLst xmlns:a="http://schemas.openxmlformats.org/drawingml/2006/main"/>
                      </wp:docPr>
                      <wp:cNvGraphicFramePr/>
                      <a:graphic xmlns:a="http://schemas.openxmlformats.org/drawingml/2006/main">
                        <a:graphicData uri="http://schemas.microsoft.com/office/word/2010/wordprocessingShape">
                          <wps:wsp>
                            <wps:cNvSpPr/>
                            <wps:spPr>
                              <a:xfrm>
                                <a:off x="0" y="0"/>
                                <a:ext cx="0" cy="1905"/>
                              </a:xfrm>
                              <a:custGeom>
                                <a:avLst/>
                                <a:gdLst/>
                                <a:ahLst/>
                                <a:cxnLst/>
                                <a:rect l="0" t="0" r="0" b="0"/>
                                <a:pathLst>
                                  <a:path h="1905">
                                    <a:moveTo>
                                      <a:pt x="-762" y="761"/>
                                    </a:moveTo>
                                    <a:lnTo>
                                      <a:pt x="762" y="761"/>
                                    </a:lnTo>
                                  </a:path>
                                </a:pathLst>
                              </a:custGeom>
                              <a:ln w="3175">
                                <a:solidFill>
                                  <a:srgbClr val="D0D7E5"/>
                                </a:solidFill>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4E3A1" id="Figura a mano libera: forma 34" o:spid="_x0000_s1026" style="position:absolute;margin-left:27pt;margin-top:21pt;width:.75pt;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4t2QEAAOIDAAAOAAAAZHJzL2Uyb0RvYy54bWysU01v2zAMvQ/YfxB0b2xna7IZcXpYll2K&#10;rkC7H8DIsi1AX5AU2/n3pWTnAyvQw7CLTJHUI/kevXkYlSQ9d14YXdFikVPCNTO10G1F/7zu775R&#10;4gPoGqTRvKIn7unD9vOnzWBLvjSdkTV3BEG0Lwdb0S4EW2aZZx1X4BfGco3BxjgFAa+uzWoHA6Ir&#10;mS3zfJUNxtXWGca9R+9uCtJtwm8azsLvpvE8EFlR7C2k06XzEM9su4GydWA7weY24B+6UCA0Fr1A&#10;7SAAOTrxDkoJ5ow3TVgwozLTNILxNANOU+R/TfPSgeVpFiTH2wtN/v/Bsqf+2RFRV/TLV0o0KNRo&#10;L9qjAwJEgTZEigN3UJKkAcGsOCYfw6MPSF42WF8mkEh5Ml/ss8NIvHk0Y/rYOBW/OC8ZE/mnC/kI&#10;RdjkZOgtvuf3UZXs+oodffjFTUKAfqqLTNdnC7qzxUZ9Nh1K/6HoFkJ8F9uKJunm2tGhTM9fTQqF&#10;2PDderWkBLtbr4q5uWuK1Lep7zOnOM4Ty6TBLqXReTuc1GRAIYr1fSLZGynqvZAyNuJde/ghHekB&#10;N3mX79Y/zzTdpCGe1LMoE/dRhYOpT0mSJBYuUmpiXvq4qbf39Pr6a27fAAAA//8DAFBLAwQUAAYA&#10;CAAAACEAywNRYdwAAAAHAQAADwAAAGRycy9kb3ducmV2LnhtbEyPwU7DMBBE70j8g7VI3KjTUrco&#10;xKkQUk8gIVo+wImXJDReR/G2DXw9y4meRqNZzbwtNlPo1QnH1EWyMJ9loJDq6DtqLHzst3cPoBI7&#10;8q6PhBa+McGmvL4qXO7jmd7xtONGSQml3FlomYdc61S3GFyaxQFJss84Bsdix0b70Z2lPPR6kWUr&#10;HVxHstC6AZ9brA+7Y7AwbavVq66+0v6wfmvmP/xCxGtrb2+mp0dQjBP/H8MfvqBDKUxVPJJPqrdg&#10;lvIKW1guRCU3xoCqxN8b0GWhL/nLXwAAAP//AwBQSwECLQAUAAYACAAAACEAtoM4kv4AAADhAQAA&#10;EwAAAAAAAAAAAAAAAAAAAAAAW0NvbnRlbnRfVHlwZXNdLnhtbFBLAQItABQABgAIAAAAIQA4/SH/&#10;1gAAAJQBAAALAAAAAAAAAAAAAAAAAC8BAABfcmVscy8ucmVsc1BLAQItABQABgAIAAAAIQCydB4t&#10;2QEAAOIDAAAOAAAAAAAAAAAAAAAAAC4CAABkcnMvZTJvRG9jLnhtbFBLAQItABQABgAIAAAAIQDL&#10;A1Fh3AAAAAcBAAAPAAAAAAAAAAAAAAAAADMEAABkcnMvZG93bnJldi54bWxQSwUGAAAAAAQABADz&#10;AAAAPAUAAAAA&#10;" path="m-762,761r1524,e" filled="f" strokecolor="#d0d7e5" strokeweight=".25pt">
                      <v:path arrowok="t" textboxrect="0,0,0,1905"/>
                    </v:shape>
                  </w:pict>
                </mc:Fallback>
              </mc:AlternateContent>
            </w:r>
          </w:p>
        </w:tc>
        <w:tc>
          <w:tcPr>
            <w:tcW w:w="484" w:type="pct"/>
            <w:shd w:val="clear" w:color="auto" w:fill="FFFFFF" w:themeFill="background1"/>
            <w:noWrap/>
            <w:vAlign w:val="center"/>
          </w:tcPr>
          <w:p w:rsidR="00CD34A0" w:rsidRPr="00C3327F" w:rsidRDefault="00C3327F"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Times New Roman" w:eastAsia="Times New Roman" w:hAnsi="Times New Roman" w:cs="Times New Roman"/>
                <w:color w:val="000000"/>
                <w:sz w:val="16"/>
                <w:szCs w:val="16"/>
                <w:lang w:eastAsia="it-IT"/>
              </w:rPr>
              <w:t>26.168,68</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22.067,99</w:t>
            </w:r>
          </w:p>
        </w:tc>
      </w:tr>
      <w:tr w:rsidR="00CD34A0" w:rsidRPr="00CD34A0" w:rsidTr="00C3327F">
        <w:trPr>
          <w:trHeight w:val="54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recupero contributi - interessi attivi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1.3.2.07.03.10.999</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2.818,15</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2.376,54</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84,33</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2.818,15</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2.376,54</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risarcimento danni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1.3.2.02.05.02.001</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26.437.425,42</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26.162.800,96</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98,96</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42.555,46</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25.737,54</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60,48</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26.479.980,88</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26.188.538,51</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rivalsa</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1.3.2.08.04.07.001</w:t>
            </w:r>
          </w:p>
        </w:tc>
        <w:tc>
          <w:tcPr>
            <w:tcW w:w="50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61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sanzioni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1.3.2.02.05.02.001</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989.461,41</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877.652,27</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88,70</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63.942,52</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17.251,69</w:t>
            </w:r>
          </w:p>
        </w:tc>
        <w:tc>
          <w:tcPr>
            <w:tcW w:w="24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26,98</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1.053.403,93</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894.903,96</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tributi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1.3.2.01.01.01.059</w:t>
            </w:r>
          </w:p>
        </w:tc>
        <w:tc>
          <w:tcPr>
            <w:tcW w:w="50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61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vendite immobiliari</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iCs/>
                <w:sz w:val="16"/>
                <w:szCs w:val="16"/>
                <w:lang w:eastAsia="it-IT"/>
              </w:rPr>
            </w:pPr>
            <w:r w:rsidRPr="00C3327F">
              <w:rPr>
                <w:rFonts w:ascii="Bodoni MT" w:eastAsia="Times New Roman" w:hAnsi="Bodoni MT" w:cs="Times New Roman"/>
                <w:iCs/>
                <w:sz w:val="16"/>
                <w:szCs w:val="16"/>
                <w:lang w:eastAsia="it-IT"/>
              </w:rPr>
              <w:t>1.3.2.02.06.08.001</w:t>
            </w:r>
          </w:p>
        </w:tc>
        <w:tc>
          <w:tcPr>
            <w:tcW w:w="50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61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sz w:val="16"/>
                <w:szCs w:val="16"/>
                <w:lang w:eastAsia="it-IT"/>
              </w:rPr>
            </w:pPr>
            <w:r w:rsidRPr="00C3327F">
              <w:rPr>
                <w:rFonts w:ascii="Bodoni MT" w:eastAsia="Times New Roman" w:hAnsi="Bodoni MT" w:cs="Times New Roman"/>
                <w:sz w:val="16"/>
                <w:szCs w:val="16"/>
                <w:lang w:eastAsia="it-IT"/>
              </w:rPr>
              <w:t>-</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color w:val="FFFFFF" w:themeColor="background1"/>
                <w:sz w:val="16"/>
                <w:szCs w:val="16"/>
                <w:lang w:eastAsia="it-IT"/>
              </w:rPr>
            </w:pPr>
            <w:r w:rsidRPr="00C04384">
              <w:rPr>
                <w:rFonts w:ascii="Bodoni MT" w:eastAsia="Times New Roman" w:hAnsi="Bodoni MT" w:cs="Times New Roman"/>
                <w:color w:val="FFFFFF" w:themeColor="background1"/>
                <w:sz w:val="16"/>
                <w:szCs w:val="16"/>
                <w:lang w:eastAsia="it-IT"/>
              </w:rPr>
              <w:t>altro (non svalutabile)</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46.728.475,89</w:t>
            </w:r>
          </w:p>
        </w:tc>
        <w:tc>
          <w:tcPr>
            <w:tcW w:w="61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5.000.000,00</w:t>
            </w:r>
          </w:p>
        </w:tc>
        <w:tc>
          <w:tcPr>
            <w:tcW w:w="413"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8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51.728.475,89</w:t>
            </w:r>
          </w:p>
        </w:tc>
        <w:tc>
          <w:tcPr>
            <w:tcW w:w="444"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r>
      <w:tr w:rsidR="00CD34A0" w:rsidRPr="00CD34A0" w:rsidTr="00C3327F">
        <w:trPr>
          <w:trHeight w:val="270"/>
          <w:jc w:val="center"/>
        </w:trPr>
        <w:tc>
          <w:tcPr>
            <w:tcW w:w="620" w:type="pct"/>
            <w:shd w:val="clear" w:color="auto" w:fill="95B3D7" w:themeFill="accent1" w:themeFillTint="99"/>
            <w:hideMark/>
          </w:tcPr>
          <w:p w:rsidR="00CD34A0" w:rsidRPr="00C04384" w:rsidRDefault="00CD34A0" w:rsidP="00CD34A0">
            <w:pPr>
              <w:spacing w:after="0" w:line="240" w:lineRule="auto"/>
              <w:rPr>
                <w:rFonts w:ascii="Bodoni MT" w:eastAsia="Times New Roman" w:hAnsi="Bodoni MT" w:cs="Times New Roman"/>
                <w:b/>
                <w:bCs/>
                <w:color w:val="FFFFFF" w:themeColor="background1"/>
                <w:sz w:val="16"/>
                <w:szCs w:val="16"/>
                <w:lang w:eastAsia="it-IT"/>
              </w:rPr>
            </w:pPr>
            <w:r w:rsidRPr="00C04384">
              <w:rPr>
                <w:rFonts w:ascii="Bodoni MT" w:eastAsia="Times New Roman" w:hAnsi="Bodoni MT" w:cs="Times New Roman"/>
                <w:b/>
                <w:bCs/>
                <w:color w:val="FFFFFF" w:themeColor="background1"/>
                <w:sz w:val="16"/>
                <w:szCs w:val="16"/>
                <w:lang w:eastAsia="it-IT"/>
              </w:rPr>
              <w:t>Totale complessivo</w:t>
            </w:r>
          </w:p>
        </w:tc>
        <w:tc>
          <w:tcPr>
            <w:tcW w:w="591"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500"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375.786.931,93</w:t>
            </w:r>
          </w:p>
        </w:tc>
        <w:tc>
          <w:tcPr>
            <w:tcW w:w="611"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281.477.253,81</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83.228.955,64</w:t>
            </w:r>
          </w:p>
        </w:tc>
        <w:tc>
          <w:tcPr>
            <w:tcW w:w="413"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34.249.334,63</w:t>
            </w:r>
          </w:p>
        </w:tc>
        <w:tc>
          <w:tcPr>
            <w:tcW w:w="240" w:type="pct"/>
            <w:shd w:val="clear" w:color="auto" w:fill="FFFFFF" w:themeFill="background1"/>
            <w:vAlign w:val="center"/>
            <w:hideMark/>
          </w:tcPr>
          <w:p w:rsidR="00CD34A0" w:rsidRPr="00C3327F" w:rsidRDefault="00CD34A0" w:rsidP="00C3327F">
            <w:pPr>
              <w:spacing w:after="0" w:line="240" w:lineRule="auto"/>
              <w:jc w:val="right"/>
              <w:rPr>
                <w:rFonts w:ascii="Bodoni MT" w:eastAsia="Times New Roman" w:hAnsi="Bodoni MT" w:cs="Times New Roman"/>
                <w:color w:val="000000"/>
                <w:sz w:val="16"/>
                <w:szCs w:val="16"/>
                <w:lang w:eastAsia="it-IT"/>
              </w:rPr>
            </w:pPr>
            <w:r w:rsidRPr="00C3327F">
              <w:rPr>
                <w:rFonts w:ascii="Bodoni MT" w:eastAsia="Times New Roman" w:hAnsi="Bodoni MT" w:cs="Times New Roman"/>
                <w:color w:val="000000"/>
                <w:sz w:val="16"/>
                <w:szCs w:val="16"/>
                <w:lang w:eastAsia="it-IT"/>
              </w:rPr>
              <w:t> </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167.074.094,46</w:t>
            </w:r>
          </w:p>
        </w:tc>
        <w:tc>
          <w:tcPr>
            <w:tcW w:w="484" w:type="pct"/>
            <w:shd w:val="clear" w:color="auto" w:fill="FFFFFF" w:themeFill="background1"/>
            <w:noWrap/>
            <w:vAlign w:val="center"/>
            <w:hideMark/>
          </w:tcPr>
          <w:p w:rsidR="00CD34A0" w:rsidRPr="00C3327F" w:rsidRDefault="00C3327F" w:rsidP="00C3327F">
            <w:pPr>
              <w:spacing w:after="0" w:line="240" w:lineRule="auto"/>
              <w:jc w:val="right"/>
              <w:rPr>
                <w:rFonts w:ascii="Times New Roman" w:eastAsia="Times New Roman" w:hAnsi="Times New Roman" w:cs="Times New Roman"/>
                <w:color w:val="000000"/>
                <w:sz w:val="16"/>
                <w:szCs w:val="16"/>
                <w:lang w:eastAsia="it-IT"/>
              </w:rPr>
            </w:pPr>
            <w:r w:rsidRPr="00C3327F">
              <w:rPr>
                <w:rFonts w:ascii="Bodoni MT" w:eastAsia="Times New Roman" w:hAnsi="Bodoni MT" w:cs="Times New Roman"/>
                <w:b/>
                <w:bCs/>
                <w:color w:val="000000"/>
                <w:sz w:val="16"/>
                <w:szCs w:val="16"/>
                <w:lang w:eastAsia="it-IT"/>
              </w:rPr>
              <w:t>626.089.982,03</w:t>
            </w:r>
          </w:p>
        </w:tc>
        <w:tc>
          <w:tcPr>
            <w:tcW w:w="444" w:type="pct"/>
            <w:shd w:val="clear" w:color="auto" w:fill="FFFFFF" w:themeFill="background1"/>
            <w:noWrap/>
            <w:vAlign w:val="center"/>
            <w:hideMark/>
          </w:tcPr>
          <w:p w:rsidR="00CD34A0" w:rsidRPr="00C3327F" w:rsidRDefault="00CD34A0" w:rsidP="00C3327F">
            <w:pPr>
              <w:spacing w:after="0" w:line="240" w:lineRule="auto"/>
              <w:jc w:val="right"/>
              <w:rPr>
                <w:rFonts w:ascii="Bodoni MT" w:eastAsia="Times New Roman" w:hAnsi="Bodoni MT" w:cs="Times New Roman"/>
                <w:b/>
                <w:bCs/>
                <w:color w:val="000000"/>
                <w:sz w:val="16"/>
                <w:szCs w:val="16"/>
                <w:lang w:eastAsia="it-IT"/>
              </w:rPr>
            </w:pPr>
            <w:r w:rsidRPr="00C3327F">
              <w:rPr>
                <w:rFonts w:ascii="Bodoni MT" w:eastAsia="Times New Roman" w:hAnsi="Bodoni MT" w:cs="Times New Roman"/>
                <w:b/>
                <w:bCs/>
                <w:color w:val="000000"/>
                <w:sz w:val="16"/>
                <w:szCs w:val="16"/>
                <w:lang w:eastAsia="it-IT"/>
              </w:rPr>
              <w:t>482.800.682,90</w:t>
            </w:r>
          </w:p>
        </w:tc>
      </w:tr>
    </w:tbl>
    <w:p w:rsidR="00CD34A0" w:rsidRPr="00C3327F"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C3327F">
        <w:rPr>
          <w:rFonts w:ascii="Bodoni MT" w:eastAsia="Times New Roman" w:hAnsi="Bodoni MT" w:cs="Bodoni MT"/>
          <w:color w:val="000000"/>
          <w:sz w:val="18"/>
          <w:szCs w:val="18"/>
        </w:rPr>
        <w:t>Fonte RAS Rendiconto sulla gestione 2016 – Allegato 3.6</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CD34A0" w:rsidRPr="00C3327F" w:rsidRDefault="00C3327F" w:rsidP="00C3327F">
      <w:pPr>
        <w:pStyle w:val="Didascalia"/>
        <w:rPr>
          <w:rFonts w:eastAsia="Times New Roman" w:cs="Bodoni MT"/>
          <w:color w:val="000000"/>
          <w:highlight w:val="yellow"/>
        </w:rPr>
      </w:pPr>
      <w:bookmarkStart w:id="401" w:name="_Toc507422602"/>
      <w:r>
        <w:lastRenderedPageBreak/>
        <w:t xml:space="preserve">Tabella </w:t>
      </w:r>
      <w:r w:rsidR="00B90472">
        <w:fldChar w:fldCharType="begin"/>
      </w:r>
      <w:r w:rsidR="00B90472">
        <w:instrText xml:space="preserve"> SEQ Tabella \* ARABIC </w:instrText>
      </w:r>
      <w:r w:rsidR="00B90472">
        <w:fldChar w:fldCharType="separate"/>
      </w:r>
      <w:r w:rsidR="008616B3">
        <w:rPr>
          <w:noProof/>
        </w:rPr>
        <w:t>134</w:t>
      </w:r>
      <w:r w:rsidR="00B90472">
        <w:rPr>
          <w:noProof/>
        </w:rPr>
        <w:fldChar w:fldCharType="end"/>
      </w:r>
      <w:r>
        <w:t xml:space="preserve"> - </w:t>
      </w:r>
      <w:r w:rsidRPr="00C3327F">
        <w:rPr>
          <w:rFonts w:eastAsia="Times New Roman" w:cs="Times New Roman"/>
          <w:bCs w:val="0"/>
          <w:lang w:eastAsia="it-IT"/>
        </w:rPr>
        <w:t>Composizione complessiva del FSC al 31.12.2016</w:t>
      </w:r>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9"/>
        <w:gridCol w:w="1576"/>
        <w:gridCol w:w="1769"/>
        <w:gridCol w:w="741"/>
        <w:gridCol w:w="1396"/>
        <w:gridCol w:w="1469"/>
        <w:gridCol w:w="741"/>
        <w:gridCol w:w="1396"/>
        <w:gridCol w:w="1777"/>
        <w:gridCol w:w="1402"/>
      </w:tblGrid>
      <w:tr w:rsidR="00CD34A0" w:rsidRPr="00CD34A0" w:rsidTr="00C3327F">
        <w:trPr>
          <w:trHeight w:val="619"/>
        </w:trPr>
        <w:tc>
          <w:tcPr>
            <w:tcW w:w="748"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Caratteristiche</w:t>
            </w:r>
          </w:p>
        </w:tc>
        <w:tc>
          <w:tcPr>
            <w:tcW w:w="546"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Crediti scaduti e non incassati al 31/12/2016</w:t>
            </w:r>
          </w:p>
        </w:tc>
        <w:tc>
          <w:tcPr>
            <w:tcW w:w="613"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FSC crediti scaduti e non incassati al 31/12/2016</w:t>
            </w:r>
          </w:p>
        </w:tc>
        <w:tc>
          <w:tcPr>
            <w:tcW w:w="257"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color w:val="000000"/>
                <w:sz w:val="20"/>
                <w:szCs w:val="20"/>
                <w:lang w:eastAsia="it-IT"/>
              </w:rPr>
            </w:pPr>
            <w:r w:rsidRPr="00CD34A0">
              <w:rPr>
                <w:rFonts w:ascii="Bodoni MT" w:eastAsia="Times New Roman" w:hAnsi="Bodoni MT" w:cs="Times New Roman"/>
                <w:b/>
                <w:bCs/>
                <w:sz w:val="20"/>
                <w:szCs w:val="20"/>
                <w:lang w:eastAsia="it-IT"/>
              </w:rPr>
              <w:t>%</w:t>
            </w:r>
            <w:r w:rsidRPr="00CD34A0">
              <w:rPr>
                <w:rFonts w:ascii="Bodoni MT" w:eastAsia="Times New Roman" w:hAnsi="Bodoni MT" w:cs="Times New Roman"/>
                <w:b/>
                <w:bCs/>
                <w:sz w:val="20"/>
                <w:szCs w:val="20"/>
                <w:lang w:eastAsia="it-IT"/>
              </w:rPr>
              <w:br/>
              <w:t>accant.</w:t>
            </w:r>
          </w:p>
        </w:tc>
        <w:tc>
          <w:tcPr>
            <w:tcW w:w="484"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Crediti a scadere oltre il 31/12/2016</w:t>
            </w:r>
          </w:p>
        </w:tc>
        <w:tc>
          <w:tcPr>
            <w:tcW w:w="509"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FSC crediti a scadere al 31/12/2016</w:t>
            </w:r>
          </w:p>
        </w:tc>
        <w:tc>
          <w:tcPr>
            <w:tcW w:w="257"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color w:val="000000"/>
                <w:sz w:val="20"/>
                <w:szCs w:val="20"/>
                <w:lang w:eastAsia="it-IT"/>
              </w:rPr>
            </w:pPr>
            <w:r w:rsidRPr="00CD34A0">
              <w:rPr>
                <w:rFonts w:ascii="Bodoni MT" w:eastAsia="Times New Roman" w:hAnsi="Bodoni MT" w:cs="Times New Roman"/>
                <w:b/>
                <w:bCs/>
                <w:sz w:val="20"/>
                <w:szCs w:val="20"/>
                <w:lang w:eastAsia="it-IT"/>
              </w:rPr>
              <w:t>%</w:t>
            </w:r>
            <w:r w:rsidRPr="00CD34A0">
              <w:rPr>
                <w:rFonts w:ascii="Bodoni MT" w:eastAsia="Times New Roman" w:hAnsi="Bodoni MT" w:cs="Times New Roman"/>
                <w:b/>
                <w:bCs/>
                <w:sz w:val="20"/>
                <w:szCs w:val="20"/>
                <w:lang w:eastAsia="it-IT"/>
              </w:rPr>
              <w:br/>
              <w:t>accant.</w:t>
            </w:r>
          </w:p>
        </w:tc>
        <w:tc>
          <w:tcPr>
            <w:tcW w:w="484"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Crediti inesigibili</w:t>
            </w:r>
          </w:p>
        </w:tc>
        <w:tc>
          <w:tcPr>
            <w:tcW w:w="616"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color w:val="000000"/>
                <w:sz w:val="20"/>
                <w:szCs w:val="20"/>
                <w:lang w:eastAsia="it-IT"/>
              </w:rPr>
            </w:pPr>
            <w:r w:rsidRPr="00CD34A0">
              <w:rPr>
                <w:rFonts w:ascii="Bodoni MT" w:eastAsia="Times New Roman" w:hAnsi="Bodoni MT" w:cs="Times New Roman"/>
                <w:b/>
                <w:bCs/>
                <w:sz w:val="20"/>
                <w:szCs w:val="20"/>
                <w:lang w:eastAsia="it-IT"/>
              </w:rPr>
              <w:t>TOTALE CREDITI al</w:t>
            </w:r>
            <w:r w:rsidRPr="00CD34A0">
              <w:rPr>
                <w:rFonts w:ascii="Bodoni MT" w:eastAsia="Times New Roman" w:hAnsi="Bodoni MT" w:cs="Times New Roman"/>
                <w:b/>
                <w:bCs/>
                <w:sz w:val="20"/>
                <w:szCs w:val="20"/>
                <w:lang w:eastAsia="it-IT"/>
              </w:rPr>
              <w:br/>
              <w:t>31/12/2016 (inclusi inesigibili)</w:t>
            </w:r>
          </w:p>
        </w:tc>
        <w:tc>
          <w:tcPr>
            <w:tcW w:w="486" w:type="pct"/>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TOTALE FSC AL 31/12/2016</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Canoni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2.709.014,30</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2.463.427,85</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90,93</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2.460.334,65</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833.091,13</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33,86</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73.265,19</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5.242.614,14</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3.369.784,17</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Escussione</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1.580.679,06</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1.337.331,78</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84,60</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1.580.679,06</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1.337.331,78</w:t>
            </w:r>
          </w:p>
        </w:tc>
      </w:tr>
      <w:tr w:rsidR="00CD34A0" w:rsidRPr="00CD34A0" w:rsidTr="00C3327F">
        <w:trPr>
          <w:trHeight w:val="54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Recuperi </w:t>
            </w:r>
            <w:r w:rsidR="00CD34A0" w:rsidRPr="00C3327F">
              <w:rPr>
                <w:rFonts w:ascii="Bodoni MT" w:eastAsia="Times New Roman" w:hAnsi="Bodoni MT" w:cs="Times New Roman"/>
                <w:color w:val="FFFFFF" w:themeColor="background1"/>
                <w:sz w:val="20"/>
                <w:szCs w:val="20"/>
                <w:lang w:eastAsia="it-IT"/>
              </w:rPr>
              <w:t>aziende farmaceutiche</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34.146.545,35</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13.658.618,14</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40,00</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34.146.545,35</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13.658.618,14</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133.712.403,77</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117.689.563,10</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88,02</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5.809.755,86</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1.805.338,15</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31,07</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113.123,34</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139.635.282,97</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119.608.024,59</w:t>
            </w:r>
          </w:p>
        </w:tc>
      </w:tr>
      <w:tr w:rsidR="00CD34A0" w:rsidRPr="00CD34A0" w:rsidTr="00C3327F">
        <w:trPr>
          <w:trHeight w:val="54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Rimborso </w:t>
            </w:r>
            <w:r w:rsidR="00CD34A0" w:rsidRPr="00C3327F">
              <w:rPr>
                <w:rFonts w:ascii="Bodoni MT" w:eastAsia="Times New Roman" w:hAnsi="Bodoni MT" w:cs="Times New Roman"/>
                <w:color w:val="FFFFFF" w:themeColor="background1"/>
                <w:sz w:val="20"/>
                <w:szCs w:val="20"/>
                <w:lang w:eastAsia="it-IT"/>
              </w:rPr>
              <w:t>prestiti da fondi di rotazione</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210.085.325,07</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177.147.259,01</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84,32</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77.103.655,70</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33.601.737,20</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43,58</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167.074.094,46</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454.263.075,23</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377.823.090,67</w:t>
            </w:r>
          </w:p>
        </w:tc>
      </w:tr>
      <w:tr w:rsidR="00CD34A0" w:rsidRPr="00CD34A0" w:rsidTr="00C3327F">
        <w:trPr>
          <w:trHeight w:val="54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interessi mora</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26.168,68</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22.067,99</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84,33</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26.168,68</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22.067,99</w:t>
            </w:r>
          </w:p>
        </w:tc>
      </w:tr>
      <w:tr w:rsidR="00CD34A0" w:rsidRPr="00CD34A0" w:rsidTr="00C3327F">
        <w:trPr>
          <w:trHeight w:val="54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interessi attivi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5.756.544,71</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5.454.032,46</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94,74</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5.756.544,71</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5.454.032,46</w:t>
            </w:r>
          </w:p>
        </w:tc>
      </w:tr>
      <w:tr w:rsidR="00CD34A0" w:rsidRPr="00CD34A0" w:rsidTr="00C3327F">
        <w:trPr>
          <w:trHeight w:val="54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crediti diversi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39.043,85</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36.994,05</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94,75</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39.043,85</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36.994,05</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Risarcimento </w:t>
            </w:r>
            <w:r w:rsidR="00CD34A0" w:rsidRPr="00C3327F">
              <w:rPr>
                <w:rFonts w:ascii="Bodoni MT" w:eastAsia="Times New Roman" w:hAnsi="Bodoni MT" w:cs="Times New Roman"/>
                <w:color w:val="FFFFFF" w:themeColor="background1"/>
                <w:sz w:val="20"/>
                <w:szCs w:val="20"/>
                <w:lang w:eastAsia="it-IT"/>
              </w:rPr>
              <w:t>danni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26.669.448,85</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26.394.499,56</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98,97</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68.152,73</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41.218,77</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60,48</w:t>
            </w: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26.737.601,58</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26.435.718,33</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Rivalsa</w:t>
            </w:r>
          </w:p>
        </w:tc>
        <w:tc>
          <w:tcPr>
            <w:tcW w:w="54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3"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48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Sanzioni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2.613.516,93</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2.318.189,52</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88,70</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607.534,60</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163.912,84</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26,98</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205.851,18</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3.426.902,71</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2.687.953,53</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Tributi</w:t>
            </w:r>
          </w:p>
        </w:tc>
        <w:tc>
          <w:tcPr>
            <w:tcW w:w="54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3"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48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Vendite </w:t>
            </w:r>
            <w:r w:rsidR="00CD34A0" w:rsidRPr="00C3327F">
              <w:rPr>
                <w:rFonts w:ascii="Bodoni MT" w:eastAsia="Times New Roman" w:hAnsi="Bodoni MT" w:cs="Times New Roman"/>
                <w:color w:val="FFFFFF" w:themeColor="background1"/>
                <w:sz w:val="20"/>
                <w:szCs w:val="20"/>
                <w:lang w:eastAsia="it-IT"/>
              </w:rPr>
              <w:t>immobiliari</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2.849,60</w:t>
            </w:r>
          </w:p>
        </w:tc>
        <w:tc>
          <w:tcPr>
            <w:tcW w:w="613"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1.311.829,39</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524,73</w:t>
            </w:r>
          </w:p>
        </w:tc>
        <w:tc>
          <w:tcPr>
            <w:tcW w:w="257"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0,04</w:t>
            </w: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0,01</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1.314.679,00</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524,74</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3327F" w:rsidP="00C3327F">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Altro </w:t>
            </w:r>
            <w:r w:rsidR="00CD34A0" w:rsidRPr="00C3327F">
              <w:rPr>
                <w:rFonts w:ascii="Bodoni MT" w:eastAsia="Times New Roman" w:hAnsi="Bodoni MT" w:cs="Times New Roman"/>
                <w:color w:val="FFFFFF" w:themeColor="background1"/>
                <w:sz w:val="20"/>
                <w:szCs w:val="20"/>
                <w:lang w:eastAsia="it-IT"/>
              </w:rPr>
              <w:t>(non svalutabile)</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1.795.314.383,98</w:t>
            </w:r>
          </w:p>
        </w:tc>
        <w:tc>
          <w:tcPr>
            <w:tcW w:w="613"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13.161.796,77</w:t>
            </w:r>
          </w:p>
        </w:tc>
        <w:tc>
          <w:tcPr>
            <w:tcW w:w="509"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1.808.476.180,75</w:t>
            </w:r>
          </w:p>
        </w:tc>
        <w:tc>
          <w:tcPr>
            <w:tcW w:w="486"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C3327F">
        <w:trPr>
          <w:trHeight w:val="270"/>
        </w:trPr>
        <w:tc>
          <w:tcPr>
            <w:tcW w:w="748" w:type="pct"/>
            <w:shd w:val="clear" w:color="auto" w:fill="95B3D7" w:themeFill="accent1" w:themeFillTint="99"/>
            <w:vAlign w:val="center"/>
            <w:hideMark/>
          </w:tcPr>
          <w:p w:rsidR="00CD34A0" w:rsidRPr="00C3327F" w:rsidRDefault="00CD34A0" w:rsidP="00C3327F">
            <w:pPr>
              <w:spacing w:after="0" w:line="240" w:lineRule="auto"/>
              <w:rPr>
                <w:rFonts w:ascii="Bodoni MT" w:eastAsia="Times New Roman" w:hAnsi="Bodoni MT" w:cs="Times New Roman"/>
                <w:b/>
                <w:bCs/>
                <w:color w:val="FFFFFF" w:themeColor="background1"/>
                <w:sz w:val="20"/>
                <w:szCs w:val="20"/>
                <w:lang w:eastAsia="it-IT"/>
              </w:rPr>
            </w:pPr>
            <w:r w:rsidRPr="00C3327F">
              <w:rPr>
                <w:rFonts w:ascii="Bodoni MT" w:eastAsia="Times New Roman" w:hAnsi="Bodoni MT" w:cs="Times New Roman"/>
                <w:b/>
                <w:bCs/>
                <w:color w:val="FFFFFF" w:themeColor="background1"/>
                <w:sz w:val="20"/>
                <w:szCs w:val="20"/>
                <w:lang w:eastAsia="it-IT"/>
              </w:rPr>
              <w:t>Totale complessivo</w:t>
            </w:r>
          </w:p>
        </w:tc>
        <w:tc>
          <w:tcPr>
            <w:tcW w:w="54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2.212.655.924,15</w:t>
            </w:r>
          </w:p>
        </w:tc>
        <w:tc>
          <w:tcPr>
            <w:tcW w:w="613"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346.521.983,45</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100.523.059,70</w:t>
            </w:r>
          </w:p>
        </w:tc>
        <w:tc>
          <w:tcPr>
            <w:tcW w:w="509"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36.445.822,81</w:t>
            </w:r>
          </w:p>
        </w:tc>
        <w:tc>
          <w:tcPr>
            <w:tcW w:w="257" w:type="pct"/>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167.466.334,18</w:t>
            </w:r>
          </w:p>
        </w:tc>
        <w:tc>
          <w:tcPr>
            <w:tcW w:w="61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2.480.645.318,03</w:t>
            </w:r>
          </w:p>
        </w:tc>
        <w:tc>
          <w:tcPr>
            <w:tcW w:w="486" w:type="pct"/>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550.434.140,44</w:t>
            </w:r>
          </w:p>
        </w:tc>
      </w:tr>
    </w:tbl>
    <w:p w:rsidR="00CD34A0" w:rsidRPr="00C3327F"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r w:rsidRPr="00C3327F">
        <w:rPr>
          <w:rFonts w:ascii="Bodoni MT" w:eastAsia="Times New Roman" w:hAnsi="Bodoni MT" w:cs="Bodoni MT"/>
          <w:color w:val="000000"/>
          <w:sz w:val="18"/>
          <w:szCs w:val="18"/>
        </w:rPr>
        <w:t>Fonte RAS Rendiconto sulla gestione 2016 – Allegato 3.6</w:t>
      </w: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rPr>
      </w:pPr>
    </w:p>
    <w:p w:rsidR="00CD34A0" w:rsidRPr="00C3327F" w:rsidRDefault="00C3327F" w:rsidP="00C3327F">
      <w:pPr>
        <w:pStyle w:val="Didascalia"/>
        <w:rPr>
          <w:rFonts w:eastAsia="Times New Roman" w:cs="Bodoni MT"/>
          <w:color w:val="000000"/>
        </w:rPr>
      </w:pPr>
      <w:bookmarkStart w:id="402" w:name="_Toc507422603"/>
      <w:r>
        <w:lastRenderedPageBreak/>
        <w:t xml:space="preserve">Tabella </w:t>
      </w:r>
      <w:r w:rsidR="00B90472">
        <w:fldChar w:fldCharType="begin"/>
      </w:r>
      <w:r w:rsidR="00B90472">
        <w:instrText xml:space="preserve"> SEQ Tabella \* ARABIC </w:instrText>
      </w:r>
      <w:r w:rsidR="00B90472">
        <w:fldChar w:fldCharType="separate"/>
      </w:r>
      <w:r w:rsidR="008616B3">
        <w:rPr>
          <w:noProof/>
        </w:rPr>
        <w:t>135</w:t>
      </w:r>
      <w:r w:rsidR="00B90472">
        <w:rPr>
          <w:noProof/>
        </w:rPr>
        <w:fldChar w:fldCharType="end"/>
      </w:r>
      <w:r>
        <w:t xml:space="preserve"> - </w:t>
      </w:r>
      <w:r w:rsidRPr="00C3327F">
        <w:rPr>
          <w:rFonts w:eastAsia="Times New Roman" w:cs="Times New Roman"/>
          <w:lang w:eastAsia="it-IT"/>
        </w:rPr>
        <w:t>Accantonamento al FSC nell’anno 2016</w:t>
      </w:r>
      <w:bookmarkEnd w:id="402"/>
    </w:p>
    <w:tbl>
      <w:tblPr>
        <w:tblW w:w="5000" w:type="pct"/>
        <w:tblCellMar>
          <w:left w:w="70" w:type="dxa"/>
          <w:right w:w="70" w:type="dxa"/>
        </w:tblCellMar>
        <w:tblLook w:val="04A0" w:firstRow="1" w:lastRow="0" w:firstColumn="1" w:lastColumn="0" w:noHBand="0" w:noVBand="1"/>
      </w:tblPr>
      <w:tblGrid>
        <w:gridCol w:w="2182"/>
        <w:gridCol w:w="1985"/>
        <w:gridCol w:w="1396"/>
        <w:gridCol w:w="765"/>
        <w:gridCol w:w="1809"/>
        <w:gridCol w:w="1396"/>
        <w:gridCol w:w="741"/>
        <w:gridCol w:w="1295"/>
        <w:gridCol w:w="1290"/>
        <w:gridCol w:w="1567"/>
      </w:tblGrid>
      <w:tr w:rsidR="00CD34A0" w:rsidRPr="00CD34A0" w:rsidTr="00C3327F">
        <w:trPr>
          <w:trHeight w:val="1035"/>
        </w:trPr>
        <w:tc>
          <w:tcPr>
            <w:tcW w:w="756"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Caratteristiche</w:t>
            </w:r>
          </w:p>
        </w:tc>
        <w:tc>
          <w:tcPr>
            <w:tcW w:w="688"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Totale crediti al 31/12/2016 (inclusi inesigibili)</w:t>
            </w:r>
          </w:p>
        </w:tc>
        <w:tc>
          <w:tcPr>
            <w:tcW w:w="484"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Totale FSC al 31/12/2016</w:t>
            </w:r>
          </w:p>
        </w:tc>
        <w:tc>
          <w:tcPr>
            <w:tcW w:w="265"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color w:val="000000"/>
                <w:sz w:val="20"/>
                <w:szCs w:val="20"/>
                <w:lang w:eastAsia="it-IT"/>
              </w:rPr>
            </w:pPr>
            <w:r w:rsidRPr="00CD34A0">
              <w:rPr>
                <w:rFonts w:ascii="Bodoni MT" w:eastAsia="Times New Roman" w:hAnsi="Bodoni MT" w:cs="Times New Roman"/>
                <w:b/>
                <w:bCs/>
                <w:sz w:val="20"/>
                <w:szCs w:val="20"/>
                <w:lang w:eastAsia="it-IT"/>
              </w:rPr>
              <w:t>%</w:t>
            </w:r>
            <w:r w:rsidRPr="00CD34A0">
              <w:rPr>
                <w:rFonts w:ascii="Bodoni MT" w:eastAsia="Times New Roman" w:hAnsi="Bodoni MT" w:cs="Times New Roman"/>
                <w:b/>
                <w:bCs/>
                <w:sz w:val="20"/>
                <w:szCs w:val="20"/>
                <w:lang w:eastAsia="it-IT"/>
              </w:rPr>
              <w:br/>
              <w:t>accant.</w:t>
            </w:r>
          </w:p>
        </w:tc>
        <w:tc>
          <w:tcPr>
            <w:tcW w:w="627"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Totale crediti al 01/01/2016 (inclusi inesigibili)</w:t>
            </w:r>
          </w:p>
        </w:tc>
        <w:tc>
          <w:tcPr>
            <w:tcW w:w="484"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Totale FSC al 01/01/2016</w:t>
            </w:r>
          </w:p>
        </w:tc>
        <w:tc>
          <w:tcPr>
            <w:tcW w:w="257"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color w:val="000000"/>
                <w:sz w:val="20"/>
                <w:szCs w:val="20"/>
                <w:lang w:eastAsia="it-IT"/>
              </w:rPr>
            </w:pPr>
            <w:r w:rsidRPr="00CD34A0">
              <w:rPr>
                <w:rFonts w:ascii="Bodoni MT" w:eastAsia="Times New Roman" w:hAnsi="Bodoni MT" w:cs="Times New Roman"/>
                <w:b/>
                <w:bCs/>
                <w:sz w:val="20"/>
                <w:szCs w:val="20"/>
                <w:lang w:eastAsia="it-IT"/>
              </w:rPr>
              <w:t>%</w:t>
            </w:r>
            <w:r w:rsidRPr="00CD34A0">
              <w:rPr>
                <w:rFonts w:ascii="Bodoni MT" w:eastAsia="Times New Roman" w:hAnsi="Bodoni MT" w:cs="Times New Roman"/>
                <w:b/>
                <w:bCs/>
                <w:sz w:val="20"/>
                <w:szCs w:val="20"/>
                <w:lang w:eastAsia="it-IT"/>
              </w:rPr>
              <w:br/>
              <w:t>accant.</w:t>
            </w:r>
          </w:p>
        </w:tc>
        <w:tc>
          <w:tcPr>
            <w:tcW w:w="449"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Utilizzi per insussistenza</w:t>
            </w:r>
          </w:p>
        </w:tc>
        <w:tc>
          <w:tcPr>
            <w:tcW w:w="447"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Utilizzi per riscossioni di crediti coperti dal FSC</w:t>
            </w:r>
          </w:p>
        </w:tc>
        <w:tc>
          <w:tcPr>
            <w:tcW w:w="543" w:type="pct"/>
            <w:tcBorders>
              <w:top w:val="single" w:sz="4" w:space="0" w:color="auto"/>
              <w:left w:val="single" w:sz="4" w:space="0" w:color="auto"/>
              <w:bottom w:val="single" w:sz="4" w:space="0" w:color="auto"/>
              <w:right w:val="single" w:sz="4" w:space="0" w:color="auto"/>
            </w:tcBorders>
            <w:shd w:val="clear" w:color="auto" w:fill="0F243E" w:themeFill="text2" w:themeFillShade="80"/>
            <w:vAlign w:val="center"/>
            <w:hideMark/>
          </w:tcPr>
          <w:p w:rsidR="00CD34A0" w:rsidRPr="00CD34A0" w:rsidRDefault="00CD34A0" w:rsidP="00C3327F">
            <w:pPr>
              <w:spacing w:after="0" w:line="240" w:lineRule="auto"/>
              <w:jc w:val="center"/>
              <w:rPr>
                <w:rFonts w:ascii="Bodoni MT" w:eastAsia="Times New Roman" w:hAnsi="Bodoni MT" w:cs="Times New Roman"/>
                <w:b/>
                <w:bCs/>
                <w:sz w:val="20"/>
                <w:szCs w:val="20"/>
                <w:lang w:eastAsia="it-IT"/>
              </w:rPr>
            </w:pPr>
            <w:r w:rsidRPr="00CD34A0">
              <w:rPr>
                <w:rFonts w:ascii="Bodoni MT" w:eastAsia="Times New Roman" w:hAnsi="Bodoni MT" w:cs="Times New Roman"/>
                <w:b/>
                <w:bCs/>
                <w:sz w:val="20"/>
                <w:szCs w:val="20"/>
                <w:lang w:eastAsia="it-IT"/>
              </w:rPr>
              <w:t>Accantonamento</w:t>
            </w:r>
          </w:p>
        </w:tc>
      </w:tr>
      <w:tr w:rsidR="00CD34A0" w:rsidRPr="00CD34A0" w:rsidTr="00C3327F">
        <w:trPr>
          <w:trHeight w:val="282"/>
        </w:trPr>
        <w:tc>
          <w:tcPr>
            <w:tcW w:w="756" w:type="pct"/>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Canoni</w:t>
            </w:r>
          </w:p>
        </w:tc>
        <w:tc>
          <w:tcPr>
            <w:tcW w:w="688"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5.242.614,14</w:t>
            </w:r>
          </w:p>
        </w:tc>
        <w:tc>
          <w:tcPr>
            <w:tcW w:w="484"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3.369.784,17</w:t>
            </w:r>
          </w:p>
        </w:tc>
        <w:tc>
          <w:tcPr>
            <w:tcW w:w="265"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64,28</w:t>
            </w:r>
          </w:p>
        </w:tc>
        <w:tc>
          <w:tcPr>
            <w:tcW w:w="627"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3.140.505,19</w:t>
            </w:r>
          </w:p>
        </w:tc>
        <w:tc>
          <w:tcPr>
            <w:tcW w:w="484"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2.018.615,98</w:t>
            </w:r>
          </w:p>
        </w:tc>
        <w:tc>
          <w:tcPr>
            <w:tcW w:w="257"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64,28</w:t>
            </w:r>
          </w:p>
        </w:tc>
        <w:tc>
          <w:tcPr>
            <w:tcW w:w="449"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67.499,54</w:t>
            </w:r>
          </w:p>
        </w:tc>
        <w:tc>
          <w:tcPr>
            <w:tcW w:w="447" w:type="pct"/>
            <w:tcBorders>
              <w:top w:val="single" w:sz="4" w:space="0" w:color="auto"/>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543" w:type="pct"/>
            <w:tcBorders>
              <w:top w:val="single" w:sz="4" w:space="0" w:color="auto"/>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1.418.667,73</w:t>
            </w:r>
          </w:p>
        </w:tc>
      </w:tr>
      <w:tr w:rsidR="00CD34A0" w:rsidRPr="00CD34A0" w:rsidTr="00C3327F">
        <w:trPr>
          <w:trHeight w:val="27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Escussione</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1.580.679,06</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1.337.331,78</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84,60</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1.649.164,86</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1.395.274,12</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84,60</w:t>
            </w:r>
          </w:p>
        </w:tc>
        <w:tc>
          <w:tcPr>
            <w:tcW w:w="449"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57.942,34</w:t>
            </w: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r>
      <w:tr w:rsidR="00CD34A0" w:rsidRPr="00CD34A0" w:rsidTr="00C3327F">
        <w:trPr>
          <w:trHeight w:val="282"/>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Recuperi </w:t>
            </w:r>
            <w:r w:rsidR="00CD34A0" w:rsidRPr="00C3327F">
              <w:rPr>
                <w:rFonts w:ascii="Bodoni MT" w:eastAsia="Times New Roman" w:hAnsi="Bodoni MT" w:cs="Times New Roman"/>
                <w:color w:val="FFFFFF" w:themeColor="background1"/>
                <w:sz w:val="20"/>
                <w:szCs w:val="20"/>
                <w:lang w:eastAsia="it-IT"/>
              </w:rPr>
              <w:t>aziende farmaceutiche</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34.146.545,35</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13.658.618,14</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40,00</w:t>
            </w:r>
          </w:p>
        </w:tc>
        <w:tc>
          <w:tcPr>
            <w:tcW w:w="62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40,00</w:t>
            </w:r>
          </w:p>
        </w:tc>
        <w:tc>
          <w:tcPr>
            <w:tcW w:w="449"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13.658.618,14</w:t>
            </w:r>
          </w:p>
        </w:tc>
      </w:tr>
      <w:tr w:rsidR="00CD34A0" w:rsidRPr="00CD34A0" w:rsidTr="00C3327F">
        <w:trPr>
          <w:trHeight w:val="27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139.635.282,97</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119.608.024,59</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85,66</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150.017.379,47</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128.501.063,85</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85,66</w:t>
            </w:r>
          </w:p>
        </w:tc>
        <w:tc>
          <w:tcPr>
            <w:tcW w:w="449"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240.149,99</w:t>
            </w:r>
          </w:p>
        </w:tc>
        <w:tc>
          <w:tcPr>
            <w:tcW w:w="44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8.652.889,27</w:t>
            </w: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r>
      <w:tr w:rsidR="00CD34A0" w:rsidRPr="00CD34A0" w:rsidTr="00184B93">
        <w:trPr>
          <w:trHeight w:val="282"/>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Rimborso </w:t>
            </w:r>
            <w:r w:rsidR="00CD34A0" w:rsidRPr="00C3327F">
              <w:rPr>
                <w:rFonts w:ascii="Bodoni MT" w:eastAsia="Times New Roman" w:hAnsi="Bodoni MT" w:cs="Times New Roman"/>
                <w:color w:val="FFFFFF" w:themeColor="background1"/>
                <w:sz w:val="20"/>
                <w:szCs w:val="20"/>
                <w:lang w:eastAsia="it-IT"/>
              </w:rPr>
              <w:t>prestiti da fondi di rotazione</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454.263.075,23</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377.823.090,67</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83,17</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448.503.875,73</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373.033.006,08</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83,17</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4.790.084,59</w:t>
            </w:r>
          </w:p>
        </w:tc>
      </w:tr>
      <w:tr w:rsidR="00CD34A0" w:rsidRPr="00CD34A0" w:rsidTr="00184B93">
        <w:trPr>
          <w:trHeight w:val="54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interessi mora</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26.168,68</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22.067,99</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84,33</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26.168,68</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22.067,99</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84,33</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184B93">
        <w:trPr>
          <w:trHeight w:val="54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interessi attivi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5.756.544,71</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5.454.032,46</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94,74</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2.818,15</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2.670,05</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94,74</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5.451.362,40</w:t>
            </w:r>
          </w:p>
        </w:tc>
      </w:tr>
      <w:tr w:rsidR="00CD34A0" w:rsidRPr="00CD34A0" w:rsidTr="00CC277D">
        <w:trPr>
          <w:trHeight w:val="54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Recupero </w:t>
            </w:r>
            <w:r w:rsidR="00CD34A0" w:rsidRPr="00C3327F">
              <w:rPr>
                <w:rFonts w:ascii="Bodoni MT" w:eastAsia="Times New Roman" w:hAnsi="Bodoni MT" w:cs="Times New Roman"/>
                <w:color w:val="FFFFFF" w:themeColor="background1"/>
                <w:sz w:val="20"/>
                <w:szCs w:val="20"/>
                <w:lang w:eastAsia="it-IT"/>
              </w:rPr>
              <w:t>contributi - crediti diversi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39.043,85</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36.994,05</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94,75</w:t>
            </w:r>
          </w:p>
        </w:tc>
        <w:tc>
          <w:tcPr>
            <w:tcW w:w="62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94,75</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36.994,05</w:t>
            </w:r>
          </w:p>
        </w:tc>
      </w:tr>
      <w:tr w:rsidR="00CD34A0" w:rsidRPr="00CD34A0" w:rsidTr="00CC277D">
        <w:trPr>
          <w:trHeight w:val="27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Risarcimento </w:t>
            </w:r>
            <w:r w:rsidR="00CD34A0" w:rsidRPr="00C3327F">
              <w:rPr>
                <w:rFonts w:ascii="Bodoni MT" w:eastAsia="Times New Roman" w:hAnsi="Bodoni MT" w:cs="Times New Roman"/>
                <w:color w:val="FFFFFF" w:themeColor="background1"/>
                <w:sz w:val="20"/>
                <w:szCs w:val="20"/>
                <w:lang w:eastAsia="it-IT"/>
              </w:rPr>
              <w:t>danni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26.737.601,58</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26.435.718,33</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98,87</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25.575.065,27</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25.286.307,74</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98,87</w:t>
            </w:r>
          </w:p>
        </w:tc>
        <w:tc>
          <w:tcPr>
            <w:tcW w:w="449"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33.205,88</w:t>
            </w: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1.182.616,47</w:t>
            </w:r>
          </w:p>
        </w:tc>
      </w:tr>
      <w:tr w:rsidR="00CD34A0" w:rsidRPr="00CD34A0" w:rsidTr="00CC277D">
        <w:trPr>
          <w:trHeight w:val="27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Rivalsa</w:t>
            </w:r>
          </w:p>
        </w:tc>
        <w:tc>
          <w:tcPr>
            <w:tcW w:w="688"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65"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62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9"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CC277D">
        <w:trPr>
          <w:trHeight w:val="282"/>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Sanzioni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3.426.902,71</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2.687.953,53</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78,44</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3.363.560,03</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2.638.269,55</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78,44</w:t>
            </w:r>
          </w:p>
        </w:tc>
        <w:tc>
          <w:tcPr>
            <w:tcW w:w="449"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310.135,53</w:t>
            </w: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359.819,51</w:t>
            </w:r>
          </w:p>
        </w:tc>
      </w:tr>
      <w:tr w:rsidR="00CD34A0" w:rsidRPr="00CD34A0" w:rsidTr="00CC277D">
        <w:trPr>
          <w:trHeight w:val="270"/>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Tributi</w:t>
            </w:r>
          </w:p>
        </w:tc>
        <w:tc>
          <w:tcPr>
            <w:tcW w:w="688"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65"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62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r>
      <w:tr w:rsidR="00CD34A0" w:rsidRPr="00CD34A0" w:rsidTr="00CC277D">
        <w:trPr>
          <w:trHeight w:val="282"/>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Vendite </w:t>
            </w:r>
            <w:r w:rsidR="00CD34A0" w:rsidRPr="00C3327F">
              <w:rPr>
                <w:rFonts w:ascii="Bodoni MT" w:eastAsia="Times New Roman" w:hAnsi="Bodoni MT" w:cs="Times New Roman"/>
                <w:color w:val="FFFFFF" w:themeColor="background1"/>
                <w:sz w:val="20"/>
                <w:szCs w:val="20"/>
                <w:lang w:eastAsia="it-IT"/>
              </w:rPr>
              <w:t>immobiliari</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1.314.679,00</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524,74</w:t>
            </w:r>
          </w:p>
        </w:tc>
        <w:tc>
          <w:tcPr>
            <w:tcW w:w="265"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0,04</w:t>
            </w:r>
          </w:p>
        </w:tc>
        <w:tc>
          <w:tcPr>
            <w:tcW w:w="62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5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0,04</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524,74</w:t>
            </w:r>
          </w:p>
        </w:tc>
      </w:tr>
      <w:tr w:rsidR="00CD34A0" w:rsidRPr="00CD34A0" w:rsidTr="00CC277D">
        <w:trPr>
          <w:trHeight w:val="282"/>
        </w:trPr>
        <w:tc>
          <w:tcPr>
            <w:tcW w:w="756" w:type="pct"/>
            <w:tcBorders>
              <w:top w:val="nil"/>
              <w:left w:val="single" w:sz="4" w:space="0" w:color="auto"/>
              <w:bottom w:val="single" w:sz="4" w:space="0" w:color="000000"/>
              <w:right w:val="single" w:sz="4" w:space="0" w:color="auto"/>
            </w:tcBorders>
            <w:shd w:val="clear" w:color="auto" w:fill="95B3D7" w:themeFill="accent1" w:themeFillTint="99"/>
            <w:vAlign w:val="center"/>
            <w:hideMark/>
          </w:tcPr>
          <w:p w:rsidR="00CD34A0" w:rsidRPr="00C3327F" w:rsidRDefault="00C3327F" w:rsidP="00CD34A0">
            <w:pPr>
              <w:spacing w:after="0" w:line="240" w:lineRule="auto"/>
              <w:rPr>
                <w:rFonts w:ascii="Bodoni MT" w:eastAsia="Times New Roman" w:hAnsi="Bodoni MT" w:cs="Times New Roman"/>
                <w:color w:val="FFFFFF" w:themeColor="background1"/>
                <w:sz w:val="20"/>
                <w:szCs w:val="20"/>
                <w:lang w:eastAsia="it-IT"/>
              </w:rPr>
            </w:pPr>
            <w:r w:rsidRPr="00C3327F">
              <w:rPr>
                <w:rFonts w:ascii="Bodoni MT" w:eastAsia="Times New Roman" w:hAnsi="Bodoni MT" w:cs="Times New Roman"/>
                <w:color w:val="FFFFFF" w:themeColor="background1"/>
                <w:sz w:val="20"/>
                <w:szCs w:val="20"/>
                <w:lang w:eastAsia="it-IT"/>
              </w:rPr>
              <w:t xml:space="preserve">Altro </w:t>
            </w:r>
            <w:r w:rsidR="00CD34A0" w:rsidRPr="00C3327F">
              <w:rPr>
                <w:rFonts w:ascii="Bodoni MT" w:eastAsia="Times New Roman" w:hAnsi="Bodoni MT" w:cs="Times New Roman"/>
                <w:color w:val="FFFFFF" w:themeColor="background1"/>
                <w:sz w:val="20"/>
                <w:szCs w:val="20"/>
                <w:lang w:eastAsia="it-IT"/>
              </w:rPr>
              <w:t>(non svalutabile)</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1.808.476.180,75</w:t>
            </w: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265"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sz w:val="18"/>
                <w:szCs w:val="18"/>
                <w:lang w:eastAsia="it-IT"/>
              </w:rPr>
            </w:pPr>
            <w:r w:rsidRPr="00535EB3">
              <w:rPr>
                <w:rFonts w:eastAsia="Times New Roman" w:cstheme="minorHAnsi"/>
                <w:sz w:val="18"/>
                <w:szCs w:val="18"/>
                <w:lang w:eastAsia="it-IT"/>
              </w:rPr>
              <w:t>-</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883.489.476,10</w:t>
            </w:r>
          </w:p>
        </w:tc>
        <w:tc>
          <w:tcPr>
            <w:tcW w:w="484"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25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9"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447" w:type="pct"/>
            <w:tcBorders>
              <w:top w:val="nil"/>
              <w:left w:val="nil"/>
              <w:bottom w:val="single" w:sz="4" w:space="0" w:color="000000"/>
              <w:right w:val="single" w:sz="4" w:space="0" w:color="000000"/>
            </w:tcBorders>
            <w:shd w:val="clear" w:color="auto" w:fill="FFFFFF" w:themeFill="background1"/>
            <w:vAlign w:val="center"/>
          </w:tcPr>
          <w:p w:rsidR="00CD34A0" w:rsidRPr="00535EB3" w:rsidRDefault="00CD34A0" w:rsidP="00C3327F">
            <w:pPr>
              <w:spacing w:after="0" w:line="240" w:lineRule="auto"/>
              <w:jc w:val="right"/>
              <w:rPr>
                <w:rFonts w:eastAsia="Times New Roman" w:cstheme="minorHAnsi"/>
                <w:color w:val="000000"/>
                <w:sz w:val="18"/>
                <w:szCs w:val="18"/>
                <w:lang w:eastAsia="it-IT"/>
              </w:rPr>
            </w:pPr>
          </w:p>
        </w:tc>
        <w:tc>
          <w:tcPr>
            <w:tcW w:w="543"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r>
      <w:tr w:rsidR="00CD34A0" w:rsidRPr="00CD34A0" w:rsidTr="00C3327F">
        <w:trPr>
          <w:trHeight w:val="300"/>
        </w:trPr>
        <w:tc>
          <w:tcPr>
            <w:tcW w:w="756"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CD34A0" w:rsidRPr="00C3327F" w:rsidRDefault="00CD34A0" w:rsidP="00CD34A0">
            <w:pPr>
              <w:spacing w:after="0" w:line="240" w:lineRule="auto"/>
              <w:rPr>
                <w:rFonts w:ascii="Bodoni MT" w:eastAsia="Times New Roman" w:hAnsi="Bodoni MT" w:cs="Times New Roman"/>
                <w:b/>
                <w:bCs/>
                <w:color w:val="FFFFFF" w:themeColor="background1"/>
                <w:sz w:val="20"/>
                <w:szCs w:val="20"/>
                <w:lang w:eastAsia="it-IT"/>
              </w:rPr>
            </w:pPr>
            <w:r w:rsidRPr="00C3327F">
              <w:rPr>
                <w:rFonts w:ascii="Bodoni MT" w:eastAsia="Times New Roman" w:hAnsi="Bodoni MT" w:cs="Times New Roman"/>
                <w:b/>
                <w:bCs/>
                <w:color w:val="FFFFFF" w:themeColor="background1"/>
                <w:sz w:val="20"/>
                <w:szCs w:val="20"/>
                <w:lang w:eastAsia="it-IT"/>
              </w:rPr>
              <w:t>Totale complessivo</w:t>
            </w:r>
          </w:p>
        </w:tc>
        <w:tc>
          <w:tcPr>
            <w:tcW w:w="688"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2.480.645.318,03</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550.434.140,44</w:t>
            </w:r>
          </w:p>
        </w:tc>
        <w:tc>
          <w:tcPr>
            <w:tcW w:w="265"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62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1.515.768.013,48</w:t>
            </w:r>
          </w:p>
        </w:tc>
        <w:tc>
          <w:tcPr>
            <w:tcW w:w="484"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532.897.275,36</w:t>
            </w:r>
          </w:p>
        </w:tc>
        <w:tc>
          <w:tcPr>
            <w:tcW w:w="257" w:type="pct"/>
            <w:tcBorders>
              <w:top w:val="nil"/>
              <w:left w:val="nil"/>
              <w:bottom w:val="single" w:sz="4" w:space="0" w:color="000000"/>
              <w:right w:val="single" w:sz="4" w:space="0" w:color="000000"/>
            </w:tcBorders>
            <w:shd w:val="clear" w:color="auto" w:fill="FFFFFF" w:themeFill="background1"/>
            <w:vAlign w:val="center"/>
            <w:hideMark/>
          </w:tcPr>
          <w:p w:rsidR="00CD34A0" w:rsidRPr="00535EB3" w:rsidRDefault="00CD34A0" w:rsidP="00C3327F">
            <w:pPr>
              <w:spacing w:after="0" w:line="240" w:lineRule="auto"/>
              <w:jc w:val="right"/>
              <w:rPr>
                <w:rFonts w:eastAsia="Times New Roman" w:cstheme="minorHAnsi"/>
                <w:color w:val="000000"/>
                <w:sz w:val="18"/>
                <w:szCs w:val="18"/>
                <w:lang w:eastAsia="it-IT"/>
              </w:rPr>
            </w:pPr>
            <w:r w:rsidRPr="00535EB3">
              <w:rPr>
                <w:rFonts w:eastAsia="Times New Roman" w:cstheme="minorHAnsi"/>
                <w:color w:val="000000"/>
                <w:sz w:val="18"/>
                <w:szCs w:val="18"/>
                <w:lang w:eastAsia="it-IT"/>
              </w:rPr>
              <w:t> </w:t>
            </w:r>
          </w:p>
        </w:tc>
        <w:tc>
          <w:tcPr>
            <w:tcW w:w="449"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650.990,94</w:t>
            </w:r>
          </w:p>
        </w:tc>
        <w:tc>
          <w:tcPr>
            <w:tcW w:w="447"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8.710.831,61</w:t>
            </w:r>
          </w:p>
        </w:tc>
        <w:tc>
          <w:tcPr>
            <w:tcW w:w="543" w:type="pct"/>
            <w:tcBorders>
              <w:top w:val="nil"/>
              <w:left w:val="nil"/>
              <w:bottom w:val="single" w:sz="4" w:space="0" w:color="000000"/>
              <w:right w:val="single" w:sz="4" w:space="0" w:color="000000"/>
            </w:tcBorders>
            <w:shd w:val="clear" w:color="auto" w:fill="FFFFFF" w:themeFill="background1"/>
            <w:noWrap/>
            <w:vAlign w:val="center"/>
            <w:hideMark/>
          </w:tcPr>
          <w:p w:rsidR="00CD34A0" w:rsidRPr="00535EB3" w:rsidRDefault="00CD34A0" w:rsidP="00C3327F">
            <w:pPr>
              <w:spacing w:after="0" w:line="240" w:lineRule="auto"/>
              <w:jc w:val="right"/>
              <w:rPr>
                <w:rFonts w:eastAsia="Times New Roman" w:cstheme="minorHAnsi"/>
                <w:b/>
                <w:bCs/>
                <w:color w:val="000000"/>
                <w:sz w:val="18"/>
                <w:szCs w:val="18"/>
                <w:lang w:eastAsia="it-IT"/>
              </w:rPr>
            </w:pPr>
            <w:r w:rsidRPr="00535EB3">
              <w:rPr>
                <w:rFonts w:eastAsia="Times New Roman" w:cstheme="minorHAnsi"/>
                <w:b/>
                <w:bCs/>
                <w:color w:val="000000"/>
                <w:sz w:val="18"/>
                <w:szCs w:val="18"/>
                <w:lang w:eastAsia="it-IT"/>
              </w:rPr>
              <w:t>26.898.687,63</w:t>
            </w:r>
          </w:p>
        </w:tc>
      </w:tr>
    </w:tbl>
    <w:p w:rsidR="00CD34A0" w:rsidRDefault="00CD34A0"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18"/>
          <w:szCs w:val="18"/>
        </w:rPr>
      </w:pPr>
      <w:r w:rsidRPr="00C3327F">
        <w:rPr>
          <w:rFonts w:ascii="Bodoni MT" w:eastAsia="Times New Roman" w:hAnsi="Bodoni MT" w:cs="Bodoni MT"/>
          <w:color w:val="000000"/>
          <w:sz w:val="18"/>
          <w:szCs w:val="18"/>
        </w:rPr>
        <w:t>Fonte RAS Rendiconto sulla gestione 2016 – Allegato 3</w:t>
      </w:r>
    </w:p>
    <w:p w:rsidR="00086974" w:rsidRDefault="00086974" w:rsidP="00346270">
      <w:pPr>
        <w:pStyle w:val="Titolo1"/>
        <w:rPr>
          <w:rFonts w:eastAsia="Times New Roman"/>
        </w:rPr>
        <w:sectPr w:rsidR="00086974" w:rsidSect="00086974">
          <w:footerReference w:type="default" r:id="rId82"/>
          <w:pgSz w:w="16838" w:h="11906" w:orient="landscape"/>
          <w:pgMar w:top="1134" w:right="1134" w:bottom="1134" w:left="1418" w:header="709" w:footer="709" w:gutter="0"/>
          <w:cols w:space="708"/>
          <w:docGrid w:linePitch="360"/>
        </w:sectPr>
      </w:pPr>
    </w:p>
    <w:p w:rsidR="00CE3145" w:rsidRDefault="00346270" w:rsidP="00346270">
      <w:pPr>
        <w:pStyle w:val="Titolo1"/>
        <w:rPr>
          <w:rFonts w:eastAsia="Times New Roman"/>
        </w:rPr>
      </w:pPr>
      <w:bookmarkStart w:id="403" w:name="_Toc507422703"/>
      <w:r>
        <w:rPr>
          <w:rFonts w:eastAsia="Times New Roman"/>
        </w:rPr>
        <w:lastRenderedPageBreak/>
        <w:t xml:space="preserve">IL </w:t>
      </w:r>
      <w:r w:rsidR="00E12A0A">
        <w:rPr>
          <w:rFonts w:eastAsia="Times New Roman"/>
        </w:rPr>
        <w:t>CONTRADDITORIO ORALE NEL</w:t>
      </w:r>
      <w:r>
        <w:rPr>
          <w:rFonts w:eastAsia="Times New Roman"/>
        </w:rPr>
        <w:t>L’ADUNANZA PUBBLICA</w:t>
      </w:r>
      <w:bookmarkEnd w:id="403"/>
    </w:p>
    <w:p w:rsidR="00346270" w:rsidRPr="00370575" w:rsidRDefault="00346270" w:rsidP="00346270">
      <w:pPr>
        <w:pStyle w:val="CdcTesto"/>
      </w:pPr>
      <w:r w:rsidRPr="00370575">
        <w:t>La bozza di relazione di verifica è stata tramessa alla Regione in data 5 febbraio 2018 con invito a formulare osservazioni e controdeduzioni.</w:t>
      </w:r>
    </w:p>
    <w:p w:rsidR="00346270" w:rsidRPr="00370575" w:rsidRDefault="00346270" w:rsidP="00346270">
      <w:pPr>
        <w:pStyle w:val="CdcTesto"/>
      </w:pPr>
      <w:r w:rsidRPr="00370575">
        <w:t>Sono pervenute note di risposta da parte della Direzione generale dei Servizi finanziari, che espone anche le osservazioni dell</w:t>
      </w:r>
      <w:r>
        <w:t>a Direzione generale del Lavoro</w:t>
      </w:r>
      <w:r w:rsidRPr="00370575">
        <w:t>, e della Direzione generale della sanità.</w:t>
      </w:r>
    </w:p>
    <w:p w:rsidR="00346270" w:rsidRPr="00370575" w:rsidRDefault="00346270" w:rsidP="00346270">
      <w:pPr>
        <w:pStyle w:val="CdcTesto"/>
      </w:pPr>
      <w:r>
        <w:t xml:space="preserve">Oltre ad alcune precisazioni </w:t>
      </w:r>
      <w:r w:rsidRPr="00370575">
        <w:t>contabili di cui si terrà conto nella definitiva stesura della relazione di verifica, i chiarimenti della Direzione generale dei Servizi finan</w:t>
      </w:r>
      <w:r>
        <w:t>ziari principalmente concernono</w:t>
      </w:r>
      <w:r w:rsidRPr="00370575">
        <w:t>:</w:t>
      </w:r>
    </w:p>
    <w:p w:rsidR="00346270" w:rsidRPr="00370575" w:rsidRDefault="00346270" w:rsidP="00346270">
      <w:pPr>
        <w:pStyle w:val="CdcTesto"/>
        <w:numPr>
          <w:ilvl w:val="0"/>
          <w:numId w:val="29"/>
        </w:numPr>
        <w:tabs>
          <w:tab w:val="left" w:pos="284"/>
        </w:tabs>
      </w:pPr>
      <w:r w:rsidRPr="00370575">
        <w:t xml:space="preserve">problematiche di </w:t>
      </w:r>
      <w:r>
        <w:t>natura organizzativo-gestionale;</w:t>
      </w:r>
    </w:p>
    <w:p w:rsidR="00346270" w:rsidRPr="007D01BB" w:rsidRDefault="00346270" w:rsidP="00346270">
      <w:pPr>
        <w:pStyle w:val="Paragrafoelenco"/>
        <w:numPr>
          <w:ilvl w:val="0"/>
          <w:numId w:val="29"/>
        </w:numPr>
        <w:tabs>
          <w:tab w:val="left" w:pos="284"/>
        </w:tabs>
        <w:jc w:val="both"/>
        <w:rPr>
          <w:rFonts w:ascii="Bodoni MT" w:hAnsi="Bodoni MT"/>
          <w:sz w:val="24"/>
          <w:szCs w:val="24"/>
        </w:rPr>
      </w:pPr>
      <w:r w:rsidRPr="007D01BB">
        <w:rPr>
          <w:rFonts w:ascii="Bodoni MT" w:hAnsi="Bodoni MT"/>
          <w:sz w:val="24"/>
          <w:szCs w:val="24"/>
        </w:rPr>
        <w:t>la ricognizione</w:t>
      </w:r>
      <w:r w:rsidR="00B87297">
        <w:rPr>
          <w:rFonts w:ascii="Bodoni MT" w:hAnsi="Bodoni MT"/>
          <w:sz w:val="24"/>
          <w:szCs w:val="24"/>
        </w:rPr>
        <w:t xml:space="preserve"> e l’ammontare definitivo al 31/</w:t>
      </w:r>
      <w:r w:rsidRPr="007D01BB">
        <w:rPr>
          <w:rFonts w:ascii="Bodoni MT" w:hAnsi="Bodoni MT"/>
          <w:sz w:val="24"/>
          <w:szCs w:val="24"/>
        </w:rPr>
        <w:t>12</w:t>
      </w:r>
      <w:r w:rsidR="00B87297">
        <w:rPr>
          <w:rFonts w:ascii="Bodoni MT" w:hAnsi="Bodoni MT"/>
          <w:sz w:val="24"/>
          <w:szCs w:val="24"/>
        </w:rPr>
        <w:t>/</w:t>
      </w:r>
      <w:r w:rsidRPr="007D01BB">
        <w:rPr>
          <w:rFonts w:ascii="Bodoni MT" w:hAnsi="Bodoni MT"/>
          <w:sz w:val="24"/>
          <w:szCs w:val="24"/>
        </w:rPr>
        <w:t>2016 dei crediti van</w:t>
      </w:r>
      <w:r>
        <w:rPr>
          <w:rFonts w:ascii="Bodoni MT" w:hAnsi="Bodoni MT"/>
          <w:sz w:val="24"/>
          <w:szCs w:val="24"/>
        </w:rPr>
        <w:t>tati nei confronti dello Stato;</w:t>
      </w:r>
    </w:p>
    <w:p w:rsidR="00346270" w:rsidRPr="007D01BB" w:rsidRDefault="00346270" w:rsidP="00346270">
      <w:pPr>
        <w:pStyle w:val="Paragrafoelenco"/>
        <w:numPr>
          <w:ilvl w:val="0"/>
          <w:numId w:val="29"/>
        </w:numPr>
        <w:tabs>
          <w:tab w:val="left" w:pos="284"/>
        </w:tabs>
        <w:jc w:val="both"/>
        <w:rPr>
          <w:rFonts w:ascii="Bodoni MT" w:hAnsi="Bodoni MT"/>
          <w:sz w:val="24"/>
          <w:szCs w:val="24"/>
        </w:rPr>
      </w:pPr>
      <w:r w:rsidRPr="007D01BB">
        <w:rPr>
          <w:rFonts w:ascii="Bodoni MT" w:hAnsi="Bodoni MT"/>
          <w:sz w:val="24"/>
          <w:szCs w:val="24"/>
        </w:rPr>
        <w:t>l’obbligatoria conciliazione creditoria e debitoria nei confronti di enti, agenzie, società</w:t>
      </w:r>
      <w:r>
        <w:rPr>
          <w:rFonts w:ascii="Bodoni MT" w:hAnsi="Bodoni MT"/>
          <w:sz w:val="24"/>
          <w:szCs w:val="24"/>
        </w:rPr>
        <w:t>;</w:t>
      </w:r>
    </w:p>
    <w:p w:rsidR="00346270" w:rsidRPr="007D01BB" w:rsidRDefault="00346270" w:rsidP="00346270">
      <w:pPr>
        <w:pStyle w:val="Paragrafoelenco"/>
        <w:numPr>
          <w:ilvl w:val="0"/>
          <w:numId w:val="29"/>
        </w:numPr>
        <w:tabs>
          <w:tab w:val="left" w:pos="284"/>
        </w:tabs>
        <w:jc w:val="both"/>
        <w:rPr>
          <w:rFonts w:ascii="Bodoni MT" w:hAnsi="Bodoni MT"/>
          <w:sz w:val="24"/>
          <w:szCs w:val="24"/>
        </w:rPr>
      </w:pPr>
      <w:r w:rsidRPr="007D01BB">
        <w:rPr>
          <w:rFonts w:ascii="Bodoni MT" w:hAnsi="Bodoni MT"/>
          <w:sz w:val="24"/>
          <w:szCs w:val="24"/>
        </w:rPr>
        <w:t>le immobilizzazioni finanziarie nello stato patrimoniale.</w:t>
      </w:r>
    </w:p>
    <w:p w:rsidR="00F64621" w:rsidRDefault="00346270" w:rsidP="00346270">
      <w:pPr>
        <w:pStyle w:val="CdcTesto"/>
      </w:pPr>
      <w:r w:rsidRPr="00370575">
        <w:t xml:space="preserve">La Direzione generale sanità espone osservazioni </w:t>
      </w:r>
      <w:r w:rsidR="00F64621">
        <w:t xml:space="preserve">scritte </w:t>
      </w:r>
      <w:r w:rsidRPr="00370575">
        <w:t>incentrat</w:t>
      </w:r>
      <w:r>
        <w:t>e sul disallineamento temporale</w:t>
      </w:r>
      <w:r w:rsidRPr="00370575">
        <w:t xml:space="preserve"> della rilevazione dei dati che si può determinare a seconda delle finalità conoscitive e del periodo di rilevazione</w:t>
      </w:r>
      <w:r w:rsidR="00044F54">
        <w:t xml:space="preserve"> e precisa gli effetti contabili che si sono determinati in conseguenza dell’intestazione dei costi della mobilità passiva</w:t>
      </w:r>
      <w:r w:rsidRPr="00370575">
        <w:t xml:space="preserve">. </w:t>
      </w:r>
    </w:p>
    <w:p w:rsidR="00346270" w:rsidRDefault="00044F54" w:rsidP="00346270">
      <w:pPr>
        <w:pStyle w:val="CdcTesto"/>
      </w:pPr>
      <w:r>
        <w:t>Con ordinanza n. 3 del 07/02/2018 è stata convocata dal Presidente della Sezione l’adunanza pubblica per deliberare sulla “Verifica del Rendiconto generale della Regione per l’esercizio finanziario 2016”, fissata per il 15 febbraio 2018.</w:t>
      </w:r>
    </w:p>
    <w:p w:rsidR="00F371EE" w:rsidRDefault="00F64621" w:rsidP="00346270">
      <w:pPr>
        <w:pStyle w:val="CdcTesto"/>
      </w:pPr>
      <w:r>
        <w:t>Nel corso dell’adunanza</w:t>
      </w:r>
      <w:r w:rsidR="00F371EE">
        <w:t xml:space="preserve"> è intervenuto l’Assessore al bilancio.</w:t>
      </w:r>
    </w:p>
    <w:p w:rsidR="00E84955" w:rsidRDefault="00A00467" w:rsidP="00346270">
      <w:pPr>
        <w:pStyle w:val="CdcTesto"/>
      </w:pPr>
      <w:r>
        <w:t xml:space="preserve">L’Assessore ha esposto che gli uffici regionali nell’esercizio 2016 e 2017 hanno incontrato particolari difficoltà nella redazione dei documenti contabili, che hanno comportato ritardi nello svolgimento del ciclo di bilancio e nella rendicontazione. In particolare l’annullamento di parte della legge di bilancio ad opera della sentenza n. 6/2017 della Corte costituzionale ha comportato effetti che si sono riverberati sulle successive fasi sino alla rendicontazione. </w:t>
      </w:r>
      <w:r w:rsidR="00E84955">
        <w:t xml:space="preserve">A ciò si sono aggiunti </w:t>
      </w:r>
      <w:r w:rsidR="00E84955">
        <w:lastRenderedPageBreak/>
        <w:t>i cambiamenti organizzativi cui si è dovuto provvedere nell’ambito della Amministrazione regionale a seguito dell’ar</w:t>
      </w:r>
      <w:r w:rsidR="00F64621">
        <w:t>monizzazione dei conti e della prima</w:t>
      </w:r>
      <w:r w:rsidR="00E84955">
        <w:t xml:space="preserve"> predisposizione dello stato patrimoniale.</w:t>
      </w:r>
    </w:p>
    <w:p w:rsidR="00E84955" w:rsidRDefault="00E84955" w:rsidP="00FF2514">
      <w:pPr>
        <w:pStyle w:val="CdcTesto"/>
      </w:pPr>
      <w:r w:rsidRPr="00FF2514">
        <w:t xml:space="preserve">L’Assessore </w:t>
      </w:r>
      <w:r w:rsidR="00F64621" w:rsidRPr="00FF2514">
        <w:t>riferisce</w:t>
      </w:r>
      <w:r w:rsidRPr="00FF2514">
        <w:t xml:space="preserve"> dati </w:t>
      </w:r>
      <w:r w:rsidR="00F64621" w:rsidRPr="00FF2514">
        <w:t xml:space="preserve">positivi </w:t>
      </w:r>
      <w:r w:rsidRPr="00FF2514">
        <w:t>di andamento della spesa finanziata con fondi comunitari, segnalando che la rendicontazione F</w:t>
      </w:r>
      <w:r w:rsidR="002D1FB8" w:rsidRPr="00FF2514">
        <w:t>ondi POR 2007/</w:t>
      </w:r>
      <w:r w:rsidRPr="00FF2514">
        <w:t>2013 ha registrato valori superiori al 100%, mentre è stata avviata n</w:t>
      </w:r>
      <w:r w:rsidR="002D1FB8" w:rsidRPr="00FF2514">
        <w:t>el 2016 quella relativa al 2014/</w:t>
      </w:r>
      <w:r w:rsidRPr="00FF2514">
        <w:t>2020.</w:t>
      </w:r>
    </w:p>
    <w:p w:rsidR="00A00467" w:rsidRPr="00A00467" w:rsidRDefault="00A00467" w:rsidP="00A00467">
      <w:pPr>
        <w:spacing w:after="120" w:line="360" w:lineRule="auto"/>
        <w:jc w:val="both"/>
        <w:rPr>
          <w:rFonts w:ascii="Bodoni MT" w:eastAsia="Calibri" w:hAnsi="Bodoni MT" w:cs="Times New Roman"/>
          <w:sz w:val="24"/>
          <w:szCs w:val="24"/>
        </w:rPr>
      </w:pPr>
      <w:r w:rsidRPr="00A00467">
        <w:rPr>
          <w:rFonts w:ascii="Bodoni MT" w:eastAsia="Calibri" w:hAnsi="Bodoni MT" w:cs="Times New Roman"/>
          <w:sz w:val="24"/>
          <w:szCs w:val="24"/>
        </w:rPr>
        <w:t>Osserva in linea generale, che i risultati raggiunti nel 2016, sono positivi, in quanto è stata compiuta una progressiva azione di risanamento e, in particolare il saldo della gestione dei residui e delle reimputazioni al termine dell’esercizio è risultato positivo. Anche lo stock del debito si è ridotto e si sono alleggeriti gli oneri per il servizio del debito, anche attraverso la sostituzione dei mutui in essere con altri a tassi d’interesse ridotti.</w:t>
      </w:r>
    </w:p>
    <w:p w:rsidR="00A00467" w:rsidRPr="00A00467" w:rsidRDefault="00A00467" w:rsidP="00A00467">
      <w:pPr>
        <w:spacing w:after="120" w:line="360" w:lineRule="auto"/>
        <w:jc w:val="both"/>
        <w:rPr>
          <w:rFonts w:ascii="Bodoni MT" w:eastAsia="Calibri" w:hAnsi="Bodoni MT" w:cs="Times New Roman"/>
          <w:sz w:val="24"/>
          <w:szCs w:val="24"/>
        </w:rPr>
      </w:pPr>
      <w:r w:rsidRPr="00A00467">
        <w:rPr>
          <w:rFonts w:ascii="Bodoni MT" w:eastAsia="Calibri" w:hAnsi="Bodoni MT" w:cs="Times New Roman"/>
          <w:sz w:val="24"/>
          <w:szCs w:val="24"/>
        </w:rPr>
        <w:t>In merito agli stanziamenti relativi alla spesa per missioni dedicata ad interventi a carattere sociale sottolinea che essi si compongono di fondi di provenienza statale, fondi regionali e fondi da UE, per cui la valutazione dei relativi andamenti può fornire maggiori informazioni se estesa alla fonte di provenienza dei fondi. Precisa al riguardo che il tasso di dispersione scolastica si è ridotto al 18% e che nel finanziamento delle politiche sociali la Sardegna si colloca ai primi posti quanto spesa pro-capite a carico diretto delle Regione.</w:t>
      </w:r>
    </w:p>
    <w:p w:rsidR="00FF1CBA" w:rsidRPr="00FF2514" w:rsidRDefault="00F371EE" w:rsidP="00FF2514">
      <w:pPr>
        <w:pStyle w:val="CdcTesto"/>
      </w:pPr>
      <w:r w:rsidRPr="00FF2514">
        <w:t>E’</w:t>
      </w:r>
      <w:r w:rsidR="00FF1CBA" w:rsidRPr="00FF2514">
        <w:t>,</w:t>
      </w:r>
      <w:r w:rsidRPr="00FF2514">
        <w:t xml:space="preserve"> inoltre</w:t>
      </w:r>
      <w:r w:rsidR="00FF1CBA" w:rsidRPr="00FF2514">
        <w:t>,</w:t>
      </w:r>
      <w:r w:rsidRPr="00FF2514">
        <w:t xml:space="preserve"> intervenuto il Direttore generale dell’Assessorato alla sanità che ha riferito in ordine ai risparmi di spesa che si sono conseguiti </w:t>
      </w:r>
      <w:r w:rsidR="00FF1CBA" w:rsidRPr="00FF2514">
        <w:t>nel corso del 2016.</w:t>
      </w:r>
      <w:r w:rsidRPr="00FF2514">
        <w:t xml:space="preserve"> </w:t>
      </w:r>
      <w:r w:rsidR="00FF1CBA" w:rsidRPr="00FF2514">
        <w:t xml:space="preserve">Sul punto il Magistrato relatore ha precisato che, trattandosi di monitoraggi infrannuali, in sede istruttoria si è tenuto conto degli ultimi dati disponibili a tutto novembre 2017, e che si provvederà ad aggiornare </w:t>
      </w:r>
      <w:r w:rsidR="00F64621" w:rsidRPr="00FF2514">
        <w:t xml:space="preserve">la relazione </w:t>
      </w:r>
      <w:r w:rsidR="00FF1CBA" w:rsidRPr="00FF2514">
        <w:t xml:space="preserve">alla luce delle nuove comunicazioni intervenute. </w:t>
      </w:r>
    </w:p>
    <w:p w:rsidR="00A00467" w:rsidRPr="00A00467" w:rsidRDefault="00A00467" w:rsidP="00A00467">
      <w:pPr>
        <w:spacing w:after="120" w:line="360" w:lineRule="auto"/>
        <w:jc w:val="both"/>
        <w:rPr>
          <w:rFonts w:ascii="Bodoni MT" w:eastAsia="Calibri" w:hAnsi="Bodoni MT" w:cs="Times New Roman"/>
          <w:sz w:val="24"/>
          <w:szCs w:val="24"/>
        </w:rPr>
      </w:pPr>
      <w:r>
        <w:rPr>
          <w:rFonts w:ascii="Bodoni MT" w:eastAsia="Calibri" w:hAnsi="Bodoni MT" w:cs="Times New Roman"/>
          <w:sz w:val="24"/>
          <w:szCs w:val="24"/>
        </w:rPr>
        <w:t xml:space="preserve">Successivamente </w:t>
      </w:r>
      <w:r w:rsidRPr="00A00467">
        <w:rPr>
          <w:rFonts w:ascii="Bodoni MT" w:eastAsia="Calibri" w:hAnsi="Bodoni MT" w:cs="Times New Roman"/>
          <w:sz w:val="24"/>
          <w:szCs w:val="24"/>
        </w:rPr>
        <w:t>all’adunanza pubblica è pervenuta una nota esplicativa da parte dell’Assessore al bilancio (nota n. 501 del 16/02/2018) nella quale vengono ripresi e meglio dettagliati gli argomenti svolti nella discussione orale. Delle considerazioni ivi esposte si riferisce nelle diverse parti della relazione di interesse.</w:t>
      </w:r>
    </w:p>
    <w:p w:rsidR="0062154E" w:rsidRDefault="0062154E"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62154E" w:rsidRDefault="0062154E"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B87297" w:rsidRDefault="00B87297"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B87297" w:rsidRDefault="00B87297"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B87297" w:rsidRDefault="00B87297"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2D1FB8" w:rsidRDefault="002D1FB8"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sectPr w:rsidR="002D1FB8" w:rsidSect="00086974">
          <w:headerReference w:type="default" r:id="rId83"/>
          <w:type w:val="oddPage"/>
          <w:pgSz w:w="11906" w:h="16838"/>
          <w:pgMar w:top="1418" w:right="1134" w:bottom="1134" w:left="1134" w:header="709" w:footer="709" w:gutter="0"/>
          <w:cols w:space="708"/>
          <w:docGrid w:linePitch="360"/>
        </w:sectPr>
      </w:pPr>
    </w:p>
    <w:p w:rsidR="00B87297" w:rsidRDefault="00B87297"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B87297" w:rsidRDefault="00B87297"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pPr>
    </w:p>
    <w:p w:rsidR="002D1FB8" w:rsidRDefault="002D1FB8" w:rsidP="00CD34A0">
      <w:pPr>
        <w:tabs>
          <w:tab w:val="left" w:pos="284"/>
          <w:tab w:val="left" w:pos="426"/>
        </w:tabs>
        <w:autoSpaceDE w:val="0"/>
        <w:autoSpaceDN w:val="0"/>
        <w:adjustRightInd w:val="0"/>
        <w:spacing w:after="120" w:line="360" w:lineRule="auto"/>
        <w:jc w:val="both"/>
        <w:textAlignment w:val="center"/>
        <w:rPr>
          <w:rFonts w:ascii="Bodoni MT" w:eastAsia="Times New Roman" w:hAnsi="Bodoni MT" w:cs="Bodoni MT"/>
          <w:color w:val="000000"/>
          <w:sz w:val="24"/>
          <w:szCs w:val="24"/>
          <w:highlight w:val="yellow"/>
        </w:rPr>
        <w:sectPr w:rsidR="002D1FB8" w:rsidSect="00086974">
          <w:headerReference w:type="default" r:id="rId84"/>
          <w:footerReference w:type="default" r:id="rId85"/>
          <w:type w:val="oddPage"/>
          <w:pgSz w:w="11906" w:h="16838"/>
          <w:pgMar w:top="1418" w:right="1134" w:bottom="1134" w:left="1134" w:header="709" w:footer="709" w:gutter="0"/>
          <w:cols w:space="708"/>
          <w:docGrid w:linePitch="360"/>
        </w:sectPr>
      </w:pPr>
    </w:p>
    <w:p w:rsidR="00C91EDD" w:rsidRPr="00885B67" w:rsidRDefault="00C91EDD" w:rsidP="003401A5">
      <w:pPr>
        <w:tabs>
          <w:tab w:val="left" w:pos="284"/>
          <w:tab w:val="left" w:pos="426"/>
        </w:tabs>
        <w:autoSpaceDE w:val="0"/>
        <w:autoSpaceDN w:val="0"/>
        <w:adjustRightInd w:val="0"/>
        <w:spacing w:after="120" w:line="360" w:lineRule="auto"/>
        <w:jc w:val="both"/>
        <w:textAlignment w:val="center"/>
      </w:pPr>
    </w:p>
    <w:sectPr w:rsidR="00C91EDD" w:rsidRPr="00885B67" w:rsidSect="00885B67">
      <w:headerReference w:type="default" r:id="rId86"/>
      <w:footerReference w:type="default" r:id="rId87"/>
      <w:pgSz w:w="11906" w:h="16838"/>
      <w:pgMar w:top="1418" w:right="1134" w:bottom="113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6DF6" w:rsidRDefault="00236DF6" w:rsidP="004B0B8B">
      <w:pPr>
        <w:spacing w:after="0" w:line="240" w:lineRule="auto"/>
      </w:pPr>
      <w:r>
        <w:separator/>
      </w:r>
    </w:p>
  </w:endnote>
  <w:endnote w:type="continuationSeparator" w:id="0">
    <w:p w:rsidR="00236DF6" w:rsidRDefault="00236DF6" w:rsidP="004B0B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doni MT">
    <w:panose1 w:val="02070603080606020203"/>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Myriad Pro">
    <w:altName w:val="Arial"/>
    <w:panose1 w:val="00000000000000000000"/>
    <w:charset w:val="00"/>
    <w:family w:val="swiss"/>
    <w:notTrueType/>
    <w:pitch w:val="variable"/>
    <w:sig w:usb0="00000001" w:usb1="00000001" w:usb2="00000000" w:usb3="00000000" w:csb0="0000019F" w:csb1="00000000"/>
  </w:font>
  <w:font w:name="Arial-BoldMT">
    <w:altName w:val="Arial"/>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Calibri,Italic">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101FF8" w:rsidRDefault="004A59E0" w:rsidP="00FD4978">
    <w:pPr>
      <w:pStyle w:val="Pidipagina"/>
      <w:rPr>
        <w:rFonts w:ascii="Bodoni MT" w:hAnsi="Bodoni MT"/>
        <w:sz w:val="20"/>
        <w:szCs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4713904"/>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21</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0113941"/>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35</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Default="004A59E0">
    <w:pPr>
      <w:pStyle w:val="Pidipagina"/>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7088057"/>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37</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468843"/>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128</w:t>
        </w:r>
        <w:r w:rsidRPr="009118B0">
          <w:rPr>
            <w:rFonts w:ascii="Bodoni MT" w:hAnsi="Bodoni MT"/>
            <w:sz w:val="18"/>
            <w:szCs w:val="18"/>
          </w:rPr>
          <w:fldChar w:fldCharType="end"/>
        </w:r>
      </w:p>
    </w:sdtContent>
  </w:sdt>
  <w:p w:rsidR="004A59E0" w:rsidRDefault="004A59E0" w:rsidP="00C3327F">
    <w:pPr>
      <w:pStyle w:val="Pidipagina"/>
      <w:jc w:val="cente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40213"/>
      <w:docPartObj>
        <w:docPartGallery w:val="Page Numbers (Bottom of Page)"/>
        <w:docPartUnique/>
      </w:docPartObj>
    </w:sdtPr>
    <w:sdtEndPr/>
    <w:sdtContent>
      <w:p w:rsidR="004A59E0" w:rsidRDefault="004A59E0">
        <w:pPr>
          <w:pStyle w:val="Pidipagina"/>
          <w:jc w:val="center"/>
        </w:pPr>
        <w:r w:rsidRPr="00C3327F">
          <w:rPr>
            <w:rFonts w:ascii="Bodoni MT" w:hAnsi="Bodoni MT"/>
            <w:sz w:val="18"/>
            <w:szCs w:val="18"/>
          </w:rPr>
          <w:fldChar w:fldCharType="begin"/>
        </w:r>
        <w:r w:rsidRPr="00C3327F">
          <w:rPr>
            <w:rFonts w:ascii="Bodoni MT" w:hAnsi="Bodoni MT"/>
            <w:sz w:val="18"/>
            <w:szCs w:val="18"/>
          </w:rPr>
          <w:instrText>PAGE   \* MERGEFORMAT</w:instrText>
        </w:r>
        <w:r w:rsidRPr="00C3327F">
          <w:rPr>
            <w:rFonts w:ascii="Bodoni MT" w:hAnsi="Bodoni MT"/>
            <w:sz w:val="18"/>
            <w:szCs w:val="18"/>
          </w:rPr>
          <w:fldChar w:fldCharType="separate"/>
        </w:r>
        <w:r w:rsidR="00B90472">
          <w:rPr>
            <w:rFonts w:ascii="Bodoni MT" w:hAnsi="Bodoni MT"/>
            <w:noProof/>
            <w:sz w:val="18"/>
            <w:szCs w:val="18"/>
          </w:rPr>
          <w:t>227</w:t>
        </w:r>
        <w:r w:rsidRPr="00C3327F">
          <w:rPr>
            <w:rFonts w:ascii="Bodoni MT" w:hAnsi="Bodoni MT"/>
            <w:sz w:val="18"/>
            <w:szCs w:val="18"/>
          </w:rPr>
          <w:fldChar w:fldCharType="end"/>
        </w:r>
      </w:p>
    </w:sdtContent>
  </w:sdt>
  <w:p w:rsidR="004A59E0" w:rsidRDefault="004A59E0" w:rsidP="00C3327F">
    <w:pPr>
      <w:pStyle w:val="Pidipagina"/>
      <w:jc w:val="cente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3162214"/>
      <w:docPartObj>
        <w:docPartGallery w:val="Page Numbers (Bottom of Page)"/>
        <w:docPartUnique/>
      </w:docPartObj>
    </w:sdtPr>
    <w:sdtEndPr>
      <w:rPr>
        <w:rFonts w:ascii="Bodoni MT" w:hAnsi="Bodoni MT"/>
        <w:sz w:val="18"/>
        <w:szCs w:val="18"/>
      </w:rPr>
    </w:sdtEndPr>
    <w:sdtContent>
      <w:p w:rsidR="004A59E0" w:rsidRPr="00086974" w:rsidRDefault="004A59E0">
        <w:pPr>
          <w:pStyle w:val="Pidipagina"/>
          <w:jc w:val="center"/>
          <w:rPr>
            <w:rFonts w:ascii="Bodoni MT" w:hAnsi="Bodoni MT"/>
            <w:sz w:val="18"/>
            <w:szCs w:val="18"/>
          </w:rPr>
        </w:pPr>
        <w:r w:rsidRPr="00086974">
          <w:rPr>
            <w:rFonts w:ascii="Bodoni MT" w:hAnsi="Bodoni MT"/>
            <w:sz w:val="18"/>
            <w:szCs w:val="18"/>
          </w:rPr>
          <w:fldChar w:fldCharType="begin"/>
        </w:r>
        <w:r w:rsidRPr="00086974">
          <w:rPr>
            <w:rFonts w:ascii="Bodoni MT" w:hAnsi="Bodoni MT"/>
            <w:sz w:val="18"/>
            <w:szCs w:val="18"/>
          </w:rPr>
          <w:instrText>PAGE   \* MERGEFORMAT</w:instrText>
        </w:r>
        <w:r w:rsidRPr="00086974">
          <w:rPr>
            <w:rFonts w:ascii="Bodoni MT" w:hAnsi="Bodoni MT"/>
            <w:sz w:val="18"/>
            <w:szCs w:val="18"/>
          </w:rPr>
          <w:fldChar w:fldCharType="separate"/>
        </w:r>
        <w:r w:rsidR="00B90472">
          <w:rPr>
            <w:rFonts w:ascii="Bodoni MT" w:hAnsi="Bodoni MT"/>
            <w:noProof/>
            <w:sz w:val="18"/>
            <w:szCs w:val="18"/>
          </w:rPr>
          <w:t>232</w:t>
        </w:r>
        <w:r w:rsidRPr="00086974">
          <w:rPr>
            <w:rFonts w:ascii="Bodoni MT" w:hAnsi="Bodoni MT"/>
            <w:sz w:val="18"/>
            <w:szCs w:val="18"/>
          </w:rPr>
          <w:fldChar w:fldCharType="end"/>
        </w:r>
      </w:p>
    </w:sdtContent>
  </w:sdt>
  <w:p w:rsidR="004A59E0" w:rsidRPr="00086974" w:rsidRDefault="004A59E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086974" w:rsidRDefault="004A59E0">
    <w:pPr>
      <w:pStyle w:val="Pidipagina"/>
      <w:jc w:val="center"/>
      <w:rPr>
        <w:rFonts w:ascii="Bodoni MT" w:hAnsi="Bodoni MT"/>
        <w:sz w:val="18"/>
        <w:szCs w:val="18"/>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885B67" w:rsidRDefault="004A59E0" w:rsidP="00885B67">
    <w:pPr>
      <w:pStyle w:val="Pidipagina"/>
      <w:rPr>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101FF8" w:rsidRDefault="004A59E0" w:rsidP="00FD4978">
    <w:pPr>
      <w:pStyle w:val="Pidipagina"/>
      <w:rPr>
        <w:rFonts w:ascii="Bodoni MT" w:hAnsi="Bodoni MT"/>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045886"/>
      <w:docPartObj>
        <w:docPartGallery w:val="Page Numbers (Bottom of Page)"/>
        <w:docPartUnique/>
      </w:docPartObj>
    </w:sdtPr>
    <w:sdtEndPr>
      <w:rPr>
        <w:rFonts w:ascii="Bodoni MT" w:hAnsi="Bodoni MT"/>
        <w:sz w:val="18"/>
        <w:szCs w:val="18"/>
      </w:rPr>
    </w:sdtEndPr>
    <w:sdtContent>
      <w:p w:rsidR="004A59E0" w:rsidRPr="00DB3BAA" w:rsidRDefault="004A59E0">
        <w:pPr>
          <w:pStyle w:val="Pidipagina"/>
          <w:jc w:val="center"/>
          <w:rPr>
            <w:rFonts w:ascii="Bodoni MT" w:hAnsi="Bodoni MT"/>
            <w:sz w:val="18"/>
            <w:szCs w:val="18"/>
          </w:rPr>
        </w:pPr>
        <w:r w:rsidRPr="00DB3BAA">
          <w:rPr>
            <w:rFonts w:ascii="Bodoni MT" w:hAnsi="Bodoni MT"/>
            <w:sz w:val="18"/>
            <w:szCs w:val="18"/>
          </w:rPr>
          <w:fldChar w:fldCharType="begin"/>
        </w:r>
        <w:r w:rsidRPr="00DB3BAA">
          <w:rPr>
            <w:rFonts w:ascii="Bodoni MT" w:hAnsi="Bodoni MT"/>
            <w:sz w:val="18"/>
            <w:szCs w:val="18"/>
          </w:rPr>
          <w:instrText>PAGE   \* MERGEFORMAT</w:instrText>
        </w:r>
        <w:r w:rsidRPr="00DB3BAA">
          <w:rPr>
            <w:rFonts w:ascii="Bodoni MT" w:hAnsi="Bodoni MT"/>
            <w:sz w:val="18"/>
            <w:szCs w:val="18"/>
          </w:rPr>
          <w:fldChar w:fldCharType="separate"/>
        </w:r>
        <w:r w:rsidR="00B90472">
          <w:rPr>
            <w:rFonts w:ascii="Bodoni MT" w:hAnsi="Bodoni MT"/>
            <w:noProof/>
            <w:sz w:val="18"/>
            <w:szCs w:val="18"/>
          </w:rPr>
          <w:t>XXX</w:t>
        </w:r>
        <w:r w:rsidRPr="00DB3BAA">
          <w:rPr>
            <w:rFonts w:ascii="Bodoni MT" w:hAnsi="Bodoni MT"/>
            <w:sz w:val="18"/>
            <w:szCs w:val="18"/>
          </w:rPr>
          <w:fldChar w:fldCharType="end"/>
        </w:r>
      </w:p>
    </w:sdtContent>
  </w:sdt>
  <w:p w:rsidR="004A59E0" w:rsidRPr="00101FF8" w:rsidRDefault="004A59E0" w:rsidP="00DB3BAA">
    <w:pPr>
      <w:pStyle w:val="Pidipagina"/>
      <w:jc w:val="center"/>
      <w:rPr>
        <w:rFonts w:ascii="Bodoni MT" w:hAnsi="Bodoni MT"/>
        <w:sz w:val="20"/>
        <w:szCs w:val="20"/>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DB3BAA" w:rsidRDefault="004A59E0">
    <w:pPr>
      <w:pStyle w:val="Pidipagina"/>
      <w:jc w:val="center"/>
      <w:rPr>
        <w:rFonts w:ascii="Bodoni MT" w:hAnsi="Bodoni MT"/>
        <w:sz w:val="18"/>
        <w:szCs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2256449"/>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4</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9118B0" w:rsidRDefault="004A59E0">
    <w:pPr>
      <w:pStyle w:val="Pidipagina"/>
      <w:jc w:val="center"/>
      <w:rPr>
        <w:rFonts w:ascii="Bodoni MT" w:hAnsi="Bodoni MT"/>
        <w:sz w:val="18"/>
        <w:szCs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064974"/>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9</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A2C" w:rsidRPr="009118B0" w:rsidRDefault="00D44A2C">
    <w:pPr>
      <w:pStyle w:val="Pidipagina"/>
      <w:jc w:val="center"/>
      <w:rPr>
        <w:rFonts w:ascii="Bodoni MT" w:hAnsi="Bodoni MT"/>
        <w:sz w:val="18"/>
        <w:szCs w:val="1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088134"/>
      <w:docPartObj>
        <w:docPartGallery w:val="Page Numbers (Bottom of Page)"/>
        <w:docPartUnique/>
      </w:docPartObj>
    </w:sdtPr>
    <w:sdtEndPr>
      <w:rPr>
        <w:rFonts w:ascii="Bodoni MT" w:hAnsi="Bodoni MT"/>
        <w:sz w:val="18"/>
        <w:szCs w:val="18"/>
      </w:rPr>
    </w:sdtEndPr>
    <w:sdtContent>
      <w:p w:rsidR="004A59E0" w:rsidRPr="009118B0" w:rsidRDefault="004A59E0">
        <w:pPr>
          <w:pStyle w:val="Pidipagina"/>
          <w:jc w:val="center"/>
          <w:rPr>
            <w:rFonts w:ascii="Bodoni MT" w:hAnsi="Bodoni MT"/>
            <w:sz w:val="18"/>
            <w:szCs w:val="18"/>
          </w:rPr>
        </w:pPr>
        <w:r w:rsidRPr="009118B0">
          <w:rPr>
            <w:rFonts w:ascii="Bodoni MT" w:hAnsi="Bodoni MT"/>
            <w:sz w:val="18"/>
            <w:szCs w:val="18"/>
          </w:rPr>
          <w:fldChar w:fldCharType="begin"/>
        </w:r>
        <w:r w:rsidRPr="009118B0">
          <w:rPr>
            <w:rFonts w:ascii="Bodoni MT" w:hAnsi="Bodoni MT"/>
            <w:sz w:val="18"/>
            <w:szCs w:val="18"/>
          </w:rPr>
          <w:instrText>PAGE   \* MERGEFORMAT</w:instrText>
        </w:r>
        <w:r w:rsidRPr="009118B0">
          <w:rPr>
            <w:rFonts w:ascii="Bodoni MT" w:hAnsi="Bodoni MT"/>
            <w:sz w:val="18"/>
            <w:szCs w:val="18"/>
          </w:rPr>
          <w:fldChar w:fldCharType="separate"/>
        </w:r>
        <w:r w:rsidR="00B90472">
          <w:rPr>
            <w:rFonts w:ascii="Bodoni MT" w:hAnsi="Bodoni MT"/>
            <w:noProof/>
            <w:sz w:val="18"/>
            <w:szCs w:val="18"/>
          </w:rPr>
          <w:t>16</w:t>
        </w:r>
        <w:r w:rsidRPr="009118B0">
          <w:rPr>
            <w:rFonts w:ascii="Bodoni MT" w:hAnsi="Bodoni MT"/>
            <w:sz w:val="18"/>
            <w:szCs w:val="18"/>
          </w:rPr>
          <w:fldChar w:fldCharType="end"/>
        </w:r>
      </w:p>
    </w:sdtContent>
  </w:sdt>
  <w:p w:rsidR="004A59E0" w:rsidRPr="009118B0" w:rsidRDefault="004A59E0" w:rsidP="009118B0">
    <w:pPr>
      <w:pStyle w:val="Pidipagina"/>
      <w:jc w:val="center"/>
      <w:rPr>
        <w:rFonts w:ascii="Bodoni MT" w:hAnsi="Bodoni MT"/>
        <w:sz w:val="18"/>
        <w:szCs w:val="18"/>
      </w:rPr>
    </w:pPr>
    <w:r w:rsidRPr="00634BC2">
      <w:rPr>
        <w:rFonts w:ascii="Bodoni MT" w:hAnsi="Bodoni MT"/>
        <w:sz w:val="20"/>
        <w:szCs w:val="20"/>
      </w:rPr>
      <w:t xml:space="preserve">Corte dei conti - Sezione controllo Sardegna | </w:t>
    </w:r>
    <w:r>
      <w:rPr>
        <w:rFonts w:ascii="Bodoni MT" w:hAnsi="Bodoni MT"/>
        <w:sz w:val="20"/>
        <w:szCs w:val="20"/>
      </w:rPr>
      <w:t>Verifica del rendiconto generale della RA.S. Esercizio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6DF6" w:rsidRDefault="00236DF6" w:rsidP="004B0B8B">
      <w:pPr>
        <w:spacing w:after="0" w:line="240" w:lineRule="auto"/>
      </w:pPr>
      <w:r>
        <w:separator/>
      </w:r>
    </w:p>
  </w:footnote>
  <w:footnote w:type="continuationSeparator" w:id="0">
    <w:p w:rsidR="00236DF6" w:rsidRDefault="00236DF6" w:rsidP="004B0B8B">
      <w:pPr>
        <w:spacing w:after="0" w:line="240" w:lineRule="auto"/>
      </w:pPr>
      <w:r>
        <w:continuationSeparator/>
      </w:r>
    </w:p>
  </w:footnote>
  <w:footnote w:id="1">
    <w:p w:rsidR="004A59E0" w:rsidRDefault="004A59E0" w:rsidP="00DB3BAA">
      <w:pPr>
        <w:pStyle w:val="Testonotaapidipagina"/>
        <w:jc w:val="both"/>
      </w:pPr>
      <w:r>
        <w:rPr>
          <w:rStyle w:val="Rimandonotaapidipagina"/>
        </w:rPr>
        <w:footnoteRef/>
      </w:r>
      <w:r>
        <w:t xml:space="preserve"> Il D.Lgs. 118/2011 prevede che il rendiconto della gestione sia approvato dalla Giunta entro il 30 aprile dell’anno successivo all’esercizio di riferimento ed entro il 31 luglio da parte del Consiglio regionale.</w:t>
      </w:r>
    </w:p>
  </w:footnote>
  <w:footnote w:id="2">
    <w:p w:rsidR="004A59E0" w:rsidRDefault="004A59E0" w:rsidP="00DB3BAA">
      <w:pPr>
        <w:pStyle w:val="Testonotaapidipagina"/>
      </w:pPr>
      <w:r>
        <w:rPr>
          <w:rStyle w:val="Rimandonotaapidipagina"/>
        </w:rPr>
        <w:footnoteRef/>
      </w:r>
      <w:r>
        <w:t xml:space="preserve"> In tali termini v. sito web istituzionale Ragioneria Generale dello Stato, MEF, principi contabili.</w:t>
      </w:r>
    </w:p>
  </w:footnote>
  <w:footnote w:id="3">
    <w:p w:rsidR="004A59E0" w:rsidRDefault="004A59E0" w:rsidP="00DB3BAA">
      <w:pPr>
        <w:pStyle w:val="Testonotaapidipagina"/>
      </w:pPr>
      <w:r>
        <w:rPr>
          <w:rStyle w:val="Rimandonotaapidipagina"/>
        </w:rPr>
        <w:footnoteRef/>
      </w:r>
      <w:r>
        <w:t xml:space="preserve"> In tali termini v.  deliberazione n. 12/SSRRCO/INPR/17.</w:t>
      </w:r>
    </w:p>
  </w:footnote>
  <w:footnote w:id="4">
    <w:p w:rsidR="004A59E0" w:rsidRDefault="004A59E0" w:rsidP="00DB3BAA">
      <w:pPr>
        <w:pStyle w:val="Testonotaapidipagina"/>
        <w:jc w:val="both"/>
      </w:pPr>
      <w:r w:rsidRPr="000114E6">
        <w:rPr>
          <w:rStyle w:val="Rimandonotaapidipagina"/>
        </w:rPr>
        <w:footnoteRef/>
      </w:r>
      <w:r w:rsidRPr="000114E6">
        <w:t xml:space="preserve"> </w:t>
      </w:r>
      <w:r>
        <w:t xml:space="preserve">Lo </w:t>
      </w:r>
      <w:r w:rsidRPr="000114E6">
        <w:rPr>
          <w:rFonts w:eastAsia="Times New Roman"/>
        </w:rPr>
        <w:t xml:space="preserve">Stock del debito pro-capite </w:t>
      </w:r>
      <w:r>
        <w:rPr>
          <w:rFonts w:eastAsia="Times New Roman"/>
        </w:rPr>
        <w:t xml:space="preserve">al 2016 è pari a </w:t>
      </w:r>
      <w:r w:rsidRPr="000114E6">
        <w:rPr>
          <w:rFonts w:eastAsia="Times New Roman"/>
        </w:rPr>
        <w:t>801 euro</w:t>
      </w:r>
      <w:r>
        <w:rPr>
          <w:rFonts w:eastAsia="Times New Roman"/>
        </w:rPr>
        <w:t xml:space="preserve"> (in aumento rispetto al 2015 quando era pari a 680,34 euro)</w:t>
      </w:r>
      <w:r w:rsidRPr="000114E6">
        <w:rPr>
          <w:rFonts w:eastAsia="Times New Roman"/>
        </w:rPr>
        <w:t xml:space="preserve">, </w:t>
      </w:r>
      <w:r>
        <w:rPr>
          <w:rFonts w:eastAsia="Times New Roman"/>
        </w:rPr>
        <w:t>nonostante negli esercizi 2015 e 2016 si siano anticipatamente estinti alcuni mutui.</w:t>
      </w:r>
    </w:p>
  </w:footnote>
  <w:footnote w:id="5">
    <w:p w:rsidR="004A59E0" w:rsidRDefault="004A59E0" w:rsidP="00DB3BAA">
      <w:pPr>
        <w:pStyle w:val="Testonotaapidipagina"/>
        <w:jc w:val="both"/>
      </w:pPr>
      <w:r>
        <w:rPr>
          <w:rStyle w:val="Rimandonotaapidipagina"/>
        </w:rPr>
        <w:footnoteRef/>
      </w:r>
      <w:r>
        <w:t xml:space="preserve"> V Allegato n. 14 al rendiconto 2016 “prospetto dimostrativo della ripartizione…della politica regionale unitaria e cooperazione territoriale, a partire dal periodo di programmazione 2014-2020”.</w:t>
      </w:r>
    </w:p>
  </w:footnote>
  <w:footnote w:id="6">
    <w:p w:rsidR="004A59E0" w:rsidRDefault="004A59E0" w:rsidP="00DB3BAA">
      <w:pPr>
        <w:pStyle w:val="Testonotaapidipagina"/>
        <w:jc w:val="both"/>
      </w:pPr>
      <w:r>
        <w:rPr>
          <w:rStyle w:val="Rimandonotaapidipagina"/>
        </w:rPr>
        <w:footnoteRef/>
      </w:r>
      <w:r>
        <w:t xml:space="preserve"> </w:t>
      </w:r>
      <w:r w:rsidRPr="00F45F64">
        <w:rPr>
          <w:rFonts w:eastAsia="Times New Roman"/>
        </w:rPr>
        <w:t>Trattasi di impegni assunti negli esercizi precedenti generalmente per spese di carattere obbligatorio e sp</w:t>
      </w:r>
      <w:r>
        <w:rPr>
          <w:rFonts w:eastAsia="Times New Roman"/>
        </w:rPr>
        <w:t>ese occorse per far fronte all’</w:t>
      </w:r>
      <w:r w:rsidRPr="00F45F64">
        <w:rPr>
          <w:rFonts w:eastAsia="Times New Roman"/>
        </w:rPr>
        <w:t>esercizio provvisorio 2016</w:t>
      </w:r>
      <w:r>
        <w:rPr>
          <w:rFonts w:eastAsia="Times New Roman"/>
        </w:rPr>
        <w:t>.</w:t>
      </w:r>
    </w:p>
  </w:footnote>
  <w:footnote w:id="7">
    <w:p w:rsidR="004A59E0" w:rsidRDefault="004A59E0" w:rsidP="00DB3BAA">
      <w:pPr>
        <w:pStyle w:val="Testonotaapidipagina"/>
      </w:pPr>
      <w:r>
        <w:rPr>
          <w:rStyle w:val="Rimandonotaapidipagina"/>
        </w:rPr>
        <w:footnoteRef/>
      </w:r>
      <w:r>
        <w:t xml:space="preserve"> V. nel testo della relazione tabella n. 2 (Riepilogo risultati della gestione 2015).</w:t>
      </w:r>
    </w:p>
  </w:footnote>
  <w:footnote w:id="8">
    <w:p w:rsidR="004A59E0" w:rsidRDefault="004A59E0" w:rsidP="00DB3BAA">
      <w:pPr>
        <w:pStyle w:val="Testonotaapidipagina"/>
      </w:pPr>
      <w:r>
        <w:rPr>
          <w:rStyle w:val="Rimandonotaapidipagina"/>
        </w:rPr>
        <w:footnoteRef/>
      </w:r>
      <w:r>
        <w:t xml:space="preserve"> V. art. 8 dello statuto, legge costituzionale 26 febbraio 1948 n. 3.</w:t>
      </w:r>
    </w:p>
  </w:footnote>
  <w:footnote w:id="9">
    <w:p w:rsidR="004A59E0" w:rsidRDefault="004A59E0" w:rsidP="00DB3BAA">
      <w:pPr>
        <w:pStyle w:val="Testonotaapidipagina"/>
      </w:pPr>
      <w:r>
        <w:rPr>
          <w:rStyle w:val="Rimandonotaapidipagina"/>
        </w:rPr>
        <w:footnoteRef/>
      </w:r>
      <w:r>
        <w:t xml:space="preserve"> V. nel testo della relazione tabella n. 13 (</w:t>
      </w:r>
      <w:r w:rsidRPr="005D660C">
        <w:t>Entrate per titoli e fonte – Competenza 2016</w:t>
      </w:r>
      <w:r>
        <w:t>).</w:t>
      </w:r>
    </w:p>
  </w:footnote>
  <w:footnote w:id="10">
    <w:p w:rsidR="004A59E0" w:rsidRDefault="004A59E0" w:rsidP="00DB3BAA">
      <w:pPr>
        <w:pStyle w:val="Testonotaapidipagina"/>
      </w:pPr>
      <w:r>
        <w:rPr>
          <w:rStyle w:val="Rimandonotaapidipagina"/>
        </w:rPr>
        <w:footnoteRef/>
      </w:r>
      <w:r>
        <w:t xml:space="preserve"> Vedi Rapporto di gestione anno 2016, pag. 79.</w:t>
      </w:r>
    </w:p>
  </w:footnote>
  <w:footnote w:id="11">
    <w:p w:rsidR="004A59E0" w:rsidRPr="004762E0" w:rsidRDefault="004A59E0" w:rsidP="00DB3BAA">
      <w:pPr>
        <w:pStyle w:val="Testonotaapidipagina"/>
        <w:jc w:val="both"/>
        <w:rPr>
          <w:szCs w:val="18"/>
        </w:rPr>
      </w:pPr>
      <w:r w:rsidRPr="004762E0">
        <w:rPr>
          <w:rStyle w:val="Rimandonotaapidipagina"/>
          <w:szCs w:val="18"/>
        </w:rPr>
        <w:footnoteRef/>
      </w:r>
      <w:r w:rsidRPr="004762E0">
        <w:rPr>
          <w:szCs w:val="18"/>
        </w:rPr>
        <w:t xml:space="preserve"> </w:t>
      </w:r>
      <w:r w:rsidRPr="004762E0">
        <w:rPr>
          <w:rFonts w:cs="Bodoni MT"/>
          <w:color w:val="000000"/>
          <w:szCs w:val="18"/>
        </w:rPr>
        <w:t xml:space="preserve">Si rappresenta che </w:t>
      </w:r>
      <w:r w:rsidRPr="004762E0">
        <w:rPr>
          <w:rFonts w:cs="Bodoni MT"/>
          <w:i/>
          <w:color w:val="000000"/>
          <w:szCs w:val="18"/>
        </w:rPr>
        <w:t>i centri di responsabilità competenti hanno adottato una determina ricognitiva con la quale hanno approvato gli elenchi dei residui e le reimputazioni, specificando le motivazioni poste a base della conferma o dello stralcio definitivi dei residui attivi e passivi. Le determinazioni sono poi state trasmesse alla Direzione generale dei Servizi finanziari, al fine di verificarne la regolarità contabile e procedere, successivamente all’approvazione della presente deliberazione, alle relative contabilizzazioni.</w:t>
      </w:r>
    </w:p>
  </w:footnote>
  <w:footnote w:id="12">
    <w:p w:rsidR="004A59E0" w:rsidRDefault="004A59E0" w:rsidP="00DB3BAA">
      <w:pPr>
        <w:pStyle w:val="Testonotaapidipagina"/>
      </w:pPr>
      <w:r>
        <w:rPr>
          <w:rStyle w:val="Rimandonotaapidipagina"/>
        </w:rPr>
        <w:footnoteRef/>
      </w:r>
      <w:r>
        <w:t xml:space="preserve"> Allegato 19.1 alla Relazione sulla gestione 2016.</w:t>
      </w:r>
    </w:p>
  </w:footnote>
  <w:footnote w:id="13">
    <w:p w:rsidR="004A59E0" w:rsidRDefault="004A59E0" w:rsidP="00DB3BAA">
      <w:pPr>
        <w:pStyle w:val="Testonotaapidipagina"/>
      </w:pPr>
      <w:r>
        <w:rPr>
          <w:rStyle w:val="Rimandonotaapidipagina"/>
        </w:rPr>
        <w:footnoteRef/>
      </w:r>
      <w:r>
        <w:t xml:space="preserve"> Vedi Allegato 1 al Rendiconto “Conto del Bilancio - Entrate”.</w:t>
      </w:r>
    </w:p>
  </w:footnote>
  <w:footnote w:id="14">
    <w:p w:rsidR="004A59E0" w:rsidRDefault="004A59E0" w:rsidP="00DB3BAA">
      <w:pPr>
        <w:pStyle w:val="Testonotaapidipagina"/>
      </w:pPr>
      <w:r>
        <w:rPr>
          <w:rStyle w:val="Rimandonotaapidipagina"/>
        </w:rPr>
        <w:footnoteRef/>
      </w:r>
      <w:r>
        <w:t xml:space="preserve"> Vedi Allegato 1 al Rendiconto “Conto del Bilancio - Entrate”.</w:t>
      </w:r>
    </w:p>
  </w:footnote>
  <w:footnote w:id="15">
    <w:p w:rsidR="004A59E0" w:rsidRDefault="004A59E0" w:rsidP="00DB3BAA">
      <w:pPr>
        <w:pStyle w:val="Testonotaapidipagina"/>
      </w:pPr>
      <w:r>
        <w:rPr>
          <w:rStyle w:val="Rimandonotaapidipagina"/>
        </w:rPr>
        <w:footnoteRef/>
      </w:r>
      <w:r>
        <w:t xml:space="preserve"> Vedi Allegato 2 al Rendiconto “Conto del Bilancio – Spese”.</w:t>
      </w:r>
    </w:p>
  </w:footnote>
  <w:footnote w:id="16">
    <w:p w:rsidR="004A59E0" w:rsidRDefault="004A59E0" w:rsidP="00DB3BAA">
      <w:pPr>
        <w:pStyle w:val="Testonotaapidipagina"/>
      </w:pPr>
      <w:r>
        <w:rPr>
          <w:rStyle w:val="Rimandonotaapidipagina"/>
        </w:rPr>
        <w:footnoteRef/>
      </w:r>
      <w:r>
        <w:t xml:space="preserve"> Vedi Allegato 2 al Rendiconto “Conto del Bilancio – Spese”.</w:t>
      </w:r>
    </w:p>
  </w:footnote>
  <w:footnote w:id="17">
    <w:p w:rsidR="004A59E0" w:rsidRDefault="004A59E0">
      <w:pPr>
        <w:pStyle w:val="Testonotaapidipagina"/>
      </w:pPr>
      <w:r>
        <w:rPr>
          <w:rStyle w:val="Rimandonotaapidipagina"/>
        </w:rPr>
        <w:footnoteRef/>
      </w:r>
      <w:r>
        <w:t xml:space="preserve"> V. tabella 19.</w:t>
      </w:r>
    </w:p>
  </w:footnote>
  <w:footnote w:id="18">
    <w:p w:rsidR="004A59E0" w:rsidRPr="002E10FE" w:rsidRDefault="004A59E0" w:rsidP="00DB3BAA">
      <w:pPr>
        <w:pStyle w:val="Testonotaapidipagina"/>
        <w:jc w:val="both"/>
        <w:rPr>
          <w:szCs w:val="18"/>
        </w:rPr>
      </w:pPr>
      <w:r w:rsidRPr="002E10FE">
        <w:rPr>
          <w:rStyle w:val="Rimandonotaapidipagina"/>
          <w:szCs w:val="18"/>
        </w:rPr>
        <w:footnoteRef/>
      </w:r>
      <w:r w:rsidRPr="002E10FE">
        <w:rPr>
          <w:szCs w:val="18"/>
        </w:rPr>
        <w:t xml:space="preserve"> </w:t>
      </w:r>
      <w:r w:rsidRPr="002E10FE">
        <w:rPr>
          <w:rFonts w:eastAsiaTheme="majorEastAsia" w:cs="Bodoni MT"/>
          <w:color w:val="000000"/>
          <w:szCs w:val="18"/>
        </w:rPr>
        <w:t xml:space="preserve">Si fa osservare che in questa missione è compreso il </w:t>
      </w:r>
      <w:r w:rsidRPr="002E10FE">
        <w:rPr>
          <w:rFonts w:eastAsiaTheme="majorEastAsia" w:cs="Bodoni MT"/>
          <w:b/>
          <w:color w:val="000000"/>
          <w:szCs w:val="18"/>
        </w:rPr>
        <w:t xml:space="preserve">Capitolo SC08.0325 relativo all’accantonamento della quota di entrate erariali destinate al contributo alla finanza pubblica </w:t>
      </w:r>
      <w:r w:rsidRPr="002E10FE">
        <w:rPr>
          <w:rFonts w:eastAsiaTheme="majorEastAsia" w:cs="Bodoni MT"/>
          <w:color w:val="000000"/>
          <w:szCs w:val="18"/>
        </w:rPr>
        <w:t xml:space="preserve">della Regione Sardegna per l’anno 2016, per un importo impegnato di € 683.995.988,75 e pagato di € 681.701.000, correlato al Capitolo di entrata EC121.506, di corrispondente importo. Nell’esercizio 2015, tali accantonamenti erano previsti nella Missione 20 </w:t>
      </w:r>
      <w:r w:rsidRPr="002E10FE">
        <w:rPr>
          <w:rFonts w:eastAsiaTheme="majorEastAsia" w:cs="Bodoni MT"/>
          <w:i/>
          <w:color w:val="000000"/>
          <w:szCs w:val="18"/>
        </w:rPr>
        <w:t xml:space="preserve">“Fondi e accantonamenti”. </w:t>
      </w:r>
      <w:r w:rsidRPr="002E10FE">
        <w:rPr>
          <w:rFonts w:eastAsiaTheme="majorEastAsia" w:cs="Bodoni MT"/>
          <w:color w:val="000000"/>
          <w:szCs w:val="18"/>
        </w:rPr>
        <w:t>La rilevanza della Missione all’interno del bilancio è pertanto falsata da tale posta, che pesa per il 50% circa sul complesso delle spese della missione, e che risulta solo figurativa in quanto la Regione non ha potuto gestire le relative risorse.</w:t>
      </w:r>
    </w:p>
  </w:footnote>
  <w:footnote w:id="19">
    <w:p w:rsidR="004A59E0" w:rsidRDefault="004A59E0">
      <w:pPr>
        <w:pStyle w:val="Testonotaapidipagina"/>
      </w:pPr>
      <w:r>
        <w:rPr>
          <w:rStyle w:val="Rimandonotaapidipagina"/>
        </w:rPr>
        <w:footnoteRef/>
      </w:r>
      <w:r>
        <w:t xml:space="preserve"> V. tabella 24.</w:t>
      </w:r>
    </w:p>
  </w:footnote>
  <w:footnote w:id="20">
    <w:p w:rsidR="004A59E0" w:rsidRDefault="004A59E0" w:rsidP="00DB3BAA">
      <w:pPr>
        <w:pStyle w:val="Testonotaapidipagina"/>
      </w:pPr>
      <w:r>
        <w:rPr>
          <w:rStyle w:val="Rimandonotaapidipagina"/>
        </w:rPr>
        <w:footnoteRef/>
      </w:r>
      <w:r>
        <w:t xml:space="preserve"> Vedi “Relazione sulla gestione 2016” pag. 26.</w:t>
      </w:r>
    </w:p>
  </w:footnote>
  <w:footnote w:id="21">
    <w:p w:rsidR="004A59E0" w:rsidRDefault="004A59E0" w:rsidP="00DB3BAA">
      <w:pPr>
        <w:pStyle w:val="Testonotaapidipagina"/>
      </w:pPr>
      <w:r>
        <w:rPr>
          <w:rStyle w:val="Rimandonotaapidipagina"/>
        </w:rPr>
        <w:footnoteRef/>
      </w:r>
      <w:r>
        <w:t xml:space="preserve"> L.R. n. 36/2016 come modificata dalla L.R. n. 10/2017.</w:t>
      </w:r>
    </w:p>
  </w:footnote>
  <w:footnote w:id="22">
    <w:p w:rsidR="004A59E0" w:rsidRDefault="004A59E0">
      <w:pPr>
        <w:pStyle w:val="Testonotaapidipagina"/>
      </w:pPr>
      <w:r>
        <w:rPr>
          <w:rStyle w:val="Rimandonotaapidipagina"/>
        </w:rPr>
        <w:footnoteRef/>
      </w:r>
      <w:r>
        <w:t xml:space="preserve"> V. tabella 41.</w:t>
      </w:r>
    </w:p>
  </w:footnote>
  <w:footnote w:id="23">
    <w:p w:rsidR="004A59E0" w:rsidRDefault="004A59E0" w:rsidP="003F0FC0">
      <w:pPr>
        <w:pStyle w:val="Testonotaapidipagina"/>
      </w:pPr>
      <w:r>
        <w:rPr>
          <w:rStyle w:val="Rimandonotaapidipagina"/>
        </w:rPr>
        <w:footnoteRef/>
      </w:r>
      <w:r>
        <w:t xml:space="preserve"> Ovvero precedente al riaccertamento straordinario.</w:t>
      </w:r>
    </w:p>
  </w:footnote>
  <w:footnote w:id="24">
    <w:p w:rsidR="004A59E0" w:rsidRDefault="004A59E0" w:rsidP="003F0FC0">
      <w:pPr>
        <w:pStyle w:val="Testonotaapidipagina"/>
      </w:pPr>
      <w:r>
        <w:rPr>
          <w:rStyle w:val="Rimandonotaapidipagina"/>
        </w:rPr>
        <w:footnoteRef/>
      </w:r>
      <w:r>
        <w:t xml:space="preserve"> V</w:t>
      </w:r>
      <w:r w:rsidRPr="00FF061D">
        <w:t>edi pagg.5 e 6 del documento “Analisi sull’indebitamento anno 2016” presentato in sede istruttoria</w:t>
      </w:r>
      <w:r>
        <w:t xml:space="preserve"> dalla Regione.</w:t>
      </w:r>
    </w:p>
  </w:footnote>
  <w:footnote w:id="25">
    <w:p w:rsidR="004A59E0" w:rsidRPr="0018525B" w:rsidRDefault="004A59E0" w:rsidP="00DB3BAA">
      <w:pPr>
        <w:pStyle w:val="Testonotaapidipagina"/>
        <w:jc w:val="both"/>
        <w:rPr>
          <w:szCs w:val="18"/>
        </w:rPr>
      </w:pPr>
      <w:r w:rsidRPr="0018525B">
        <w:rPr>
          <w:rStyle w:val="Rimandonotaapidipagina"/>
          <w:szCs w:val="18"/>
        </w:rPr>
        <w:footnoteRef/>
      </w:r>
      <w:r w:rsidRPr="0018525B">
        <w:rPr>
          <w:szCs w:val="18"/>
        </w:rPr>
        <w:t xml:space="preserve"> Nel precedente ordinamento contabile regionale non era contemplato l’istituto del debito fuori bilancio; il D.Lgs. 118/2011 all’art. 73 prescrive che i debiti fuori bilancio debbano essere riconosciuti con legge regionale.</w:t>
      </w:r>
    </w:p>
  </w:footnote>
  <w:footnote w:id="26">
    <w:p w:rsidR="004A59E0" w:rsidRDefault="004A59E0" w:rsidP="00DB3BAA">
      <w:pPr>
        <w:pStyle w:val="Testonotaapidipagina"/>
        <w:jc w:val="both"/>
      </w:pPr>
      <w:r>
        <w:rPr>
          <w:rStyle w:val="Rimandonotaapidipagina"/>
        </w:rPr>
        <w:footnoteRef/>
      </w:r>
      <w:r>
        <w:t xml:space="preserve"> V. le attestazioni nel questionario sul rendiconto 2016, sezione II; v. Relazione sulla gestione – All. 19 al rendiconto 2016, pag. 123 e seguenti.</w:t>
      </w:r>
    </w:p>
  </w:footnote>
  <w:footnote w:id="27">
    <w:p w:rsidR="004A59E0" w:rsidRDefault="004A59E0" w:rsidP="00DB3BAA">
      <w:pPr>
        <w:pStyle w:val="Testonotaapidipagina"/>
      </w:pPr>
      <w:r>
        <w:rPr>
          <w:rStyle w:val="Rimandonotaapidipagina"/>
        </w:rPr>
        <w:footnoteRef/>
      </w:r>
      <w:r>
        <w:t xml:space="preserve"> Ai sensi dell’art. 6 comma 7 D.L. 78/2010 e art. 1 comma 5 D.L. 101/2013.</w:t>
      </w:r>
    </w:p>
  </w:footnote>
  <w:footnote w:id="28">
    <w:p w:rsidR="004A59E0" w:rsidRDefault="004A59E0" w:rsidP="00DB3BAA">
      <w:pPr>
        <w:pStyle w:val="Testonotaapidipagina"/>
      </w:pPr>
      <w:r>
        <w:rPr>
          <w:rStyle w:val="Rimandonotaapidipagina"/>
        </w:rPr>
        <w:footnoteRef/>
      </w:r>
      <w:r>
        <w:t xml:space="preserve"> Ai sensi dell’art. 14 comma 1 D.L. 66/2014.</w:t>
      </w:r>
    </w:p>
  </w:footnote>
  <w:footnote w:id="29">
    <w:p w:rsidR="004A59E0" w:rsidRDefault="004A59E0" w:rsidP="00DB3BAA">
      <w:pPr>
        <w:pStyle w:val="Testonotaapidipagina"/>
      </w:pPr>
      <w:r>
        <w:rPr>
          <w:rStyle w:val="Rimandonotaapidipagina"/>
        </w:rPr>
        <w:footnoteRef/>
      </w:r>
      <w:r>
        <w:t xml:space="preserve"> In tali termini v. Rapporto di gestione 2016, pag. 155 e seguenti.</w:t>
      </w:r>
    </w:p>
  </w:footnote>
  <w:footnote w:id="30">
    <w:p w:rsidR="004A59E0" w:rsidRDefault="004A59E0" w:rsidP="00DB3BAA">
      <w:pPr>
        <w:pStyle w:val="Testonotaapidipagina"/>
        <w:jc w:val="both"/>
      </w:pPr>
      <w:r>
        <w:rPr>
          <w:rStyle w:val="Rimandonotaapidipagina"/>
        </w:rPr>
        <w:footnoteRef/>
      </w:r>
      <w:r>
        <w:t xml:space="preserve"> La legge di stabilità 2016 (legge 208/2015 art. 1 comma 792 e seguenti) ha previsto che le regioni e le province autonome possono istituire un proprio “</w:t>
      </w:r>
      <w:r w:rsidRPr="00297549">
        <w:rPr>
          <w:b/>
        </w:rPr>
        <w:t>organismo strumentale per gli interventi europei</w:t>
      </w:r>
      <w:r>
        <w:t>”, dotato di autonomia gestionale e contabile, avente ad oggetto esclusivo la gestione degli interventi europei, onde disporre con immediatezza del quadro di notizie afferenti l’avanzamento fisico e finanziario degli interventi programmati, tracciare con chiarezza i rapporti di credito/debito con la UE e con gli altri soggetti interessati.</w:t>
      </w:r>
    </w:p>
  </w:footnote>
  <w:footnote w:id="31">
    <w:p w:rsidR="004A59E0" w:rsidRDefault="004A59E0" w:rsidP="00DB3BAA">
      <w:pPr>
        <w:pStyle w:val="Testonotaapidipagina"/>
      </w:pPr>
      <w:r>
        <w:rPr>
          <w:rStyle w:val="Rimandonotaapidipagina"/>
        </w:rPr>
        <w:footnoteRef/>
      </w:r>
      <w:r>
        <w:t xml:space="preserve"> V. D.G.R. 60/17 dell’8 novembre 2016.</w:t>
      </w:r>
    </w:p>
  </w:footnote>
  <w:footnote w:id="32">
    <w:p w:rsidR="004A59E0" w:rsidRDefault="004A59E0" w:rsidP="00DB3BAA">
      <w:pPr>
        <w:pStyle w:val="Testonotaapidipagina"/>
        <w:jc w:val="both"/>
      </w:pPr>
      <w:r>
        <w:rPr>
          <w:rStyle w:val="Rimandonotaapidipagina"/>
        </w:rPr>
        <w:footnoteRef/>
      </w:r>
      <w:r>
        <w:t xml:space="preserve"> V. Relazione del Presidente della Regione alla Corte dei conti ai sensi dell’art. 1, comma 3 D.L. 174/2012 sul bilancio di previsione 2016 in data 26.07.02016.</w:t>
      </w:r>
    </w:p>
  </w:footnote>
  <w:footnote w:id="33">
    <w:p w:rsidR="004A59E0" w:rsidRDefault="004A59E0" w:rsidP="004A0B01">
      <w:pPr>
        <w:pStyle w:val="Testonotaapidipagina"/>
      </w:pPr>
      <w:r>
        <w:rPr>
          <w:rStyle w:val="Rimandonotaapidipagina"/>
        </w:rPr>
        <w:footnoteRef/>
      </w:r>
      <w:r>
        <w:t xml:space="preserve"> Nota n. 31988 del 9/10/2017, </w:t>
      </w:r>
      <w:r>
        <w:rPr>
          <w:szCs w:val="18"/>
        </w:rPr>
        <w:t>i</w:t>
      </w:r>
      <w:r w:rsidRPr="007B5308">
        <w:rPr>
          <w:szCs w:val="18"/>
        </w:rPr>
        <w:t>n riscontro alla nota istruttoria n. 6445 del 28/09/2017</w:t>
      </w:r>
      <w:r>
        <w:rPr>
          <w:szCs w:val="18"/>
        </w:rPr>
        <w:t>.</w:t>
      </w:r>
    </w:p>
  </w:footnote>
  <w:footnote w:id="34">
    <w:p w:rsidR="004A59E0" w:rsidRDefault="004A59E0" w:rsidP="00DB3BAA">
      <w:pPr>
        <w:pStyle w:val="Testonotaapidipagina"/>
      </w:pPr>
      <w:r>
        <w:rPr>
          <w:rStyle w:val="Rimandonotaapidipagina"/>
        </w:rPr>
        <w:footnoteRef/>
      </w:r>
      <w:r>
        <w:t xml:space="preserve"> Nota n. PAT/D317/2015/264870, allegato n.3. </w:t>
      </w:r>
    </w:p>
  </w:footnote>
  <w:footnote w:id="35">
    <w:p w:rsidR="004A59E0" w:rsidRDefault="004A59E0" w:rsidP="00DB3BAA">
      <w:pPr>
        <w:pStyle w:val="Testonotaapidipagina"/>
        <w:jc w:val="both"/>
      </w:pPr>
      <w:r>
        <w:rPr>
          <w:rStyle w:val="Rimandonotaapidipagina"/>
        </w:rPr>
        <w:footnoteRef/>
      </w:r>
      <w:r>
        <w:t xml:space="preserve"> Vedi nota del Direttore Generale dei Servizi Finanziari n. 7453 del 14/03/2017.</w:t>
      </w:r>
    </w:p>
  </w:footnote>
  <w:footnote w:id="36">
    <w:p w:rsidR="004A59E0" w:rsidRDefault="004A59E0" w:rsidP="00DB3BAA">
      <w:pPr>
        <w:pStyle w:val="Testonotaapidipagina"/>
      </w:pPr>
      <w:r>
        <w:rPr>
          <w:rStyle w:val="Rimandonotaapidipagina"/>
        </w:rPr>
        <w:footnoteRef/>
      </w:r>
      <w:r>
        <w:t xml:space="preserve"> V. Relazione sulla gestione, pag. 199.</w:t>
      </w:r>
    </w:p>
  </w:footnote>
  <w:footnote w:id="37">
    <w:p w:rsidR="004A59E0" w:rsidRDefault="004A59E0" w:rsidP="00DB3BAA">
      <w:pPr>
        <w:pStyle w:val="Testonotaapidipagina"/>
        <w:jc w:val="both"/>
      </w:pPr>
      <w:r>
        <w:rPr>
          <w:rStyle w:val="Rimandonotaapidipagina"/>
        </w:rPr>
        <w:footnoteRef/>
      </w:r>
      <w:r>
        <w:t xml:space="preserve"> </w:t>
      </w:r>
      <w:r w:rsidRPr="005A3A82">
        <w:rPr>
          <w:szCs w:val="18"/>
        </w:rPr>
        <w:t xml:space="preserve">Art. 26 (Finanziamento del servizio sanitario regionale) della L.R. n. 10/2006 </w:t>
      </w:r>
      <w:r>
        <w:rPr>
          <w:szCs w:val="18"/>
        </w:rPr>
        <w:t>(</w:t>
      </w:r>
      <w:r w:rsidRPr="005A3A82">
        <w:rPr>
          <w:i/>
          <w:szCs w:val="18"/>
        </w:rPr>
        <w:t>Tutela della salute e riordino del servizio sanitario della Sardegna.</w:t>
      </w:r>
      <w:r w:rsidRPr="005A3A82">
        <w:rPr>
          <w:szCs w:val="18"/>
        </w:rPr>
        <w:t xml:space="preserve"> Abrogazione della legge regionale 26 gennaio 1995, n. 5.</w:t>
      </w:r>
    </w:p>
  </w:footnote>
  <w:footnote w:id="38">
    <w:p w:rsidR="004A59E0" w:rsidRPr="00526B89" w:rsidRDefault="004A59E0" w:rsidP="00DB3BAA">
      <w:pPr>
        <w:pStyle w:val="Testonotaapidipagina"/>
        <w:jc w:val="both"/>
        <w:rPr>
          <w:szCs w:val="18"/>
        </w:rPr>
      </w:pPr>
      <w:r w:rsidRPr="00526B89">
        <w:rPr>
          <w:rStyle w:val="Rimandonotaapidipagina"/>
          <w:szCs w:val="18"/>
        </w:rPr>
        <w:footnoteRef/>
      </w:r>
      <w:r w:rsidRPr="00526B89">
        <w:rPr>
          <w:szCs w:val="18"/>
        </w:rPr>
        <w:t xml:space="preserve"> Tale Comitato è stato </w:t>
      </w:r>
      <w:r>
        <w:rPr>
          <w:szCs w:val="18"/>
        </w:rPr>
        <w:t>i</w:t>
      </w:r>
      <w:r w:rsidRPr="00526B89">
        <w:rPr>
          <w:szCs w:val="18"/>
        </w:rPr>
        <w:t>stituito con la DGR n. 38/27 del 30/</w:t>
      </w:r>
      <w:r>
        <w:rPr>
          <w:szCs w:val="18"/>
        </w:rPr>
        <w:t>0</w:t>
      </w:r>
      <w:r w:rsidRPr="00526B89">
        <w:rPr>
          <w:szCs w:val="18"/>
        </w:rPr>
        <w:t>9/2014 al fine di</w:t>
      </w:r>
      <w:r>
        <w:rPr>
          <w:szCs w:val="18"/>
        </w:rPr>
        <w:t xml:space="preserve"> verificare tempestivamente gli eventuali scostamenti dei costi di produzione delle Aziende sanitarie dai finanziamenti previsti dal Fondo unico sanitario. A tale </w:t>
      </w:r>
      <w:r w:rsidRPr="00F12007">
        <w:t xml:space="preserve">organo </w:t>
      </w:r>
      <w:r w:rsidRPr="00D93F66">
        <w:rPr>
          <w:szCs w:val="18"/>
        </w:rPr>
        <w:t>(formalmente costituito con decreto presidenziale n. 79/DecA/3 del 13/01/2015</w:t>
      </w:r>
      <w:r>
        <w:rPr>
          <w:szCs w:val="18"/>
        </w:rPr>
        <w:t xml:space="preserve"> e </w:t>
      </w:r>
      <w:r w:rsidRPr="00D93F66">
        <w:rPr>
          <w:szCs w:val="18"/>
        </w:rPr>
        <w:t>composto</w:t>
      </w:r>
      <w:r w:rsidRPr="00F12007">
        <w:rPr>
          <w:szCs w:val="18"/>
        </w:rPr>
        <w:t xml:space="preserve"> dal Presidente della Regione o da un suo delegato, dall’Assessore dell’Igiene e Sanità e dell’Assistenza Sociale o da un suo delegato, dall’Assessore della Programmazione, Bilancio, Credito e Assetto del Territorio o da un suo delegato, dal Direttore generale della Sanità e da tre tecnici operanti presso l’Assessorato dell’Igiene e Sanità e dell’Assistenza Sociale</w:t>
      </w:r>
      <w:r>
        <w:rPr>
          <w:szCs w:val="18"/>
        </w:rPr>
        <w:t>)</w:t>
      </w:r>
      <w:r w:rsidRPr="00F12007">
        <w:rPr>
          <w:szCs w:val="18"/>
        </w:rPr>
        <w:t xml:space="preserve"> è affidato</w:t>
      </w:r>
      <w:r>
        <w:rPr>
          <w:szCs w:val="18"/>
        </w:rPr>
        <w:t>, infatti,</w:t>
      </w:r>
      <w:r w:rsidRPr="00F12007">
        <w:rPr>
          <w:szCs w:val="18"/>
        </w:rPr>
        <w:t xml:space="preserve"> l’incarico di verificare l’attuazione delle azioni necessarie per assicurare il raggiungimento degli obiettivi assistenziali ed economico-finanziari, di valutare le modalità applicative delle misure nazionali e regionali di razionalizzazione e di riduzione della spesa sanitaria, di monitorare la qualità dei livelli essenziali di assistenza erogati nelle aziende, di confrontare i costi delle Asl con i costi standard nazionali. </w:t>
      </w:r>
      <w:r>
        <w:rPr>
          <w:szCs w:val="18"/>
        </w:rPr>
        <w:t xml:space="preserve">Sulla base degli esiti delle verifiche, qualora ritenuto necessario, le aziende sanitarie sono chiamate a predisporre un programma strutturato di azioni di rientro da attuarsi entro la chiusura dell’esercizio, nonché di programmi pluriennali, con cadenze annuali. </w:t>
      </w:r>
      <w:r w:rsidRPr="00F12007">
        <w:rPr>
          <w:szCs w:val="18"/>
        </w:rPr>
        <w:t xml:space="preserve">Con la DGR n. 63/24 del 15/12/2015 </w:t>
      </w:r>
      <w:r>
        <w:rPr>
          <w:szCs w:val="18"/>
        </w:rPr>
        <w:t xml:space="preserve">le </w:t>
      </w:r>
      <w:r w:rsidRPr="00F12007">
        <w:rPr>
          <w:szCs w:val="18"/>
        </w:rPr>
        <w:t xml:space="preserve">funzioni </w:t>
      </w:r>
      <w:r>
        <w:rPr>
          <w:szCs w:val="18"/>
        </w:rPr>
        <w:t xml:space="preserve">del Comitato </w:t>
      </w:r>
      <w:r w:rsidRPr="00F12007">
        <w:rPr>
          <w:szCs w:val="18"/>
        </w:rPr>
        <w:t>sono state integrate con quelle finalizzate alla verifica del r</w:t>
      </w:r>
      <w:r>
        <w:rPr>
          <w:szCs w:val="18"/>
        </w:rPr>
        <w:t>ispetto delle azioni dei piani operativi del PdR e dei tempi di attuazione, nonché dei risultati conseguiti.</w:t>
      </w:r>
    </w:p>
  </w:footnote>
  <w:footnote w:id="39">
    <w:p w:rsidR="004A59E0" w:rsidRDefault="004A59E0" w:rsidP="00DB3BAA">
      <w:pPr>
        <w:pStyle w:val="Testonotaapidipagina"/>
      </w:pPr>
      <w:r>
        <w:rPr>
          <w:rStyle w:val="Rimandonotaapidipagina"/>
        </w:rPr>
        <w:footnoteRef/>
      </w:r>
      <w:r>
        <w:t xml:space="preserve"> Nota n. 1310 del 17/01/2018 (prot. Cdc n. 196 del 18/01/2018).</w:t>
      </w:r>
    </w:p>
  </w:footnote>
  <w:footnote w:id="40">
    <w:p w:rsidR="004A59E0" w:rsidRPr="00BB576C" w:rsidRDefault="004A59E0" w:rsidP="00DB3BAA">
      <w:pPr>
        <w:pStyle w:val="Testonotaapidipagina"/>
        <w:jc w:val="both"/>
        <w:rPr>
          <w:szCs w:val="18"/>
        </w:rPr>
      </w:pPr>
      <w:r>
        <w:rPr>
          <w:rStyle w:val="Rimandonotaapidipagina"/>
        </w:rPr>
        <w:footnoteRef/>
      </w:r>
      <w:r>
        <w:t xml:space="preserve"> </w:t>
      </w:r>
      <w:r w:rsidRPr="00BB576C">
        <w:rPr>
          <w:rFonts w:eastAsia="Times New Roman" w:cs="Bodoni MT"/>
          <w:iCs/>
          <w:color w:val="000000"/>
          <w:szCs w:val="18"/>
        </w:rPr>
        <w:t xml:space="preserve">In particolare: </w:t>
      </w:r>
      <w:r w:rsidRPr="00BB576C">
        <w:rPr>
          <w:rFonts w:eastAsia="Times New Roman" w:cs="Bodoni MT"/>
          <w:b/>
          <w:iCs/>
          <w:color w:val="000000"/>
          <w:szCs w:val="18"/>
        </w:rPr>
        <w:t>a)</w:t>
      </w:r>
      <w:r w:rsidRPr="00BB576C">
        <w:rPr>
          <w:rFonts w:eastAsia="Times New Roman" w:cs="Bodoni MT"/>
          <w:iCs/>
          <w:color w:val="000000"/>
          <w:szCs w:val="18"/>
        </w:rPr>
        <w:t xml:space="preserve"> sono stati esaminati e valorizzati gli elementi patrimoniali già compresi nel precedente conto del patrimonio; </w:t>
      </w:r>
      <w:r w:rsidRPr="00BB576C">
        <w:rPr>
          <w:rFonts w:eastAsia="Times New Roman" w:cs="Bodoni MT"/>
          <w:b/>
          <w:iCs/>
          <w:color w:val="000000"/>
          <w:szCs w:val="18"/>
        </w:rPr>
        <w:t>b)</w:t>
      </w:r>
      <w:r w:rsidRPr="00BB576C">
        <w:rPr>
          <w:rFonts w:eastAsia="Times New Roman" w:cs="Bodoni MT"/>
          <w:iCs/>
          <w:color w:val="000000"/>
          <w:szCs w:val="18"/>
        </w:rPr>
        <w:t xml:space="preserve"> si è provveduto a ricercare e valorizzare i nuovi elementi non compresi nel conto del patrimonio; </w:t>
      </w:r>
      <w:r w:rsidRPr="00BB576C">
        <w:rPr>
          <w:rFonts w:eastAsia="Times New Roman" w:cs="Bodoni MT"/>
          <w:b/>
          <w:iCs/>
          <w:color w:val="000000"/>
          <w:szCs w:val="18"/>
        </w:rPr>
        <w:t>c)</w:t>
      </w:r>
      <w:r w:rsidRPr="00BB576C">
        <w:rPr>
          <w:rFonts w:eastAsia="Times New Roman" w:cs="Bodoni MT"/>
          <w:iCs/>
          <w:color w:val="000000"/>
          <w:szCs w:val="18"/>
        </w:rPr>
        <w:t xml:space="preserve"> si è provveduto ad individuare le voci da inserire nel nuovo stato patrimoniale con riferimento all’intera realtà regionale, incluse le voci dell’attivo e del passivo che si riferiscono a partite derivanti dall’applicazione della competenza economica (ad esempio rimanenze, fondi ammortamento, ratei e risconti); </w:t>
      </w:r>
      <w:r w:rsidRPr="00BB576C">
        <w:rPr>
          <w:rFonts w:eastAsia="Times New Roman" w:cs="Bodoni MT"/>
          <w:b/>
          <w:iCs/>
          <w:color w:val="000000"/>
          <w:szCs w:val="18"/>
        </w:rPr>
        <w:t>d)</w:t>
      </w:r>
      <w:r w:rsidRPr="00BB576C">
        <w:rPr>
          <w:rFonts w:eastAsia="Times New Roman" w:cs="Bodoni MT"/>
          <w:iCs/>
          <w:color w:val="000000"/>
          <w:szCs w:val="18"/>
        </w:rPr>
        <w:t xml:space="preserve"> a valorizzare gli elementi preesistenti ed anche nuovi, in base ai criteri di valutazione del </w:t>
      </w:r>
      <w:r w:rsidRPr="00BB576C">
        <w:rPr>
          <w:rFonts w:eastAsia="Times New Roman" w:cs="Bodoni MT"/>
          <w:i/>
          <w:iCs/>
          <w:color w:val="000000"/>
          <w:szCs w:val="18"/>
        </w:rPr>
        <w:t>Principio</w:t>
      </w:r>
      <w:r w:rsidRPr="00BB576C">
        <w:rPr>
          <w:rFonts w:eastAsia="Times New Roman" w:cs="Bodoni MT"/>
          <w:iCs/>
          <w:color w:val="000000"/>
          <w:szCs w:val="18"/>
        </w:rPr>
        <w:t xml:space="preserve"> </w:t>
      </w:r>
      <w:r w:rsidRPr="00BB576C">
        <w:rPr>
          <w:rFonts w:eastAsia="Times New Roman" w:cs="Bodoni MT"/>
          <w:i/>
          <w:iCs/>
          <w:color w:val="000000"/>
          <w:szCs w:val="18"/>
        </w:rPr>
        <w:t>contabile applicato 4/3</w:t>
      </w:r>
      <w:r w:rsidRPr="00BB576C">
        <w:rPr>
          <w:rFonts w:eastAsia="Times New Roman" w:cs="Bodoni MT"/>
          <w:iCs/>
          <w:color w:val="000000"/>
          <w:szCs w:val="18"/>
        </w:rPr>
        <w:t xml:space="preserve">; </w:t>
      </w:r>
      <w:r w:rsidRPr="00BB576C">
        <w:rPr>
          <w:rFonts w:eastAsia="Times New Roman" w:cs="Bodoni MT"/>
          <w:b/>
          <w:iCs/>
          <w:color w:val="000000"/>
          <w:szCs w:val="18"/>
        </w:rPr>
        <w:t>e)</w:t>
      </w:r>
      <w:r w:rsidRPr="00BB576C">
        <w:rPr>
          <w:rFonts w:eastAsia="Times New Roman" w:cs="Bodoni MT"/>
          <w:iCs/>
          <w:color w:val="000000"/>
          <w:szCs w:val="18"/>
        </w:rPr>
        <w:t xml:space="preserve">  infine a classificare e codificare ciascun elemento sulla base delle voci del piano dei conti e del prospetto ufficiale. La Regione sottolinea che “</w:t>
      </w:r>
      <w:r w:rsidRPr="00BB576C">
        <w:rPr>
          <w:rFonts w:eastAsia="Times New Roman" w:cs="Bodoni MT"/>
          <w:i/>
          <w:iCs/>
          <w:color w:val="000000"/>
          <w:szCs w:val="18"/>
        </w:rPr>
        <w:t>non essendo stato possibile concludere il lavoro di ricostruzione di opere risalenti a tempi pregressi, principalmente del demanio idrico, si procederà all’iscrizione di ulteriori beni al termine del lavoro di ricostruzione. Analoga considerazione riguarda altre poste dell’attivo e del passivo suscettibili di perfezionamento mediante stime, valutazioni e determinazioni con maggior grado di oggettività”.</w:t>
      </w:r>
    </w:p>
  </w:footnote>
  <w:footnote w:id="41">
    <w:p w:rsidR="004A59E0" w:rsidRDefault="004A59E0" w:rsidP="00DB3BAA">
      <w:pPr>
        <w:pStyle w:val="Testonotaapidipagina"/>
      </w:pPr>
      <w:r>
        <w:rPr>
          <w:rStyle w:val="Rimandonotaapidipagina"/>
        </w:rPr>
        <w:footnoteRef/>
      </w:r>
      <w:r>
        <w:t xml:space="preserve"> Fonte “Rapporto di gestione anno 2016” a cura dell’Ufficio del Controllo Interno di Gestione</w:t>
      </w:r>
    </w:p>
  </w:footnote>
  <w:footnote w:id="42">
    <w:p w:rsidR="004A59E0" w:rsidRDefault="004A59E0" w:rsidP="00DB3BAA">
      <w:pPr>
        <w:pStyle w:val="Testonotaapidipagina"/>
        <w:jc w:val="both"/>
      </w:pPr>
      <w:r>
        <w:rPr>
          <w:rStyle w:val="Rimandonotaapidipagina"/>
        </w:rPr>
        <w:footnoteRef/>
      </w:r>
      <w:r>
        <w:t xml:space="preserve"> In tali termini v. Sezione delle Autonomie “Relazione sulla gestione finanziaria delle Regioni – esercizio 2015”, del. 17/SEZAUT/2017FRG.</w:t>
      </w:r>
    </w:p>
  </w:footnote>
  <w:footnote w:id="43">
    <w:p w:rsidR="004A59E0" w:rsidRDefault="004A59E0" w:rsidP="00DB3BAA">
      <w:pPr>
        <w:pStyle w:val="Testonotaapidipagina"/>
      </w:pPr>
      <w:r>
        <w:rPr>
          <w:rStyle w:val="Rimandonotaapidipagina"/>
        </w:rPr>
        <w:footnoteRef/>
      </w:r>
      <w:r>
        <w:t xml:space="preserve">  In tali termini v.  deliberazione n. 12/SSRRCO/INPR/17.</w:t>
      </w:r>
    </w:p>
  </w:footnote>
  <w:footnote w:id="44">
    <w:p w:rsidR="004A59E0" w:rsidRDefault="004A59E0" w:rsidP="00DB3BAA">
      <w:pPr>
        <w:pStyle w:val="Testonotaapidipagina"/>
      </w:pPr>
      <w:r>
        <w:rPr>
          <w:rStyle w:val="Rimandonotaapidipagina"/>
        </w:rPr>
        <w:footnoteRef/>
      </w:r>
      <w:r>
        <w:t xml:space="preserve"> V. Sezione controllo per la Sardegna DEL.50/2017/FRG.</w:t>
      </w:r>
    </w:p>
  </w:footnote>
  <w:footnote w:id="45">
    <w:p w:rsidR="004A59E0" w:rsidRDefault="004A59E0" w:rsidP="00346270">
      <w:pPr>
        <w:pStyle w:val="Testonotaapidipagina"/>
        <w:jc w:val="both"/>
      </w:pPr>
      <w:r>
        <w:rPr>
          <w:rStyle w:val="Rimandonotaapidipagina"/>
        </w:rPr>
        <w:footnoteRef/>
      </w:r>
      <w:r>
        <w:t xml:space="preserve"> V. paragrafi 4.6.2 e 6.3.2 ove si espone la spesa per Missioni istituzionali e la relativa quota d’incidenza sul bilancio e sul rendiconto.</w:t>
      </w:r>
    </w:p>
  </w:footnote>
  <w:footnote w:id="46">
    <w:p w:rsidR="004A59E0" w:rsidRDefault="004A59E0" w:rsidP="00DB3BAA">
      <w:pPr>
        <w:pStyle w:val="Testonotaapidipagina"/>
        <w:jc w:val="both"/>
      </w:pPr>
      <w:r>
        <w:rPr>
          <w:rStyle w:val="Rimandonotaapidipagina"/>
        </w:rPr>
        <w:footnoteRef/>
      </w:r>
      <w:r>
        <w:t xml:space="preserve"> V. progetto Iscola@ e DRG 63/50 del 25.11.2016 di dimensionamento istituzioni scolastiche e ridefinizione rete scolastica e offerta formativa.</w:t>
      </w:r>
    </w:p>
  </w:footnote>
  <w:footnote w:id="47">
    <w:p w:rsidR="004A59E0" w:rsidRDefault="004A59E0" w:rsidP="00DB3BAA">
      <w:pPr>
        <w:pStyle w:val="Testonotaapidipagina"/>
      </w:pPr>
      <w:r>
        <w:rPr>
          <w:rStyle w:val="Rimandonotaapidipagina"/>
        </w:rPr>
        <w:footnoteRef/>
      </w:r>
      <w:r>
        <w:t xml:space="preserve"> V. dati Eurostat riferiti dalla Regione nei comunicati ufficiali.</w:t>
      </w:r>
    </w:p>
  </w:footnote>
  <w:footnote w:id="48">
    <w:p w:rsidR="004A59E0" w:rsidRDefault="004A59E0" w:rsidP="00DB3BAA">
      <w:pPr>
        <w:pStyle w:val="Testonotaapidipagina"/>
        <w:jc w:val="both"/>
      </w:pPr>
      <w:r>
        <w:rPr>
          <w:rStyle w:val="Rimandonotaapidipagina"/>
        </w:rPr>
        <w:footnoteRef/>
      </w:r>
      <w:r>
        <w:t xml:space="preserve"> Nei dati forniti dall’Istat, pubblicati da l’Espresso e da l’Unione Sarda in termini percentuali la Ssrdegna, nelle sue più grandi città, avrebbe perso un quarto dei propri giovani negli ultimi otto anni.</w:t>
      </w:r>
    </w:p>
  </w:footnote>
  <w:footnote w:id="49">
    <w:p w:rsidR="004A59E0" w:rsidRDefault="004A59E0" w:rsidP="003E72A8">
      <w:pPr>
        <w:pStyle w:val="Testonotaapidipagina"/>
      </w:pPr>
      <w:r>
        <w:rPr>
          <w:rStyle w:val="Rimandonotaapidipagina"/>
        </w:rPr>
        <w:footnoteRef/>
      </w:r>
      <w:r>
        <w:t xml:space="preserve"> V. nota 5191 del 26 giugno 2017 al Presidente della Regione della Sardegna.</w:t>
      </w:r>
    </w:p>
  </w:footnote>
  <w:footnote w:id="50">
    <w:p w:rsidR="004A59E0" w:rsidRDefault="004A59E0" w:rsidP="003E72A8">
      <w:pPr>
        <w:pStyle w:val="Testonotaapidipagina"/>
        <w:jc w:val="both"/>
      </w:pPr>
      <w:r>
        <w:rPr>
          <w:rStyle w:val="Rimandonotaapidipagina"/>
        </w:rPr>
        <w:footnoteRef/>
      </w:r>
      <w:r>
        <w:t xml:space="preserve"> Il rendiconto consolidato 2016 verrà presentato all’approvazione con legge contestualmente al DDL di approvazione del rendiconto dell’Amm. Regionale successivamente alla parifica (Allegato 19-Relazione sulla gestione 2016, pag. 5).</w:t>
      </w:r>
    </w:p>
  </w:footnote>
  <w:footnote w:id="51">
    <w:p w:rsidR="004A59E0" w:rsidRDefault="004A59E0" w:rsidP="003E72A8">
      <w:pPr>
        <w:pStyle w:val="Testonotaapidipagina"/>
        <w:jc w:val="both"/>
      </w:pPr>
      <w:r>
        <w:rPr>
          <w:rStyle w:val="Rimandonotaapidipagina"/>
        </w:rPr>
        <w:footnoteRef/>
      </w:r>
      <w:r>
        <w:t xml:space="preserve"> Vedi Relazione alla Deliberazione di questa Sezione n.50 del 26/04/2017 che espone in dettaglio le modifiche apportate dalla L.R. n. 3/2017.</w:t>
      </w:r>
    </w:p>
  </w:footnote>
  <w:footnote w:id="52">
    <w:p w:rsidR="004A59E0" w:rsidRDefault="004A59E0" w:rsidP="003E72A8">
      <w:pPr>
        <w:pStyle w:val="Testonotaapidipagina"/>
        <w:jc w:val="both"/>
      </w:pPr>
      <w:r>
        <w:rPr>
          <w:rStyle w:val="Rimandonotaapidipagina"/>
        </w:rPr>
        <w:footnoteRef/>
      </w:r>
      <w:r>
        <w:t xml:space="preserve"> “Adeguamento del bilancio per l’esercizio finanziario 2015 e del bilancio pluriennale 2015-2017 alle disposizioni del decreto legislativo n. 118 del 2011…”</w:t>
      </w:r>
    </w:p>
  </w:footnote>
  <w:footnote w:id="53">
    <w:p w:rsidR="004A59E0" w:rsidRDefault="004A59E0" w:rsidP="003E72A8">
      <w:pPr>
        <w:pStyle w:val="Testonotaapidipagina"/>
      </w:pPr>
      <w:r>
        <w:rPr>
          <w:rStyle w:val="Rimandonotaapidipagina"/>
        </w:rPr>
        <w:footnoteRef/>
      </w:r>
      <w:r>
        <w:t xml:space="preserve"> </w:t>
      </w:r>
      <w:r>
        <w:rPr>
          <w:rStyle w:val="Rimandonotaapidipagina"/>
        </w:rPr>
        <w:footnoteRef/>
      </w:r>
      <w:r>
        <w:t xml:space="preserve"> Cfr. Allegati A2 e B2 alla L.R. n. 31/2015.</w:t>
      </w:r>
    </w:p>
  </w:footnote>
  <w:footnote w:id="54">
    <w:p w:rsidR="004A59E0" w:rsidRDefault="004A59E0" w:rsidP="003E72A8">
      <w:pPr>
        <w:pStyle w:val="Testonotaapidipagina"/>
      </w:pPr>
      <w:r>
        <w:rPr>
          <w:rStyle w:val="Rimandonotaapidipagina"/>
        </w:rPr>
        <w:footnoteRef/>
      </w:r>
      <w:r>
        <w:t xml:space="preserve"> Decisione SSRR della Corte dei conti per la Sardegna n. 1/2016.</w:t>
      </w:r>
    </w:p>
  </w:footnote>
  <w:footnote w:id="55">
    <w:p w:rsidR="004A59E0" w:rsidRDefault="004A59E0" w:rsidP="003E72A8">
      <w:pPr>
        <w:pStyle w:val="Testonotaapidipagina"/>
        <w:jc w:val="both"/>
      </w:pPr>
      <w:r>
        <w:rPr>
          <w:rStyle w:val="Rimandonotaapidipagina"/>
        </w:rPr>
        <w:footnoteRef/>
      </w:r>
      <w:r>
        <w:t xml:space="preserve"> Vedi Relazione di parifica del Rendiconto RAS 2015, pag. 85, e Allegati C e D alla DGR n. 44/17 del 25/07/2016.</w:t>
      </w:r>
    </w:p>
  </w:footnote>
  <w:footnote w:id="56">
    <w:p w:rsidR="004A59E0" w:rsidRDefault="004A59E0" w:rsidP="003E72A8">
      <w:pPr>
        <w:pStyle w:val="Testonotaapidipagina"/>
        <w:jc w:val="both"/>
      </w:pPr>
      <w:r>
        <w:rPr>
          <w:rStyle w:val="Rimandonotaapidipagina"/>
        </w:rPr>
        <w:footnoteRef/>
      </w:r>
      <w:r>
        <w:t xml:space="preserve"> Vedi Relazione di parifica del Rendiconto RAS 2015, pag. 89, e Allegato E alla DGR n.44/17 del 25/07/2016 come modificato dalla DGR n. 49/10 del 13/09/2016.</w:t>
      </w:r>
    </w:p>
  </w:footnote>
  <w:footnote w:id="57">
    <w:p w:rsidR="004A59E0" w:rsidRDefault="004A59E0" w:rsidP="003E72A8">
      <w:pPr>
        <w:pStyle w:val="Testonotaapidipagina"/>
        <w:jc w:val="both"/>
      </w:pPr>
      <w:r>
        <w:rPr>
          <w:rStyle w:val="Rimandonotaapidipagina"/>
        </w:rPr>
        <w:footnoteRef/>
      </w:r>
      <w:r>
        <w:t xml:space="preserve"> Vedi Relazione di parifica del Rendiconto RAS 2015, pag. 89, e Allegato F alla DGR n.44/17 del 25/07/2016 come modificato dalla DGR n. 49/10 del 13/09/2016.</w:t>
      </w:r>
    </w:p>
  </w:footnote>
  <w:footnote w:id="58">
    <w:p w:rsidR="004A59E0" w:rsidRDefault="004A59E0" w:rsidP="003E72A8">
      <w:pPr>
        <w:pStyle w:val="Testonotaapidipagina"/>
      </w:pPr>
      <w:r>
        <w:rPr>
          <w:rStyle w:val="Rimandonotaapidipagina"/>
        </w:rPr>
        <w:footnoteRef/>
      </w:r>
      <w:r>
        <w:t xml:space="preserve"> Vedi Relazione di parifica del Rendiconto RAS 2015, pag. 90 e segg., e Allegato G alla DGR 44/17 del 25/07/2015.</w:t>
      </w:r>
    </w:p>
  </w:footnote>
  <w:footnote w:id="59">
    <w:p w:rsidR="004A59E0" w:rsidRDefault="004A59E0" w:rsidP="00346601">
      <w:pPr>
        <w:pStyle w:val="Testonotaapidipagina"/>
        <w:jc w:val="both"/>
      </w:pPr>
      <w:r w:rsidRPr="0061733B">
        <w:rPr>
          <w:rStyle w:val="Rimandonotaapidipagina"/>
        </w:rPr>
        <w:footnoteRef/>
      </w:r>
      <w:r w:rsidRPr="0061733B">
        <w:t xml:space="preserve"> Sul punto vedi relazione allegata alla Deliberazione di questa Sezione del Controllo n. 50/2017/FRG “</w:t>
      </w:r>
      <w:r w:rsidRPr="00F96D42">
        <w:rPr>
          <w:i/>
        </w:rPr>
        <w:t>Analisi del bilancio preventivo della Regione Autonoma della Sardegna”</w:t>
      </w:r>
      <w:r w:rsidRPr="0061733B">
        <w:t xml:space="preserve"> (verifiche di cui all’art. 1, comma 3, della Legge 174/2012), paragrafo 2.6. Vedi anche Relazione sulla gestione 2016 allegata al Rendiconto regionale 2016.</w:t>
      </w:r>
      <w:r>
        <w:t xml:space="preserve"> </w:t>
      </w:r>
    </w:p>
  </w:footnote>
  <w:footnote w:id="60">
    <w:p w:rsidR="004A59E0" w:rsidRPr="00F91843" w:rsidRDefault="004A59E0" w:rsidP="00346601">
      <w:pPr>
        <w:pStyle w:val="Testonotaapidipagina"/>
        <w:jc w:val="both"/>
        <w:rPr>
          <w:szCs w:val="18"/>
        </w:rPr>
      </w:pPr>
      <w:r w:rsidRPr="003044C9">
        <w:rPr>
          <w:rStyle w:val="Rimandonotaapidipagina"/>
          <w:szCs w:val="18"/>
        </w:rPr>
        <w:footnoteRef/>
      </w:r>
      <w:r w:rsidRPr="00FA088F">
        <w:rPr>
          <w:szCs w:val="18"/>
        </w:rPr>
        <w:t xml:space="preserve"> </w:t>
      </w:r>
      <w:r>
        <w:rPr>
          <w:szCs w:val="18"/>
        </w:rPr>
        <w:t xml:space="preserve">V. art. </w:t>
      </w:r>
      <w:hyperlink r:id="rId1" w:anchor="id=10LX0000821913ART18,__m=document" w:history="1">
        <w:r w:rsidRPr="00F91843">
          <w:rPr>
            <w:szCs w:val="18"/>
          </w:rPr>
          <w:t>6, comma 1</w:t>
        </w:r>
      </w:hyperlink>
      <w:r w:rsidRPr="00F91843">
        <w:rPr>
          <w:szCs w:val="18"/>
        </w:rPr>
        <w:t xml:space="preserve">, della </w:t>
      </w:r>
      <w:hyperlink r:id="rId2" w:anchor="id=10LX0000821913ART0,__m=document" w:history="1">
        <w:r w:rsidRPr="00F91843">
          <w:rPr>
            <w:szCs w:val="18"/>
          </w:rPr>
          <w:t>L.R. 3 dicembre 2015, n. 31</w:t>
        </w:r>
      </w:hyperlink>
      <w:r w:rsidRPr="00F91843">
        <w:rPr>
          <w:szCs w:val="18"/>
        </w:rPr>
        <w:t xml:space="preserve"> (</w:t>
      </w:r>
      <w:r w:rsidRPr="00F91843">
        <w:rPr>
          <w:i/>
          <w:szCs w:val="18"/>
        </w:rPr>
        <w:t xml:space="preserve">Adeguamento del bilancio per l'esercizio finanziario 2015 e del bilancio pluriennale 2015-2017 alle disposizioni del </w:t>
      </w:r>
      <w:hyperlink r:id="rId3" w:anchor="id=10LX0000756196ART0,__m=document" w:history="1">
        <w:r w:rsidRPr="00F91843">
          <w:rPr>
            <w:i/>
            <w:szCs w:val="18"/>
          </w:rPr>
          <w:t>decreto legislativo n. 118 del 2011</w:t>
        </w:r>
      </w:hyperlink>
      <w:r w:rsidRPr="00F91843">
        <w:rPr>
          <w:i/>
          <w:szCs w:val="18"/>
        </w:rPr>
        <w:t>, e successive modifiche ed integrazioni, e disposizioni varie)</w:t>
      </w:r>
      <w:r>
        <w:rPr>
          <w:i/>
          <w:szCs w:val="18"/>
        </w:rPr>
        <w:t>.</w:t>
      </w:r>
    </w:p>
  </w:footnote>
  <w:footnote w:id="61">
    <w:p w:rsidR="004A59E0" w:rsidRDefault="004A59E0" w:rsidP="00346601">
      <w:pPr>
        <w:pStyle w:val="Testonotaapidipagina"/>
        <w:jc w:val="both"/>
      </w:pPr>
      <w:r w:rsidRPr="007E1125">
        <w:rPr>
          <w:rStyle w:val="Rimandonotaapidipagina"/>
        </w:rPr>
        <w:footnoteRef/>
      </w:r>
      <w:r w:rsidRPr="007E1125">
        <w:t xml:space="preserve"> Vedi </w:t>
      </w:r>
      <w:r>
        <w:t>L.R. 10/2017 -</w:t>
      </w:r>
      <w:r w:rsidRPr="007E1125">
        <w:t>Allegato 8</w:t>
      </w:r>
      <w:r>
        <w:t xml:space="preserve">- </w:t>
      </w:r>
      <w:r w:rsidRPr="007E1125">
        <w:rPr>
          <w:rFonts w:ascii="TimesNewRomanPS-BoldMT" w:hAnsi="TimesNewRomanPS-BoldMT" w:cs="TimesNewRomanPS-BoldMT"/>
          <w:bCs/>
          <w:sz w:val="29"/>
          <w:szCs w:val="29"/>
        </w:rPr>
        <w:t xml:space="preserve"> </w:t>
      </w:r>
      <w:r w:rsidRPr="007E1125">
        <w:rPr>
          <w:bCs/>
        </w:rPr>
        <w:t>Sostitutivo dell'allegato 3 alla legge regionale n. 36 del 2016 (Assestamento 2016-2018) - Prospetto delle variazioni alle entrate per titoli e tipologie</w:t>
      </w:r>
      <w:r>
        <w:rPr>
          <w:bCs/>
        </w:rPr>
        <w:t>.</w:t>
      </w:r>
    </w:p>
  </w:footnote>
  <w:footnote w:id="62">
    <w:p w:rsidR="004A59E0" w:rsidRPr="00F42426" w:rsidRDefault="004A59E0" w:rsidP="00346601">
      <w:pPr>
        <w:spacing w:line="240" w:lineRule="auto"/>
        <w:jc w:val="both"/>
        <w:rPr>
          <w:sz w:val="18"/>
          <w:szCs w:val="18"/>
        </w:rPr>
      </w:pPr>
      <w:r>
        <w:rPr>
          <w:rStyle w:val="Rimandonotaapidipagina"/>
        </w:rPr>
        <w:footnoteRef/>
      </w:r>
      <w:r>
        <w:t xml:space="preserve"> </w:t>
      </w:r>
      <w:r w:rsidRPr="00F42426">
        <w:rPr>
          <w:rFonts w:ascii="Bodoni MT" w:hAnsi="Bodoni MT"/>
          <w:sz w:val="18"/>
          <w:szCs w:val="18"/>
        </w:rPr>
        <w:t>L’art.</w:t>
      </w:r>
      <w:r>
        <w:rPr>
          <w:rFonts w:ascii="Bodoni MT" w:hAnsi="Bodoni MT"/>
          <w:sz w:val="18"/>
          <w:szCs w:val="18"/>
        </w:rPr>
        <w:t xml:space="preserve"> </w:t>
      </w:r>
      <w:r w:rsidRPr="00F42426">
        <w:rPr>
          <w:rFonts w:ascii="Bodoni MT" w:hAnsi="Bodoni MT"/>
          <w:sz w:val="18"/>
          <w:szCs w:val="18"/>
        </w:rPr>
        <w:t>40 D.Lgs. n. 118/2011 e s.m.i. e il principio contabile applicato concernente la programmazione di bilancio (All. 4/1 - Punto 9.10) prevedono che il bilancio preventivo debba essere deliberato, ai sensi dell’art.81 della Costituzione, in pareggio finanziario per ciascuno degli esercizi in cui è articolato, comprensivo dell’avanzo di amministrazione e del recupero del disavanzo di amministrazione. Inoltre, al fine di garantire la copertura delle spese di funzionamento e di investimento programmate, le previsioni di competenza devono rispettare un equilibrio di parte corrente e un equilibrio in conto capitale. L’equilibrio corrente, in termini di competenza finanziaria, prescrive che le spese correnti, sommate alle spese per trasferimenti in c/capitale, al saldo negativo delle partite finanziarie, alle quote di capitale delle rate di ammortamento dei mutui e degli altri prestiti, con l'esclusione dei rimborsi anticipati, non devono essere superiori alla somma delle previsioni di competenza delle entrate correnti, costituite dai primi tre titoli dell'entrata, dei contributi destinati al rimborso dei prestiti, del fondo pluriennale vincolato di parte corrente e dell'utilizzo dell'avanzo di competenza di parte corrente. L’equilibrio in conto capitale, in termini di competenza finanziaria, si realizza se le spese di investimento non superano tutte le risorse acquisite per il loro finanziamento, costituite dalle entrate in conto capitale, dall’accensione di prestiti, dal fondo pluriennale vincolate in c/capitale, dall’utilizzo dell’avanzo di competenza in c/capitale e dalle risorse di parte corrente destinate agli investimenti dalla legge o dai principi contabili. Per le Regioni la copertura degli investimenti è costituita anche dai debiti autorizzati con legge e non contratti.</w:t>
      </w:r>
      <w:r>
        <w:rPr>
          <w:rFonts w:ascii="Bodoni MT" w:hAnsi="Bodoni MT"/>
          <w:sz w:val="18"/>
          <w:szCs w:val="18"/>
        </w:rPr>
        <w:t xml:space="preserve"> L’art. 50 del D.Lgs. 118/2011 prescrive che la legge di assestamento dia atto del permanere degli equilibri generali di bilancio e, in caso di accertamento negativo, assume i necessari provvedimenti di riequilibrio.</w:t>
      </w:r>
    </w:p>
  </w:footnote>
  <w:footnote w:id="63">
    <w:p w:rsidR="004A59E0" w:rsidRDefault="004A59E0" w:rsidP="00346601">
      <w:pPr>
        <w:pStyle w:val="Testonotaapidipagina"/>
      </w:pPr>
      <w:r>
        <w:rPr>
          <w:rStyle w:val="Rimandonotaapidipagina"/>
        </w:rPr>
        <w:footnoteRef/>
      </w:r>
      <w:r>
        <w:t xml:space="preserve"> Vedi D.G.R. n. 30/24 del 20/06/2017.</w:t>
      </w:r>
    </w:p>
  </w:footnote>
  <w:footnote w:id="64">
    <w:p w:rsidR="004A59E0" w:rsidRDefault="004A59E0">
      <w:pPr>
        <w:pStyle w:val="Testonotaapidipagina"/>
      </w:pPr>
      <w:r>
        <w:rPr>
          <w:rStyle w:val="Rimandonotaapidipagina"/>
        </w:rPr>
        <w:footnoteRef/>
      </w:r>
      <w:r>
        <w:t xml:space="preserve"> (PCF) Piano dei conti finanziario e Centri di responsabilità (CDR).</w:t>
      </w:r>
    </w:p>
  </w:footnote>
  <w:footnote w:id="65">
    <w:p w:rsidR="004A59E0" w:rsidRDefault="004A59E0" w:rsidP="00346601">
      <w:pPr>
        <w:pStyle w:val="Testonotaapidipagina"/>
      </w:pPr>
      <w:r>
        <w:rPr>
          <w:rStyle w:val="Rimandonotaapidipagina"/>
        </w:rPr>
        <w:footnoteRef/>
      </w:r>
      <w:r>
        <w:t xml:space="preserve"> Decreto n. 418 del 15/12/2014 e Decreto n. 394 del 02/10/2015.</w:t>
      </w:r>
    </w:p>
  </w:footnote>
  <w:footnote w:id="66">
    <w:p w:rsidR="004A59E0" w:rsidRDefault="004A59E0" w:rsidP="007C335A">
      <w:pPr>
        <w:pStyle w:val="Testonotaapidipagina"/>
      </w:pPr>
      <w:r>
        <w:rPr>
          <w:rStyle w:val="Rimandonotaapidipagina"/>
        </w:rPr>
        <w:footnoteRef/>
      </w:r>
      <w:r>
        <w:t xml:space="preserve"> Vedi Allegato I alla DGR 44/17 del 2016 e Relazione di parifica del Rendiconto RAS (pag. 94).</w:t>
      </w:r>
    </w:p>
  </w:footnote>
  <w:footnote w:id="67">
    <w:p w:rsidR="004A59E0" w:rsidRDefault="004A59E0" w:rsidP="007C335A">
      <w:pPr>
        <w:pStyle w:val="Testonotaapidipagina"/>
      </w:pPr>
      <w:r>
        <w:rPr>
          <w:rStyle w:val="Rimandonotaapidipagina"/>
        </w:rPr>
        <w:footnoteRef/>
      </w:r>
      <w:r>
        <w:t xml:space="preserve"> Vedi Allegato 19 alla L.R. 10/2017, sostitutivo dell’Allegato 13 alla L.R. 36/2016.</w:t>
      </w:r>
    </w:p>
  </w:footnote>
  <w:footnote w:id="68">
    <w:p w:rsidR="004A59E0" w:rsidRDefault="004A59E0" w:rsidP="007C335A">
      <w:pPr>
        <w:pStyle w:val="Testonotaapidipagina"/>
      </w:pPr>
      <w:r>
        <w:rPr>
          <w:rStyle w:val="Rimandonotaapidipagina"/>
        </w:rPr>
        <w:footnoteRef/>
      </w:r>
      <w:r>
        <w:t xml:space="preserve"> Vedi DGR 44/17 del 2016 Allegato E come modificato dalla DGR 49/10 del 13/09/2016.</w:t>
      </w:r>
    </w:p>
  </w:footnote>
  <w:footnote w:id="69">
    <w:p w:rsidR="004A59E0" w:rsidRDefault="004A59E0" w:rsidP="00DC3A5C">
      <w:pPr>
        <w:pStyle w:val="Testonotaapidipagina"/>
        <w:jc w:val="both"/>
      </w:pPr>
      <w:r>
        <w:rPr>
          <w:rStyle w:val="Rimandonotaapidipagina"/>
        </w:rPr>
        <w:footnoteRef/>
      </w:r>
      <w:r>
        <w:t xml:space="preserve"> Vedi DGR 44/17 del 2016 Allegato F come modificato dalla DGR 49/10 del 13/09/2016, e Relazione di parifica del Rendiconto RAS 2015 (pag. 90).</w:t>
      </w:r>
    </w:p>
  </w:footnote>
  <w:footnote w:id="70">
    <w:p w:rsidR="004A59E0" w:rsidRDefault="004A59E0" w:rsidP="007C335A">
      <w:pPr>
        <w:pStyle w:val="Testonotaapidipagina"/>
      </w:pPr>
      <w:r>
        <w:rPr>
          <w:rStyle w:val="Rimandonotaapidipagina"/>
        </w:rPr>
        <w:footnoteRef/>
      </w:r>
      <w:r>
        <w:t xml:space="preserve"> Vedi DGR 44/17 del 2016 Allegato I, e Relazione di parifica del Rendiconto RAS 2015 (pag. 94).</w:t>
      </w:r>
    </w:p>
  </w:footnote>
  <w:footnote w:id="71">
    <w:p w:rsidR="004A59E0" w:rsidRDefault="004A59E0" w:rsidP="007C335A">
      <w:pPr>
        <w:pStyle w:val="Testonotaapidipagina"/>
      </w:pPr>
      <w:r>
        <w:rPr>
          <w:rStyle w:val="Rimandonotaapidipagina"/>
        </w:rPr>
        <w:footnoteRef/>
      </w:r>
      <w:r>
        <w:t xml:space="preserve"> Vedi Allegato 20 e Allegato 12 alla L.R. 10/2017.</w:t>
      </w:r>
    </w:p>
  </w:footnote>
  <w:footnote w:id="72">
    <w:p w:rsidR="004A59E0" w:rsidRPr="00EA1A0F" w:rsidRDefault="004A59E0" w:rsidP="007C335A">
      <w:pPr>
        <w:pStyle w:val="Testonotaapidipagina"/>
      </w:pPr>
      <w:r w:rsidRPr="00EA1A0F">
        <w:rPr>
          <w:rStyle w:val="Rimandonotaapidipagina"/>
        </w:rPr>
        <w:footnoteRef/>
      </w:r>
      <w:r w:rsidRPr="00EA1A0F">
        <w:t xml:space="preserve"> Per facilitare la lettura dei grafici si riportano le codifiche assegnate alle Missioni dagli schemi di bilancio.</w:t>
      </w:r>
    </w:p>
    <w:p w:rsidR="004A59E0" w:rsidRPr="00EA1A0F" w:rsidRDefault="004A59E0" w:rsidP="007C335A">
      <w:pPr>
        <w:pStyle w:val="Testonotaapidipagina"/>
      </w:pPr>
      <w:r w:rsidRPr="00EA1A0F">
        <w:t>01</w:t>
      </w:r>
      <w:r>
        <w:t xml:space="preserve"> SERVIZI ISTITUZIONALI, GENERALI E DI GESTIONE</w:t>
      </w:r>
    </w:p>
    <w:p w:rsidR="004A59E0" w:rsidRPr="00EA1A0F" w:rsidRDefault="004A59E0" w:rsidP="007C335A">
      <w:pPr>
        <w:pStyle w:val="Testonotaapidipagina"/>
      </w:pPr>
      <w:r w:rsidRPr="00EA1A0F">
        <w:t>0</w:t>
      </w:r>
      <w:r>
        <w:t xml:space="preserve">3 </w:t>
      </w:r>
      <w:r w:rsidRPr="00EA1A0F">
        <w:t>ORDINE PUBBLICO</w:t>
      </w:r>
      <w:r>
        <w:t xml:space="preserve"> E SICUREZZA</w:t>
      </w:r>
    </w:p>
    <w:p w:rsidR="004A59E0" w:rsidRDefault="004A59E0" w:rsidP="007C335A">
      <w:pPr>
        <w:pStyle w:val="Testonotaapidipagina"/>
      </w:pPr>
      <w:r w:rsidRPr="00EA1A0F">
        <w:t>0</w:t>
      </w:r>
      <w:r>
        <w:t>4 ISTRUZIONE E DIRITTO ALLO STUDIO</w:t>
      </w:r>
    </w:p>
    <w:p w:rsidR="004A59E0" w:rsidRDefault="004A59E0" w:rsidP="007C335A">
      <w:pPr>
        <w:pStyle w:val="Testonotaapidipagina"/>
      </w:pPr>
      <w:r>
        <w:t>05 TUTELA E VALORIZZAZIONE DEI BENI CULTURALI</w:t>
      </w:r>
    </w:p>
    <w:p w:rsidR="004A59E0" w:rsidRDefault="004A59E0" w:rsidP="007C335A">
      <w:pPr>
        <w:pStyle w:val="Testonotaapidipagina"/>
      </w:pPr>
      <w:r>
        <w:t>06 POLITICHE GIOVANILI, SPORT E TEMPO LIBERO</w:t>
      </w:r>
    </w:p>
    <w:p w:rsidR="004A59E0" w:rsidRDefault="004A59E0" w:rsidP="007C335A">
      <w:pPr>
        <w:pStyle w:val="Testonotaapidipagina"/>
      </w:pPr>
      <w:r>
        <w:t>07 TURISMO</w:t>
      </w:r>
    </w:p>
    <w:p w:rsidR="004A59E0" w:rsidRDefault="004A59E0" w:rsidP="007C335A">
      <w:pPr>
        <w:pStyle w:val="Testonotaapidipagina"/>
      </w:pPr>
      <w:r>
        <w:t>08 ASSETTO DEL TERRITORIO ED EDILIZIA ABITATIVA</w:t>
      </w:r>
    </w:p>
    <w:p w:rsidR="004A59E0" w:rsidRDefault="004A59E0" w:rsidP="007C335A">
      <w:pPr>
        <w:pStyle w:val="Testonotaapidipagina"/>
      </w:pPr>
      <w:r>
        <w:t>09 SVILUPPO SOSTENIBILE E TUTELA DEL TERRITORIO E DELL’AMBIENTE</w:t>
      </w:r>
    </w:p>
    <w:p w:rsidR="004A59E0" w:rsidRDefault="004A59E0" w:rsidP="007C335A">
      <w:pPr>
        <w:pStyle w:val="Testonotaapidipagina"/>
      </w:pPr>
      <w:r>
        <w:t>10 TRASPORTI E DIRITTO ALLA MOBILITA’</w:t>
      </w:r>
    </w:p>
    <w:p w:rsidR="004A59E0" w:rsidRDefault="004A59E0" w:rsidP="007C335A">
      <w:pPr>
        <w:pStyle w:val="Testonotaapidipagina"/>
      </w:pPr>
      <w:r>
        <w:t>11 SOCCORSO CIVILE</w:t>
      </w:r>
    </w:p>
    <w:p w:rsidR="004A59E0" w:rsidRDefault="004A59E0" w:rsidP="007C335A">
      <w:pPr>
        <w:pStyle w:val="Testonotaapidipagina"/>
      </w:pPr>
      <w:r>
        <w:t>12 DIRITTI SOCIALI, POLITICHE SOCIALI E FAMIGLIA</w:t>
      </w:r>
    </w:p>
    <w:p w:rsidR="004A59E0" w:rsidRDefault="004A59E0" w:rsidP="007C335A">
      <w:pPr>
        <w:pStyle w:val="Testonotaapidipagina"/>
      </w:pPr>
      <w:r>
        <w:t>13 TUTELA DELLA SALUTE</w:t>
      </w:r>
    </w:p>
    <w:p w:rsidR="004A59E0" w:rsidRDefault="004A59E0" w:rsidP="007C335A">
      <w:pPr>
        <w:pStyle w:val="Testonotaapidipagina"/>
      </w:pPr>
      <w:r>
        <w:t>14 SVILUPPO ECONOMICO E COMPETITIVITA’</w:t>
      </w:r>
    </w:p>
    <w:p w:rsidR="004A59E0" w:rsidRDefault="004A59E0" w:rsidP="007C335A">
      <w:pPr>
        <w:pStyle w:val="Testonotaapidipagina"/>
      </w:pPr>
      <w:r>
        <w:t>15 POLITICHE PER IL LAVORO E LA FORMAZIONE PROFESSIONALE</w:t>
      </w:r>
    </w:p>
    <w:p w:rsidR="004A59E0" w:rsidRDefault="004A59E0" w:rsidP="007C335A">
      <w:pPr>
        <w:pStyle w:val="Testonotaapidipagina"/>
      </w:pPr>
      <w:r>
        <w:t>16 AGRICOLTURA, POLITICHE AGROALIMENTARI E PESCA</w:t>
      </w:r>
    </w:p>
    <w:p w:rsidR="004A59E0" w:rsidRDefault="004A59E0" w:rsidP="007C335A">
      <w:pPr>
        <w:pStyle w:val="Testonotaapidipagina"/>
      </w:pPr>
      <w:r>
        <w:t>17ENERGIA E DIVERSIFICAZIONE DELLE FONTI ENERGETICHE</w:t>
      </w:r>
    </w:p>
    <w:p w:rsidR="004A59E0" w:rsidRDefault="004A59E0" w:rsidP="007C335A">
      <w:pPr>
        <w:pStyle w:val="Testonotaapidipagina"/>
      </w:pPr>
      <w:r>
        <w:t>18 RELAZIONI CON LE ALTRE AUTONOMIE TERRITORIALI E LOCALI</w:t>
      </w:r>
    </w:p>
    <w:p w:rsidR="004A59E0" w:rsidRDefault="004A59E0" w:rsidP="007C335A">
      <w:pPr>
        <w:pStyle w:val="Testonotaapidipagina"/>
      </w:pPr>
      <w:r>
        <w:t>19 RELAZIONI INTERNAZIONALI</w:t>
      </w:r>
    </w:p>
    <w:p w:rsidR="004A59E0" w:rsidRDefault="004A59E0" w:rsidP="007C335A">
      <w:pPr>
        <w:pStyle w:val="Testonotaapidipagina"/>
      </w:pPr>
      <w:r>
        <w:t>20 FONDI E ACCANTONAMENTI</w:t>
      </w:r>
    </w:p>
    <w:p w:rsidR="004A59E0" w:rsidRDefault="004A59E0" w:rsidP="007C335A">
      <w:pPr>
        <w:pStyle w:val="Testonotaapidipagina"/>
      </w:pPr>
      <w:r>
        <w:t>50 DEBITO PUBBLICO</w:t>
      </w:r>
    </w:p>
    <w:p w:rsidR="004A59E0" w:rsidRPr="00A74A39" w:rsidRDefault="004A59E0" w:rsidP="007C335A">
      <w:pPr>
        <w:pStyle w:val="Testonotaapidipagina"/>
      </w:pPr>
      <w:r>
        <w:t>99 SERVIZI PER CONTO TERZI</w:t>
      </w:r>
    </w:p>
  </w:footnote>
  <w:footnote w:id="73">
    <w:p w:rsidR="004A59E0" w:rsidRDefault="004A59E0">
      <w:pPr>
        <w:pStyle w:val="Testonotaapidipagina"/>
      </w:pPr>
      <w:r>
        <w:rPr>
          <w:rStyle w:val="Rimandonotaapidipagina"/>
        </w:rPr>
        <w:footnoteRef/>
      </w:r>
      <w:r>
        <w:t xml:space="preserve"> Vedi nota RAS n. 2012 del 30.01.2018.</w:t>
      </w:r>
    </w:p>
  </w:footnote>
  <w:footnote w:id="74">
    <w:p w:rsidR="004A59E0" w:rsidRDefault="004A59E0" w:rsidP="00AA5B6F">
      <w:pPr>
        <w:pStyle w:val="Testonotaapidipagina"/>
        <w:jc w:val="both"/>
      </w:pPr>
      <w:r>
        <w:rPr>
          <w:rStyle w:val="Rimandonotaapidipagina"/>
        </w:rPr>
        <w:footnoteRef/>
      </w:r>
      <w:r>
        <w:t xml:space="preserve"> Il D.Lgs. 118/2011 prevede che il rendiconto della gestione sia approvato dalla Giunta entro il 30 aprile dell’anno successivo all’esercizio di riferimento ed entro il 31 luglio da parte del Consiglio regionale.</w:t>
      </w:r>
    </w:p>
  </w:footnote>
  <w:footnote w:id="75">
    <w:p w:rsidR="004A59E0" w:rsidRDefault="004A59E0">
      <w:pPr>
        <w:pStyle w:val="Testonotaapidipagina"/>
      </w:pPr>
      <w:r>
        <w:rPr>
          <w:rStyle w:val="Rimandonotaapidipagina"/>
        </w:rPr>
        <w:footnoteRef/>
      </w:r>
      <w:r>
        <w:t xml:space="preserve"> V. art. 8 dello statuto, legge costituzionale 26 febbraio 1948 n. 3.</w:t>
      </w:r>
    </w:p>
  </w:footnote>
  <w:footnote w:id="76">
    <w:p w:rsidR="004A59E0" w:rsidRDefault="004A59E0" w:rsidP="00AF4B9A">
      <w:pPr>
        <w:pStyle w:val="Testonotaapidipagina"/>
        <w:jc w:val="both"/>
      </w:pPr>
      <w:r>
        <w:rPr>
          <w:rStyle w:val="Rimandonotaapidipagina"/>
        </w:rPr>
        <w:footnoteRef/>
      </w:r>
      <w:r>
        <w:t xml:space="preserve"> “</w:t>
      </w:r>
      <w:r w:rsidRPr="00AF4B9A">
        <w:rPr>
          <w:i/>
        </w:rPr>
        <w:t>Con il successivo decreto del MEF del 23 dicembre 2016 (G.U. n. 305 del 31.12.2016) si è data piena attuazione all’art. 8 del citato D.Lgs. 114/2016 riguardo alle modalità di versamento e attribuzione del gettito dell’accisa sull’energia elettrica e sul gas naturale.</w:t>
      </w:r>
      <w:r>
        <w:rPr>
          <w:i/>
        </w:rPr>
        <w:t xml:space="preserve"> </w:t>
      </w:r>
      <w:r w:rsidRPr="00AF4B9A">
        <w:rPr>
          <w:i/>
        </w:rPr>
        <w:t>E’ in corso di predisposizione da parte degli uffici ministeriali il decreto attuativo che specificherà i criteri di quantificazione della spettanza regionale sui redditi di capitale, precedentemente indicati, non disciplinati dall’art. 7 delle norme di attuazione. Non si è, invece, ancora concluso il procedimento di confronto sulle tematiche di cui all’art. 2 del D.Lgs. 114/2016, riguardanti il riversamento diretto nelle casse regionali da parte degli agenti della riscossione delle altre entrate erariali</w:t>
      </w:r>
      <w:r>
        <w:t>” (v. note istruttorie dell’Assessorato al bilancio in data 15.03.2017).</w:t>
      </w:r>
    </w:p>
  </w:footnote>
  <w:footnote w:id="77">
    <w:p w:rsidR="004A59E0" w:rsidRPr="00261064" w:rsidRDefault="004A59E0" w:rsidP="00E5612E">
      <w:pPr>
        <w:pStyle w:val="Testonotaapidipagina"/>
        <w:jc w:val="both"/>
      </w:pPr>
      <w:r>
        <w:rPr>
          <w:rStyle w:val="Rimandonotaapidipagina"/>
        </w:rPr>
        <w:footnoteRef/>
      </w:r>
      <w:r w:rsidRPr="00261064">
        <w:rPr>
          <w:lang w:val="en-US"/>
        </w:rPr>
        <w:t xml:space="preserve"> V. art. 16 del D.L. 95/2012; art. </w:t>
      </w:r>
      <w:r>
        <w:rPr>
          <w:lang w:val="en-US"/>
        </w:rPr>
        <w:t xml:space="preserve">1 comma 118 L. 228/2012; art. 11 D.L. 35/2013; art. 1 comma 526 e 527 L. 147/2013; art. 1 commi 400 e seg. </w:t>
      </w:r>
      <w:r w:rsidRPr="00261064">
        <w:t>L. 190/2014; art. 1 commi 680 e seg. L</w:t>
      </w:r>
      <w:r>
        <w:t>.</w:t>
      </w:r>
      <w:r w:rsidRPr="00261064">
        <w:t xml:space="preserve"> 208/2015</w:t>
      </w:r>
      <w:r>
        <w:t>;</w:t>
      </w:r>
      <w:r w:rsidRPr="00261064">
        <w:t xml:space="preserve"> art. </w:t>
      </w:r>
      <w:r>
        <w:t>1 comma 528 L. 232/2016.</w:t>
      </w:r>
    </w:p>
  </w:footnote>
  <w:footnote w:id="78">
    <w:p w:rsidR="004A59E0" w:rsidRDefault="004A59E0">
      <w:pPr>
        <w:pStyle w:val="Testonotaapidipagina"/>
      </w:pPr>
      <w:r>
        <w:rPr>
          <w:rStyle w:val="Rimandonotaapidipagina"/>
        </w:rPr>
        <w:footnoteRef/>
      </w:r>
      <w:r>
        <w:t xml:space="preserve"> V. sentenze della Corte costituzionale n. 154/2017, n. 127/2016, n. 239/2015, n. 77/2015.</w:t>
      </w:r>
    </w:p>
  </w:footnote>
  <w:footnote w:id="79">
    <w:p w:rsidR="004A59E0" w:rsidRDefault="004A59E0">
      <w:pPr>
        <w:pStyle w:val="Testonotaapidipagina"/>
      </w:pPr>
      <w:r>
        <w:rPr>
          <w:rStyle w:val="Rimandonotaapidipagina"/>
        </w:rPr>
        <w:footnoteRef/>
      </w:r>
      <w:r>
        <w:t xml:space="preserve"> </w:t>
      </w:r>
      <w:r w:rsidRPr="00453D0E">
        <w:t>In tali termini le risposte istruttorie dell’Assessorato al</w:t>
      </w:r>
      <w:r>
        <w:t xml:space="preserve"> bilancio in data 15 marzo 2017.</w:t>
      </w:r>
    </w:p>
  </w:footnote>
  <w:footnote w:id="80">
    <w:p w:rsidR="004A59E0" w:rsidRDefault="004A59E0">
      <w:pPr>
        <w:pStyle w:val="Testonotaapidipagina"/>
      </w:pPr>
      <w:r>
        <w:rPr>
          <w:rStyle w:val="Rimandonotaapidipagina"/>
        </w:rPr>
        <w:footnoteRef/>
      </w:r>
      <w:r>
        <w:t xml:space="preserve"> V. nota della Direzione generale dei Servizi Finanziari regionali del 2 febbraio 2018.</w:t>
      </w:r>
    </w:p>
  </w:footnote>
  <w:footnote w:id="81">
    <w:p w:rsidR="004A59E0" w:rsidRDefault="004A59E0" w:rsidP="005D660C">
      <w:pPr>
        <w:pStyle w:val="Testonotaapidipagina"/>
      </w:pPr>
      <w:r>
        <w:rPr>
          <w:rStyle w:val="Rimandonotaapidipagina"/>
        </w:rPr>
        <w:footnoteRef/>
      </w:r>
      <w:r>
        <w:t xml:space="preserve"> In tali termini vedi Relazione sulla gestione 2016, pag. 59.</w:t>
      </w:r>
    </w:p>
  </w:footnote>
  <w:footnote w:id="82">
    <w:p w:rsidR="004A59E0" w:rsidRDefault="004A59E0" w:rsidP="00DE34E9">
      <w:pPr>
        <w:pStyle w:val="Testonotaapidipagina"/>
        <w:jc w:val="both"/>
      </w:pPr>
      <w:r>
        <w:rPr>
          <w:rStyle w:val="Rimandonotaapidipagina"/>
        </w:rPr>
        <w:footnoteRef/>
      </w:r>
      <w:r>
        <w:t xml:space="preserve"> La Regione riferisce (nota n. 2912 del 30.01.2018) che la previsione riferita principalmente alle entrate derivanti da fondi comunitari e statali, è stata sovrastimata rispetto ai versamenti pervenuti sul conto di Tesoreria centrale, legati alle tempistiche di realizzazione e rendicontazione delle spese e relativa verifica di ammissibilità (v. anche pag. 29).</w:t>
      </w:r>
    </w:p>
  </w:footnote>
  <w:footnote w:id="83">
    <w:p w:rsidR="004A59E0" w:rsidRDefault="004A59E0" w:rsidP="005D660C">
      <w:pPr>
        <w:pStyle w:val="Testonotaapidipagina"/>
        <w:jc w:val="both"/>
      </w:pPr>
      <w:r>
        <w:rPr>
          <w:rStyle w:val="Rimandonotaapidipagina"/>
        </w:rPr>
        <w:footnoteRef/>
      </w:r>
      <w:r>
        <w:t xml:space="preserve"> L’art. 40, comma 2 del D.Lgs. 118/2011, prevede che, a decorrere dal 2016, il disavanzo di amministrazione derivante da debito autorizzato e non contratto per finanziare spesa di investimento, risultante dal rendiconto 2015, può essere coperto con il ricorso al debito che può essere contratto solo per far fronte ad effettive esigenze di cassa.</w:t>
      </w:r>
    </w:p>
  </w:footnote>
  <w:footnote w:id="84">
    <w:p w:rsidR="004A59E0" w:rsidRDefault="004A59E0" w:rsidP="005D660C">
      <w:pPr>
        <w:pStyle w:val="Testonotaapidipagina"/>
      </w:pPr>
      <w:r>
        <w:rPr>
          <w:rStyle w:val="Rimandonotaapidipagina"/>
        </w:rPr>
        <w:footnoteRef/>
      </w:r>
      <w:r>
        <w:t xml:space="preserve"> Vedi Rapporto di gestione anno 2016, pag. 79.</w:t>
      </w:r>
    </w:p>
  </w:footnote>
  <w:footnote w:id="85">
    <w:p w:rsidR="004A59E0" w:rsidRDefault="004A59E0" w:rsidP="005D660C">
      <w:pPr>
        <w:pStyle w:val="Testonotaapidipagina"/>
      </w:pPr>
      <w:r>
        <w:rPr>
          <w:rStyle w:val="Rimandonotaapidipagina"/>
        </w:rPr>
        <w:footnoteRef/>
      </w:r>
      <w:r>
        <w:t xml:space="preserve"> Vedi artt.12, 13 e 14 del D.Lgs. 118/2011.</w:t>
      </w:r>
    </w:p>
  </w:footnote>
  <w:footnote w:id="86">
    <w:p w:rsidR="004A59E0" w:rsidRDefault="004A59E0">
      <w:pPr>
        <w:pStyle w:val="Testonotaapidipagina"/>
      </w:pPr>
      <w:r>
        <w:rPr>
          <w:rStyle w:val="Rimandonotaapidipagina"/>
        </w:rPr>
        <w:footnoteRef/>
      </w:r>
      <w:r>
        <w:t xml:space="preserve"> Cfr. DEFR 2016, pag. 70.</w:t>
      </w:r>
    </w:p>
  </w:footnote>
  <w:footnote w:id="87">
    <w:p w:rsidR="004A59E0" w:rsidRDefault="004A59E0" w:rsidP="005D660C">
      <w:pPr>
        <w:pStyle w:val="Testonotaapidipagina"/>
      </w:pPr>
      <w:r>
        <w:rPr>
          <w:rStyle w:val="Rimandonotaapidipagina"/>
        </w:rPr>
        <w:footnoteRef/>
      </w:r>
      <w:r>
        <w:t xml:space="preserve"> Con nota del Dir. Gen.le Servizi Finanziari n. 35801 del 03/11/2017, Prot. Cdc n. 7626 del 06/11/2017.</w:t>
      </w:r>
    </w:p>
  </w:footnote>
  <w:footnote w:id="88">
    <w:p w:rsidR="004A59E0" w:rsidRDefault="004A59E0" w:rsidP="005D660C">
      <w:pPr>
        <w:pStyle w:val="Testonotaapidipagina"/>
      </w:pPr>
      <w:r>
        <w:rPr>
          <w:rStyle w:val="Rimandonotaapidipagina"/>
        </w:rPr>
        <w:footnoteRef/>
      </w:r>
      <w:r>
        <w:t xml:space="preserve"> Vedi nota Cdc n. 6445 del 28/09/2017.</w:t>
      </w:r>
    </w:p>
  </w:footnote>
  <w:footnote w:id="89">
    <w:p w:rsidR="004A59E0" w:rsidRDefault="004A59E0" w:rsidP="00E602C1">
      <w:pPr>
        <w:pStyle w:val="Testonotaapidipagina"/>
      </w:pPr>
      <w:r>
        <w:rPr>
          <w:rStyle w:val="Rimandonotaapidipagina"/>
        </w:rPr>
        <w:footnoteRef/>
      </w:r>
      <w:r>
        <w:t xml:space="preserve"> Vedi Allegato 11 al Rendiconto 2016.</w:t>
      </w:r>
    </w:p>
  </w:footnote>
  <w:footnote w:id="90">
    <w:p w:rsidR="004A59E0" w:rsidRDefault="004A59E0" w:rsidP="005D660C">
      <w:pPr>
        <w:pStyle w:val="Testonotaapidipagina"/>
      </w:pPr>
      <w:r>
        <w:rPr>
          <w:rStyle w:val="Rimandonotaapidipagina"/>
        </w:rPr>
        <w:footnoteRef/>
      </w:r>
      <w:r>
        <w:t xml:space="preserve"> Vedi art. 3, c.4, del D.Lgs. 118/2011.</w:t>
      </w:r>
    </w:p>
  </w:footnote>
  <w:footnote w:id="91">
    <w:p w:rsidR="004A59E0" w:rsidRDefault="004A59E0" w:rsidP="005D660C">
      <w:pPr>
        <w:pStyle w:val="Testonotaapidipagina"/>
      </w:pPr>
      <w:r>
        <w:rPr>
          <w:rStyle w:val="Rimandonotaapidipagina"/>
        </w:rPr>
        <w:footnoteRef/>
      </w:r>
      <w:r>
        <w:t xml:space="preserve"> Allegato 19.1 alla Relazione sulla gestione 2016.</w:t>
      </w:r>
    </w:p>
  </w:footnote>
  <w:footnote w:id="92">
    <w:p w:rsidR="004A59E0" w:rsidRDefault="004A59E0" w:rsidP="005D660C">
      <w:pPr>
        <w:pStyle w:val="Testonotaapidipagina"/>
      </w:pPr>
      <w:r>
        <w:rPr>
          <w:rStyle w:val="Rimandonotaapidipagina"/>
        </w:rPr>
        <w:footnoteRef/>
      </w:r>
      <w:r>
        <w:t xml:space="preserve"> Vedi Allegato 1 al Rendiconto “Conto del Bilancio - Entrate”.</w:t>
      </w:r>
    </w:p>
  </w:footnote>
  <w:footnote w:id="93">
    <w:p w:rsidR="004A59E0" w:rsidRDefault="004A59E0" w:rsidP="005D660C">
      <w:pPr>
        <w:pStyle w:val="Testonotaapidipagina"/>
      </w:pPr>
      <w:r>
        <w:rPr>
          <w:rStyle w:val="Rimandonotaapidipagina"/>
        </w:rPr>
        <w:footnoteRef/>
      </w:r>
      <w:r>
        <w:t xml:space="preserve"> Vedi Allegato 1 al Rendiconto “Conto del Bilancio - Entrate”.</w:t>
      </w:r>
    </w:p>
  </w:footnote>
  <w:footnote w:id="94">
    <w:p w:rsidR="004A59E0" w:rsidRDefault="004A59E0" w:rsidP="005D660C">
      <w:pPr>
        <w:pStyle w:val="Testonotaapidipagina"/>
      </w:pPr>
      <w:r>
        <w:rPr>
          <w:rStyle w:val="Rimandonotaapidipagina"/>
        </w:rPr>
        <w:footnoteRef/>
      </w:r>
      <w:r>
        <w:t xml:space="preserve"> Vedi Allegato 2 al Rendiconto “Conto del Bilancio – Spese”.</w:t>
      </w:r>
    </w:p>
  </w:footnote>
  <w:footnote w:id="95">
    <w:p w:rsidR="004A59E0" w:rsidRDefault="004A59E0" w:rsidP="005D660C">
      <w:pPr>
        <w:pStyle w:val="Testonotaapidipagina"/>
      </w:pPr>
      <w:r>
        <w:rPr>
          <w:rStyle w:val="Rimandonotaapidipagina"/>
        </w:rPr>
        <w:footnoteRef/>
      </w:r>
      <w:r>
        <w:t xml:space="preserve"> Vedi Allegato 2 al Rendiconto “Conto del Bilancio – Spese”.</w:t>
      </w:r>
    </w:p>
  </w:footnote>
  <w:footnote w:id="96">
    <w:p w:rsidR="004A59E0" w:rsidRDefault="004A59E0" w:rsidP="005D660C">
      <w:pPr>
        <w:pStyle w:val="Testonotaapidipagina"/>
      </w:pPr>
      <w:r>
        <w:rPr>
          <w:rStyle w:val="Rimandonotaapidipagina"/>
        </w:rPr>
        <w:footnoteRef/>
      </w:r>
      <w:r>
        <w:t xml:space="preserve"> Vedi Relazione sulla gestione 2016, pagg.24 e 25.</w:t>
      </w:r>
    </w:p>
  </w:footnote>
  <w:footnote w:id="97">
    <w:p w:rsidR="004A59E0" w:rsidRPr="00161FD5" w:rsidRDefault="004A59E0" w:rsidP="00E72D49">
      <w:pPr>
        <w:pStyle w:val="Testonotaapidipagina"/>
      </w:pPr>
      <w:r w:rsidRPr="00161FD5">
        <w:rPr>
          <w:rStyle w:val="Rimandonotaapidipagina"/>
        </w:rPr>
        <w:footnoteRef/>
      </w:r>
      <w:r w:rsidRPr="00161FD5">
        <w:t xml:space="preserve"> Nota dell’Assessorato alla Programmazione del 28</w:t>
      </w:r>
      <w:r>
        <w:t>/11/2017 (Prot. Cdc n. 8115 dell’</w:t>
      </w:r>
      <w:r w:rsidRPr="00161FD5">
        <w:t>01/12/2017).</w:t>
      </w:r>
    </w:p>
  </w:footnote>
  <w:footnote w:id="98">
    <w:p w:rsidR="004A59E0" w:rsidRDefault="004A59E0" w:rsidP="005D660C">
      <w:pPr>
        <w:pStyle w:val="Testonotaapidipagina"/>
      </w:pPr>
      <w:r>
        <w:rPr>
          <w:rStyle w:val="Rimandonotaapidipagina"/>
        </w:rPr>
        <w:footnoteRef/>
      </w:r>
      <w:r>
        <w:t xml:space="preserve"> Allegato 1 al Rendiconto RAS 2016.</w:t>
      </w:r>
    </w:p>
  </w:footnote>
  <w:footnote w:id="99">
    <w:p w:rsidR="004A59E0" w:rsidRDefault="004A59E0" w:rsidP="005D660C">
      <w:pPr>
        <w:pStyle w:val="Testonotaapidipagina"/>
      </w:pPr>
      <w:r>
        <w:rPr>
          <w:rStyle w:val="Rimandonotaapidipagina"/>
        </w:rPr>
        <w:footnoteRef/>
      </w:r>
      <w:r>
        <w:t xml:space="preserve"> Vedi “Relazione sulla gestione 2016” pag. 26.</w:t>
      </w:r>
    </w:p>
  </w:footnote>
  <w:footnote w:id="100">
    <w:p w:rsidR="004A59E0" w:rsidRDefault="004A59E0" w:rsidP="005D660C">
      <w:pPr>
        <w:pStyle w:val="Testonotaapidipagina"/>
      </w:pPr>
      <w:r>
        <w:rPr>
          <w:rStyle w:val="Rimandonotaapidipagina"/>
        </w:rPr>
        <w:footnoteRef/>
      </w:r>
      <w:r>
        <w:t xml:space="preserve"> Vedi anche Relazione sulla gestione 2016, pag. 85.</w:t>
      </w:r>
    </w:p>
  </w:footnote>
  <w:footnote w:id="101">
    <w:p w:rsidR="004A59E0" w:rsidRDefault="004A59E0" w:rsidP="005D660C">
      <w:pPr>
        <w:pStyle w:val="Testonotaapidipagina"/>
      </w:pPr>
      <w:r>
        <w:rPr>
          <w:rStyle w:val="Rimandonotaapidipagina"/>
        </w:rPr>
        <w:footnoteRef/>
      </w:r>
      <w:r>
        <w:t xml:space="preserve"> Vedi Relazione sulla gestione 2016, pagg. 86 e seg.</w:t>
      </w:r>
    </w:p>
  </w:footnote>
  <w:footnote w:id="102">
    <w:p w:rsidR="004A59E0" w:rsidRDefault="004A59E0" w:rsidP="005D660C">
      <w:pPr>
        <w:pStyle w:val="Testonotaapidipagina"/>
      </w:pPr>
      <w:r>
        <w:rPr>
          <w:rStyle w:val="Rimandonotaapidipagina"/>
        </w:rPr>
        <w:footnoteRef/>
      </w:r>
      <w:r>
        <w:t xml:space="preserve"> Vedi paragrafo sulla gestione delle spese di competenza.</w:t>
      </w:r>
    </w:p>
  </w:footnote>
  <w:footnote w:id="103">
    <w:p w:rsidR="004A59E0" w:rsidRPr="00B77D9A" w:rsidRDefault="004A59E0" w:rsidP="003F71D8">
      <w:pPr>
        <w:pStyle w:val="Testonotaapidipagina"/>
      </w:pPr>
      <w:r w:rsidRPr="00B77D9A">
        <w:rPr>
          <w:rStyle w:val="Rimandonotaapidipagina"/>
        </w:rPr>
        <w:footnoteRef/>
      </w:r>
      <w:r w:rsidRPr="00B77D9A">
        <w:t xml:space="preserve"> Vedi Relazione sulla gestione pagg.98 e segg.</w:t>
      </w:r>
    </w:p>
  </w:footnote>
  <w:footnote w:id="104">
    <w:p w:rsidR="004A59E0" w:rsidRDefault="004A59E0">
      <w:pPr>
        <w:pStyle w:val="Testonotaapidipagina"/>
      </w:pPr>
      <w:r>
        <w:rPr>
          <w:rStyle w:val="Rimandonotaapidipagina"/>
        </w:rPr>
        <w:footnoteRef/>
      </w:r>
      <w:r>
        <w:t xml:space="preserve"> V. sezione di controllo per la Sardegna, del. 90/2017/FRG.</w:t>
      </w:r>
    </w:p>
  </w:footnote>
  <w:footnote w:id="105">
    <w:p w:rsidR="004A59E0" w:rsidRDefault="004A59E0" w:rsidP="005D660C">
      <w:pPr>
        <w:pStyle w:val="Testonotaapidipagina"/>
      </w:pPr>
      <w:r>
        <w:rPr>
          <w:rStyle w:val="Rimandonotaapidipagina"/>
        </w:rPr>
        <w:footnoteRef/>
      </w:r>
      <w:r>
        <w:t xml:space="preserve"> L.R. n. 36/2016 come modificata dalla L.R. n. 10/2017.</w:t>
      </w:r>
    </w:p>
  </w:footnote>
  <w:footnote w:id="106">
    <w:p w:rsidR="004A59E0" w:rsidRDefault="004A59E0" w:rsidP="005D660C">
      <w:pPr>
        <w:pStyle w:val="Testonotaapidipagina"/>
      </w:pPr>
      <w:r>
        <w:rPr>
          <w:rStyle w:val="Rimandonotaapidipagina"/>
        </w:rPr>
        <w:footnoteRef/>
      </w:r>
      <w:r>
        <w:t xml:space="preserve"> Riscossioni totali (competenza + residui) diviso Accertamenti totali (competenza+residui). </w:t>
      </w:r>
    </w:p>
  </w:footnote>
  <w:footnote w:id="107">
    <w:p w:rsidR="004A59E0" w:rsidRDefault="004A59E0" w:rsidP="005D660C">
      <w:pPr>
        <w:pStyle w:val="Testonotaapidipagina"/>
      </w:pPr>
      <w:r>
        <w:rPr>
          <w:rStyle w:val="Rimandonotaapidipagina"/>
        </w:rPr>
        <w:footnoteRef/>
      </w:r>
      <w:r>
        <w:t xml:space="preserve"> Pagamenti Totali (competenza + residui) diviso Impegni totali al netto del FPV (competenza+residui).</w:t>
      </w:r>
    </w:p>
  </w:footnote>
  <w:footnote w:id="108">
    <w:p w:rsidR="004A59E0" w:rsidRDefault="004A59E0" w:rsidP="005D660C">
      <w:pPr>
        <w:pStyle w:val="Testonotaapidipagina"/>
      </w:pPr>
      <w:r>
        <w:rPr>
          <w:rStyle w:val="Rimandonotaapidipagina"/>
        </w:rPr>
        <w:footnoteRef/>
      </w:r>
      <w:r>
        <w:t xml:space="preserve"> Audizione del 21/09/2017 e nota istruttoria n. 6445 del 28/09/2017.</w:t>
      </w:r>
    </w:p>
  </w:footnote>
  <w:footnote w:id="109">
    <w:p w:rsidR="004A59E0" w:rsidRDefault="004A59E0" w:rsidP="005D660C">
      <w:pPr>
        <w:pStyle w:val="Testonotaapidipagina"/>
      </w:pPr>
      <w:r>
        <w:rPr>
          <w:rStyle w:val="Rimandonotaapidipagina"/>
        </w:rPr>
        <w:footnoteRef/>
      </w:r>
      <w:r>
        <w:t xml:space="preserve"> Con nota del Direttore Generale dei Servizi Finanziari n. 31988 del 09/10/2017.</w:t>
      </w:r>
    </w:p>
  </w:footnote>
  <w:footnote w:id="110">
    <w:p w:rsidR="004A59E0" w:rsidRDefault="004A59E0" w:rsidP="004579ED">
      <w:pPr>
        <w:pStyle w:val="Testonotaapidipagina"/>
      </w:pPr>
      <w:r>
        <w:rPr>
          <w:rStyle w:val="Rimandonotaapidipagina"/>
        </w:rPr>
        <w:footnoteRef/>
      </w:r>
      <w:r>
        <w:t xml:space="preserve"> Vedi Relazione sulla gestione pag. 104.</w:t>
      </w:r>
    </w:p>
  </w:footnote>
  <w:footnote w:id="111">
    <w:p w:rsidR="004A59E0" w:rsidRDefault="004A59E0" w:rsidP="003E1AB6">
      <w:pPr>
        <w:pStyle w:val="Testonotaapidipagina"/>
      </w:pPr>
      <w:r>
        <w:rPr>
          <w:rStyle w:val="Rimandonotaapidipagina"/>
        </w:rPr>
        <w:footnoteRef/>
      </w:r>
      <w:r>
        <w:t xml:space="preserve"> A</w:t>
      </w:r>
      <w:r w:rsidRPr="00FF061D">
        <w:t>pprovato con L.R. n.</w:t>
      </w:r>
      <w:r>
        <w:t xml:space="preserve"> </w:t>
      </w:r>
      <w:r w:rsidRPr="00FF061D">
        <w:t>23/2015</w:t>
      </w:r>
      <w:r>
        <w:t>.</w:t>
      </w:r>
    </w:p>
  </w:footnote>
  <w:footnote w:id="112">
    <w:p w:rsidR="004A59E0" w:rsidRDefault="004A59E0" w:rsidP="003E1AB6">
      <w:pPr>
        <w:pStyle w:val="Testonotaapidipagina"/>
        <w:jc w:val="both"/>
      </w:pPr>
      <w:r>
        <w:rPr>
          <w:rStyle w:val="Rimandonotaapidipagina"/>
        </w:rPr>
        <w:footnoteRef/>
      </w:r>
      <w:r>
        <w:t xml:space="preserve"> “</w:t>
      </w:r>
      <w:r w:rsidRPr="00933C59">
        <w:t xml:space="preserve">Adeguamento del bilancio per l'esercizio finanziario 2015 e del bilancio pluriennale 2015-2017 alle disposizioni del </w:t>
      </w:r>
      <w:r>
        <w:t>D.Lgs. n. 118/</w:t>
      </w:r>
      <w:r w:rsidRPr="00933C59">
        <w:t>2011, e successive modifiche ed integrazioni, e disposizioni varie.</w:t>
      </w:r>
      <w:r>
        <w:t>”</w:t>
      </w:r>
    </w:p>
  </w:footnote>
  <w:footnote w:id="113">
    <w:p w:rsidR="004A59E0" w:rsidRDefault="004A59E0" w:rsidP="003E1AB6">
      <w:pPr>
        <w:pStyle w:val="Testonotaapidipagina"/>
      </w:pPr>
      <w:r>
        <w:rPr>
          <w:rStyle w:val="Rimandonotaapidipagina"/>
        </w:rPr>
        <w:footnoteRef/>
      </w:r>
      <w:r>
        <w:t xml:space="preserve"> All’01/01/2015.</w:t>
      </w:r>
    </w:p>
  </w:footnote>
  <w:footnote w:id="114">
    <w:p w:rsidR="004A59E0" w:rsidRDefault="004A59E0" w:rsidP="003E1AB6">
      <w:pPr>
        <w:pStyle w:val="Testonotaapidipagina"/>
      </w:pPr>
      <w:r>
        <w:rPr>
          <w:rStyle w:val="Rimandonotaapidipagina"/>
        </w:rPr>
        <w:footnoteRef/>
      </w:r>
      <w:r>
        <w:t xml:space="preserve"> Ovvero precedente al riaccertamento straordinario.</w:t>
      </w:r>
    </w:p>
  </w:footnote>
  <w:footnote w:id="115">
    <w:p w:rsidR="004A59E0" w:rsidRDefault="004A59E0" w:rsidP="003E1AB6">
      <w:pPr>
        <w:pStyle w:val="Testonotaapidipagina"/>
      </w:pPr>
      <w:r>
        <w:rPr>
          <w:rStyle w:val="Rimandonotaapidipagina"/>
        </w:rPr>
        <w:footnoteRef/>
      </w:r>
      <w:r>
        <w:t xml:space="preserve"> V</w:t>
      </w:r>
      <w:r w:rsidRPr="00FF061D">
        <w:t>edi pagg.5 e 6 del documento “Analisi sull’indebitamento anno 2016” presentato in sede istruttoria</w:t>
      </w:r>
      <w:r>
        <w:t xml:space="preserve"> dalla Regione.</w:t>
      </w:r>
    </w:p>
  </w:footnote>
  <w:footnote w:id="116">
    <w:p w:rsidR="004A59E0" w:rsidRDefault="004A59E0" w:rsidP="003E1AB6">
      <w:pPr>
        <w:pStyle w:val="Testonotaapidipagina"/>
      </w:pPr>
      <w:r>
        <w:rPr>
          <w:rStyle w:val="Rimandonotaapidipagina"/>
        </w:rPr>
        <w:footnoteRef/>
      </w:r>
      <w:r>
        <w:t xml:space="preserve"> </w:t>
      </w:r>
      <w:r w:rsidRPr="00F4193D">
        <w:t>vedi Rel</w:t>
      </w:r>
      <w:r>
        <w:t>azione</w:t>
      </w:r>
      <w:r w:rsidRPr="00F4193D">
        <w:t xml:space="preserve"> sulla gestione pag.</w:t>
      </w:r>
      <w:r>
        <w:t xml:space="preserve"> </w:t>
      </w:r>
      <w:r w:rsidRPr="00F4193D">
        <w:t>137</w:t>
      </w:r>
    </w:p>
  </w:footnote>
  <w:footnote w:id="117">
    <w:p w:rsidR="004A59E0" w:rsidRDefault="004A59E0" w:rsidP="00DE34E9">
      <w:pPr>
        <w:pStyle w:val="Testonotaapidipagina"/>
        <w:jc w:val="both"/>
      </w:pPr>
      <w:r>
        <w:rPr>
          <w:rStyle w:val="Rimandonotaapidipagina"/>
        </w:rPr>
        <w:footnoteRef/>
      </w:r>
      <w:r>
        <w:t xml:space="preserve"> In sede istruttoria (con nota del Direttore dei Servizi Finanziari n. 2012 del 30.01.2018) è stato prodotto il contratto di prestito ordinario con CVP e l’allegato elenco delle spese da finanziare e di quelle già sostenute per le quali si chiede l’erogazione dei fondi. Nella citata nota istruttoria la RAS ha dichiarato di aver utilizzato l’erogazione ricevuta nel 2016 a copertura dei residui perenti in conto capitale finanziati negli esercizi 2015/2016, in termini di competenza, con l’utilizzo della quota accantonata dei risultati di amministrazione “Fondo a garanzia dei residui perenti”.</w:t>
      </w:r>
    </w:p>
  </w:footnote>
  <w:footnote w:id="118">
    <w:p w:rsidR="004A59E0" w:rsidRDefault="004A59E0" w:rsidP="005D660C">
      <w:pPr>
        <w:pStyle w:val="Testonotaapidipagina"/>
      </w:pPr>
      <w:r>
        <w:rPr>
          <w:rStyle w:val="Rimandonotaapidipagina"/>
        </w:rPr>
        <w:footnoteRef/>
      </w:r>
      <w:r>
        <w:t xml:space="preserve"> Vedi Allegato 9 al Rendiconto di gestione 2016.</w:t>
      </w:r>
    </w:p>
  </w:footnote>
  <w:footnote w:id="119">
    <w:p w:rsidR="004A59E0" w:rsidRDefault="004A59E0" w:rsidP="005D660C">
      <w:pPr>
        <w:pStyle w:val="Testonotaapidipagina"/>
      </w:pPr>
      <w:r>
        <w:rPr>
          <w:rStyle w:val="Rimandonotaapidipagina"/>
        </w:rPr>
        <w:footnoteRef/>
      </w:r>
      <w:r>
        <w:t xml:space="preserve"> Vedi punto 3.3. del principio contabile 4/2.</w:t>
      </w:r>
    </w:p>
  </w:footnote>
  <w:footnote w:id="120">
    <w:p w:rsidR="004A59E0" w:rsidRDefault="004A59E0" w:rsidP="005D660C">
      <w:pPr>
        <w:pStyle w:val="Testonotaapidipagina"/>
      </w:pPr>
      <w:r>
        <w:rPr>
          <w:rStyle w:val="Rimandonotaapidipagina"/>
        </w:rPr>
        <w:footnoteRef/>
      </w:r>
      <w:r>
        <w:t xml:space="preserve"> Vedi Relazione sulla gestione pagg. 42 e 43 e Allegato 19/12.</w:t>
      </w:r>
    </w:p>
  </w:footnote>
  <w:footnote w:id="121">
    <w:p w:rsidR="004A59E0" w:rsidRDefault="004A59E0" w:rsidP="00411C4D">
      <w:pPr>
        <w:pStyle w:val="Testonotaapidipagina"/>
        <w:jc w:val="both"/>
      </w:pPr>
      <w:r>
        <w:rPr>
          <w:rStyle w:val="Rimandonotaapidipagina"/>
        </w:rPr>
        <w:footnoteRef/>
      </w:r>
      <w:r>
        <w:t xml:space="preserve"> Vedi Relazione allegata alla Deliberazione della Sezione di controllo n. 50/2017, prg. 3.3.2. “Il Fondo Crediti di dubbia esigibilità”.</w:t>
      </w:r>
    </w:p>
  </w:footnote>
  <w:footnote w:id="122">
    <w:p w:rsidR="004A59E0" w:rsidRDefault="004A59E0" w:rsidP="005D660C">
      <w:pPr>
        <w:pStyle w:val="Testonotaapidipagina"/>
      </w:pPr>
      <w:r>
        <w:rPr>
          <w:rStyle w:val="Rimandonotaapidipagina"/>
        </w:rPr>
        <w:footnoteRef/>
      </w:r>
      <w:r>
        <w:t xml:space="preserve"> Vedi pag. 44 della Relazione sulla gestione.</w:t>
      </w:r>
    </w:p>
  </w:footnote>
  <w:footnote w:id="123">
    <w:p w:rsidR="004A59E0" w:rsidRDefault="004A59E0" w:rsidP="005D660C">
      <w:pPr>
        <w:pStyle w:val="Testonotaapidipagina"/>
      </w:pPr>
      <w:r w:rsidRPr="00CC6DC3">
        <w:rPr>
          <w:rStyle w:val="Rimandonotaapidipagina"/>
        </w:rPr>
        <w:footnoteRef/>
      </w:r>
      <w:r w:rsidRPr="00CC6DC3">
        <w:t xml:space="preserve"> Si veda al proposi</w:t>
      </w:r>
      <w:r>
        <w:t>to l’indagine di questa Sezione, del. 50/2017/FRG.</w:t>
      </w:r>
    </w:p>
  </w:footnote>
  <w:footnote w:id="124">
    <w:p w:rsidR="004A59E0" w:rsidRDefault="004A59E0" w:rsidP="005D660C">
      <w:pPr>
        <w:pStyle w:val="Testonotaapidipagina"/>
      </w:pPr>
      <w:r>
        <w:rPr>
          <w:rStyle w:val="Rimandonotaapidipagina"/>
        </w:rPr>
        <w:footnoteRef/>
      </w:r>
      <w:r>
        <w:t xml:space="preserve"> Vedi art. 50 D.Lgs. 118/2011.</w:t>
      </w:r>
    </w:p>
  </w:footnote>
  <w:footnote w:id="125">
    <w:p w:rsidR="004A59E0" w:rsidRDefault="004A59E0" w:rsidP="005D660C">
      <w:pPr>
        <w:pStyle w:val="Testonotaapidipagina"/>
      </w:pPr>
      <w:r>
        <w:rPr>
          <w:rStyle w:val="Rimandonotaapidipagina"/>
        </w:rPr>
        <w:footnoteRef/>
      </w:r>
      <w:r>
        <w:t xml:space="preserve"> Vedi art. 63 D.Lgs. 118/2011.</w:t>
      </w:r>
    </w:p>
  </w:footnote>
  <w:footnote w:id="126">
    <w:p w:rsidR="004A59E0" w:rsidRDefault="004A59E0" w:rsidP="005D660C">
      <w:pPr>
        <w:pStyle w:val="Testonotaapidipagina"/>
      </w:pPr>
      <w:r>
        <w:rPr>
          <w:rStyle w:val="Rimandonotaapidipagina"/>
        </w:rPr>
        <w:footnoteRef/>
      </w:r>
      <w:r>
        <w:t xml:space="preserve"> Vedi Relazione sulla gestione 2016, pag. 51.</w:t>
      </w:r>
    </w:p>
  </w:footnote>
  <w:footnote w:id="127">
    <w:p w:rsidR="004A59E0" w:rsidRDefault="004A59E0" w:rsidP="005D660C">
      <w:pPr>
        <w:pStyle w:val="Testonotaapidipagina"/>
      </w:pPr>
      <w:r w:rsidRPr="00846A7F">
        <w:rPr>
          <w:rStyle w:val="Rimandonotaapidipagina"/>
        </w:rPr>
        <w:footnoteRef/>
      </w:r>
      <w:r w:rsidRPr="00846A7F">
        <w:t xml:space="preserve"> Vedi paragrafo 4.7.3. della presente relazione.</w:t>
      </w:r>
    </w:p>
  </w:footnote>
  <w:footnote w:id="128">
    <w:p w:rsidR="004A59E0" w:rsidRDefault="004A59E0">
      <w:pPr>
        <w:pStyle w:val="Testonotaapidipagina"/>
      </w:pPr>
      <w:r>
        <w:rPr>
          <w:rStyle w:val="Rimandonotaapidipagina"/>
        </w:rPr>
        <w:footnoteRef/>
      </w:r>
      <w:r>
        <w:t xml:space="preserve"> </w:t>
      </w:r>
      <w:r w:rsidRPr="0015221E">
        <w:rPr>
          <w:rStyle w:val="Rimandonotaapidipagina"/>
          <w:vertAlign w:val="baseline"/>
        </w:rPr>
        <w:t>I</w:t>
      </w:r>
      <w:r>
        <w:t xml:space="preserve">nserito nel sistema ConTe in data 16/11/2017 (Prot n. </w:t>
      </w:r>
      <w:r w:rsidRPr="00AE61EC">
        <w:t>0007831-16/11/2017-SC_SAR-S10C-A</w:t>
      </w:r>
      <w:r>
        <w:t>).</w:t>
      </w:r>
    </w:p>
  </w:footnote>
  <w:footnote w:id="129">
    <w:p w:rsidR="004A59E0" w:rsidRDefault="004A59E0" w:rsidP="00DE5507">
      <w:pPr>
        <w:pStyle w:val="Testonotaapidipagina"/>
      </w:pPr>
      <w:r>
        <w:rPr>
          <w:rStyle w:val="Rimandonotaapidipagina"/>
        </w:rPr>
        <w:footnoteRef/>
      </w:r>
      <w:r>
        <w:t xml:space="preserve"> Vedi Relazione sulla gestione, pag.109.</w:t>
      </w:r>
    </w:p>
  </w:footnote>
  <w:footnote w:id="130">
    <w:p w:rsidR="004A59E0" w:rsidRDefault="004A59E0" w:rsidP="00EE404F">
      <w:pPr>
        <w:pStyle w:val="Testonotaapidipagina"/>
      </w:pPr>
      <w:r>
        <w:rPr>
          <w:rStyle w:val="Rimandonotaapidipagina"/>
        </w:rPr>
        <w:footnoteRef/>
      </w:r>
      <w:r>
        <w:t xml:space="preserve"> Vedi L.R. n. 5 del 09/03/2015 (legge finanziaria 2015).</w:t>
      </w:r>
    </w:p>
  </w:footnote>
  <w:footnote w:id="131">
    <w:p w:rsidR="004A59E0" w:rsidRDefault="004A59E0">
      <w:pPr>
        <w:pStyle w:val="Testonotaapidipagina"/>
      </w:pPr>
      <w:r>
        <w:rPr>
          <w:rStyle w:val="Rimandonotaapidipagina"/>
        </w:rPr>
        <w:footnoteRef/>
      </w:r>
      <w:r>
        <w:t xml:space="preserve"> V. relazione sulla gestione, pag. 134.</w:t>
      </w:r>
    </w:p>
  </w:footnote>
  <w:footnote w:id="132">
    <w:p w:rsidR="004A59E0" w:rsidRDefault="004A59E0" w:rsidP="00EE404F">
      <w:pPr>
        <w:pStyle w:val="Testonotaapidipagina"/>
      </w:pPr>
      <w:r>
        <w:rPr>
          <w:rStyle w:val="Rimandonotaapidipagina"/>
        </w:rPr>
        <w:footnoteRef/>
      </w:r>
      <w:r>
        <w:t xml:space="preserve"> Vedi Relazione sulla gestione pag. 136.</w:t>
      </w:r>
    </w:p>
  </w:footnote>
  <w:footnote w:id="133">
    <w:p w:rsidR="004A59E0" w:rsidRDefault="004A59E0" w:rsidP="00EE404F">
      <w:pPr>
        <w:pStyle w:val="Testonotaapidipagina"/>
        <w:jc w:val="both"/>
      </w:pPr>
      <w:r>
        <w:rPr>
          <w:rStyle w:val="Rimandonotaapidipagina"/>
        </w:rPr>
        <w:footnoteRef/>
      </w:r>
      <w:r>
        <w:t xml:space="preserve"> L’art. 40 del D.Lgs. 118/2011 dispone che, a decorrere dal 2016, il disavanzo di amministrazione derivante dal debito autorizzato e non contratto per finanziare spese d’investimento, risultante dal rendiconto 2015, può essere coperto con il ricorso al debito che può essere contratto solo per far fronte ad effettive esigenze di cassa.</w:t>
      </w:r>
    </w:p>
  </w:footnote>
  <w:footnote w:id="134">
    <w:p w:rsidR="004A59E0" w:rsidRDefault="004A59E0" w:rsidP="00EE404F">
      <w:pPr>
        <w:pStyle w:val="Testonotaapidipagina"/>
      </w:pPr>
      <w:r>
        <w:rPr>
          <w:rStyle w:val="Rimandonotaapidipagina"/>
        </w:rPr>
        <w:footnoteRef/>
      </w:r>
      <w:r>
        <w:t xml:space="preserve"> Vedi art. 5 L.R. 31/2015.</w:t>
      </w:r>
    </w:p>
  </w:footnote>
  <w:footnote w:id="135">
    <w:p w:rsidR="004A59E0" w:rsidRDefault="004A59E0" w:rsidP="00EE404F">
      <w:pPr>
        <w:pStyle w:val="Testonotaapidipagina"/>
        <w:jc w:val="both"/>
      </w:pPr>
      <w:r>
        <w:rPr>
          <w:rStyle w:val="Rimandonotaapidipagina"/>
        </w:rPr>
        <w:footnoteRef/>
      </w:r>
      <w:r>
        <w:t xml:space="preserve"> Vedi relazione “Analisi dell’indebitamento anno 2016” pag. 6, allegata alla nota n. 5650 del 24/02/2017 del Direttore Generale dell’Ass.to Programmazione e Bilancio. </w:t>
      </w:r>
    </w:p>
  </w:footnote>
  <w:footnote w:id="136">
    <w:p w:rsidR="004A59E0" w:rsidRDefault="004A59E0" w:rsidP="00EE404F">
      <w:pPr>
        <w:pStyle w:val="Testonotaapidipagina"/>
      </w:pPr>
      <w:r>
        <w:rPr>
          <w:rStyle w:val="Rimandonotaapidipagina"/>
        </w:rPr>
        <w:footnoteRef/>
      </w:r>
      <w:r>
        <w:t xml:space="preserve"> Vedi Relazione sulla gestione pag. 137.</w:t>
      </w:r>
    </w:p>
  </w:footnote>
  <w:footnote w:id="137">
    <w:p w:rsidR="004A59E0" w:rsidRDefault="004A59E0" w:rsidP="00EE404F">
      <w:pPr>
        <w:pStyle w:val="Testonotaapidipagina"/>
        <w:jc w:val="both"/>
      </w:pPr>
      <w:r>
        <w:rPr>
          <w:rStyle w:val="Rimandonotaapidipagina"/>
        </w:rPr>
        <w:footnoteRef/>
      </w:r>
      <w:r>
        <w:t xml:space="preserve"> Art. 62, comma 6, D.Lgs. 118/2011: “Le Regioni possono autorizzare nuovo debito solo se l'importo complessivo delle annualità di ammortamento per capitale e interesse dei mutui e delle altre forme di debito in estinzione nell'esercizio considerato, al netto dei contributi erariali sulle rate di ammortamento dei mutui in essere al momento della sottoscrizione del finanziamento e delle rate riguardanti debiti espressamente esclusi dalla legge, non supera il 20 per cento dell'ammontare complessivo delle entrate del titolo "Entrate correnti di natura tributaria, contributiva e perequativa" al netto di quelle della tipologia "Tributi destinati al finanziamento della sanità" e a condizione che gli oneri futuri di ammortamento trovino copertura nell'ambito del bilancio di previsione della regione stessa, fatto salvo quanto previsto dall'articolo 8, comma 2-bis, della legge 183/2011.</w:t>
      </w:r>
    </w:p>
    <w:p w:rsidR="004A59E0" w:rsidRDefault="004A59E0" w:rsidP="00EE404F">
      <w:pPr>
        <w:pStyle w:val="Testonotaapidipagina"/>
        <w:jc w:val="both"/>
      </w:pPr>
      <w:r>
        <w:t>Nelle entrate di cui al periodo precedente, sono comprese le risorse del fondo di cui all'articolo 16-bis del D.L. 95/2012, convertito con modificazioni dalla legge 135/2012, alimentato dalle compartecipazioni al gettito derivante dalle accise. Concorrono al limite di indebitamento le rate sulle garanzie prestate dalla regione a favore di enti e di altri soggetti ai sensi delle leggi vigenti, salvo quelle per le quali la regione ha accantonato l'intero importo del debito garantito”.</w:t>
      </w:r>
    </w:p>
  </w:footnote>
  <w:footnote w:id="138">
    <w:p w:rsidR="004A59E0" w:rsidRDefault="004A59E0" w:rsidP="00EE404F">
      <w:pPr>
        <w:pStyle w:val="Testonotaapidipagina"/>
      </w:pPr>
      <w:r>
        <w:rPr>
          <w:rStyle w:val="Rimandonotaapidipagina"/>
        </w:rPr>
        <w:footnoteRef/>
      </w:r>
      <w:r>
        <w:t xml:space="preserve"> Vedi Relazione sulla gestione, pag. 142.</w:t>
      </w:r>
    </w:p>
  </w:footnote>
  <w:footnote w:id="139">
    <w:p w:rsidR="004A59E0" w:rsidRPr="00D065DD" w:rsidRDefault="004A59E0" w:rsidP="00EE404F">
      <w:pPr>
        <w:pStyle w:val="Testonotaapidipagina"/>
        <w:jc w:val="both"/>
        <w:rPr>
          <w:i/>
        </w:rPr>
      </w:pPr>
      <w:r>
        <w:rPr>
          <w:rStyle w:val="Rimandonotaapidipagina"/>
        </w:rPr>
        <w:footnoteRef/>
      </w:r>
      <w:r>
        <w:t xml:space="preserve"> Nel questionario viene inoltre attestato che “</w:t>
      </w:r>
      <w:r w:rsidRPr="00D065DD">
        <w:rPr>
          <w:i/>
        </w:rPr>
        <w:t xml:space="preserve">il monitoraggio sulla correlazione dell'indebitamento contratto con le spese di investimento effettuate viene eseguito costantemente e trasmesso all'Istituto mutuante. </w:t>
      </w:r>
    </w:p>
    <w:p w:rsidR="004A59E0" w:rsidRPr="00D065DD" w:rsidRDefault="004A59E0" w:rsidP="00EE404F">
      <w:pPr>
        <w:pStyle w:val="Testonotaapidipagina"/>
        <w:jc w:val="both"/>
        <w:rPr>
          <w:i/>
        </w:rPr>
      </w:pPr>
      <w:r w:rsidRPr="00D065DD">
        <w:rPr>
          <w:i/>
        </w:rPr>
        <w:t xml:space="preserve">  - Con riferimento al mutuo infrastrutture, è allegata al bilancio di previsione 2016 la tabella E che ha subito delle modifiche attraverso DGR, dove sono individuati gli interventi da finanziare con mutuo, i capitoli di spesa del bilancio regionale e i cdr, e il relativo cronoprogramma di spesa, le spese sono correlate all'entrata da mutuo attraverso uno specifico vincolo per ciascun capitolo del bilancio; nella relazione sulla gestione è data rappresentazione della spesa effettiva a consuntivo, corrispondente alle erogazioni richieste; </w:t>
      </w:r>
    </w:p>
    <w:p w:rsidR="004A59E0" w:rsidRPr="00D065DD" w:rsidRDefault="004A59E0" w:rsidP="00EE404F">
      <w:pPr>
        <w:pStyle w:val="Testonotaapidipagina"/>
        <w:jc w:val="both"/>
        <w:rPr>
          <w:i/>
        </w:rPr>
      </w:pPr>
      <w:r w:rsidRPr="00D065DD">
        <w:rPr>
          <w:i/>
        </w:rPr>
        <w:t xml:space="preserve">- Con riferimento al mutuo disavanzo da accantonamento al fondo perenzioni le spese da finanziare sono dettagliate nel contratto di stipula del mutuo, mentre nelle richieste di erogazione sono dettagliate le spese già sostenute e per le quali si richiedono i fondi, in presenza di effettive esigenze di cassa </w:t>
      </w:r>
    </w:p>
    <w:p w:rsidR="004A59E0" w:rsidRDefault="004A59E0" w:rsidP="00EE404F">
      <w:pPr>
        <w:pStyle w:val="Testonotaapidipagina"/>
        <w:jc w:val="both"/>
      </w:pPr>
      <w:r w:rsidRPr="00D065DD">
        <w:rPr>
          <w:i/>
        </w:rPr>
        <w:t>- Per quanto attiene l'anticipazione di liquidità ex D</w:t>
      </w:r>
      <w:r>
        <w:rPr>
          <w:i/>
        </w:rPr>
        <w:t>.</w:t>
      </w:r>
      <w:r w:rsidRPr="00D065DD">
        <w:rPr>
          <w:i/>
        </w:rPr>
        <w:t>L</w:t>
      </w:r>
      <w:r>
        <w:rPr>
          <w:i/>
        </w:rPr>
        <w:t>.</w:t>
      </w:r>
      <w:r w:rsidRPr="00D065DD">
        <w:rPr>
          <w:i/>
        </w:rPr>
        <w:t xml:space="preserve"> 78/2015 le spese, cui sono correlati debiti commerciali, sono state dettagliate nella domanda di anticipazione al MEF (al MEF è stata poi trasmessa la rendicontazione sullo stato di pagamento dei debiti commerciali per i quali è stata richiesta l'anticipazione medesima)”.</w:t>
      </w:r>
    </w:p>
  </w:footnote>
  <w:footnote w:id="140">
    <w:p w:rsidR="004A59E0" w:rsidRPr="004014B4" w:rsidRDefault="004A59E0" w:rsidP="00174D62">
      <w:pPr>
        <w:pStyle w:val="Testonotaapidipagina"/>
        <w:shd w:val="clear" w:color="auto" w:fill="FFFFFF" w:themeFill="background1"/>
      </w:pPr>
      <w:r w:rsidRPr="004014B4">
        <w:rPr>
          <w:rStyle w:val="Rimandonotaapidipagina"/>
          <w:shd w:val="clear" w:color="auto" w:fill="FFFFFF" w:themeFill="background1"/>
        </w:rPr>
        <w:footnoteRef/>
      </w:r>
      <w:r w:rsidRPr="004014B4">
        <w:rPr>
          <w:shd w:val="clear" w:color="auto" w:fill="FFFFFF" w:themeFill="background1"/>
        </w:rPr>
        <w:t xml:space="preserve"> In sede istruttoria, con nota prot Cdc n. 7964 del</w:t>
      </w:r>
      <w:r w:rsidRPr="004014B4">
        <w:t xml:space="preserve"> 24/11/2017</w:t>
      </w:r>
      <w:r w:rsidRPr="004014B4">
        <w:rPr>
          <w:rFonts w:eastAsiaTheme="minorHAnsi" w:cstheme="minorBidi"/>
          <w:sz w:val="24"/>
          <w:szCs w:val="24"/>
          <w:lang w:eastAsia="en-US"/>
        </w:rPr>
        <w:t xml:space="preserve"> </w:t>
      </w:r>
      <w:r w:rsidRPr="004014B4">
        <w:t xml:space="preserve">è stato richiesto alla RAS di compilare il prospetto sui vincoli di indebitamento di cui all’Allegato 9, lett. d), con i dati a rendiconto.   </w:t>
      </w:r>
    </w:p>
  </w:footnote>
  <w:footnote w:id="141">
    <w:p w:rsidR="004A59E0" w:rsidRPr="004014B4" w:rsidRDefault="004A59E0" w:rsidP="00174D62">
      <w:pPr>
        <w:pStyle w:val="Testonotaapidipagina"/>
      </w:pPr>
      <w:r w:rsidRPr="004014B4">
        <w:rPr>
          <w:rStyle w:val="Rimandonotaapidipagina"/>
        </w:rPr>
        <w:footnoteRef/>
      </w:r>
      <w:r w:rsidRPr="004014B4">
        <w:t xml:space="preserve"> Nota del 29/11/2017, Prot Cdc n. 8116 dell’01/12/2017.</w:t>
      </w:r>
    </w:p>
  </w:footnote>
  <w:footnote w:id="142">
    <w:p w:rsidR="004A59E0" w:rsidRDefault="004A59E0" w:rsidP="00EE404F">
      <w:pPr>
        <w:pStyle w:val="Testonotaapidipagina"/>
      </w:pPr>
      <w:r>
        <w:rPr>
          <w:rStyle w:val="Rimandonotaapidipagina"/>
        </w:rPr>
        <w:footnoteRef/>
      </w:r>
      <w:r>
        <w:t xml:space="preserve"> Vedi art. 42 del D.Lgs. 118/2011.</w:t>
      </w:r>
    </w:p>
  </w:footnote>
  <w:footnote w:id="143">
    <w:p w:rsidR="004A59E0" w:rsidRDefault="004A59E0" w:rsidP="00582DE2">
      <w:pPr>
        <w:pStyle w:val="Testonotaapidipagina"/>
        <w:jc w:val="both"/>
      </w:pPr>
      <w:r>
        <w:rPr>
          <w:rStyle w:val="Rimandonotaapidipagina"/>
        </w:rPr>
        <w:footnoteRef/>
      </w:r>
      <w:r>
        <w:t xml:space="preserve"> Relazione sulla gestione 2016 pag. 143: </w:t>
      </w:r>
      <w:r w:rsidRPr="005E5A27">
        <w:rPr>
          <w:i/>
        </w:rPr>
        <w:t>“Le escussioni sono ancora al vaglio, non essendo stata presentata dagli istituti di credito beneficiari la documentazione necessaria per l’istruttoria”</w:t>
      </w:r>
      <w:r>
        <w:t>.</w:t>
      </w:r>
    </w:p>
  </w:footnote>
  <w:footnote w:id="144">
    <w:p w:rsidR="004A59E0" w:rsidRPr="008A7612" w:rsidRDefault="004A59E0" w:rsidP="003450B6">
      <w:pPr>
        <w:pStyle w:val="Testonotaapidipagina"/>
      </w:pPr>
      <w:r w:rsidRPr="008A7612">
        <w:rPr>
          <w:rStyle w:val="Rimandonotaapidipagina"/>
        </w:rPr>
        <w:footnoteRef/>
      </w:r>
      <w:r w:rsidRPr="008A7612">
        <w:t xml:space="preserve"> Vedi note Prot. Cdc n. 1508 del 02/02/2017, n. 2877 del 03/03/2017; n. 3304 del 20/03/2017; n. 3811 del 05/04/2017.</w:t>
      </w:r>
    </w:p>
  </w:footnote>
  <w:footnote w:id="145">
    <w:p w:rsidR="004A59E0" w:rsidRPr="008A7612" w:rsidRDefault="004A59E0" w:rsidP="003450B6">
      <w:pPr>
        <w:pStyle w:val="Testonotaapidipagina"/>
      </w:pPr>
      <w:r w:rsidRPr="008A7612">
        <w:rPr>
          <w:rStyle w:val="Rimandonotaapidipagina"/>
        </w:rPr>
        <w:footnoteRef/>
      </w:r>
      <w:r w:rsidRPr="008A7612">
        <w:t xml:space="preserve"> In tali termini la nota alla Tabella del Conto 2.1. CREDITI – Allegato 2 – pag. 14, - Rendiconto Generale RAS 2015.</w:t>
      </w:r>
    </w:p>
  </w:footnote>
  <w:footnote w:id="146">
    <w:p w:rsidR="004A59E0" w:rsidRPr="008A7612" w:rsidRDefault="004A59E0" w:rsidP="003450B6">
      <w:pPr>
        <w:pStyle w:val="Testonotaapidipagina"/>
      </w:pPr>
      <w:r w:rsidRPr="008A7612">
        <w:rPr>
          <w:rStyle w:val="Rimandonotaapidipagina"/>
        </w:rPr>
        <w:footnoteRef/>
      </w:r>
      <w:r w:rsidRPr="008A7612">
        <w:t xml:space="preserve"> Vedi Allegato alla DGR n. 38/11 del 30/09/2014.</w:t>
      </w:r>
    </w:p>
  </w:footnote>
  <w:footnote w:id="147">
    <w:p w:rsidR="004A59E0" w:rsidRPr="0060485F" w:rsidRDefault="004A59E0" w:rsidP="003450B6">
      <w:pPr>
        <w:pStyle w:val="Testonotaapidipagina"/>
      </w:pPr>
      <w:r w:rsidRPr="0060485F">
        <w:rPr>
          <w:rStyle w:val="Rimandonotaapidipagina"/>
        </w:rPr>
        <w:footnoteRef/>
      </w:r>
      <w:r w:rsidRPr="0060485F">
        <w:t xml:space="preserve"> Nel corso dell’audizione del 21 settembre 2017 e con successiva nota n. 6445 del 28/09/2017.</w:t>
      </w:r>
    </w:p>
  </w:footnote>
  <w:footnote w:id="148">
    <w:p w:rsidR="004A59E0" w:rsidRPr="0060485F" w:rsidRDefault="004A59E0" w:rsidP="003450B6">
      <w:pPr>
        <w:pStyle w:val="Testonotaapidipagina"/>
      </w:pPr>
      <w:r w:rsidRPr="0060485F">
        <w:rPr>
          <w:rStyle w:val="Rimandonotaapidipagina"/>
        </w:rPr>
        <w:footnoteRef/>
      </w:r>
      <w:r w:rsidRPr="0060485F">
        <w:t xml:space="preserve"> Vedi note</w:t>
      </w:r>
      <w:r>
        <w:t xml:space="preserve"> della Direzione Genera</w:t>
      </w:r>
      <w:r w:rsidRPr="0060485F">
        <w:t>le dei Servizi Finanziari n.</w:t>
      </w:r>
      <w:r>
        <w:t xml:space="preserve"> </w:t>
      </w:r>
      <w:r w:rsidRPr="0060485F">
        <w:t>31988 del 09/10/2017 e n. 33373 del 17/10/2017.</w:t>
      </w:r>
    </w:p>
  </w:footnote>
  <w:footnote w:id="149">
    <w:p w:rsidR="004A59E0" w:rsidRPr="0060485F" w:rsidRDefault="004A59E0" w:rsidP="003450B6">
      <w:pPr>
        <w:pStyle w:val="Testonotaapidipagina"/>
        <w:jc w:val="both"/>
      </w:pPr>
      <w:r w:rsidRPr="0060485F">
        <w:rPr>
          <w:rStyle w:val="Rimandonotaapidipagina"/>
        </w:rPr>
        <w:footnoteRef/>
      </w:r>
      <w:r w:rsidRPr="0060485F">
        <w:t xml:space="preserve"> Si rammenta che nella sua nota il MEF riconosce a tale attività di riconciliazione una preminente importanza per molteplici obiettivi, fra i quali il </w:t>
      </w:r>
      <w:r w:rsidRPr="0060485F">
        <w:rPr>
          <w:b/>
        </w:rPr>
        <w:t>perseguimento degli equilibri di finanza pubblica</w:t>
      </w:r>
      <w:r w:rsidRPr="0060485F">
        <w:t xml:space="preserve">. Inoltre, tale attività è utile per </w:t>
      </w:r>
      <w:r w:rsidRPr="0060485F">
        <w:rPr>
          <w:b/>
        </w:rPr>
        <w:t>il monitoraggio dei pagamenti dei debiti commerciali delle pubbliche amministrazioni</w:t>
      </w:r>
      <w:r w:rsidRPr="0060485F">
        <w:t xml:space="preserve">. Peraltro, prosegue la nota, tale attività è </w:t>
      </w:r>
      <w:r w:rsidRPr="0060485F">
        <w:rPr>
          <w:b/>
        </w:rPr>
        <w:t xml:space="preserve">auspicata anche dalla Corte dei conti come supporto ai propri giudizi di parificazione dei rendiconti regionali. </w:t>
      </w:r>
      <w:r w:rsidRPr="0060485F">
        <w:t>In ordine a tale attività, il MEF riconosce le difficolta derivanti dalla diversa applicazione del principio della competenza finanziaria nello Stato e nelle Regioni, che potrebbe causare divergenze tra crediti iscritti nei rendiconti regionali e debiti iscritti nei bilanci statali.</w:t>
      </w:r>
    </w:p>
  </w:footnote>
  <w:footnote w:id="150">
    <w:p w:rsidR="004A59E0" w:rsidRPr="0060485F" w:rsidRDefault="004A59E0" w:rsidP="003450B6">
      <w:pPr>
        <w:pStyle w:val="Testonotaapidipagina"/>
      </w:pPr>
      <w:r w:rsidRPr="0060485F">
        <w:rPr>
          <w:rStyle w:val="Rimandonotaapidipagina"/>
        </w:rPr>
        <w:footnoteRef/>
      </w:r>
      <w:r w:rsidRPr="0060485F">
        <w:t xml:space="preserve"> Già richiesti con nota della stessa Direzione Generale n. 17208 dell’8 giugno 2017.</w:t>
      </w:r>
    </w:p>
  </w:footnote>
  <w:footnote w:id="151">
    <w:p w:rsidR="004A59E0" w:rsidRDefault="004A59E0">
      <w:pPr>
        <w:pStyle w:val="Testonotaapidipagina"/>
      </w:pPr>
      <w:r>
        <w:rPr>
          <w:rStyle w:val="Rimandonotaapidipagina"/>
        </w:rPr>
        <w:footnoteRef/>
      </w:r>
      <w:r>
        <w:t xml:space="preserve"> V. nota n. 3738 del 07/02/2018 del Direttore dei servizi finanziari (port. Cdc n. 491 del 07/02/2018).</w:t>
      </w:r>
    </w:p>
  </w:footnote>
  <w:footnote w:id="152">
    <w:p w:rsidR="004A59E0" w:rsidRDefault="004A59E0">
      <w:pPr>
        <w:pStyle w:val="Testonotaapidipagina"/>
      </w:pPr>
      <w:r>
        <w:rPr>
          <w:rStyle w:val="Rimandonotaapidipagina"/>
        </w:rPr>
        <w:footnoteRef/>
      </w:r>
      <w:r>
        <w:t xml:space="preserve"> V. le risposte dell’Assessorato alla Programmazione in data 31.01.2018.</w:t>
      </w:r>
    </w:p>
  </w:footnote>
  <w:footnote w:id="153">
    <w:p w:rsidR="004A59E0" w:rsidRPr="0060485F" w:rsidRDefault="004A59E0" w:rsidP="00E150FF">
      <w:pPr>
        <w:pStyle w:val="Testonotaapidipagina"/>
      </w:pPr>
      <w:r w:rsidRPr="0060485F">
        <w:rPr>
          <w:rStyle w:val="Rimandonotaapidipagina"/>
        </w:rPr>
        <w:footnoteRef/>
      </w:r>
      <w:r w:rsidRPr="0060485F">
        <w:t xml:space="preserve"> Vedi nota n. 12549 del 09/05/2017 del Direzione Generale dei Servizi Finanziari.</w:t>
      </w:r>
    </w:p>
  </w:footnote>
  <w:footnote w:id="154">
    <w:p w:rsidR="004A59E0" w:rsidRPr="0060485F" w:rsidRDefault="004A59E0" w:rsidP="00E150FF">
      <w:pPr>
        <w:pStyle w:val="Testonotaapidipagina"/>
      </w:pPr>
      <w:r w:rsidRPr="0060485F">
        <w:rPr>
          <w:rStyle w:val="Rimandonotaapidipagina"/>
        </w:rPr>
        <w:footnoteRef/>
      </w:r>
      <w:r w:rsidRPr="0060485F">
        <w:t xml:space="preserve"> Vedi pag. 31 della Nota Integrativa al Bilancio d’esercizio al 31/12/2017.</w:t>
      </w:r>
    </w:p>
  </w:footnote>
  <w:footnote w:id="155">
    <w:p w:rsidR="004A59E0" w:rsidRPr="0060485F" w:rsidRDefault="004A59E0" w:rsidP="00D259F8">
      <w:pPr>
        <w:pStyle w:val="Testonotaapidipagina"/>
        <w:jc w:val="both"/>
      </w:pPr>
      <w:r w:rsidRPr="0060485F">
        <w:rPr>
          <w:rStyle w:val="Rimandonotaapidipagina"/>
        </w:rPr>
        <w:footnoteRef/>
      </w:r>
      <w:r>
        <w:t xml:space="preserve"> </w:t>
      </w:r>
      <w:r w:rsidRPr="0060485F">
        <w:t>"Definizione degli schemi e delle modalità per la pubblicazione su internet dei dati relativi alle entrate e alla spesa dei bilanci preventivi e consuntivi e dell'indicatore annuale di tempestività dei pagamenti delle pubbliche amministrazioni".</w:t>
      </w:r>
    </w:p>
  </w:footnote>
  <w:footnote w:id="156">
    <w:p w:rsidR="004A59E0" w:rsidRDefault="004A59E0" w:rsidP="003B378B">
      <w:pPr>
        <w:pStyle w:val="Testonotaapidipagina"/>
        <w:jc w:val="both"/>
      </w:pPr>
      <w:r>
        <w:rPr>
          <w:rStyle w:val="Rimandonotaapidipagina"/>
        </w:rPr>
        <w:footnoteRef/>
      </w:r>
      <w:r>
        <w:t xml:space="preserve"> “Riordino della disciplina riguardante il diritto di accesso civico e gli obblighi di pubblicità, trasparenza e diffusione di informazioni da parte delle pubbliche amministrazioni”.</w:t>
      </w:r>
    </w:p>
  </w:footnote>
  <w:footnote w:id="157">
    <w:p w:rsidR="004A59E0" w:rsidRDefault="004A59E0" w:rsidP="003B378B">
      <w:pPr>
        <w:pStyle w:val="Testonotaapidipagina"/>
        <w:jc w:val="both"/>
      </w:pPr>
      <w:r>
        <w:rPr>
          <w:rStyle w:val="Rimandonotaapidipagina"/>
        </w:rPr>
        <w:footnoteRef/>
      </w:r>
      <w:r>
        <w:t xml:space="preserve"> “Attuazione della direttiva 2000/35/CE relativa alla lotta contro i ritardi di pagamento nelle transazioni commerciali”.</w:t>
      </w:r>
    </w:p>
  </w:footnote>
  <w:footnote w:id="158">
    <w:p w:rsidR="004A59E0" w:rsidRDefault="004A59E0" w:rsidP="00D97E02">
      <w:pPr>
        <w:pStyle w:val="Testonotaapidipagina"/>
        <w:jc w:val="both"/>
      </w:pPr>
      <w:r>
        <w:rPr>
          <w:rStyle w:val="Rimandonotaapidipagina"/>
        </w:rPr>
        <w:footnoteRef/>
      </w:r>
      <w:r>
        <w:t xml:space="preserve"> Il Rapporto è redatto dall’Ufficio del controllo interno di gestione della RAS nel mese di settembre 2017 (delibera di Giunta n. 47/15 del 2017).</w:t>
      </w:r>
    </w:p>
  </w:footnote>
  <w:footnote w:id="159">
    <w:p w:rsidR="004A59E0" w:rsidRDefault="004A59E0">
      <w:pPr>
        <w:pStyle w:val="Testonotaapidipagina"/>
      </w:pPr>
      <w:r>
        <w:rPr>
          <w:rStyle w:val="Rimandonotaapidipagina"/>
        </w:rPr>
        <w:footnoteRef/>
      </w:r>
      <w:r>
        <w:t xml:space="preserve"> A tale proposito sonostati acquisiti appositi chiarimenti dall’Assessorato alla programmazione in data 30 gennaio 2018.</w:t>
      </w:r>
    </w:p>
  </w:footnote>
  <w:footnote w:id="160">
    <w:p w:rsidR="004A59E0" w:rsidRDefault="004A59E0">
      <w:pPr>
        <w:pStyle w:val="Testonotaapidipagina"/>
      </w:pPr>
      <w:r>
        <w:rPr>
          <w:rStyle w:val="Rimandonotaapidipagina"/>
        </w:rPr>
        <w:footnoteRef/>
      </w:r>
      <w:r>
        <w:t xml:space="preserve"> V. i richiamati normativi contenuti nell’art. 25 L.R. 2/2016.</w:t>
      </w:r>
    </w:p>
  </w:footnote>
  <w:footnote w:id="161">
    <w:p w:rsidR="004A59E0" w:rsidRDefault="004A59E0">
      <w:pPr>
        <w:pStyle w:val="Testonotaapidipagina"/>
      </w:pPr>
      <w:r>
        <w:rPr>
          <w:rStyle w:val="Rimandonotaapidipagina"/>
        </w:rPr>
        <w:footnoteRef/>
      </w:r>
      <w:r>
        <w:t xml:space="preserve"> V. D.R.G. 23/5 e 23/6 del 20.04.2016.</w:t>
      </w:r>
    </w:p>
  </w:footnote>
  <w:footnote w:id="162">
    <w:p w:rsidR="004A59E0" w:rsidRDefault="004A59E0">
      <w:pPr>
        <w:pStyle w:val="Testonotaapidipagina"/>
      </w:pPr>
      <w:r>
        <w:rPr>
          <w:rStyle w:val="Rimandonotaapidipagina"/>
        </w:rPr>
        <w:footnoteRef/>
      </w:r>
      <w:r>
        <w:t xml:space="preserve"> V. circolare di indirizzi operativi, n. 992/GAB del 23/04/2016 dell’assessorato enti locali.</w:t>
      </w:r>
    </w:p>
  </w:footnote>
  <w:footnote w:id="163">
    <w:p w:rsidR="004A59E0" w:rsidRDefault="004A59E0" w:rsidP="006462C2">
      <w:pPr>
        <w:pStyle w:val="Testonotaapidipagina"/>
        <w:jc w:val="both"/>
      </w:pPr>
      <w:r>
        <w:rPr>
          <w:rStyle w:val="Rimandonotaapidipagina"/>
        </w:rPr>
        <w:footnoteRef/>
      </w:r>
      <w:r>
        <w:t xml:space="preserve"> V. D.G.R. 57/12 del 25/10/206 che invita il sindaco della città metropolitana di Cagliari e l’Amministratore straordinario della Provincia Sud Sardegna a sottoscrivere apposito protocollo d’intesa, per il quale vengono dettati specifici punti da regolamentare.</w:t>
      </w:r>
    </w:p>
  </w:footnote>
  <w:footnote w:id="164">
    <w:p w:rsidR="004A59E0" w:rsidRDefault="004A59E0">
      <w:pPr>
        <w:pStyle w:val="Testonotaapidipagina"/>
      </w:pPr>
      <w:r>
        <w:rPr>
          <w:rStyle w:val="Rimandonotaapidipagina"/>
        </w:rPr>
        <w:footnoteRef/>
      </w:r>
      <w:r>
        <w:t xml:space="preserve"> V. D.R.G. 69/13 del 23 dicembre 2016.</w:t>
      </w:r>
    </w:p>
  </w:footnote>
  <w:footnote w:id="165">
    <w:p w:rsidR="004A59E0" w:rsidRDefault="004A59E0">
      <w:pPr>
        <w:pStyle w:val="Testonotaapidipagina"/>
      </w:pPr>
      <w:r>
        <w:rPr>
          <w:rStyle w:val="Rimandonotaapidipagina"/>
        </w:rPr>
        <w:footnoteRef/>
      </w:r>
      <w:r>
        <w:t xml:space="preserve"> V. D.G.R. 46/26 del 3 ottobre 2017.</w:t>
      </w:r>
    </w:p>
  </w:footnote>
  <w:footnote w:id="166">
    <w:p w:rsidR="004A59E0" w:rsidRDefault="004A59E0" w:rsidP="002F16DC">
      <w:pPr>
        <w:pStyle w:val="Testonotaapidipagina"/>
      </w:pPr>
      <w:r>
        <w:rPr>
          <w:rStyle w:val="Rimandonotaapidipagina"/>
        </w:rPr>
        <w:footnoteRef/>
      </w:r>
      <w:r>
        <w:t xml:space="preserve"> V. relazione sulla gestione – All. 19 e 19.8 al Rendiconto 2016, pag. 118 e seguenti.</w:t>
      </w:r>
    </w:p>
  </w:footnote>
  <w:footnote w:id="167">
    <w:p w:rsidR="004A59E0" w:rsidRDefault="004A59E0">
      <w:pPr>
        <w:pStyle w:val="Testonotaapidipagina"/>
      </w:pPr>
      <w:r>
        <w:rPr>
          <w:rStyle w:val="Rimandonotaapidipagina"/>
        </w:rPr>
        <w:footnoteRef/>
      </w:r>
      <w:r>
        <w:t xml:space="preserve"> V. allegato n. 1 alla D.G.R. n. 64/9 del 2 dicembre 2016 (Piano triennale del fabbisogno di personale).</w:t>
      </w:r>
    </w:p>
  </w:footnote>
  <w:footnote w:id="168">
    <w:p w:rsidR="004A59E0" w:rsidRDefault="004A59E0" w:rsidP="006F3EBA">
      <w:pPr>
        <w:pStyle w:val="Testonotaapidipagina"/>
        <w:jc w:val="both"/>
      </w:pPr>
      <w:r>
        <w:rPr>
          <w:rStyle w:val="Rimandonotaapidipagina"/>
        </w:rPr>
        <w:footnoteRef/>
      </w:r>
      <w:r>
        <w:t xml:space="preserve"> V. le attestazioni nel questionario sul rendiconto 2016, sezione II; v. Relazione sulla gestione – All. 19 al rendiconto 2016, pag. 123 e seguenti.</w:t>
      </w:r>
    </w:p>
  </w:footnote>
  <w:footnote w:id="169">
    <w:p w:rsidR="004A59E0" w:rsidRDefault="004A59E0">
      <w:pPr>
        <w:pStyle w:val="Testonotaapidipagina"/>
      </w:pPr>
      <w:r>
        <w:rPr>
          <w:rStyle w:val="Rimandonotaapidipagina"/>
        </w:rPr>
        <w:footnoteRef/>
      </w:r>
      <w:r>
        <w:t xml:space="preserve"> Ai sensi dell’art. 6 comma 7 D.L. 78/2010 e art. 1 comma 5 D.L. 101/2013.</w:t>
      </w:r>
    </w:p>
  </w:footnote>
  <w:footnote w:id="170">
    <w:p w:rsidR="004A59E0" w:rsidRDefault="004A59E0">
      <w:pPr>
        <w:pStyle w:val="Testonotaapidipagina"/>
      </w:pPr>
      <w:r>
        <w:rPr>
          <w:rStyle w:val="Rimandonotaapidipagina"/>
        </w:rPr>
        <w:footnoteRef/>
      </w:r>
      <w:r>
        <w:t xml:space="preserve"> Ai sensi dell’art. 14 comma 1 D.L. 66/2014.</w:t>
      </w:r>
    </w:p>
  </w:footnote>
  <w:footnote w:id="171">
    <w:p w:rsidR="004A59E0" w:rsidRDefault="004A59E0">
      <w:pPr>
        <w:pStyle w:val="Testonotaapidipagina"/>
      </w:pPr>
      <w:r>
        <w:rPr>
          <w:rStyle w:val="Rimandonotaapidipagina"/>
        </w:rPr>
        <w:footnoteRef/>
      </w:r>
      <w:r>
        <w:t xml:space="preserve"> In tali termini v. Rapporto di gestione 2016, pag. 161 e seguenti.</w:t>
      </w:r>
    </w:p>
  </w:footnote>
  <w:footnote w:id="172">
    <w:p w:rsidR="004A59E0" w:rsidRDefault="004A59E0" w:rsidP="004526EF">
      <w:pPr>
        <w:pStyle w:val="Testonotaapidipagina"/>
      </w:pPr>
      <w:r>
        <w:rPr>
          <w:rStyle w:val="Rimandonotaapidipagina"/>
        </w:rPr>
        <w:footnoteRef/>
      </w:r>
      <w:r>
        <w:t xml:space="preserve"> V. D.G.R. 60/17 dell’8 novembre 2016.</w:t>
      </w:r>
    </w:p>
  </w:footnote>
  <w:footnote w:id="173">
    <w:p w:rsidR="004A59E0" w:rsidRDefault="004A59E0" w:rsidP="00BB2ABC">
      <w:pPr>
        <w:pStyle w:val="Testonotaapidipagina"/>
        <w:jc w:val="both"/>
      </w:pPr>
      <w:r>
        <w:rPr>
          <w:rStyle w:val="Rimandonotaapidipagina"/>
        </w:rPr>
        <w:footnoteRef/>
      </w:r>
      <w:r>
        <w:t xml:space="preserve"> Fanno parte della Cabina di Regia. Il Presiedente della Regione, gli Assessori alla programmazione, al lavoro, all’agricoltura presso i quali sono insediate le Autorità di gestione dei Programmi Comunitari.</w:t>
      </w:r>
    </w:p>
  </w:footnote>
  <w:footnote w:id="174">
    <w:p w:rsidR="004A59E0" w:rsidRDefault="004A59E0" w:rsidP="00BB2ABC">
      <w:pPr>
        <w:pStyle w:val="Testonotaapidipagina"/>
        <w:jc w:val="both"/>
      </w:pPr>
      <w:r>
        <w:rPr>
          <w:rStyle w:val="Rimandonotaapidipagina"/>
        </w:rPr>
        <w:footnoteRef/>
      </w:r>
      <w:r>
        <w:t xml:space="preserve"> V. Relazione del Presidente della Regione alla Corte dei conti ai sensi dell’art. 1, comma 3 D.L.174/2012 sul bilancio di previsione 2016 in data 26.07.02016.</w:t>
      </w:r>
    </w:p>
  </w:footnote>
  <w:footnote w:id="175">
    <w:p w:rsidR="004A59E0" w:rsidRDefault="004A59E0">
      <w:pPr>
        <w:pStyle w:val="Testonotaapidipagina"/>
      </w:pPr>
      <w:r>
        <w:rPr>
          <w:rStyle w:val="Rimandonotaapidipagina"/>
        </w:rPr>
        <w:footnoteRef/>
      </w:r>
      <w:r>
        <w:t xml:space="preserve"> V. nota prot. 501 del 16/02/2018.</w:t>
      </w:r>
    </w:p>
  </w:footnote>
  <w:footnote w:id="176">
    <w:p w:rsidR="004A59E0" w:rsidRDefault="004A59E0" w:rsidP="009C738D">
      <w:pPr>
        <w:pStyle w:val="Testonotaapidipagina"/>
      </w:pPr>
      <w:r>
        <w:rPr>
          <w:rStyle w:val="Rimandonotaapidipagina"/>
        </w:rPr>
        <w:footnoteRef/>
      </w:r>
      <w:r>
        <w:t xml:space="preserve"> Delibera della Sezione del Controllo n. 50/2017/INPR del 26/4/2017.</w:t>
      </w:r>
    </w:p>
  </w:footnote>
  <w:footnote w:id="177">
    <w:p w:rsidR="004A59E0" w:rsidRDefault="004A59E0">
      <w:pPr>
        <w:pStyle w:val="Testonotaapidipagina"/>
      </w:pPr>
      <w:r>
        <w:rPr>
          <w:rStyle w:val="Rimandonotaapidipagina"/>
        </w:rPr>
        <w:footnoteRef/>
      </w:r>
      <w:r>
        <w:t xml:space="preserve"> D</w:t>
      </w:r>
      <w:r w:rsidRPr="004B0524">
        <w:t>elibera n. 30/30 del 16/06/2015</w:t>
      </w:r>
      <w:r>
        <w:t>.</w:t>
      </w:r>
    </w:p>
  </w:footnote>
  <w:footnote w:id="178">
    <w:p w:rsidR="004A59E0" w:rsidRDefault="004A59E0">
      <w:pPr>
        <w:pStyle w:val="Testonotaapidipagina"/>
      </w:pPr>
      <w:r>
        <w:rPr>
          <w:rStyle w:val="Rimandonotaapidipagina"/>
        </w:rPr>
        <w:footnoteRef/>
      </w:r>
      <w:r>
        <w:t xml:space="preserve"> Tenutasi il 21/09/2017.</w:t>
      </w:r>
    </w:p>
  </w:footnote>
  <w:footnote w:id="179">
    <w:p w:rsidR="004A59E0" w:rsidRDefault="004A59E0" w:rsidP="009C738D">
      <w:pPr>
        <w:pStyle w:val="Testonotaapidipagina"/>
      </w:pPr>
      <w:r>
        <w:rPr>
          <w:rStyle w:val="Rimandonotaapidipagina"/>
        </w:rPr>
        <w:footnoteRef/>
      </w:r>
      <w:r>
        <w:t xml:space="preserve"> Nota n. 31988 del 9/10/2017, </w:t>
      </w:r>
      <w:r>
        <w:rPr>
          <w:szCs w:val="18"/>
        </w:rPr>
        <w:t>i</w:t>
      </w:r>
      <w:r w:rsidRPr="007B5308">
        <w:rPr>
          <w:szCs w:val="18"/>
        </w:rPr>
        <w:t>n riscontro alla nota istruttoria n. 6445 del 28/09/2017</w:t>
      </w:r>
      <w:r>
        <w:rPr>
          <w:szCs w:val="18"/>
        </w:rPr>
        <w:t>.</w:t>
      </w:r>
    </w:p>
  </w:footnote>
  <w:footnote w:id="180">
    <w:p w:rsidR="004A59E0" w:rsidRDefault="004A59E0" w:rsidP="001E653B">
      <w:pPr>
        <w:pStyle w:val="Testonotaapidipagina"/>
      </w:pPr>
      <w:r>
        <w:rPr>
          <w:rStyle w:val="Rimandonotaapidipagina"/>
        </w:rPr>
        <w:footnoteRef/>
      </w:r>
      <w:r>
        <w:t xml:space="preserve"> Nota n. PAT/D317/2015/264870, allegato n.3. </w:t>
      </w:r>
    </w:p>
  </w:footnote>
  <w:footnote w:id="181">
    <w:p w:rsidR="004A59E0" w:rsidRDefault="004A59E0" w:rsidP="009C738D">
      <w:pPr>
        <w:pStyle w:val="Testonotaapidipagina"/>
        <w:jc w:val="both"/>
      </w:pPr>
      <w:r>
        <w:rPr>
          <w:rStyle w:val="Rimandonotaapidipagina"/>
        </w:rPr>
        <w:footnoteRef/>
      </w:r>
      <w:r>
        <w:t xml:space="preserve"> N</w:t>
      </w:r>
      <w:r w:rsidRPr="00C6797C">
        <w:t xml:space="preserve">el questionario </w:t>
      </w:r>
      <w:r>
        <w:t>sul bilancio preventivo</w:t>
      </w:r>
      <w:r w:rsidRPr="00C6797C">
        <w:t xml:space="preserve"> 2016 predisposto dal Direttore dei Servizi Finanziari, </w:t>
      </w:r>
      <w:r>
        <w:t>viene riferito</w:t>
      </w:r>
      <w:r w:rsidRPr="00C6797C">
        <w:t xml:space="preserve"> </w:t>
      </w:r>
      <w:r>
        <w:t xml:space="preserve">che </w:t>
      </w:r>
      <w:r w:rsidRPr="00C6797C">
        <w:t>nella DGR 21/1 del 15/04/2016, l’Assessore alla Programmazione e Bilancio dà atto che la Regione non applica l’art.</w:t>
      </w:r>
      <w:r>
        <w:t xml:space="preserve"> </w:t>
      </w:r>
      <w:r w:rsidRPr="00C6797C">
        <w:t>20 del Titolo II del D</w:t>
      </w:r>
      <w:r>
        <w:t>.</w:t>
      </w:r>
      <w:r w:rsidRPr="00C6797C">
        <w:t>Lgs</w:t>
      </w:r>
      <w:r>
        <w:t>.</w:t>
      </w:r>
      <w:r w:rsidRPr="00C6797C">
        <w:t xml:space="preserve"> 118/2011 e che conseguentemente non ha definito un perimetro sanitario tra entrate e spese e non distingue la gestione ordinaria d</w:t>
      </w:r>
      <w:r>
        <w:t>el bilancio da quella sanitaria. Pertanto</w:t>
      </w:r>
      <w:r w:rsidRPr="00C6797C">
        <w:t xml:space="preserve"> non ha allegato al Bilancio Finanziario Gestionale il prospetto, riguardante le previsioni di competenza e di cassa dei capitoli di entrata e di spesa del perimetro sanitario previsto dall’art.</w:t>
      </w:r>
      <w:r>
        <w:t xml:space="preserve"> </w:t>
      </w:r>
      <w:r w:rsidRPr="00C6797C">
        <w:t>39, comma 13 del D</w:t>
      </w:r>
      <w:r>
        <w:t>.</w:t>
      </w:r>
      <w:r w:rsidRPr="00C6797C">
        <w:t>Lgs</w:t>
      </w:r>
      <w:r>
        <w:t>.</w:t>
      </w:r>
      <w:r w:rsidRPr="00C6797C">
        <w:t xml:space="preserve"> 118/2011.</w:t>
      </w:r>
      <w:r>
        <w:t xml:space="preserve"> Nel questionario sul rendiconto 2016 si afferma che la RAS, nel ribadire che è stata data attuazione al Tit. II del DLGS 118/2011 secondo quanto espresso congiuntamente dalle Autonomie Speciali nella nota n. PAT/D317/2015/264870/Allegato3, del 19/05/2015, ha provveduto all’analisi della spesa sanitaria obbligatoria come sopra riferito.</w:t>
      </w:r>
    </w:p>
  </w:footnote>
  <w:footnote w:id="182">
    <w:p w:rsidR="004A59E0" w:rsidRDefault="004A59E0" w:rsidP="009C738D">
      <w:pPr>
        <w:pStyle w:val="Testonotaapidipagina"/>
        <w:jc w:val="both"/>
      </w:pPr>
      <w:r>
        <w:rPr>
          <w:rStyle w:val="Rimandonotaapidipagina"/>
        </w:rPr>
        <w:footnoteRef/>
      </w:r>
      <w:r>
        <w:t xml:space="preserve"> Vedi nota del Direttore Generale dei Servizi Finanziari n. 7453 del 14/03/2017.</w:t>
      </w:r>
    </w:p>
  </w:footnote>
  <w:footnote w:id="183">
    <w:p w:rsidR="004A59E0" w:rsidRPr="00D932AA" w:rsidRDefault="004A59E0" w:rsidP="009C738D">
      <w:pPr>
        <w:pStyle w:val="Testonotaapidipagina"/>
        <w:jc w:val="both"/>
        <w:rPr>
          <w:szCs w:val="18"/>
        </w:rPr>
      </w:pPr>
      <w:r w:rsidRPr="00D932AA">
        <w:rPr>
          <w:rStyle w:val="Rimandonotaapidipagina"/>
          <w:szCs w:val="18"/>
        </w:rPr>
        <w:footnoteRef/>
      </w:r>
      <w:r w:rsidRPr="00D932AA">
        <w:rPr>
          <w:szCs w:val="18"/>
        </w:rPr>
        <w:t xml:space="preserve"> A tale riguardo</w:t>
      </w:r>
      <w:r>
        <w:rPr>
          <w:szCs w:val="18"/>
        </w:rPr>
        <w:t xml:space="preserve"> si fa presente che a partire dal 2015 la regione è stata gravata di un impegno finanziario quantificato in circa 120 milioni di euro per le annualità 2015 e 2016, al lordo degli sconti previsti dagli accordi sottoscritti tra l’AIFA e le aziende farmaceutiche, a cui ha fatto fronte quasi esclusivamente con risorse proprie, ad esclusione del contributo statale, pari a 3.326 mila euro, previsto dall’art. 1, comma 593 della L. n. 190/2014 (Vedi quanto riferito nella DGR n. 17/15 del 04/04/2017). </w:t>
      </w:r>
    </w:p>
  </w:footnote>
  <w:footnote w:id="184">
    <w:p w:rsidR="004A59E0" w:rsidRDefault="004A59E0" w:rsidP="009C738D">
      <w:pPr>
        <w:pStyle w:val="Testonotaapidipagina"/>
      </w:pPr>
      <w:r>
        <w:rPr>
          <w:rStyle w:val="Rimandonotaapidipagina"/>
        </w:rPr>
        <w:footnoteRef/>
      </w:r>
      <w:r>
        <w:t xml:space="preserve"> V. Relazione sulla gestione, pag. 199.</w:t>
      </w:r>
    </w:p>
  </w:footnote>
  <w:footnote w:id="185">
    <w:p w:rsidR="004A59E0" w:rsidRDefault="004A59E0" w:rsidP="009C738D">
      <w:pPr>
        <w:pStyle w:val="Testonotaapidipagina"/>
        <w:jc w:val="both"/>
      </w:pPr>
      <w:r>
        <w:rPr>
          <w:rStyle w:val="Rimandonotaapidipagina"/>
        </w:rPr>
        <w:footnoteRef/>
      </w:r>
      <w:r>
        <w:t xml:space="preserve"> Vedi Relazione allegata alla Deliberazione della Sezione del controllo n.50/2017/INPR del 26/04/2017.</w:t>
      </w:r>
    </w:p>
  </w:footnote>
  <w:footnote w:id="186">
    <w:p w:rsidR="004A59E0" w:rsidRDefault="004A59E0" w:rsidP="009C738D">
      <w:pPr>
        <w:spacing w:after="0" w:line="240" w:lineRule="auto"/>
        <w:jc w:val="both"/>
      </w:pPr>
      <w:r w:rsidRPr="00E0365F">
        <w:rPr>
          <w:rStyle w:val="Rimandonotaapidipagina"/>
          <w:sz w:val="18"/>
          <w:szCs w:val="18"/>
        </w:rPr>
        <w:footnoteRef/>
      </w:r>
      <w:r w:rsidRPr="00E0365F">
        <w:rPr>
          <w:rFonts w:ascii="Bodoni MT" w:hAnsi="Bodoni MT"/>
          <w:sz w:val="18"/>
          <w:szCs w:val="18"/>
        </w:rPr>
        <w:t xml:space="preserve"> </w:t>
      </w:r>
      <w:r w:rsidRPr="005A3A82">
        <w:rPr>
          <w:rFonts w:ascii="Bodoni MT" w:hAnsi="Bodoni MT"/>
          <w:sz w:val="18"/>
          <w:szCs w:val="18"/>
        </w:rPr>
        <w:t xml:space="preserve">Viene precisato che </w:t>
      </w:r>
      <w:r>
        <w:rPr>
          <w:rFonts w:ascii="Bodoni MT" w:hAnsi="Bodoni MT"/>
          <w:sz w:val="18"/>
          <w:szCs w:val="18"/>
        </w:rPr>
        <w:t xml:space="preserve">per </w:t>
      </w:r>
      <w:r w:rsidRPr="005A3A82">
        <w:rPr>
          <w:rFonts w:ascii="Bodoni MT" w:hAnsi="Bodoni MT"/>
          <w:sz w:val="18"/>
          <w:szCs w:val="18"/>
        </w:rPr>
        <w:t xml:space="preserve">le assegnazioni sono stati utilizzati i dati della popolazione residente al 1° gennaio 2016 rilevati dall’ISTAT, e che le entrate proprie convenzionali riguardano unicamente le Asl, che sono finanziate prevalentemente con il sistema delle quote capitarie, e non le altre aziende che sono finanziate con il sistema tariffario, al netto, pertanto, delle prestazioni a pagamento e degli altri introiti. </w:t>
      </w:r>
    </w:p>
  </w:footnote>
  <w:footnote w:id="187">
    <w:p w:rsidR="004A59E0" w:rsidRDefault="004A59E0">
      <w:pPr>
        <w:pStyle w:val="Testonotaapidipagina"/>
      </w:pPr>
      <w:r>
        <w:rPr>
          <w:rStyle w:val="Rimandonotaapidipagina"/>
        </w:rPr>
        <w:footnoteRef/>
      </w:r>
      <w:r>
        <w:t xml:space="preserve"> V. nota RAS n. 9881 del 07/02/2017 (prot. Cdc 3921 del 10/04/2017).</w:t>
      </w:r>
    </w:p>
  </w:footnote>
  <w:footnote w:id="188">
    <w:p w:rsidR="004A59E0" w:rsidRDefault="004A59E0" w:rsidP="009C738D">
      <w:pPr>
        <w:pStyle w:val="Testonotaapidipagina"/>
      </w:pPr>
      <w:r>
        <w:rPr>
          <w:rStyle w:val="Rimandonotaapidipagina"/>
        </w:rPr>
        <w:footnoteRef/>
      </w:r>
      <w:r>
        <w:t xml:space="preserve"> Note del Direttore Generale Sanità n. 5256 del 22/2/2017 e n. 29341 del 12/12/2017.</w:t>
      </w:r>
    </w:p>
  </w:footnote>
  <w:footnote w:id="189">
    <w:p w:rsidR="004A59E0" w:rsidRPr="0018030B" w:rsidRDefault="004A59E0" w:rsidP="009C738D">
      <w:pPr>
        <w:pStyle w:val="Testonotaapidipagina"/>
        <w:rPr>
          <w:szCs w:val="18"/>
        </w:rPr>
      </w:pPr>
      <w:r w:rsidRPr="0018030B">
        <w:rPr>
          <w:rStyle w:val="Rimandonotaapidipagina"/>
          <w:szCs w:val="18"/>
        </w:rPr>
        <w:footnoteRef/>
      </w:r>
      <w:r w:rsidRPr="0018030B">
        <w:rPr>
          <w:szCs w:val="18"/>
        </w:rPr>
        <w:t xml:space="preserve"> </w:t>
      </w:r>
      <w:r>
        <w:rPr>
          <w:szCs w:val="18"/>
        </w:rPr>
        <w:t>A</w:t>
      </w:r>
      <w:r w:rsidRPr="0018030B">
        <w:rPr>
          <w:szCs w:val="18"/>
        </w:rPr>
        <w:t>rt. 48, comma 33, del D.L. n. 269/2003, convertito, con modifiche, dalla L. n. 326/2003.</w:t>
      </w:r>
    </w:p>
  </w:footnote>
  <w:footnote w:id="190">
    <w:p w:rsidR="004A59E0" w:rsidRDefault="004A59E0" w:rsidP="009C738D">
      <w:pPr>
        <w:pStyle w:val="Testonotaapidipagina"/>
      </w:pPr>
      <w:r>
        <w:rPr>
          <w:rStyle w:val="Rimandonotaapidipagina"/>
        </w:rPr>
        <w:footnoteRef/>
      </w:r>
      <w:r>
        <w:t xml:space="preserve"> Vedi nota Assessorato Igiene e Sanità n. 9324 del 04/04/2017 (Prot. Cdc n. 3870 del 05/04/2017).</w:t>
      </w:r>
    </w:p>
  </w:footnote>
  <w:footnote w:id="191">
    <w:p w:rsidR="004A59E0" w:rsidRDefault="004A59E0">
      <w:pPr>
        <w:pStyle w:val="Testonotaapidipagina"/>
      </w:pPr>
      <w:r>
        <w:rPr>
          <w:rStyle w:val="Rimandonotaapidipagina"/>
        </w:rPr>
        <w:footnoteRef/>
      </w:r>
      <w:r>
        <w:t xml:space="preserve"> V. nota n. 3774 del 07/02/2018 dell’Assessorato alla sanità.</w:t>
      </w:r>
    </w:p>
  </w:footnote>
  <w:footnote w:id="192">
    <w:p w:rsidR="004A59E0" w:rsidRDefault="004A59E0" w:rsidP="00B568E4">
      <w:pPr>
        <w:pStyle w:val="Testonotaapidipagina"/>
        <w:jc w:val="both"/>
      </w:pPr>
      <w:r>
        <w:rPr>
          <w:rStyle w:val="Rimandonotaapidipagina"/>
        </w:rPr>
        <w:footnoteRef/>
      </w:r>
      <w:r>
        <w:t xml:space="preserve"> Nota Assessorato Igiene e Sanità n. 5256 del 22/2/2017 e allegato 6 (nota Servizio qualità dei servizi e governo clinico, indirizzata al Direttore Generale della Sanità, n 5050 del 21/2/2017), integrata con l’allegato 8 alla nota del Direttore Generale della Sanità n. 29341 del 12/12/2017.</w:t>
      </w:r>
    </w:p>
  </w:footnote>
  <w:footnote w:id="193">
    <w:p w:rsidR="004A59E0" w:rsidRDefault="004A59E0" w:rsidP="00B568E4">
      <w:pPr>
        <w:pStyle w:val="Testonotaapidipagina"/>
      </w:pPr>
      <w:r w:rsidRPr="00B573F9">
        <w:rPr>
          <w:rStyle w:val="Rimandonotaapidipagina"/>
        </w:rPr>
        <w:footnoteRef/>
      </w:r>
      <w:r w:rsidRPr="00B573F9">
        <w:t xml:space="preserve"> Vedi anche l’art. 15 del D.L. 95/2012, convertito con modificazioni dalla L. n. 135/2012.</w:t>
      </w:r>
    </w:p>
  </w:footnote>
  <w:footnote w:id="194">
    <w:p w:rsidR="004A59E0" w:rsidRDefault="004A59E0" w:rsidP="00B568E4">
      <w:pPr>
        <w:pStyle w:val="Testonotaapidipagina"/>
      </w:pPr>
      <w:r>
        <w:rPr>
          <w:rStyle w:val="Rimandonotaapidipagina"/>
        </w:rPr>
        <w:footnoteRef/>
      </w:r>
      <w:r>
        <w:t xml:space="preserve"> Inibitori pompa acida; colecalciferolo; sartani; statine; FANS; adrenergici, aerosol, ecc.</w:t>
      </w:r>
    </w:p>
  </w:footnote>
  <w:footnote w:id="195">
    <w:p w:rsidR="004A59E0" w:rsidRDefault="004A59E0" w:rsidP="00B568E4">
      <w:pPr>
        <w:pStyle w:val="Testonotaapidipagina"/>
      </w:pPr>
      <w:r>
        <w:rPr>
          <w:rStyle w:val="Rimandonotaapidipagina"/>
        </w:rPr>
        <w:footnoteRef/>
      </w:r>
      <w:r>
        <w:t xml:space="preserve"> Vedi nota del Direttore del Servizio qualità dei servizi e del governo clinico della Sanità n. 29152 dell’11/12/2017 (allegata alla nota del Direttore Generale della Sanità n. 29341 del 12/12/2017).</w:t>
      </w:r>
    </w:p>
  </w:footnote>
  <w:footnote w:id="196">
    <w:p w:rsidR="004A59E0" w:rsidRPr="00EA32D8" w:rsidRDefault="004A59E0" w:rsidP="00B568E4">
      <w:pPr>
        <w:pStyle w:val="Testonotaapidipagina"/>
        <w:rPr>
          <w:szCs w:val="18"/>
        </w:rPr>
      </w:pPr>
      <w:r w:rsidRPr="00EA32D8">
        <w:rPr>
          <w:rStyle w:val="Rimandonotaapidipagina"/>
          <w:szCs w:val="18"/>
        </w:rPr>
        <w:footnoteRef/>
      </w:r>
      <w:r w:rsidRPr="00EA32D8">
        <w:rPr>
          <w:szCs w:val="18"/>
        </w:rPr>
        <w:t xml:space="preserve"> Nota </w:t>
      </w:r>
      <w:r>
        <w:rPr>
          <w:szCs w:val="18"/>
        </w:rPr>
        <w:t>del Direttore Generale della Sanità n. 5256 del 22/2/2017 (prot. Cdc n. 2670 del 23/2/2017.</w:t>
      </w:r>
    </w:p>
  </w:footnote>
  <w:footnote w:id="197">
    <w:p w:rsidR="004A59E0" w:rsidRDefault="004A59E0" w:rsidP="00B568E4">
      <w:pPr>
        <w:pStyle w:val="Testonotaapidipagina"/>
      </w:pPr>
      <w:r>
        <w:rPr>
          <w:rStyle w:val="Rimandonotaapidipagina"/>
        </w:rPr>
        <w:footnoteRef/>
      </w:r>
      <w:r>
        <w:t xml:space="preserve"> Note del Direttore Generale della Sanità n. 5256 del 22/2/2017 (prot. Cdc n. 2670 del 23/2/2017) e n. 29341 del 12/12/2017 (prot. Cdc n. 8211 d3/12/2017).</w:t>
      </w:r>
    </w:p>
  </w:footnote>
  <w:footnote w:id="198">
    <w:p w:rsidR="004A59E0" w:rsidRDefault="004A59E0" w:rsidP="00B568E4">
      <w:pPr>
        <w:pStyle w:val="Testonotaapidipagina"/>
      </w:pPr>
      <w:r>
        <w:rPr>
          <w:rStyle w:val="Rimandonotaapidipagina"/>
        </w:rPr>
        <w:footnoteRef/>
      </w:r>
      <w:r>
        <w:t xml:space="preserve"> Allegato 3 alla nota Assessoriale n. 29341 del 12/12/2017.</w:t>
      </w:r>
    </w:p>
  </w:footnote>
  <w:footnote w:id="199">
    <w:p w:rsidR="004A59E0" w:rsidRDefault="004A59E0" w:rsidP="00B568E4">
      <w:pPr>
        <w:pStyle w:val="Testonotaapidipagina"/>
      </w:pPr>
      <w:r>
        <w:rPr>
          <w:rStyle w:val="Rimandonotaapidipagina"/>
        </w:rPr>
        <w:footnoteRef/>
      </w:r>
      <w:r>
        <w:t xml:space="preserve"> Nota del Direttore Generale n. 29341 del 12/12/2017 (prot. Cdc n. 8211 del 13/12/2017).</w:t>
      </w:r>
    </w:p>
  </w:footnote>
  <w:footnote w:id="200">
    <w:p w:rsidR="004A59E0" w:rsidRDefault="004A59E0" w:rsidP="00B568E4">
      <w:pPr>
        <w:pStyle w:val="Testonotaapidipagina"/>
        <w:jc w:val="both"/>
      </w:pPr>
      <w:r>
        <w:rPr>
          <w:rStyle w:val="Rimandonotaapidipagina"/>
        </w:rPr>
        <w:footnoteRef/>
      </w:r>
      <w:r>
        <w:t xml:space="preserve"> </w:t>
      </w:r>
      <w:r w:rsidRPr="005A3A82">
        <w:rPr>
          <w:szCs w:val="18"/>
        </w:rPr>
        <w:t xml:space="preserve">Art. 26 (Finanziamento del servizio sanitario regionale) della L.R. n. 10/2006 </w:t>
      </w:r>
      <w:r>
        <w:rPr>
          <w:szCs w:val="18"/>
        </w:rPr>
        <w:t>(</w:t>
      </w:r>
      <w:r w:rsidRPr="005A3A82">
        <w:rPr>
          <w:i/>
          <w:szCs w:val="18"/>
        </w:rPr>
        <w:t>Tutela della salute e riordino del servizio sanitario della Sardegna.</w:t>
      </w:r>
      <w:r w:rsidRPr="005A3A82">
        <w:rPr>
          <w:szCs w:val="18"/>
        </w:rPr>
        <w:t xml:space="preserve"> Abrogazione della legge regionale 26 gennaio 1995, n. 5.</w:t>
      </w:r>
    </w:p>
  </w:footnote>
  <w:footnote w:id="201">
    <w:p w:rsidR="004A59E0" w:rsidRPr="00526B89" w:rsidRDefault="004A59E0" w:rsidP="00B568E4">
      <w:pPr>
        <w:pStyle w:val="Testonotaapidipagina"/>
        <w:jc w:val="both"/>
        <w:rPr>
          <w:szCs w:val="18"/>
        </w:rPr>
      </w:pPr>
      <w:r w:rsidRPr="00526B89">
        <w:rPr>
          <w:rStyle w:val="Rimandonotaapidipagina"/>
          <w:szCs w:val="18"/>
        </w:rPr>
        <w:footnoteRef/>
      </w:r>
      <w:r w:rsidRPr="00526B89">
        <w:rPr>
          <w:szCs w:val="18"/>
        </w:rPr>
        <w:t xml:space="preserve"> Tale Comitato è stato </w:t>
      </w:r>
      <w:r>
        <w:rPr>
          <w:szCs w:val="18"/>
        </w:rPr>
        <w:t>i</w:t>
      </w:r>
      <w:r w:rsidRPr="00526B89">
        <w:rPr>
          <w:szCs w:val="18"/>
        </w:rPr>
        <w:t>stituito con la DGR n. 38/27 del 30/</w:t>
      </w:r>
      <w:r>
        <w:rPr>
          <w:szCs w:val="18"/>
        </w:rPr>
        <w:t>0</w:t>
      </w:r>
      <w:r w:rsidRPr="00526B89">
        <w:rPr>
          <w:szCs w:val="18"/>
        </w:rPr>
        <w:t>9/2014 al fine di</w:t>
      </w:r>
      <w:r>
        <w:rPr>
          <w:szCs w:val="18"/>
        </w:rPr>
        <w:t xml:space="preserve"> verificare tempestivamente gli eventuali scostamenti dei costi di produzione delle Aziende sanitarie dai finanziamenti previsti dal Fondo unico sanitario. A tale </w:t>
      </w:r>
      <w:r w:rsidRPr="00F12007">
        <w:t xml:space="preserve">organo </w:t>
      </w:r>
      <w:r w:rsidRPr="00D93F66">
        <w:rPr>
          <w:szCs w:val="18"/>
        </w:rPr>
        <w:t>(formalmente costituito con decreto presidenziale n. 79/DecA/3 del 13/01/2015</w:t>
      </w:r>
      <w:r>
        <w:rPr>
          <w:szCs w:val="18"/>
        </w:rPr>
        <w:t xml:space="preserve"> e </w:t>
      </w:r>
      <w:r w:rsidRPr="00D93F66">
        <w:rPr>
          <w:szCs w:val="18"/>
        </w:rPr>
        <w:t>composto</w:t>
      </w:r>
      <w:r w:rsidRPr="00F12007">
        <w:rPr>
          <w:szCs w:val="18"/>
        </w:rPr>
        <w:t xml:space="preserve"> dal Presidente della Regione o da un suo delegato, dall’Assessore dell’Igiene e Sanità e dell’Assistenza Sociale o da un suo delegato, dall’Assessore della Programmazione, Bilancio, Credito e Assetto del Territorio o da un suo delegato, dal Direttore generale della Sanità e da tre tecnici operanti presso l’Assessorato dell’Igiene e Sanità e dell’Assistenza Sociale</w:t>
      </w:r>
      <w:r>
        <w:rPr>
          <w:szCs w:val="18"/>
        </w:rPr>
        <w:t>)</w:t>
      </w:r>
      <w:r w:rsidRPr="00F12007">
        <w:rPr>
          <w:szCs w:val="18"/>
        </w:rPr>
        <w:t xml:space="preserve"> è affidato</w:t>
      </w:r>
      <w:r>
        <w:rPr>
          <w:szCs w:val="18"/>
        </w:rPr>
        <w:t>, infatti,</w:t>
      </w:r>
      <w:r w:rsidRPr="00F12007">
        <w:rPr>
          <w:szCs w:val="18"/>
        </w:rPr>
        <w:t xml:space="preserve"> l’incarico di verificare l’attuazione delle azioni necessarie per assicurare il raggiungimento degli obiettivi assistenziali ed economico-finanziari, di valutare le modalità applicative delle misure nazionali e regionali di razionalizzazione e di riduzione della spesa sanitaria, di monitorare la qualità dei livelli essenziali di assistenza erogati nelle aziende, di confrontare i costi delle Asl con i costi standard nazionali. </w:t>
      </w:r>
      <w:r>
        <w:rPr>
          <w:szCs w:val="18"/>
        </w:rPr>
        <w:t xml:space="preserve">Sulla base degli esiti delle verifiche, qualora ritenuto necessario, le aziende sanitarie sono chiamate a predisporre un programma strutturato di azioni di rientro da attuarsi entro la chiusura dell’esercizio, nonché di programmi pluriennali, con cadenze annuali. </w:t>
      </w:r>
      <w:r w:rsidRPr="00F12007">
        <w:rPr>
          <w:szCs w:val="18"/>
        </w:rPr>
        <w:t xml:space="preserve">Con la DGR n. 63/24 del 15/12/2015 </w:t>
      </w:r>
      <w:r>
        <w:rPr>
          <w:szCs w:val="18"/>
        </w:rPr>
        <w:t xml:space="preserve">le </w:t>
      </w:r>
      <w:r w:rsidRPr="00F12007">
        <w:rPr>
          <w:szCs w:val="18"/>
        </w:rPr>
        <w:t xml:space="preserve">funzioni </w:t>
      </w:r>
      <w:r>
        <w:rPr>
          <w:szCs w:val="18"/>
        </w:rPr>
        <w:t xml:space="preserve">del Comitato </w:t>
      </w:r>
      <w:r w:rsidRPr="00F12007">
        <w:rPr>
          <w:szCs w:val="18"/>
        </w:rPr>
        <w:t>sono state integrate con quelle finalizzate alla verifica del r</w:t>
      </w:r>
      <w:r>
        <w:rPr>
          <w:szCs w:val="18"/>
        </w:rPr>
        <w:t>ispetto delle azioni dei piani operativi del PdR e dei tempi di attuazione, nonché dei risultati conseguiti.</w:t>
      </w:r>
    </w:p>
  </w:footnote>
  <w:footnote w:id="202">
    <w:p w:rsidR="004A59E0" w:rsidRDefault="004A59E0" w:rsidP="00B568E4">
      <w:pPr>
        <w:pStyle w:val="Testonotaapidipagina"/>
      </w:pPr>
      <w:r>
        <w:rPr>
          <w:rStyle w:val="Rimandonotaapidipagina"/>
        </w:rPr>
        <w:footnoteRef/>
      </w:r>
      <w:r>
        <w:t xml:space="preserve"> Con la DGR n. 13/2 del 14/03/2017 è stato approvato il “</w:t>
      </w:r>
      <w:r w:rsidRPr="0019727F">
        <w:rPr>
          <w:i/>
        </w:rPr>
        <w:t>Piano triennale di rientro per il miglioramento della qualità delle cure e dell’adeguamento dell’offerta</w:t>
      </w:r>
      <w:r>
        <w:t>” predisposto dall’AOU di Sassari e approvato con la Delibera Aziendale n. 83 del 17/02/2017.</w:t>
      </w:r>
    </w:p>
  </w:footnote>
  <w:footnote w:id="203">
    <w:p w:rsidR="004A59E0" w:rsidRDefault="004A59E0" w:rsidP="00B568E4">
      <w:pPr>
        <w:pStyle w:val="Testonotaapidipagina"/>
      </w:pPr>
      <w:r>
        <w:rPr>
          <w:rStyle w:val="Rimandonotaapidipagina"/>
        </w:rPr>
        <w:footnoteRef/>
      </w:r>
      <w:r>
        <w:t xml:space="preserve"> Nota del Direttore Generale della Sanità n. 19532 del 25/7/2017 trasmessa con nota n. 29341 del 12/12/2017 (prot. Cdc 8211 del 13/12/2017).</w:t>
      </w:r>
    </w:p>
  </w:footnote>
  <w:footnote w:id="204">
    <w:p w:rsidR="004A59E0" w:rsidRDefault="004A59E0">
      <w:pPr>
        <w:pStyle w:val="Testonotaapidipagina"/>
      </w:pPr>
      <w:r>
        <w:rPr>
          <w:rStyle w:val="Rimandonotaapidipagina"/>
        </w:rPr>
        <w:footnoteRef/>
      </w:r>
      <w:r>
        <w:t xml:space="preserve"> Sul punto v. nota n. 3774 del 07/02/2018 dell’Assessorato sanità.</w:t>
      </w:r>
    </w:p>
  </w:footnote>
  <w:footnote w:id="205">
    <w:p w:rsidR="004A59E0" w:rsidRDefault="004A59E0">
      <w:pPr>
        <w:pStyle w:val="Testonotaapidipagina"/>
      </w:pPr>
      <w:r>
        <w:rPr>
          <w:rStyle w:val="Rimandonotaapidipagina"/>
        </w:rPr>
        <w:footnoteRef/>
      </w:r>
      <w:r>
        <w:t xml:space="preserve"> V. anche DGR 54/18 del 06/12/2017.</w:t>
      </w:r>
    </w:p>
  </w:footnote>
  <w:footnote w:id="206">
    <w:p w:rsidR="004A59E0" w:rsidRDefault="004A59E0" w:rsidP="001C32B6">
      <w:pPr>
        <w:pStyle w:val="Testonotaapidipagina"/>
      </w:pPr>
      <w:r>
        <w:rPr>
          <w:rStyle w:val="Rimandonotaapidipagina"/>
        </w:rPr>
        <w:footnoteRef/>
      </w:r>
      <w:r>
        <w:t xml:space="preserve"> Note n. 1281 del 23/01/2017, n. 2733 del 27/02/2017, n. 2997 dell’08/03/2017.</w:t>
      </w:r>
    </w:p>
  </w:footnote>
  <w:footnote w:id="207">
    <w:p w:rsidR="004A59E0" w:rsidRDefault="004A59E0" w:rsidP="001C32B6">
      <w:pPr>
        <w:pStyle w:val="Testonotaapidipagina"/>
      </w:pPr>
      <w:r>
        <w:rPr>
          <w:rStyle w:val="Rimandonotaapidipagina"/>
        </w:rPr>
        <w:footnoteRef/>
      </w:r>
      <w:r>
        <w:t xml:space="preserve"> Nota del Direttore del Servizio della Programmazione sanitaria e economica e finanziaria (prot. Cdc n. 1712 del 09/02/2017).</w:t>
      </w:r>
    </w:p>
  </w:footnote>
  <w:footnote w:id="208">
    <w:p w:rsidR="004A59E0" w:rsidRDefault="004A59E0" w:rsidP="001C32B6">
      <w:pPr>
        <w:pStyle w:val="Testonotaapidipagina"/>
      </w:pPr>
      <w:r>
        <w:rPr>
          <w:rStyle w:val="Rimandonotaapidipagina"/>
        </w:rPr>
        <w:footnoteRef/>
      </w:r>
      <w:r>
        <w:t xml:space="preserve"> N</w:t>
      </w:r>
      <w:r w:rsidRPr="00E644C4">
        <w:t xml:space="preserve">ota del Direttore </w:t>
      </w:r>
      <w:r>
        <w:t xml:space="preserve">Generale della Sanità </w:t>
      </w:r>
      <w:r w:rsidRPr="00E644C4">
        <w:t>n. 5256 del 22</w:t>
      </w:r>
      <w:r>
        <w:t>/0</w:t>
      </w:r>
      <w:r w:rsidRPr="00E644C4">
        <w:t>2/2017</w:t>
      </w:r>
      <w:r>
        <w:t xml:space="preserve"> (prot. Cdc n. 2670 del 23/02/2017).</w:t>
      </w:r>
    </w:p>
  </w:footnote>
  <w:footnote w:id="209">
    <w:p w:rsidR="004A59E0" w:rsidRDefault="004A59E0" w:rsidP="001C32B6">
      <w:pPr>
        <w:pStyle w:val="Testonotaapidipagina"/>
      </w:pPr>
      <w:r>
        <w:rPr>
          <w:rStyle w:val="Rimandonotaapidipagina"/>
        </w:rPr>
        <w:footnoteRef/>
      </w:r>
      <w:r>
        <w:t xml:space="preserve"> Nota n. 136129 dell’11/04/2017 (prot. Cdc n. 3962 del 12/04/2017).</w:t>
      </w:r>
    </w:p>
  </w:footnote>
  <w:footnote w:id="210">
    <w:p w:rsidR="004A59E0" w:rsidRDefault="004A59E0">
      <w:pPr>
        <w:pStyle w:val="Testonotaapidipagina"/>
      </w:pPr>
      <w:r>
        <w:rPr>
          <w:rStyle w:val="Rimandonotaapidipagina"/>
        </w:rPr>
        <w:footnoteRef/>
      </w:r>
      <w:r>
        <w:t xml:space="preserve"> V. nota prot. Cdc n. 1712 del 09/07/2017 e nota RAS 5256 del 22/02/2017 (prot. Cdc 2670 del 23/02/2017).</w:t>
      </w:r>
    </w:p>
  </w:footnote>
  <w:footnote w:id="211">
    <w:p w:rsidR="004A59E0" w:rsidRDefault="004A59E0" w:rsidP="001C32B6">
      <w:pPr>
        <w:pStyle w:val="Testonotaapidipagina"/>
      </w:pPr>
      <w:r>
        <w:rPr>
          <w:rStyle w:val="Rimandonotaapidipagina"/>
        </w:rPr>
        <w:footnoteRef/>
      </w:r>
      <w:r>
        <w:t xml:space="preserve"> Nota prot. n. 8277 del 20/12/2017.</w:t>
      </w:r>
    </w:p>
  </w:footnote>
  <w:footnote w:id="212">
    <w:p w:rsidR="004A59E0" w:rsidRDefault="004A59E0" w:rsidP="001C32B6">
      <w:pPr>
        <w:pStyle w:val="Testonotaapidipagina"/>
      </w:pPr>
      <w:r>
        <w:rPr>
          <w:rStyle w:val="Rimandonotaapidipagina"/>
        </w:rPr>
        <w:footnoteRef/>
      </w:r>
      <w:r>
        <w:t xml:space="preserve"> Nota n. 1310 del 17/01/2018 (prot. Cdc n. 196 del 18/01/2018).</w:t>
      </w:r>
    </w:p>
  </w:footnote>
  <w:footnote w:id="213">
    <w:p w:rsidR="004A59E0" w:rsidRDefault="004A59E0" w:rsidP="00CD34A0">
      <w:pPr>
        <w:pStyle w:val="Testonotaapidipagina"/>
        <w:jc w:val="both"/>
      </w:pPr>
      <w:r>
        <w:rPr>
          <w:rStyle w:val="Rimandonotaapidipagina"/>
        </w:rPr>
        <w:footnoteRef/>
      </w:r>
      <w:r>
        <w:t xml:space="preserve"> In tali termini v. Rapporto di gestione anno 2016, paragrafo 4, Ufficio del controllo interno di gestione e Nota integrativa in allegato al rendiconto regionale 2016 (All. 3).</w:t>
      </w:r>
    </w:p>
  </w:footnote>
  <w:footnote w:id="214">
    <w:p w:rsidR="004A59E0" w:rsidRDefault="004A59E0" w:rsidP="00CD34A0">
      <w:pPr>
        <w:pStyle w:val="Testonotaapidipagina"/>
      </w:pPr>
      <w:r>
        <w:rPr>
          <w:rStyle w:val="Rimandonotaapidipagina"/>
        </w:rPr>
        <w:footnoteRef/>
      </w:r>
      <w:r>
        <w:t xml:space="preserve"> Fonte “Rapporto di gestione anno 2016” a cura dell’Ufficio del Controllo Interno di Gestione</w:t>
      </w:r>
    </w:p>
  </w:footnote>
  <w:footnote w:id="215">
    <w:p w:rsidR="004A59E0" w:rsidRPr="00B12E35" w:rsidRDefault="004A59E0" w:rsidP="00B12E35">
      <w:pPr>
        <w:pStyle w:val="Testonotaapidipagina"/>
        <w:jc w:val="both"/>
        <w:rPr>
          <w:szCs w:val="18"/>
        </w:rPr>
      </w:pPr>
      <w:r w:rsidRPr="00B12E35">
        <w:rPr>
          <w:rStyle w:val="Rimandonotaapidipagina"/>
          <w:szCs w:val="18"/>
        </w:rPr>
        <w:footnoteRef/>
      </w:r>
      <w:r w:rsidRPr="00B12E35">
        <w:rPr>
          <w:szCs w:val="18"/>
        </w:rPr>
        <w:t xml:space="preserve"> </w:t>
      </w:r>
      <w:r w:rsidRPr="00B12E35">
        <w:rPr>
          <w:rFonts w:eastAsia="Times New Roman" w:cs="Bodoni MT"/>
          <w:iCs/>
          <w:color w:val="000000"/>
          <w:szCs w:val="18"/>
        </w:rPr>
        <w:t>in caso dei terreni agricoli, il valore catastale è ottenuto applicando all'ammontare del reddito dominicale risultante in catasto, vigente al 1° gennaio dell'anno d’imposizione, rivalutato del 25 per cento ai sensi dell'articolo 3, co</w:t>
      </w:r>
      <w:r>
        <w:rPr>
          <w:rFonts w:eastAsia="Times New Roman" w:cs="Bodoni MT"/>
          <w:iCs/>
          <w:color w:val="000000"/>
          <w:szCs w:val="18"/>
        </w:rPr>
        <w:t>mma 51, della legge 23 dicembre </w:t>
      </w:r>
      <w:r w:rsidRPr="00B12E35">
        <w:rPr>
          <w:rFonts w:eastAsia="Times New Roman" w:cs="Bodoni MT"/>
          <w:iCs/>
          <w:color w:val="000000"/>
          <w:szCs w:val="18"/>
        </w:rPr>
        <w:t>1996, n. 662, un moltiplicatore pari a 130.</w:t>
      </w:r>
    </w:p>
  </w:footnote>
  <w:footnote w:id="216">
    <w:p w:rsidR="004A59E0" w:rsidRPr="00B12E35" w:rsidRDefault="004A59E0" w:rsidP="00B12E35">
      <w:pPr>
        <w:pStyle w:val="Testonotaapidipagina"/>
        <w:jc w:val="both"/>
        <w:rPr>
          <w:szCs w:val="18"/>
        </w:rPr>
      </w:pPr>
      <w:r w:rsidRPr="00B12E35">
        <w:rPr>
          <w:rStyle w:val="Rimandonotaapidipagina"/>
          <w:szCs w:val="18"/>
        </w:rPr>
        <w:footnoteRef/>
      </w:r>
      <w:r w:rsidRPr="00B12E35">
        <w:rPr>
          <w:szCs w:val="18"/>
        </w:rPr>
        <w:t xml:space="preserve"> </w:t>
      </w:r>
      <w:r w:rsidRPr="00B12E35">
        <w:rPr>
          <w:rFonts w:eastAsia="Times New Roman" w:cs="Bodoni MT"/>
          <w:iCs/>
          <w:color w:val="000000"/>
          <w:szCs w:val="18"/>
        </w:rPr>
        <w:t>il valore catastale è ottenuto applicando all'ammontare delle rendite risultanti in catasto, vigenti al 1° gennaio dell'anno di imposizione, rivalutate del 5 per cento ai sensi dell'articolo 3, comma 48, della L. n. 662/1996 un moltiplicatore che varia da 160 (per i fabbricati classificati nel gruppo A) fino a 55 (per i fabbricati classificati nella categoria C/1).</w:t>
      </w:r>
    </w:p>
  </w:footnote>
  <w:footnote w:id="217">
    <w:p w:rsidR="004A59E0" w:rsidRDefault="004A59E0" w:rsidP="00CD34A0">
      <w:pPr>
        <w:pStyle w:val="Testonotaapidipagina"/>
      </w:pPr>
      <w:r>
        <w:rPr>
          <w:rStyle w:val="Rimandonotaapidipagina"/>
        </w:rPr>
        <w:footnoteRef/>
      </w:r>
      <w:r>
        <w:t xml:space="preserve"> Rapporto di gestione anno 2016 dell’Ufficio di Controllo Interno, pag. 118.</w:t>
      </w:r>
    </w:p>
  </w:footnote>
  <w:footnote w:id="218">
    <w:p w:rsidR="004A59E0" w:rsidRPr="00530108" w:rsidRDefault="004A59E0" w:rsidP="008C5DDA">
      <w:pPr>
        <w:pStyle w:val="Testonotaapidipagina"/>
        <w:rPr>
          <w:szCs w:val="18"/>
        </w:rPr>
      </w:pPr>
      <w:r w:rsidRPr="00530108">
        <w:rPr>
          <w:rStyle w:val="Rimandonotaapidipagina"/>
          <w:szCs w:val="18"/>
        </w:rPr>
        <w:footnoteRef/>
      </w:r>
      <w:r w:rsidRPr="00530108">
        <w:rPr>
          <w:szCs w:val="18"/>
        </w:rPr>
        <w:t xml:space="preserve"> </w:t>
      </w:r>
      <w:r>
        <w:rPr>
          <w:szCs w:val="18"/>
        </w:rPr>
        <w:t>V. Relazione sulla gestione, Premessa, pag. 5 e 6.</w:t>
      </w:r>
    </w:p>
  </w:footnote>
  <w:footnote w:id="219">
    <w:p w:rsidR="004A59E0" w:rsidRDefault="004A59E0" w:rsidP="008C5DDA">
      <w:pPr>
        <w:pStyle w:val="Testonotaapidipagina"/>
      </w:pPr>
      <w:r>
        <w:rPr>
          <w:rStyle w:val="Rimandonotaapidipagina"/>
        </w:rPr>
        <w:footnoteRef/>
      </w:r>
      <w:r>
        <w:t xml:space="preserve"> V. Nota Preliminare, Parte generale e Criteri di valutazione.</w:t>
      </w:r>
    </w:p>
  </w:footnote>
  <w:footnote w:id="220">
    <w:p w:rsidR="004A59E0" w:rsidRDefault="004A59E0" w:rsidP="008C5DDA">
      <w:pPr>
        <w:pStyle w:val="Testonotaapidipagina"/>
      </w:pPr>
      <w:r>
        <w:rPr>
          <w:rStyle w:val="Rimandonotaapidipagina"/>
        </w:rPr>
        <w:footnoteRef/>
      </w:r>
      <w:r>
        <w:t xml:space="preserve"> Con note n. 474 del 05.02.2018 e n. 510 del 09.02.2018.</w:t>
      </w:r>
    </w:p>
  </w:footnote>
  <w:footnote w:id="221">
    <w:p w:rsidR="004A59E0" w:rsidRDefault="004A59E0" w:rsidP="007800B4">
      <w:pPr>
        <w:pStyle w:val="Testonotaapidipagina"/>
        <w:jc w:val="both"/>
      </w:pPr>
      <w:r>
        <w:rPr>
          <w:rStyle w:val="Rimandonotaapidipagina"/>
        </w:rPr>
        <w:footnoteRef/>
      </w:r>
      <w:r>
        <w:t xml:space="preserve"> “L’eventuale utile o perdita d’esercizio della partecipata derivante dall’applicazione del metodo del patrimonio netto, è imputato nel conto economico per la quota di pertinenza, secondo il principio di competenza economica, e ha come contropartita, nello stato patrimoniale l’incremento o la riduzione della partecipazione non azionaria”.</w:t>
      </w:r>
    </w:p>
  </w:footnote>
  <w:footnote w:id="222">
    <w:p w:rsidR="004A59E0" w:rsidRDefault="004A59E0" w:rsidP="008C5DDA">
      <w:pPr>
        <w:pStyle w:val="Testonotaapidipagina"/>
      </w:pPr>
      <w:r>
        <w:rPr>
          <w:rStyle w:val="Rimandonotaapidipagina"/>
        </w:rPr>
        <w:footnoteRef/>
      </w:r>
      <w:r>
        <w:t xml:space="preserve"> V. Nota di risposte 3738 del 07.02.2018.</w:t>
      </w:r>
    </w:p>
  </w:footnote>
  <w:footnote w:id="223">
    <w:p w:rsidR="004A59E0" w:rsidRDefault="004A59E0" w:rsidP="007800B4">
      <w:pPr>
        <w:pStyle w:val="Testonotaapidipagina"/>
        <w:jc w:val="both"/>
      </w:pPr>
      <w:r>
        <w:rPr>
          <w:rStyle w:val="Rimandonotaapidipagina"/>
        </w:rPr>
        <w:footnoteRef/>
      </w:r>
      <w:r>
        <w:t xml:space="preserve"> V. gli esiti esposti dalla Regione nell’Allegato 19.5 al rendiconto 2016 e in quello precedente relativo al Rendiconto 2015.</w:t>
      </w:r>
    </w:p>
  </w:footnote>
  <w:footnote w:id="224">
    <w:p w:rsidR="004A59E0" w:rsidRDefault="004A59E0" w:rsidP="008C5DDA">
      <w:pPr>
        <w:pStyle w:val="Testonotaapidipagina"/>
      </w:pPr>
      <w:r>
        <w:rPr>
          <w:rStyle w:val="Rimandonotaapidipagina"/>
        </w:rPr>
        <w:footnoteRef/>
      </w:r>
      <w:r>
        <w:t xml:space="preserve"> Nota di risposte 4387 del 12.02.2018</w:t>
      </w:r>
    </w:p>
  </w:footnote>
  <w:footnote w:id="225">
    <w:p w:rsidR="004A59E0" w:rsidRDefault="004A59E0" w:rsidP="008C5DDA">
      <w:pPr>
        <w:pStyle w:val="Testonotaapidipagina"/>
      </w:pPr>
      <w:r>
        <w:rPr>
          <w:rStyle w:val="Rimandonotaapidipagina"/>
        </w:rPr>
        <w:footnoteRef/>
      </w:r>
      <w:r>
        <w:t xml:space="preserve"> V. art. 3, comma 2 D.Lgs. 118/2011 e in tali termini v. anche Del. Sezione controllo Sardegna SRCSAR/57/2017/FRG, pag. 4 “Il quadro dell’armonizzazione contabile: i nuovi principi contabili”.</w:t>
      </w:r>
    </w:p>
  </w:footnote>
  <w:footnote w:id="226">
    <w:p w:rsidR="004A59E0" w:rsidRDefault="004A59E0" w:rsidP="00CD34A0">
      <w:pPr>
        <w:pStyle w:val="Testonotaapidipagina"/>
      </w:pPr>
      <w:r>
        <w:rPr>
          <w:rStyle w:val="Rimandonotaapidipagina"/>
        </w:rPr>
        <w:footnoteRef/>
      </w:r>
      <w:r>
        <w:t xml:space="preserve"> Voce non prevista nello schema S.P.  predisposto dal M.E.F. per il 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Default="00B90472">
    <w:pPr>
      <w:pStyle w:val="Intestazione"/>
    </w:pPr>
    <w:r>
      <w:rPr>
        <w:noProof/>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17625" o:spid="_x0000_s2050" type="#_x0000_t75" style="position:absolute;margin-left:0;margin-top:0;width:595.2pt;height:841.9pt;z-index:-251657728;mso-position-horizontal:center;mso-position-horizontal-relative:margin;mso-position-vertical:center;mso-position-vertical-relative:margin" o:allowincell="f">
          <v:imagedata r:id="rId1" o:title="copertina referto"/>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783837" w:rsidRDefault="004A59E0" w:rsidP="00783837">
    <w:pPr>
      <w:pStyle w:val="Intestazion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La legge di bilancio dell’esercizio 2016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sidRPr="003F0FC0">
      <w:rPr>
        <w:rFonts w:ascii="Bodoni MT" w:hAnsi="Bodoni MT"/>
        <w:i/>
        <w:sz w:val="18"/>
        <w:szCs w:val="18"/>
      </w:rPr>
      <w:t xml:space="preserve">Gli effetti </w:t>
    </w:r>
    <w:r>
      <w:rPr>
        <w:rFonts w:ascii="Bodoni MT" w:hAnsi="Bodoni MT"/>
        <w:i/>
        <w:sz w:val="18"/>
        <w:szCs w:val="18"/>
      </w:rPr>
      <w:t>del riaccertamento ordinario sul bilancio di previsione</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A2C" w:rsidRPr="00D44A2C" w:rsidRDefault="00D44A2C" w:rsidP="00D44A2C">
    <w:pPr>
      <w:pStyle w:val="Intestazion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L’assestamento del bilancio e le previsioni definitive dell’esercizio 2016</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76086" w:rsidRDefault="004A59E0" w:rsidP="00376086">
    <w:pPr>
      <w:pStyle w:val="Intestazion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Il rendiconto 2016 e gli allegati</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I risultati della gestione</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Il quadro generale riassuntivo</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Gli equilibri di bilancio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Default="004A59E0" w:rsidP="00D109F2">
    <w:pPr>
      <w:pStyle w:val="Intestazione"/>
      <w:tabs>
        <w:tab w:val="clear" w:pos="4819"/>
        <w:tab w:val="clear" w:pos="9638"/>
        <w:tab w:val="left" w:pos="1029"/>
      </w:tabs>
    </w:pPr>
    <w: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Il pareggio di bilancio</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L’indebitamento</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La gestione dei crediti</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Il debito commerciale e l’anticipazione di liquidità per il pagamento dei debiti scaduti</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 debiti fuori bilancio</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La spesa per i trasferimenti correnti e per gli investimenti</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 trasferimenti alle Province nel nuovo assetto normativo</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La spesa per il personale, per il lavoro flessibile e per gli incarichi di consulenza e studio</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L’avanzamento della programmazione finanziata con fondi comunitari</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Il Servizio Sanitario Regionale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Default="004A59E0">
    <w:pPr>
      <w:pStyle w:val="Intestazione"/>
    </w:pPr>
    <w:r w:rsidRPr="001F3396">
      <w:rPr>
        <w:noProof/>
        <w:lang w:eastAsia="it-IT"/>
      </w:rPr>
      <w:drawing>
        <wp:anchor distT="0" distB="0" distL="114300" distR="114300" simplePos="0" relativeHeight="251656704" behindDoc="0" locked="0" layoutInCell="1" allowOverlap="1">
          <wp:simplePos x="0" y="0"/>
          <wp:positionH relativeFrom="page">
            <wp:posOffset>-86074</wp:posOffset>
          </wp:positionH>
          <wp:positionV relativeFrom="page">
            <wp:posOffset>-51758</wp:posOffset>
          </wp:positionV>
          <wp:extent cx="7648194" cy="10818495"/>
          <wp:effectExtent l="0" t="0" r="0" b="1905"/>
          <wp:wrapNone/>
          <wp:docPr id="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648194" cy="10818495"/>
                  </a:xfrm>
                  <a:prstGeom prst="rect">
                    <a:avLst/>
                  </a:prstGeom>
                  <a:noFill/>
                  <a:ln>
                    <a:noFill/>
                  </a:ln>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Il conto economico e lo stato patrimoniale</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E12A0A" w:rsidRDefault="004A59E0" w:rsidP="00E12A0A">
    <w:pPr>
      <w:pStyle w:val="Intestazione"/>
      <w:jc w:val="center"/>
      <w:rPr>
        <w:rFonts w:ascii="Bodoni MT" w:hAnsi="Bodoni MT"/>
        <w:i/>
        <w:sz w:val="18"/>
        <w:szCs w:val="18"/>
      </w:rPr>
    </w:pPr>
    <w:r>
      <w:rPr>
        <w:rFonts w:ascii="Bodoni MT" w:hAnsi="Bodoni MT"/>
        <w:i/>
        <w:sz w:val="18"/>
        <w:szCs w:val="18"/>
      </w:rPr>
      <w:t>Il contradditorio orale nell’adunanza pubblica</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FF2514" w:rsidRDefault="004A59E0" w:rsidP="00FF2514">
    <w:pPr>
      <w:pStyle w:val="Intestazione"/>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Default="004A59E0" w:rsidP="00896B29">
    <w:pPr>
      <w:pStyle w:val="Intestazione"/>
      <w:tabs>
        <w:tab w:val="clear" w:pos="4819"/>
        <w:tab w:val="clear" w:pos="9638"/>
        <w:tab w:val="left" w:pos="1029"/>
        <w:tab w:val="left" w:pos="6276"/>
      </w:tabs>
    </w:pPr>
    <w:r>
      <w:rPr>
        <w:noProof/>
        <w:lang w:eastAsia="it-IT"/>
      </w:rPr>
      <w:drawing>
        <wp:anchor distT="0" distB="0" distL="114300" distR="114300" simplePos="0" relativeHeight="251657728" behindDoc="1" locked="0" layoutInCell="1" allowOverlap="1" wp14:anchorId="5519B276" wp14:editId="55E04822">
          <wp:simplePos x="0" y="0"/>
          <wp:positionH relativeFrom="column">
            <wp:posOffset>-522768</wp:posOffset>
          </wp:positionH>
          <wp:positionV relativeFrom="paragraph">
            <wp:posOffset>-432962</wp:posOffset>
          </wp:positionV>
          <wp:extent cx="7558768" cy="10692000"/>
          <wp:effectExtent l="0" t="0" r="4445" b="0"/>
          <wp:wrapNone/>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GURAZIONE_RETR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tab/>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E77C8" w:rsidRDefault="004A59E0" w:rsidP="003E77C8">
    <w:pPr>
      <w:pStyle w:val="Intestazione"/>
      <w:jc w:val="center"/>
      <w:rPr>
        <w:rFonts w:ascii="Bodoni MT" w:hAnsi="Bodoni MT"/>
        <w:i/>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E77C8" w:rsidRDefault="004A59E0" w:rsidP="003E77C8">
    <w:pPr>
      <w:pStyle w:val="Intestazione"/>
      <w:jc w:val="center"/>
      <w:rPr>
        <w:rFonts w:ascii="Bodoni MT" w:hAnsi="Bodoni MT"/>
        <w:i/>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E77C8" w:rsidRDefault="004A59E0" w:rsidP="003E77C8">
    <w:pPr>
      <w:pStyle w:val="Intestazione"/>
      <w:jc w:val="center"/>
      <w:rPr>
        <w:rFonts w:ascii="Bodoni MT" w:hAnsi="Bodoni MT"/>
        <w:i/>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E77C8" w:rsidRDefault="004A59E0" w:rsidP="003E77C8">
    <w:pPr>
      <w:pStyle w:val="Intestazione"/>
      <w:jc w:val="center"/>
      <w:rPr>
        <w:rFonts w:ascii="Bodoni MT" w:hAnsi="Bodoni MT"/>
        <w:i/>
        <w:sz w:val="18"/>
        <w:szCs w:val="18"/>
      </w:rPr>
    </w:pPr>
    <w:r>
      <w:rPr>
        <w:rFonts w:ascii="Bodoni MT" w:hAnsi="Bodoni MT"/>
        <w:i/>
        <w:sz w:val="18"/>
        <w:szCs w:val="18"/>
      </w:rPr>
      <w:t>Valutazioni conclusive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76086" w:rsidRDefault="004A59E0" w:rsidP="00376086">
    <w:pPr>
      <w:pStyle w:val="Intestazio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9E0" w:rsidRPr="003F0FC0" w:rsidRDefault="004A59E0" w:rsidP="003F0FC0">
    <w:pPr>
      <w:pStyle w:val="Intestazione"/>
      <w:jc w:val="center"/>
      <w:rPr>
        <w:rFonts w:ascii="Bodoni MT" w:hAnsi="Bodoni MT"/>
        <w:i/>
        <w:sz w:val="18"/>
        <w:szCs w:val="18"/>
      </w:rPr>
    </w:pPr>
    <w:r>
      <w:rPr>
        <w:rFonts w:ascii="Bodoni MT" w:hAnsi="Bodoni MT"/>
        <w:i/>
        <w:sz w:val="18"/>
        <w:szCs w:val="18"/>
      </w:rPr>
      <w:t>Osservazioni preliminari: il ciclo di bilancio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72BFC"/>
    <w:multiLevelType w:val="hybridMultilevel"/>
    <w:tmpl w:val="16BEC1A2"/>
    <w:lvl w:ilvl="0" w:tplc="B0A096BC">
      <w:numFmt w:val="bullet"/>
      <w:lvlText w:val="-"/>
      <w:lvlJc w:val="left"/>
      <w:pPr>
        <w:ind w:left="340" w:hanging="340"/>
      </w:pPr>
      <w:rPr>
        <w:rFonts w:ascii="Bodoni MT" w:eastAsia="Times New Roman" w:hAnsi="Bodoni MT" w:cs="Bodoni M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3463EBB"/>
    <w:multiLevelType w:val="hybridMultilevel"/>
    <w:tmpl w:val="07C69254"/>
    <w:lvl w:ilvl="0" w:tplc="4BC4EDDA">
      <w:start w:val="7"/>
      <w:numFmt w:val="bullet"/>
      <w:lvlText w:val="-"/>
      <w:lvlJc w:val="left"/>
      <w:pPr>
        <w:ind w:left="720" w:hanging="360"/>
      </w:pPr>
      <w:rPr>
        <w:rFonts w:ascii="Bodoni MT" w:eastAsiaTheme="minorHAnsi" w:hAnsi="Bodoni MT"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E661CA6"/>
    <w:multiLevelType w:val="hybridMultilevel"/>
    <w:tmpl w:val="ADFAC3AA"/>
    <w:lvl w:ilvl="0" w:tplc="A45AAE28">
      <w:start w:val="1"/>
      <w:numFmt w:val="bullet"/>
      <w:lvlText w:val=""/>
      <w:lvlJc w:val="left"/>
      <w:pPr>
        <w:ind w:left="0" w:firstLine="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
    <w:nsid w:val="106E7973"/>
    <w:multiLevelType w:val="hybridMultilevel"/>
    <w:tmpl w:val="B6F421E6"/>
    <w:lvl w:ilvl="0" w:tplc="FDF40CE2">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10D56724"/>
    <w:multiLevelType w:val="hybridMultilevel"/>
    <w:tmpl w:val="46E8905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128E13B2"/>
    <w:multiLevelType w:val="hybridMultilevel"/>
    <w:tmpl w:val="17DEEA5A"/>
    <w:lvl w:ilvl="0" w:tplc="B4DE56F2">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14B04C88"/>
    <w:multiLevelType w:val="hybridMultilevel"/>
    <w:tmpl w:val="CCE282B8"/>
    <w:lvl w:ilvl="0" w:tplc="9ED27E66">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7E02C54"/>
    <w:multiLevelType w:val="hybridMultilevel"/>
    <w:tmpl w:val="AABC7832"/>
    <w:lvl w:ilvl="0" w:tplc="E1064A30">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1D2140ED"/>
    <w:multiLevelType w:val="hybridMultilevel"/>
    <w:tmpl w:val="F85CA4B6"/>
    <w:lvl w:ilvl="0" w:tplc="442E259E">
      <w:start w:val="3"/>
      <w:numFmt w:val="decimal"/>
      <w:lvlText w:val="%1."/>
      <w:lvlJc w:val="left"/>
      <w:pPr>
        <w:ind w:left="0" w:firstLine="0"/>
      </w:pPr>
      <w:rPr>
        <w:rFonts w:hint="default"/>
        <w:b/>
        <w:sz w:val="28"/>
        <w:szCs w:val="2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20951A11"/>
    <w:multiLevelType w:val="hybridMultilevel"/>
    <w:tmpl w:val="6D247F0E"/>
    <w:lvl w:ilvl="0" w:tplc="BADC1F34">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5304D47"/>
    <w:multiLevelType w:val="hybridMultilevel"/>
    <w:tmpl w:val="CB08A198"/>
    <w:lvl w:ilvl="0" w:tplc="E482DF02">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2BA10807"/>
    <w:multiLevelType w:val="hybridMultilevel"/>
    <w:tmpl w:val="FBFA721A"/>
    <w:lvl w:ilvl="0" w:tplc="A914CE24">
      <w:start w:val="1"/>
      <w:numFmt w:val="upperLetter"/>
      <w:lvlText w:val="%1)"/>
      <w:lvlJc w:val="left"/>
      <w:pPr>
        <w:ind w:left="0" w:firstLine="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33517149"/>
    <w:multiLevelType w:val="hybridMultilevel"/>
    <w:tmpl w:val="4718AFF6"/>
    <w:lvl w:ilvl="0" w:tplc="16E48460">
      <w:start w:val="1"/>
      <w:numFmt w:val="bullet"/>
      <w:pStyle w:val="CdcElencopuntato"/>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3F782A8D"/>
    <w:multiLevelType w:val="hybridMultilevel"/>
    <w:tmpl w:val="F5881C92"/>
    <w:lvl w:ilvl="0" w:tplc="9AC4C6F4">
      <w:start w:val="1"/>
      <w:numFmt w:val="bullet"/>
      <w:lvlText w:val=""/>
      <w:lvlJc w:val="left"/>
      <w:pPr>
        <w:ind w:left="284" w:hanging="284"/>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410770CC"/>
    <w:multiLevelType w:val="hybridMultilevel"/>
    <w:tmpl w:val="296EB716"/>
    <w:lvl w:ilvl="0" w:tplc="0A56CD94">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42241B81"/>
    <w:multiLevelType w:val="hybridMultilevel"/>
    <w:tmpl w:val="910C0304"/>
    <w:lvl w:ilvl="0" w:tplc="73FE499E">
      <w:start w:val="1"/>
      <w:numFmt w:val="bullet"/>
      <w:lvlText w:val=""/>
      <w:lvlJc w:val="left"/>
      <w:pPr>
        <w:ind w:left="340" w:hanging="34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42EB7627"/>
    <w:multiLevelType w:val="hybridMultilevel"/>
    <w:tmpl w:val="B1162A16"/>
    <w:lvl w:ilvl="0" w:tplc="2C926AEC">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457B4257"/>
    <w:multiLevelType w:val="hybridMultilevel"/>
    <w:tmpl w:val="E8803B22"/>
    <w:lvl w:ilvl="0" w:tplc="D7AEB1AE">
      <w:start w:val="18"/>
      <w:numFmt w:val="decimal"/>
      <w:lvlText w:val="%1."/>
      <w:lvlJc w:val="left"/>
      <w:pPr>
        <w:ind w:left="0" w:firstLine="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4A265D0E"/>
    <w:multiLevelType w:val="hybridMultilevel"/>
    <w:tmpl w:val="760AC626"/>
    <w:lvl w:ilvl="0" w:tplc="2F4A941A">
      <w:start w:val="1"/>
      <w:numFmt w:val="decimal"/>
      <w:lvlText w:val="%1."/>
      <w:lvlJc w:val="left"/>
      <w:pPr>
        <w:ind w:left="0" w:firstLine="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4C384AAA"/>
    <w:multiLevelType w:val="hybridMultilevel"/>
    <w:tmpl w:val="C6A2E29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4EB24F0A"/>
    <w:multiLevelType w:val="hybridMultilevel"/>
    <w:tmpl w:val="29A8684C"/>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nsid w:val="543D6671"/>
    <w:multiLevelType w:val="hybridMultilevel"/>
    <w:tmpl w:val="67F0BCE4"/>
    <w:lvl w:ilvl="0" w:tplc="0F8A8DB8">
      <w:start w:val="1"/>
      <w:numFmt w:val="bullet"/>
      <w:lvlText w:val=""/>
      <w:lvlJc w:val="left"/>
      <w:pPr>
        <w:ind w:left="227"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ED97D7C"/>
    <w:multiLevelType w:val="hybridMultilevel"/>
    <w:tmpl w:val="16CE3074"/>
    <w:lvl w:ilvl="0" w:tplc="E83CDCD2">
      <w:start w:val="1"/>
      <w:numFmt w:val="bullet"/>
      <w:lvlText w:val=""/>
      <w:lvlJc w:val="left"/>
      <w:pPr>
        <w:ind w:left="340" w:hanging="34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642A6A8E"/>
    <w:multiLevelType w:val="hybridMultilevel"/>
    <w:tmpl w:val="3B42B4D0"/>
    <w:lvl w:ilvl="0" w:tplc="275A2E94">
      <w:start w:val="1"/>
      <w:numFmt w:val="decimal"/>
      <w:lvlText w:val="%1."/>
      <w:lvlJc w:val="left"/>
      <w:pPr>
        <w:ind w:left="720" w:hanging="36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nsid w:val="671A19CA"/>
    <w:multiLevelType w:val="multilevel"/>
    <w:tmpl w:val="41E08F8A"/>
    <w:lvl w:ilvl="0">
      <w:start w:val="1"/>
      <w:numFmt w:val="decimal"/>
      <w:pStyle w:val="Titolo1"/>
      <w:lvlText w:val="%1"/>
      <w:lvlJc w:val="left"/>
      <w:pPr>
        <w:ind w:left="9080" w:hanging="432"/>
      </w:pPr>
      <w:rPr>
        <w:rFonts w:hint="default"/>
        <w:b/>
        <w:i w:val="0"/>
        <w:strike w:val="0"/>
        <w:sz w:val="36"/>
        <w:szCs w:val="36"/>
      </w:rPr>
    </w:lvl>
    <w:lvl w:ilvl="1">
      <w:start w:val="1"/>
      <w:numFmt w:val="decimal"/>
      <w:pStyle w:val="Titolo2"/>
      <w:lvlText w:val="%1.%2"/>
      <w:lvlJc w:val="left"/>
      <w:pPr>
        <w:ind w:left="8657" w:hanging="576"/>
      </w:pPr>
    </w:lvl>
    <w:lvl w:ilvl="2">
      <w:start w:val="1"/>
      <w:numFmt w:val="decimal"/>
      <w:pStyle w:val="Titolo3"/>
      <w:lvlText w:val="%1.%2.%3"/>
      <w:lvlJc w:val="left"/>
      <w:pPr>
        <w:ind w:left="8234" w:hanging="720"/>
      </w:pPr>
      <w:rPr>
        <w:strike w:val="0"/>
        <w:sz w:val="28"/>
        <w:szCs w:val="28"/>
      </w:r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5">
    <w:nsid w:val="69A23990"/>
    <w:multiLevelType w:val="hybridMultilevel"/>
    <w:tmpl w:val="1F22C452"/>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nsid w:val="75562BB0"/>
    <w:multiLevelType w:val="hybridMultilevel"/>
    <w:tmpl w:val="D6A4C892"/>
    <w:lvl w:ilvl="0" w:tplc="69E853EA">
      <w:start w:val="1"/>
      <w:numFmt w:val="upperLetter"/>
      <w:lvlText w:val="%1)"/>
      <w:lvlJc w:val="left"/>
      <w:pPr>
        <w:ind w:left="502"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nsid w:val="796F58DB"/>
    <w:multiLevelType w:val="hybridMultilevel"/>
    <w:tmpl w:val="EFA09336"/>
    <w:lvl w:ilvl="0" w:tplc="C0FE4BA2">
      <w:numFmt w:val="bullet"/>
      <w:lvlText w:val="-"/>
      <w:lvlJc w:val="left"/>
      <w:pPr>
        <w:ind w:left="0" w:firstLine="0"/>
      </w:pPr>
      <w:rPr>
        <w:rFonts w:ascii="Bodoni MT" w:eastAsiaTheme="minorEastAsia" w:hAnsi="Bodoni MT" w:cs="Bodoni M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7D9D40F1"/>
    <w:multiLevelType w:val="hybridMultilevel"/>
    <w:tmpl w:val="0A862296"/>
    <w:lvl w:ilvl="0" w:tplc="3B94185A">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7F08355D"/>
    <w:multiLevelType w:val="hybridMultilevel"/>
    <w:tmpl w:val="E7C27AAC"/>
    <w:lvl w:ilvl="0" w:tplc="2E2A7A22">
      <w:start w:val="1"/>
      <w:numFmt w:val="bullet"/>
      <w:lvlText w:val=""/>
      <w:lvlJc w:val="left"/>
      <w:pPr>
        <w:ind w:left="0" w:firstLine="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24"/>
    <w:lvlOverride w:ilvl="0">
      <w:startOverride w:val="2"/>
    </w:lvlOverride>
    <w:lvlOverride w:ilvl="1">
      <w:startOverride w:val="1"/>
    </w:lvlOverride>
    <w:lvlOverride w:ilvl="2">
      <w:startOverride w:val="3"/>
    </w:lvlOverride>
  </w:num>
  <w:num w:numId="4">
    <w:abstractNumId w:val="27"/>
  </w:num>
  <w:num w:numId="5">
    <w:abstractNumId w:val="1"/>
  </w:num>
  <w:num w:numId="6">
    <w:abstractNumId w:val="4"/>
  </w:num>
  <w:num w:numId="7">
    <w:abstractNumId w:val="29"/>
  </w:num>
  <w:num w:numId="8">
    <w:abstractNumId w:val="2"/>
  </w:num>
  <w:num w:numId="9">
    <w:abstractNumId w:val="14"/>
  </w:num>
  <w:num w:numId="10">
    <w:abstractNumId w:val="21"/>
  </w:num>
  <w:num w:numId="11">
    <w:abstractNumId w:val="5"/>
  </w:num>
  <w:num w:numId="12">
    <w:abstractNumId w:val="20"/>
  </w:num>
  <w:num w:numId="13">
    <w:abstractNumId w:val="19"/>
  </w:num>
  <w:num w:numId="14">
    <w:abstractNumId w:val="7"/>
  </w:num>
  <w:num w:numId="15">
    <w:abstractNumId w:val="23"/>
  </w:num>
  <w:num w:numId="16">
    <w:abstractNumId w:val="26"/>
  </w:num>
  <w:num w:numId="17">
    <w:abstractNumId w:val="0"/>
  </w:num>
  <w:num w:numId="18">
    <w:abstractNumId w:val="25"/>
  </w:num>
  <w:num w:numId="19">
    <w:abstractNumId w:val="16"/>
  </w:num>
  <w:num w:numId="20">
    <w:abstractNumId w:val="3"/>
  </w:num>
  <w:num w:numId="21">
    <w:abstractNumId w:val="6"/>
  </w:num>
  <w:num w:numId="22">
    <w:abstractNumId w:val="13"/>
  </w:num>
  <w:num w:numId="23">
    <w:abstractNumId w:val="9"/>
  </w:num>
  <w:num w:numId="24">
    <w:abstractNumId w:val="15"/>
  </w:num>
  <w:num w:numId="25">
    <w:abstractNumId w:val="18"/>
  </w:num>
  <w:num w:numId="26">
    <w:abstractNumId w:val="17"/>
  </w:num>
  <w:num w:numId="27">
    <w:abstractNumId w:val="8"/>
  </w:num>
  <w:num w:numId="28">
    <w:abstractNumId w:val="22"/>
  </w:num>
  <w:num w:numId="29">
    <w:abstractNumId w:val="28"/>
  </w:num>
  <w:num w:numId="30">
    <w:abstractNumId w:val="10"/>
  </w:num>
  <w:num w:numId="31">
    <w:abstractNumId w:val="1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hyphenationZone w:val="283"/>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0B8B"/>
    <w:rsid w:val="0000027D"/>
    <w:rsid w:val="00003D56"/>
    <w:rsid w:val="00004A79"/>
    <w:rsid w:val="0000589B"/>
    <w:rsid w:val="00005E82"/>
    <w:rsid w:val="00006277"/>
    <w:rsid w:val="00010A66"/>
    <w:rsid w:val="0001697F"/>
    <w:rsid w:val="00021B56"/>
    <w:rsid w:val="00025D9A"/>
    <w:rsid w:val="00025F0A"/>
    <w:rsid w:val="000303DB"/>
    <w:rsid w:val="000312E9"/>
    <w:rsid w:val="00031B8B"/>
    <w:rsid w:val="000322CA"/>
    <w:rsid w:val="000332EA"/>
    <w:rsid w:val="00033633"/>
    <w:rsid w:val="00035B87"/>
    <w:rsid w:val="0004186B"/>
    <w:rsid w:val="0004456B"/>
    <w:rsid w:val="00044F54"/>
    <w:rsid w:val="000454A6"/>
    <w:rsid w:val="00053015"/>
    <w:rsid w:val="00057984"/>
    <w:rsid w:val="00057D68"/>
    <w:rsid w:val="00064BC1"/>
    <w:rsid w:val="00066711"/>
    <w:rsid w:val="00066CF0"/>
    <w:rsid w:val="0006748E"/>
    <w:rsid w:val="000716EA"/>
    <w:rsid w:val="00073FD8"/>
    <w:rsid w:val="00075A79"/>
    <w:rsid w:val="00076311"/>
    <w:rsid w:val="000827D1"/>
    <w:rsid w:val="00086974"/>
    <w:rsid w:val="0008765A"/>
    <w:rsid w:val="00091CB8"/>
    <w:rsid w:val="00091CE5"/>
    <w:rsid w:val="0009271B"/>
    <w:rsid w:val="00093721"/>
    <w:rsid w:val="00096E85"/>
    <w:rsid w:val="000A2351"/>
    <w:rsid w:val="000B6497"/>
    <w:rsid w:val="000C27DF"/>
    <w:rsid w:val="000C5640"/>
    <w:rsid w:val="000C6BEF"/>
    <w:rsid w:val="000C711E"/>
    <w:rsid w:val="000C7BBE"/>
    <w:rsid w:val="000D01BB"/>
    <w:rsid w:val="000D1769"/>
    <w:rsid w:val="000D2EA9"/>
    <w:rsid w:val="000D38ED"/>
    <w:rsid w:val="000D474C"/>
    <w:rsid w:val="000D68EA"/>
    <w:rsid w:val="000D6E09"/>
    <w:rsid w:val="000E5E44"/>
    <w:rsid w:val="000E6A95"/>
    <w:rsid w:val="000E6CBF"/>
    <w:rsid w:val="000F6AA1"/>
    <w:rsid w:val="000F76E0"/>
    <w:rsid w:val="00101FF8"/>
    <w:rsid w:val="0010391A"/>
    <w:rsid w:val="00112261"/>
    <w:rsid w:val="00117A69"/>
    <w:rsid w:val="00120A77"/>
    <w:rsid w:val="001228FE"/>
    <w:rsid w:val="00130B51"/>
    <w:rsid w:val="001354F9"/>
    <w:rsid w:val="0013706B"/>
    <w:rsid w:val="00137A3F"/>
    <w:rsid w:val="001405F6"/>
    <w:rsid w:val="00142935"/>
    <w:rsid w:val="0015221E"/>
    <w:rsid w:val="0015298A"/>
    <w:rsid w:val="0015436D"/>
    <w:rsid w:val="00156EC8"/>
    <w:rsid w:val="00161FD5"/>
    <w:rsid w:val="00164EBF"/>
    <w:rsid w:val="001731A5"/>
    <w:rsid w:val="00173835"/>
    <w:rsid w:val="00174D62"/>
    <w:rsid w:val="001812B1"/>
    <w:rsid w:val="00184B93"/>
    <w:rsid w:val="0018536A"/>
    <w:rsid w:val="00187F3A"/>
    <w:rsid w:val="001906B4"/>
    <w:rsid w:val="00190715"/>
    <w:rsid w:val="00194841"/>
    <w:rsid w:val="0019534E"/>
    <w:rsid w:val="00195726"/>
    <w:rsid w:val="00195CEC"/>
    <w:rsid w:val="001A22A0"/>
    <w:rsid w:val="001A775F"/>
    <w:rsid w:val="001A77CF"/>
    <w:rsid w:val="001B6BFA"/>
    <w:rsid w:val="001B789C"/>
    <w:rsid w:val="001C21B7"/>
    <w:rsid w:val="001C2295"/>
    <w:rsid w:val="001C32B6"/>
    <w:rsid w:val="001C502F"/>
    <w:rsid w:val="001D0F8F"/>
    <w:rsid w:val="001D352C"/>
    <w:rsid w:val="001D4EA4"/>
    <w:rsid w:val="001D5481"/>
    <w:rsid w:val="001E4CB5"/>
    <w:rsid w:val="001E52A8"/>
    <w:rsid w:val="001E653B"/>
    <w:rsid w:val="001E794C"/>
    <w:rsid w:val="001F2FD8"/>
    <w:rsid w:val="001F3396"/>
    <w:rsid w:val="00201284"/>
    <w:rsid w:val="00203D68"/>
    <w:rsid w:val="00203E5B"/>
    <w:rsid w:val="0020486F"/>
    <w:rsid w:val="00204FBC"/>
    <w:rsid w:val="00206407"/>
    <w:rsid w:val="002163CC"/>
    <w:rsid w:val="0021742E"/>
    <w:rsid w:val="00224D74"/>
    <w:rsid w:val="002253C5"/>
    <w:rsid w:val="002260AC"/>
    <w:rsid w:val="00227F9B"/>
    <w:rsid w:val="00234A57"/>
    <w:rsid w:val="00236DF6"/>
    <w:rsid w:val="00237328"/>
    <w:rsid w:val="00240D72"/>
    <w:rsid w:val="00245071"/>
    <w:rsid w:val="002454FB"/>
    <w:rsid w:val="00252901"/>
    <w:rsid w:val="00255A76"/>
    <w:rsid w:val="00261064"/>
    <w:rsid w:val="00262C61"/>
    <w:rsid w:val="00267F6F"/>
    <w:rsid w:val="00270B04"/>
    <w:rsid w:val="00271E1D"/>
    <w:rsid w:val="0027415D"/>
    <w:rsid w:val="002765EE"/>
    <w:rsid w:val="00281FFE"/>
    <w:rsid w:val="00284994"/>
    <w:rsid w:val="00284EB9"/>
    <w:rsid w:val="00285FEE"/>
    <w:rsid w:val="00290C6F"/>
    <w:rsid w:val="0029143F"/>
    <w:rsid w:val="002928F0"/>
    <w:rsid w:val="00297549"/>
    <w:rsid w:val="002A11E2"/>
    <w:rsid w:val="002A12B8"/>
    <w:rsid w:val="002A2FE9"/>
    <w:rsid w:val="002A61EC"/>
    <w:rsid w:val="002B20A0"/>
    <w:rsid w:val="002B5DE9"/>
    <w:rsid w:val="002C09AF"/>
    <w:rsid w:val="002C0A25"/>
    <w:rsid w:val="002C0B0B"/>
    <w:rsid w:val="002C0F12"/>
    <w:rsid w:val="002C1198"/>
    <w:rsid w:val="002C1F0C"/>
    <w:rsid w:val="002C53FB"/>
    <w:rsid w:val="002C597C"/>
    <w:rsid w:val="002D16AC"/>
    <w:rsid w:val="002D1FB8"/>
    <w:rsid w:val="002D24A1"/>
    <w:rsid w:val="002D60C3"/>
    <w:rsid w:val="002D79C5"/>
    <w:rsid w:val="002E04DE"/>
    <w:rsid w:val="002E3EC5"/>
    <w:rsid w:val="002E6CA8"/>
    <w:rsid w:val="002F16DC"/>
    <w:rsid w:val="002F17D6"/>
    <w:rsid w:val="002F3A4E"/>
    <w:rsid w:val="002F45C0"/>
    <w:rsid w:val="00302EFC"/>
    <w:rsid w:val="00304DA2"/>
    <w:rsid w:val="00304DB6"/>
    <w:rsid w:val="0031237A"/>
    <w:rsid w:val="00315CBA"/>
    <w:rsid w:val="00317528"/>
    <w:rsid w:val="00321CED"/>
    <w:rsid w:val="00324D94"/>
    <w:rsid w:val="00324F08"/>
    <w:rsid w:val="0032512C"/>
    <w:rsid w:val="003278F2"/>
    <w:rsid w:val="00330CF3"/>
    <w:rsid w:val="00331C1E"/>
    <w:rsid w:val="00334CA1"/>
    <w:rsid w:val="00335ECD"/>
    <w:rsid w:val="003401A5"/>
    <w:rsid w:val="00343375"/>
    <w:rsid w:val="00343B30"/>
    <w:rsid w:val="00344122"/>
    <w:rsid w:val="003450B6"/>
    <w:rsid w:val="00346270"/>
    <w:rsid w:val="00346601"/>
    <w:rsid w:val="003529FE"/>
    <w:rsid w:val="00357E83"/>
    <w:rsid w:val="003613C6"/>
    <w:rsid w:val="0036141C"/>
    <w:rsid w:val="003620F1"/>
    <w:rsid w:val="0036427A"/>
    <w:rsid w:val="00364B2C"/>
    <w:rsid w:val="003655D8"/>
    <w:rsid w:val="00373487"/>
    <w:rsid w:val="00376009"/>
    <w:rsid w:val="00376086"/>
    <w:rsid w:val="0037725A"/>
    <w:rsid w:val="00380EA1"/>
    <w:rsid w:val="00383351"/>
    <w:rsid w:val="003921CC"/>
    <w:rsid w:val="00392A48"/>
    <w:rsid w:val="003A107A"/>
    <w:rsid w:val="003B1C41"/>
    <w:rsid w:val="003B1F36"/>
    <w:rsid w:val="003B378B"/>
    <w:rsid w:val="003B4FF5"/>
    <w:rsid w:val="003D0E01"/>
    <w:rsid w:val="003E06F2"/>
    <w:rsid w:val="003E1AB6"/>
    <w:rsid w:val="003E55B8"/>
    <w:rsid w:val="003E5BD1"/>
    <w:rsid w:val="003E6BCD"/>
    <w:rsid w:val="003E72A8"/>
    <w:rsid w:val="003E77C8"/>
    <w:rsid w:val="003F08EF"/>
    <w:rsid w:val="003F0FC0"/>
    <w:rsid w:val="003F2251"/>
    <w:rsid w:val="003F71D8"/>
    <w:rsid w:val="003F72DF"/>
    <w:rsid w:val="003F7915"/>
    <w:rsid w:val="004014B4"/>
    <w:rsid w:val="00402259"/>
    <w:rsid w:val="00404AFF"/>
    <w:rsid w:val="00406A3F"/>
    <w:rsid w:val="00411C4D"/>
    <w:rsid w:val="0041463A"/>
    <w:rsid w:val="00414EA1"/>
    <w:rsid w:val="00415E4D"/>
    <w:rsid w:val="00416B72"/>
    <w:rsid w:val="0041784F"/>
    <w:rsid w:val="004267A5"/>
    <w:rsid w:val="00426B14"/>
    <w:rsid w:val="00427B63"/>
    <w:rsid w:val="00432895"/>
    <w:rsid w:val="004333DF"/>
    <w:rsid w:val="004422C8"/>
    <w:rsid w:val="004469B5"/>
    <w:rsid w:val="00451AA7"/>
    <w:rsid w:val="004526EF"/>
    <w:rsid w:val="00453D0E"/>
    <w:rsid w:val="004550DF"/>
    <w:rsid w:val="00455BA9"/>
    <w:rsid w:val="004571E5"/>
    <w:rsid w:val="004579ED"/>
    <w:rsid w:val="00462E40"/>
    <w:rsid w:val="00462FCB"/>
    <w:rsid w:val="00463851"/>
    <w:rsid w:val="004672B0"/>
    <w:rsid w:val="0047082C"/>
    <w:rsid w:val="00470A45"/>
    <w:rsid w:val="0047225D"/>
    <w:rsid w:val="0047471F"/>
    <w:rsid w:val="00474C78"/>
    <w:rsid w:val="00477D2E"/>
    <w:rsid w:val="00481613"/>
    <w:rsid w:val="00490436"/>
    <w:rsid w:val="00495973"/>
    <w:rsid w:val="004A0000"/>
    <w:rsid w:val="004A00D8"/>
    <w:rsid w:val="004A0258"/>
    <w:rsid w:val="004A0B01"/>
    <w:rsid w:val="004A59E0"/>
    <w:rsid w:val="004A7E6A"/>
    <w:rsid w:val="004B0B8B"/>
    <w:rsid w:val="004B535D"/>
    <w:rsid w:val="004B7480"/>
    <w:rsid w:val="004B78CB"/>
    <w:rsid w:val="004B7A96"/>
    <w:rsid w:val="004C0147"/>
    <w:rsid w:val="004C021E"/>
    <w:rsid w:val="004C20CE"/>
    <w:rsid w:val="004C6F9E"/>
    <w:rsid w:val="004D0189"/>
    <w:rsid w:val="004D15FA"/>
    <w:rsid w:val="004D3A5C"/>
    <w:rsid w:val="004D5B6D"/>
    <w:rsid w:val="004E1627"/>
    <w:rsid w:val="004E3F21"/>
    <w:rsid w:val="004E6597"/>
    <w:rsid w:val="004F3710"/>
    <w:rsid w:val="00503AC8"/>
    <w:rsid w:val="005069EE"/>
    <w:rsid w:val="00507014"/>
    <w:rsid w:val="005125BC"/>
    <w:rsid w:val="0051474F"/>
    <w:rsid w:val="00515701"/>
    <w:rsid w:val="00517854"/>
    <w:rsid w:val="00520A60"/>
    <w:rsid w:val="00520ED8"/>
    <w:rsid w:val="0052128D"/>
    <w:rsid w:val="00525FB3"/>
    <w:rsid w:val="005272E2"/>
    <w:rsid w:val="005274C2"/>
    <w:rsid w:val="00535EB3"/>
    <w:rsid w:val="005363F2"/>
    <w:rsid w:val="00550C97"/>
    <w:rsid w:val="005514AD"/>
    <w:rsid w:val="00554210"/>
    <w:rsid w:val="0055441F"/>
    <w:rsid w:val="005545B5"/>
    <w:rsid w:val="005560F9"/>
    <w:rsid w:val="005566B6"/>
    <w:rsid w:val="0056062A"/>
    <w:rsid w:val="0057100F"/>
    <w:rsid w:val="00573E79"/>
    <w:rsid w:val="0057559F"/>
    <w:rsid w:val="00581817"/>
    <w:rsid w:val="0058214E"/>
    <w:rsid w:val="00582DE2"/>
    <w:rsid w:val="00587052"/>
    <w:rsid w:val="005872F8"/>
    <w:rsid w:val="00587DC8"/>
    <w:rsid w:val="00590955"/>
    <w:rsid w:val="0059470F"/>
    <w:rsid w:val="00596FFD"/>
    <w:rsid w:val="00597BD9"/>
    <w:rsid w:val="005A0737"/>
    <w:rsid w:val="005A13A3"/>
    <w:rsid w:val="005A1B96"/>
    <w:rsid w:val="005A38B6"/>
    <w:rsid w:val="005B0435"/>
    <w:rsid w:val="005B07C4"/>
    <w:rsid w:val="005B1367"/>
    <w:rsid w:val="005B5202"/>
    <w:rsid w:val="005B5A3C"/>
    <w:rsid w:val="005B64E7"/>
    <w:rsid w:val="005B7C05"/>
    <w:rsid w:val="005D0267"/>
    <w:rsid w:val="005D0F47"/>
    <w:rsid w:val="005D660C"/>
    <w:rsid w:val="005E1BE4"/>
    <w:rsid w:val="005E221B"/>
    <w:rsid w:val="005E3A52"/>
    <w:rsid w:val="005E7434"/>
    <w:rsid w:val="005E7922"/>
    <w:rsid w:val="005F1B3C"/>
    <w:rsid w:val="005F7A8D"/>
    <w:rsid w:val="0060202C"/>
    <w:rsid w:val="006030C3"/>
    <w:rsid w:val="00604039"/>
    <w:rsid w:val="0060485F"/>
    <w:rsid w:val="00605417"/>
    <w:rsid w:val="006066A2"/>
    <w:rsid w:val="0060750B"/>
    <w:rsid w:val="0061030C"/>
    <w:rsid w:val="00612347"/>
    <w:rsid w:val="00616D47"/>
    <w:rsid w:val="0061733B"/>
    <w:rsid w:val="006179BE"/>
    <w:rsid w:val="0062154E"/>
    <w:rsid w:val="0062184B"/>
    <w:rsid w:val="00622D34"/>
    <w:rsid w:val="00625F30"/>
    <w:rsid w:val="0062609F"/>
    <w:rsid w:val="00626DE1"/>
    <w:rsid w:val="0062750A"/>
    <w:rsid w:val="00632693"/>
    <w:rsid w:val="006372FA"/>
    <w:rsid w:val="006412E3"/>
    <w:rsid w:val="0064159B"/>
    <w:rsid w:val="00643E80"/>
    <w:rsid w:val="00644550"/>
    <w:rsid w:val="00645E62"/>
    <w:rsid w:val="006462C2"/>
    <w:rsid w:val="00646970"/>
    <w:rsid w:val="00646EDA"/>
    <w:rsid w:val="00651FFF"/>
    <w:rsid w:val="006525D1"/>
    <w:rsid w:val="00652A7B"/>
    <w:rsid w:val="00661193"/>
    <w:rsid w:val="00664010"/>
    <w:rsid w:val="006641AA"/>
    <w:rsid w:val="006652E5"/>
    <w:rsid w:val="00665ABA"/>
    <w:rsid w:val="00667A16"/>
    <w:rsid w:val="006733D4"/>
    <w:rsid w:val="0068385B"/>
    <w:rsid w:val="006843EE"/>
    <w:rsid w:val="006845D0"/>
    <w:rsid w:val="00686B21"/>
    <w:rsid w:val="006944CF"/>
    <w:rsid w:val="006964AE"/>
    <w:rsid w:val="006A4C89"/>
    <w:rsid w:val="006B7128"/>
    <w:rsid w:val="006D5B1F"/>
    <w:rsid w:val="006E3588"/>
    <w:rsid w:val="006E7785"/>
    <w:rsid w:val="006E784D"/>
    <w:rsid w:val="006E7E2B"/>
    <w:rsid w:val="006F0679"/>
    <w:rsid w:val="006F2258"/>
    <w:rsid w:val="006F3EBA"/>
    <w:rsid w:val="006F51D1"/>
    <w:rsid w:val="006F6684"/>
    <w:rsid w:val="007021FE"/>
    <w:rsid w:val="00703BC5"/>
    <w:rsid w:val="0071210B"/>
    <w:rsid w:val="007205C2"/>
    <w:rsid w:val="00723CF6"/>
    <w:rsid w:val="00724694"/>
    <w:rsid w:val="0074245D"/>
    <w:rsid w:val="0075368E"/>
    <w:rsid w:val="00760E49"/>
    <w:rsid w:val="00762ABA"/>
    <w:rsid w:val="00767294"/>
    <w:rsid w:val="00767DD5"/>
    <w:rsid w:val="00771F06"/>
    <w:rsid w:val="007800B4"/>
    <w:rsid w:val="007803E2"/>
    <w:rsid w:val="00783837"/>
    <w:rsid w:val="00785302"/>
    <w:rsid w:val="00787AE4"/>
    <w:rsid w:val="00787F65"/>
    <w:rsid w:val="00790C5D"/>
    <w:rsid w:val="00792B2D"/>
    <w:rsid w:val="00795846"/>
    <w:rsid w:val="007A1171"/>
    <w:rsid w:val="007B07EB"/>
    <w:rsid w:val="007B146E"/>
    <w:rsid w:val="007B3B7B"/>
    <w:rsid w:val="007B4FB6"/>
    <w:rsid w:val="007B50FA"/>
    <w:rsid w:val="007B5308"/>
    <w:rsid w:val="007C0180"/>
    <w:rsid w:val="007C0396"/>
    <w:rsid w:val="007C335A"/>
    <w:rsid w:val="007D078F"/>
    <w:rsid w:val="007D10C5"/>
    <w:rsid w:val="007D1222"/>
    <w:rsid w:val="007D46F1"/>
    <w:rsid w:val="007D485B"/>
    <w:rsid w:val="007D6656"/>
    <w:rsid w:val="007E105E"/>
    <w:rsid w:val="007E228A"/>
    <w:rsid w:val="007E260A"/>
    <w:rsid w:val="007E3C20"/>
    <w:rsid w:val="007F2C73"/>
    <w:rsid w:val="007F4DA4"/>
    <w:rsid w:val="00800C4F"/>
    <w:rsid w:val="008013F3"/>
    <w:rsid w:val="0080214E"/>
    <w:rsid w:val="00806853"/>
    <w:rsid w:val="0081013A"/>
    <w:rsid w:val="00810931"/>
    <w:rsid w:val="008178BD"/>
    <w:rsid w:val="00817F55"/>
    <w:rsid w:val="00820A82"/>
    <w:rsid w:val="00824FDA"/>
    <w:rsid w:val="00826EE3"/>
    <w:rsid w:val="00833822"/>
    <w:rsid w:val="00835CD4"/>
    <w:rsid w:val="0084019F"/>
    <w:rsid w:val="00844304"/>
    <w:rsid w:val="00844CFC"/>
    <w:rsid w:val="00846A7F"/>
    <w:rsid w:val="008505F5"/>
    <w:rsid w:val="008616B3"/>
    <w:rsid w:val="00862879"/>
    <w:rsid w:val="0086383E"/>
    <w:rsid w:val="00863DDA"/>
    <w:rsid w:val="00865B6C"/>
    <w:rsid w:val="00873895"/>
    <w:rsid w:val="00874CE2"/>
    <w:rsid w:val="00875006"/>
    <w:rsid w:val="008757B7"/>
    <w:rsid w:val="00877495"/>
    <w:rsid w:val="00880BF6"/>
    <w:rsid w:val="00885B67"/>
    <w:rsid w:val="00891BAD"/>
    <w:rsid w:val="00893F70"/>
    <w:rsid w:val="008942C4"/>
    <w:rsid w:val="00894309"/>
    <w:rsid w:val="00896B29"/>
    <w:rsid w:val="008A17EF"/>
    <w:rsid w:val="008A47A2"/>
    <w:rsid w:val="008A7612"/>
    <w:rsid w:val="008B0C9C"/>
    <w:rsid w:val="008B1F88"/>
    <w:rsid w:val="008B3C03"/>
    <w:rsid w:val="008B3D4F"/>
    <w:rsid w:val="008B5981"/>
    <w:rsid w:val="008C2C91"/>
    <w:rsid w:val="008C58F7"/>
    <w:rsid w:val="008C5DDA"/>
    <w:rsid w:val="008D2F5F"/>
    <w:rsid w:val="008D61A4"/>
    <w:rsid w:val="008D7FAB"/>
    <w:rsid w:val="008E1171"/>
    <w:rsid w:val="008E220D"/>
    <w:rsid w:val="008E27D2"/>
    <w:rsid w:val="008E2869"/>
    <w:rsid w:val="008E4EAA"/>
    <w:rsid w:val="008E4F0C"/>
    <w:rsid w:val="008F04DE"/>
    <w:rsid w:val="008F0602"/>
    <w:rsid w:val="008F0C14"/>
    <w:rsid w:val="009009AC"/>
    <w:rsid w:val="00902D84"/>
    <w:rsid w:val="009038AA"/>
    <w:rsid w:val="00905B43"/>
    <w:rsid w:val="00906115"/>
    <w:rsid w:val="00906D8F"/>
    <w:rsid w:val="009118B0"/>
    <w:rsid w:val="00920EFB"/>
    <w:rsid w:val="00922051"/>
    <w:rsid w:val="009224C7"/>
    <w:rsid w:val="00923BC7"/>
    <w:rsid w:val="009259A6"/>
    <w:rsid w:val="00925BC8"/>
    <w:rsid w:val="00932B9B"/>
    <w:rsid w:val="009335D1"/>
    <w:rsid w:val="0093488F"/>
    <w:rsid w:val="009373AD"/>
    <w:rsid w:val="00937989"/>
    <w:rsid w:val="00942712"/>
    <w:rsid w:val="00950B58"/>
    <w:rsid w:val="0095509C"/>
    <w:rsid w:val="00956A34"/>
    <w:rsid w:val="00961C05"/>
    <w:rsid w:val="00961CDD"/>
    <w:rsid w:val="00967A1C"/>
    <w:rsid w:val="00971A9C"/>
    <w:rsid w:val="00972CBA"/>
    <w:rsid w:val="00974611"/>
    <w:rsid w:val="00976FBE"/>
    <w:rsid w:val="00977666"/>
    <w:rsid w:val="00984CB9"/>
    <w:rsid w:val="00990744"/>
    <w:rsid w:val="00990BD9"/>
    <w:rsid w:val="00991FFC"/>
    <w:rsid w:val="009934AA"/>
    <w:rsid w:val="00996940"/>
    <w:rsid w:val="00997B2E"/>
    <w:rsid w:val="009A1AFA"/>
    <w:rsid w:val="009A24F9"/>
    <w:rsid w:val="009A4D78"/>
    <w:rsid w:val="009B0925"/>
    <w:rsid w:val="009B2ECC"/>
    <w:rsid w:val="009B3417"/>
    <w:rsid w:val="009B72C4"/>
    <w:rsid w:val="009B73AF"/>
    <w:rsid w:val="009C11CD"/>
    <w:rsid w:val="009C738D"/>
    <w:rsid w:val="009C768F"/>
    <w:rsid w:val="009D32C0"/>
    <w:rsid w:val="009E0FCC"/>
    <w:rsid w:val="009E121D"/>
    <w:rsid w:val="009F0391"/>
    <w:rsid w:val="009F2C6B"/>
    <w:rsid w:val="009F363D"/>
    <w:rsid w:val="009F6EAB"/>
    <w:rsid w:val="00A00467"/>
    <w:rsid w:val="00A051B6"/>
    <w:rsid w:val="00A06261"/>
    <w:rsid w:val="00A0646C"/>
    <w:rsid w:val="00A10405"/>
    <w:rsid w:val="00A1353F"/>
    <w:rsid w:val="00A15618"/>
    <w:rsid w:val="00A1675C"/>
    <w:rsid w:val="00A17E04"/>
    <w:rsid w:val="00A24445"/>
    <w:rsid w:val="00A25201"/>
    <w:rsid w:val="00A270AE"/>
    <w:rsid w:val="00A30B7B"/>
    <w:rsid w:val="00A31729"/>
    <w:rsid w:val="00A35177"/>
    <w:rsid w:val="00A3670D"/>
    <w:rsid w:val="00A41FCD"/>
    <w:rsid w:val="00A4421B"/>
    <w:rsid w:val="00A50F23"/>
    <w:rsid w:val="00A527F3"/>
    <w:rsid w:val="00A55241"/>
    <w:rsid w:val="00A566A2"/>
    <w:rsid w:val="00A62B03"/>
    <w:rsid w:val="00A643E0"/>
    <w:rsid w:val="00A659E3"/>
    <w:rsid w:val="00A65EE1"/>
    <w:rsid w:val="00A73BCA"/>
    <w:rsid w:val="00A748ED"/>
    <w:rsid w:val="00A77528"/>
    <w:rsid w:val="00A93328"/>
    <w:rsid w:val="00A9549E"/>
    <w:rsid w:val="00A956C8"/>
    <w:rsid w:val="00A97C23"/>
    <w:rsid w:val="00AA3215"/>
    <w:rsid w:val="00AA4918"/>
    <w:rsid w:val="00AA5B6F"/>
    <w:rsid w:val="00AB0398"/>
    <w:rsid w:val="00AB23DE"/>
    <w:rsid w:val="00AB3E80"/>
    <w:rsid w:val="00AB7272"/>
    <w:rsid w:val="00AC7637"/>
    <w:rsid w:val="00AD001E"/>
    <w:rsid w:val="00AD112F"/>
    <w:rsid w:val="00AD43CE"/>
    <w:rsid w:val="00AD4582"/>
    <w:rsid w:val="00AD4585"/>
    <w:rsid w:val="00AD5BF7"/>
    <w:rsid w:val="00AE50D9"/>
    <w:rsid w:val="00AF04B7"/>
    <w:rsid w:val="00AF4B9A"/>
    <w:rsid w:val="00AF655E"/>
    <w:rsid w:val="00AF6918"/>
    <w:rsid w:val="00B00B7A"/>
    <w:rsid w:val="00B05358"/>
    <w:rsid w:val="00B12E35"/>
    <w:rsid w:val="00B15247"/>
    <w:rsid w:val="00B15595"/>
    <w:rsid w:val="00B2037B"/>
    <w:rsid w:val="00B256F7"/>
    <w:rsid w:val="00B31F14"/>
    <w:rsid w:val="00B3428C"/>
    <w:rsid w:val="00B409A7"/>
    <w:rsid w:val="00B42FB1"/>
    <w:rsid w:val="00B46CA0"/>
    <w:rsid w:val="00B4757A"/>
    <w:rsid w:val="00B52FDA"/>
    <w:rsid w:val="00B530C1"/>
    <w:rsid w:val="00B56311"/>
    <w:rsid w:val="00B568E4"/>
    <w:rsid w:val="00B573F9"/>
    <w:rsid w:val="00B6467B"/>
    <w:rsid w:val="00B65F87"/>
    <w:rsid w:val="00B72031"/>
    <w:rsid w:val="00B7211A"/>
    <w:rsid w:val="00B75622"/>
    <w:rsid w:val="00B77D9A"/>
    <w:rsid w:val="00B77F5B"/>
    <w:rsid w:val="00B810F2"/>
    <w:rsid w:val="00B81F5B"/>
    <w:rsid w:val="00B8655F"/>
    <w:rsid w:val="00B871B4"/>
    <w:rsid w:val="00B87297"/>
    <w:rsid w:val="00B90472"/>
    <w:rsid w:val="00B913D2"/>
    <w:rsid w:val="00B94632"/>
    <w:rsid w:val="00B95465"/>
    <w:rsid w:val="00B95EFF"/>
    <w:rsid w:val="00BA0DEB"/>
    <w:rsid w:val="00BB004A"/>
    <w:rsid w:val="00BB2ABC"/>
    <w:rsid w:val="00BB4449"/>
    <w:rsid w:val="00BB5A72"/>
    <w:rsid w:val="00BC3647"/>
    <w:rsid w:val="00BC467F"/>
    <w:rsid w:val="00BC76E4"/>
    <w:rsid w:val="00BD23D8"/>
    <w:rsid w:val="00BD32AD"/>
    <w:rsid w:val="00BD7188"/>
    <w:rsid w:val="00BE78D8"/>
    <w:rsid w:val="00BF15AA"/>
    <w:rsid w:val="00BF391A"/>
    <w:rsid w:val="00C009EA"/>
    <w:rsid w:val="00C04384"/>
    <w:rsid w:val="00C04390"/>
    <w:rsid w:val="00C05880"/>
    <w:rsid w:val="00C14A88"/>
    <w:rsid w:val="00C22E8C"/>
    <w:rsid w:val="00C2317A"/>
    <w:rsid w:val="00C239AC"/>
    <w:rsid w:val="00C273FE"/>
    <w:rsid w:val="00C3327F"/>
    <w:rsid w:val="00C341BD"/>
    <w:rsid w:val="00C3636C"/>
    <w:rsid w:val="00C438FD"/>
    <w:rsid w:val="00C43A63"/>
    <w:rsid w:val="00C459A0"/>
    <w:rsid w:val="00C571B8"/>
    <w:rsid w:val="00C60C57"/>
    <w:rsid w:val="00C64D47"/>
    <w:rsid w:val="00C660FF"/>
    <w:rsid w:val="00C66656"/>
    <w:rsid w:val="00C7312C"/>
    <w:rsid w:val="00C73269"/>
    <w:rsid w:val="00C73365"/>
    <w:rsid w:val="00C76176"/>
    <w:rsid w:val="00C91781"/>
    <w:rsid w:val="00C91EDD"/>
    <w:rsid w:val="00C959D5"/>
    <w:rsid w:val="00C95A5C"/>
    <w:rsid w:val="00C96DEC"/>
    <w:rsid w:val="00CB09A6"/>
    <w:rsid w:val="00CB3705"/>
    <w:rsid w:val="00CB5931"/>
    <w:rsid w:val="00CC1D38"/>
    <w:rsid w:val="00CC1DF7"/>
    <w:rsid w:val="00CC277D"/>
    <w:rsid w:val="00CC57CD"/>
    <w:rsid w:val="00CC6DC3"/>
    <w:rsid w:val="00CC7DE8"/>
    <w:rsid w:val="00CD043A"/>
    <w:rsid w:val="00CD18F8"/>
    <w:rsid w:val="00CD34A0"/>
    <w:rsid w:val="00CD4593"/>
    <w:rsid w:val="00CD4C84"/>
    <w:rsid w:val="00CD5B3C"/>
    <w:rsid w:val="00CD7876"/>
    <w:rsid w:val="00CE3145"/>
    <w:rsid w:val="00CF06C2"/>
    <w:rsid w:val="00CF238F"/>
    <w:rsid w:val="00CF3D3E"/>
    <w:rsid w:val="00CF6AE2"/>
    <w:rsid w:val="00D109F2"/>
    <w:rsid w:val="00D10E62"/>
    <w:rsid w:val="00D1154C"/>
    <w:rsid w:val="00D1344C"/>
    <w:rsid w:val="00D20DA7"/>
    <w:rsid w:val="00D2340F"/>
    <w:rsid w:val="00D259F8"/>
    <w:rsid w:val="00D26C87"/>
    <w:rsid w:val="00D30429"/>
    <w:rsid w:val="00D322E5"/>
    <w:rsid w:val="00D34F13"/>
    <w:rsid w:val="00D408BA"/>
    <w:rsid w:val="00D4134E"/>
    <w:rsid w:val="00D41DC4"/>
    <w:rsid w:val="00D42F1C"/>
    <w:rsid w:val="00D431BA"/>
    <w:rsid w:val="00D437D0"/>
    <w:rsid w:val="00D4493F"/>
    <w:rsid w:val="00D44A2C"/>
    <w:rsid w:val="00D45156"/>
    <w:rsid w:val="00D47F63"/>
    <w:rsid w:val="00D507FA"/>
    <w:rsid w:val="00D52DEE"/>
    <w:rsid w:val="00D53C39"/>
    <w:rsid w:val="00D54BB0"/>
    <w:rsid w:val="00D56881"/>
    <w:rsid w:val="00D57AA5"/>
    <w:rsid w:val="00D627F4"/>
    <w:rsid w:val="00D6299E"/>
    <w:rsid w:val="00D62DB1"/>
    <w:rsid w:val="00D64A7D"/>
    <w:rsid w:val="00D66ABB"/>
    <w:rsid w:val="00D7087F"/>
    <w:rsid w:val="00D7342A"/>
    <w:rsid w:val="00D7680D"/>
    <w:rsid w:val="00D819E4"/>
    <w:rsid w:val="00D86CCA"/>
    <w:rsid w:val="00D91C2F"/>
    <w:rsid w:val="00D97E02"/>
    <w:rsid w:val="00DA0C2B"/>
    <w:rsid w:val="00DA21C5"/>
    <w:rsid w:val="00DA6693"/>
    <w:rsid w:val="00DA6D0C"/>
    <w:rsid w:val="00DA750D"/>
    <w:rsid w:val="00DB3BAA"/>
    <w:rsid w:val="00DC3954"/>
    <w:rsid w:val="00DC3A5C"/>
    <w:rsid w:val="00DC7B0E"/>
    <w:rsid w:val="00DD11EE"/>
    <w:rsid w:val="00DD2F56"/>
    <w:rsid w:val="00DE34E9"/>
    <w:rsid w:val="00DE5507"/>
    <w:rsid w:val="00DF127F"/>
    <w:rsid w:val="00DF478D"/>
    <w:rsid w:val="00DF7930"/>
    <w:rsid w:val="00E0473A"/>
    <w:rsid w:val="00E05A80"/>
    <w:rsid w:val="00E106C2"/>
    <w:rsid w:val="00E10AD2"/>
    <w:rsid w:val="00E10BC3"/>
    <w:rsid w:val="00E12A0A"/>
    <w:rsid w:val="00E12CC5"/>
    <w:rsid w:val="00E150FF"/>
    <w:rsid w:val="00E16DBF"/>
    <w:rsid w:val="00E20081"/>
    <w:rsid w:val="00E244CE"/>
    <w:rsid w:val="00E267CB"/>
    <w:rsid w:val="00E27692"/>
    <w:rsid w:val="00E2794A"/>
    <w:rsid w:val="00E34145"/>
    <w:rsid w:val="00E438E1"/>
    <w:rsid w:val="00E54D02"/>
    <w:rsid w:val="00E5612E"/>
    <w:rsid w:val="00E57876"/>
    <w:rsid w:val="00E57A80"/>
    <w:rsid w:val="00E602C1"/>
    <w:rsid w:val="00E60CAE"/>
    <w:rsid w:val="00E61468"/>
    <w:rsid w:val="00E62D5A"/>
    <w:rsid w:val="00E6395B"/>
    <w:rsid w:val="00E643DA"/>
    <w:rsid w:val="00E66CE0"/>
    <w:rsid w:val="00E71471"/>
    <w:rsid w:val="00E72D49"/>
    <w:rsid w:val="00E81BAD"/>
    <w:rsid w:val="00E8434E"/>
    <w:rsid w:val="00E84955"/>
    <w:rsid w:val="00E85530"/>
    <w:rsid w:val="00E860E7"/>
    <w:rsid w:val="00E93C34"/>
    <w:rsid w:val="00E93EE4"/>
    <w:rsid w:val="00EA1A0F"/>
    <w:rsid w:val="00EA2AEC"/>
    <w:rsid w:val="00EB6AD4"/>
    <w:rsid w:val="00EC7741"/>
    <w:rsid w:val="00ED2A9C"/>
    <w:rsid w:val="00ED2C7A"/>
    <w:rsid w:val="00ED2D11"/>
    <w:rsid w:val="00EE1A80"/>
    <w:rsid w:val="00EE3D0D"/>
    <w:rsid w:val="00EE404F"/>
    <w:rsid w:val="00EE5D78"/>
    <w:rsid w:val="00EF1956"/>
    <w:rsid w:val="00EF1D29"/>
    <w:rsid w:val="00EF4A9F"/>
    <w:rsid w:val="00EF56DB"/>
    <w:rsid w:val="00EF57A0"/>
    <w:rsid w:val="00EF6C84"/>
    <w:rsid w:val="00F00825"/>
    <w:rsid w:val="00F00CC9"/>
    <w:rsid w:val="00F041F2"/>
    <w:rsid w:val="00F16ECD"/>
    <w:rsid w:val="00F20F99"/>
    <w:rsid w:val="00F217D3"/>
    <w:rsid w:val="00F21F26"/>
    <w:rsid w:val="00F22782"/>
    <w:rsid w:val="00F26706"/>
    <w:rsid w:val="00F268EF"/>
    <w:rsid w:val="00F27D5F"/>
    <w:rsid w:val="00F306B2"/>
    <w:rsid w:val="00F30A4B"/>
    <w:rsid w:val="00F334AD"/>
    <w:rsid w:val="00F34A67"/>
    <w:rsid w:val="00F371EE"/>
    <w:rsid w:val="00F438AA"/>
    <w:rsid w:val="00F457DF"/>
    <w:rsid w:val="00F4781C"/>
    <w:rsid w:val="00F5483D"/>
    <w:rsid w:val="00F55A2B"/>
    <w:rsid w:val="00F618F9"/>
    <w:rsid w:val="00F62FBB"/>
    <w:rsid w:val="00F64621"/>
    <w:rsid w:val="00F66AD2"/>
    <w:rsid w:val="00F86B48"/>
    <w:rsid w:val="00F9003C"/>
    <w:rsid w:val="00F90E63"/>
    <w:rsid w:val="00F92698"/>
    <w:rsid w:val="00F940FB"/>
    <w:rsid w:val="00F96D42"/>
    <w:rsid w:val="00FA0C74"/>
    <w:rsid w:val="00FA26B4"/>
    <w:rsid w:val="00FA2BDB"/>
    <w:rsid w:val="00FB04AC"/>
    <w:rsid w:val="00FB3AAA"/>
    <w:rsid w:val="00FB46CC"/>
    <w:rsid w:val="00FC10C8"/>
    <w:rsid w:val="00FC4A03"/>
    <w:rsid w:val="00FC4B41"/>
    <w:rsid w:val="00FC7C27"/>
    <w:rsid w:val="00FD4630"/>
    <w:rsid w:val="00FD4978"/>
    <w:rsid w:val="00FD5564"/>
    <w:rsid w:val="00FD6771"/>
    <w:rsid w:val="00FE171A"/>
    <w:rsid w:val="00FE2BA1"/>
    <w:rsid w:val="00FE5BE4"/>
    <w:rsid w:val="00FE6006"/>
    <w:rsid w:val="00FE63D6"/>
    <w:rsid w:val="00FE67AB"/>
    <w:rsid w:val="00FF1CBA"/>
    <w:rsid w:val="00FF2514"/>
    <w:rsid w:val="00FF2CC0"/>
    <w:rsid w:val="00FF3300"/>
    <w:rsid w:val="00FF3FC4"/>
    <w:rsid w:val="00FF65B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aliases w:val="Cdc_Titolo capitolo"/>
    <w:basedOn w:val="Normale"/>
    <w:next w:val="Normale"/>
    <w:link w:val="Titolo1Carattere"/>
    <w:uiPriority w:val="9"/>
    <w:qFormat/>
    <w:rsid w:val="003E72A8"/>
    <w:pPr>
      <w:keepNext/>
      <w:keepLines/>
      <w:pageBreakBefore/>
      <w:numPr>
        <w:numId w:val="1"/>
      </w:numPr>
      <w:spacing w:before="480" w:after="120" w:line="360" w:lineRule="auto"/>
      <w:ind w:left="431" w:hanging="431"/>
      <w:jc w:val="both"/>
      <w:outlineLvl w:val="0"/>
    </w:pPr>
    <w:rPr>
      <w:rFonts w:ascii="Bodoni MT" w:eastAsiaTheme="majorEastAsia" w:hAnsi="Bodoni MT" w:cstheme="majorBidi"/>
      <w:b/>
      <w:caps/>
      <w:color w:val="000000" w:themeColor="text1"/>
      <w:sz w:val="36"/>
      <w:szCs w:val="40"/>
    </w:rPr>
  </w:style>
  <w:style w:type="paragraph" w:styleId="Titolo2">
    <w:name w:val="heading 2"/>
    <w:aliases w:val="Cdc_Titolo paragrafo"/>
    <w:basedOn w:val="Normale"/>
    <w:next w:val="Normale"/>
    <w:link w:val="Titolo2Carattere"/>
    <w:uiPriority w:val="9"/>
    <w:unhideWhenUsed/>
    <w:qFormat/>
    <w:rsid w:val="00C273FE"/>
    <w:pPr>
      <w:keepNext/>
      <w:keepLines/>
      <w:numPr>
        <w:ilvl w:val="1"/>
        <w:numId w:val="1"/>
      </w:numPr>
      <w:spacing w:before="360" w:after="120" w:line="360" w:lineRule="auto"/>
      <w:ind w:left="0" w:firstLine="0"/>
      <w:outlineLvl w:val="1"/>
    </w:pPr>
    <w:rPr>
      <w:rFonts w:ascii="Bodoni MT" w:eastAsiaTheme="majorEastAsia" w:hAnsi="Bodoni MT" w:cstheme="majorBidi"/>
      <w:b/>
      <w:color w:val="000000" w:themeColor="text1"/>
      <w:sz w:val="32"/>
      <w:szCs w:val="36"/>
    </w:rPr>
  </w:style>
  <w:style w:type="paragraph" w:styleId="Titolo3">
    <w:name w:val="heading 3"/>
    <w:aliases w:val="Cdc_Titolo sottoparagrafo"/>
    <w:basedOn w:val="Normale"/>
    <w:next w:val="Normale"/>
    <w:link w:val="Titolo3Carattere"/>
    <w:uiPriority w:val="9"/>
    <w:unhideWhenUsed/>
    <w:qFormat/>
    <w:rsid w:val="00B2037B"/>
    <w:pPr>
      <w:keepNext/>
      <w:keepLines/>
      <w:numPr>
        <w:ilvl w:val="2"/>
        <w:numId w:val="1"/>
      </w:numPr>
      <w:spacing w:before="360" w:after="120" w:line="360" w:lineRule="auto"/>
      <w:ind w:left="720"/>
      <w:outlineLvl w:val="2"/>
    </w:pPr>
    <w:rPr>
      <w:rFonts w:ascii="Bodoni MT" w:eastAsiaTheme="majorEastAsia" w:hAnsi="Bodoni MT" w:cstheme="majorBidi"/>
      <w:b/>
      <w:color w:val="000000" w:themeColor="text1"/>
      <w:sz w:val="28"/>
      <w:szCs w:val="28"/>
    </w:rPr>
  </w:style>
  <w:style w:type="paragraph" w:styleId="Titolo4">
    <w:name w:val="heading 4"/>
    <w:basedOn w:val="Normale"/>
    <w:next w:val="Normale"/>
    <w:link w:val="Titolo4Carattere"/>
    <w:uiPriority w:val="9"/>
    <w:unhideWhenUsed/>
    <w:qFormat/>
    <w:rsid w:val="00503AC8"/>
    <w:pPr>
      <w:keepNext/>
      <w:keepLines/>
      <w:numPr>
        <w:ilvl w:val="3"/>
        <w:numId w:val="1"/>
      </w:numPr>
      <w:spacing w:before="240" w:after="120" w:line="360" w:lineRule="auto"/>
      <w:ind w:left="862" w:hanging="862"/>
      <w:outlineLvl w:val="3"/>
    </w:pPr>
    <w:rPr>
      <w:rFonts w:ascii="Bodoni MT" w:eastAsiaTheme="majorEastAsia" w:hAnsi="Bodoni MT" w:cstheme="majorBidi"/>
      <w:b/>
      <w:iCs/>
      <w:sz w:val="28"/>
      <w:szCs w:val="28"/>
    </w:rPr>
  </w:style>
  <w:style w:type="paragraph" w:styleId="Titolo5">
    <w:name w:val="heading 5"/>
    <w:basedOn w:val="Normale"/>
    <w:next w:val="Normale"/>
    <w:link w:val="Titolo5Carattere"/>
    <w:uiPriority w:val="9"/>
    <w:semiHidden/>
    <w:unhideWhenUsed/>
    <w:qFormat/>
    <w:rsid w:val="00B2037B"/>
    <w:pPr>
      <w:keepNext/>
      <w:keepLines/>
      <w:numPr>
        <w:ilvl w:val="4"/>
        <w:numId w:val="1"/>
      </w:numPr>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Titolo6">
    <w:name w:val="heading 6"/>
    <w:basedOn w:val="Normale"/>
    <w:next w:val="Normale"/>
    <w:link w:val="Titolo6Carattere"/>
    <w:uiPriority w:val="9"/>
    <w:semiHidden/>
    <w:unhideWhenUsed/>
    <w:qFormat/>
    <w:rsid w:val="00B2037B"/>
    <w:pPr>
      <w:keepNext/>
      <w:keepLines/>
      <w:numPr>
        <w:ilvl w:val="5"/>
        <w:numId w:val="1"/>
      </w:numPr>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Titolo7">
    <w:name w:val="heading 7"/>
    <w:basedOn w:val="Normale"/>
    <w:next w:val="Normale"/>
    <w:link w:val="Titolo7Carattere"/>
    <w:uiPriority w:val="9"/>
    <w:semiHidden/>
    <w:unhideWhenUsed/>
    <w:qFormat/>
    <w:rsid w:val="00B2037B"/>
    <w:pPr>
      <w:keepNext/>
      <w:keepLines/>
      <w:numPr>
        <w:ilvl w:val="6"/>
        <w:numId w:val="1"/>
      </w:numPr>
      <w:spacing w:before="80" w:after="0" w:line="240" w:lineRule="auto"/>
      <w:outlineLvl w:val="6"/>
    </w:pPr>
    <w:rPr>
      <w:rFonts w:asciiTheme="majorHAnsi" w:eastAsiaTheme="majorEastAsia" w:hAnsiTheme="majorHAnsi" w:cstheme="majorBidi"/>
      <w:b/>
      <w:bCs/>
      <w:color w:val="632423" w:themeColor="accent2" w:themeShade="80"/>
    </w:rPr>
  </w:style>
  <w:style w:type="paragraph" w:styleId="Titolo8">
    <w:name w:val="heading 8"/>
    <w:basedOn w:val="Normale"/>
    <w:next w:val="Normale"/>
    <w:link w:val="Titolo8Carattere"/>
    <w:uiPriority w:val="9"/>
    <w:semiHidden/>
    <w:unhideWhenUsed/>
    <w:qFormat/>
    <w:rsid w:val="00B2037B"/>
    <w:pPr>
      <w:keepNext/>
      <w:keepLines/>
      <w:numPr>
        <w:ilvl w:val="7"/>
        <w:numId w:val="1"/>
      </w:numPr>
      <w:spacing w:before="80" w:after="0" w:line="240" w:lineRule="auto"/>
      <w:outlineLvl w:val="7"/>
    </w:pPr>
    <w:rPr>
      <w:rFonts w:asciiTheme="majorHAnsi" w:eastAsiaTheme="majorEastAsia" w:hAnsiTheme="majorHAnsi" w:cstheme="majorBidi"/>
      <w:color w:val="632423" w:themeColor="accent2" w:themeShade="80"/>
    </w:rPr>
  </w:style>
  <w:style w:type="paragraph" w:styleId="Titolo9">
    <w:name w:val="heading 9"/>
    <w:basedOn w:val="Normale"/>
    <w:next w:val="Normale"/>
    <w:link w:val="Titolo9Carattere"/>
    <w:uiPriority w:val="9"/>
    <w:semiHidden/>
    <w:unhideWhenUsed/>
    <w:qFormat/>
    <w:rsid w:val="00B2037B"/>
    <w:pPr>
      <w:keepNext/>
      <w:keepLines/>
      <w:numPr>
        <w:ilvl w:val="8"/>
        <w:numId w:val="1"/>
      </w:numPr>
      <w:spacing w:before="80" w:after="0" w:line="240" w:lineRule="auto"/>
      <w:outlineLvl w:val="8"/>
    </w:pPr>
    <w:rPr>
      <w:rFonts w:asciiTheme="majorHAnsi" w:eastAsiaTheme="majorEastAsia" w:hAnsiTheme="majorHAnsi" w:cstheme="majorBidi"/>
      <w:i/>
      <w:iCs/>
      <w:color w:val="632423" w:themeColor="accent2" w:themeShade="8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4B0B8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B0B8B"/>
  </w:style>
  <w:style w:type="paragraph" w:styleId="Pidipagina">
    <w:name w:val="footer"/>
    <w:basedOn w:val="Normale"/>
    <w:link w:val="PidipaginaCarattere"/>
    <w:uiPriority w:val="99"/>
    <w:unhideWhenUsed/>
    <w:rsid w:val="004B0B8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B0B8B"/>
  </w:style>
  <w:style w:type="paragraph" w:styleId="Testofumetto">
    <w:name w:val="Balloon Text"/>
    <w:basedOn w:val="Normale"/>
    <w:link w:val="TestofumettoCarattere"/>
    <w:uiPriority w:val="99"/>
    <w:semiHidden/>
    <w:unhideWhenUsed/>
    <w:rsid w:val="004B0B8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B0B8B"/>
    <w:rPr>
      <w:rFonts w:ascii="Tahoma" w:hAnsi="Tahoma" w:cs="Tahoma"/>
      <w:sz w:val="16"/>
      <w:szCs w:val="16"/>
    </w:rPr>
  </w:style>
  <w:style w:type="paragraph" w:customStyle="1" w:styleId="Paragrafobase">
    <w:name w:val="[Paragrafo base]"/>
    <w:basedOn w:val="Normale"/>
    <w:link w:val="ParagrafobaseCarattere"/>
    <w:uiPriority w:val="99"/>
    <w:rsid w:val="004B0B8B"/>
    <w:pPr>
      <w:autoSpaceDE w:val="0"/>
      <w:autoSpaceDN w:val="0"/>
      <w:adjustRightInd w:val="0"/>
      <w:spacing w:after="0" w:line="288" w:lineRule="auto"/>
      <w:textAlignment w:val="center"/>
    </w:pPr>
    <w:rPr>
      <w:rFonts w:ascii="Minion Pro" w:eastAsiaTheme="minorEastAsia" w:hAnsi="Minion Pro" w:cs="Minion Pro"/>
      <w:color w:val="000000"/>
      <w:sz w:val="24"/>
      <w:szCs w:val="24"/>
    </w:rPr>
  </w:style>
  <w:style w:type="character" w:customStyle="1" w:styleId="ParagrafobaseCarattere">
    <w:name w:val="[Paragrafo base] Carattere"/>
    <w:basedOn w:val="Carpredefinitoparagrafo"/>
    <w:link w:val="Paragrafobase"/>
    <w:uiPriority w:val="99"/>
    <w:rsid w:val="004B0B8B"/>
    <w:rPr>
      <w:rFonts w:ascii="Minion Pro" w:eastAsiaTheme="minorEastAsia" w:hAnsi="Minion Pro" w:cs="Minion Pro"/>
      <w:color w:val="000000"/>
      <w:sz w:val="24"/>
      <w:szCs w:val="24"/>
    </w:rPr>
  </w:style>
  <w:style w:type="paragraph" w:customStyle="1" w:styleId="CdcTitolofrontespizio">
    <w:name w:val="Cdc_Titolo frontespizio"/>
    <w:basedOn w:val="Paragrafobase"/>
    <w:link w:val="CdcTitolofrontespizioCarattere"/>
    <w:qFormat/>
    <w:rsid w:val="004E1627"/>
    <w:rPr>
      <w:rFonts w:ascii="Bodoni MT" w:hAnsi="Bodoni MT" w:cs="Bodoni MT"/>
      <w:b/>
      <w:bCs/>
      <w:sz w:val="68"/>
      <w:szCs w:val="68"/>
    </w:rPr>
  </w:style>
  <w:style w:type="character" w:customStyle="1" w:styleId="CdcTitolofrontespizioCarattere">
    <w:name w:val="Cdc_Titolo frontespizio Carattere"/>
    <w:basedOn w:val="ParagrafobaseCarattere"/>
    <w:link w:val="CdcTitolofrontespizio"/>
    <w:rsid w:val="004E1627"/>
    <w:rPr>
      <w:rFonts w:ascii="Bodoni MT" w:eastAsiaTheme="minorEastAsia" w:hAnsi="Bodoni MT" w:cs="Bodoni MT"/>
      <w:b/>
      <w:bCs/>
      <w:color w:val="000000"/>
      <w:sz w:val="68"/>
      <w:szCs w:val="68"/>
    </w:rPr>
  </w:style>
  <w:style w:type="paragraph" w:customStyle="1" w:styleId="CdcInfoIntroduzione">
    <w:name w:val="Cdc_Info_Introduzione"/>
    <w:basedOn w:val="Normale"/>
    <w:link w:val="CdcInfoIntroduzioneCarattere"/>
    <w:qFormat/>
    <w:rsid w:val="004E1627"/>
    <w:pPr>
      <w:autoSpaceDE w:val="0"/>
      <w:autoSpaceDN w:val="0"/>
      <w:adjustRightInd w:val="0"/>
      <w:spacing w:after="0" w:line="288" w:lineRule="auto"/>
      <w:jc w:val="right"/>
      <w:textAlignment w:val="center"/>
    </w:pPr>
    <w:rPr>
      <w:rFonts w:ascii="Bodoni MT" w:eastAsiaTheme="minorEastAsia" w:hAnsi="Bodoni MT" w:cs="Bodoni MT"/>
      <w:color w:val="000000"/>
      <w:sz w:val="28"/>
      <w:szCs w:val="30"/>
    </w:rPr>
  </w:style>
  <w:style w:type="character" w:customStyle="1" w:styleId="CdcInfoIntroduzioneCarattere">
    <w:name w:val="Cdc_Info_Introduzione Carattere"/>
    <w:basedOn w:val="Carpredefinitoparagrafo"/>
    <w:link w:val="CdcInfoIntroduzione"/>
    <w:rsid w:val="004E1627"/>
    <w:rPr>
      <w:rFonts w:ascii="Bodoni MT" w:eastAsiaTheme="minorEastAsia" w:hAnsi="Bodoni MT" w:cs="Bodoni MT"/>
      <w:color w:val="000000"/>
      <w:sz w:val="28"/>
      <w:szCs w:val="30"/>
    </w:rPr>
  </w:style>
  <w:style w:type="paragraph" w:customStyle="1" w:styleId="CdcIntroduzione">
    <w:name w:val="Cdc_Introduzione"/>
    <w:basedOn w:val="Normale"/>
    <w:link w:val="CdcIntroduzioneCarattere"/>
    <w:qFormat/>
    <w:rsid w:val="004E1627"/>
    <w:pPr>
      <w:autoSpaceDE w:val="0"/>
      <w:autoSpaceDN w:val="0"/>
      <w:adjustRightInd w:val="0"/>
      <w:spacing w:after="0" w:line="288" w:lineRule="auto"/>
      <w:jc w:val="right"/>
      <w:textAlignment w:val="center"/>
    </w:pPr>
    <w:rPr>
      <w:rFonts w:ascii="Bodoni MT" w:eastAsiaTheme="minorEastAsia" w:hAnsi="Bodoni MT" w:cs="Minion Pro"/>
      <w:b/>
      <w:bCs/>
      <w:color w:val="000000"/>
      <w:sz w:val="36"/>
      <w:szCs w:val="42"/>
    </w:rPr>
  </w:style>
  <w:style w:type="character" w:customStyle="1" w:styleId="CdcIntroduzioneCarattere">
    <w:name w:val="Cdc_Introduzione Carattere"/>
    <w:basedOn w:val="Carpredefinitoparagrafo"/>
    <w:link w:val="CdcIntroduzione"/>
    <w:rsid w:val="004E1627"/>
    <w:rPr>
      <w:rFonts w:ascii="Bodoni MT" w:eastAsiaTheme="minorEastAsia" w:hAnsi="Bodoni MT" w:cs="Minion Pro"/>
      <w:b/>
      <w:bCs/>
      <w:color w:val="000000"/>
      <w:sz w:val="36"/>
      <w:szCs w:val="42"/>
    </w:rPr>
  </w:style>
  <w:style w:type="paragraph" w:styleId="Testonotaapidipagina">
    <w:name w:val="footnote text"/>
    <w:aliases w:val="stile 1,Footnote,Footnote1,Footnote2,Footnote3,Footnote4,Footnote5,Footnote6,Footnote7,Footnote8,Footnote9,Footnote10,Footnote11,Footnote21,Footnote31,Footnote41,Footnote51,Footnote61,Footnote71,Footnote81,Footnote91,Footnot"/>
    <w:basedOn w:val="Normale"/>
    <w:link w:val="TestonotaapidipaginaCarattere"/>
    <w:uiPriority w:val="99"/>
    <w:unhideWhenUsed/>
    <w:qFormat/>
    <w:rsid w:val="002D79C5"/>
    <w:pPr>
      <w:spacing w:after="0" w:line="240" w:lineRule="auto"/>
    </w:pPr>
    <w:rPr>
      <w:rFonts w:ascii="Bodoni MT" w:eastAsiaTheme="minorEastAsia" w:hAnsi="Bodoni MT" w:cs="Times New Roman"/>
      <w:sz w:val="18"/>
      <w:szCs w:val="20"/>
      <w:lang w:eastAsia="it-IT"/>
    </w:rPr>
  </w:style>
  <w:style w:type="character" w:customStyle="1" w:styleId="TestonotaapidipaginaCarattere">
    <w:name w:val="Testo nota a piè di pagina Carattere"/>
    <w:aliases w:val="stile 1 Carattere,Footnote Carattere,Footnote1 Carattere,Footnote2 Carattere,Footnote3 Carattere,Footnote4 Carattere,Footnote5 Carattere,Footnote6 Carattere,Footnote7 Carattere,Footnote8 Carattere,Footnote9 Carattere"/>
    <w:basedOn w:val="Carpredefinitoparagrafo"/>
    <w:link w:val="Testonotaapidipagina"/>
    <w:uiPriority w:val="99"/>
    <w:rsid w:val="002D79C5"/>
    <w:rPr>
      <w:rFonts w:ascii="Bodoni MT" w:eastAsiaTheme="minorEastAsia" w:hAnsi="Bodoni MT" w:cs="Times New Roman"/>
      <w:sz w:val="18"/>
      <w:szCs w:val="20"/>
      <w:lang w:eastAsia="it-IT"/>
    </w:rPr>
  </w:style>
  <w:style w:type="paragraph" w:customStyle="1" w:styleId="CdcTesto">
    <w:name w:val="Cdc_Testo"/>
    <w:basedOn w:val="Normale"/>
    <w:link w:val="CdcTestoCarattere"/>
    <w:qFormat/>
    <w:rsid w:val="0057559F"/>
    <w:pPr>
      <w:autoSpaceDE w:val="0"/>
      <w:autoSpaceDN w:val="0"/>
      <w:adjustRightInd w:val="0"/>
      <w:spacing w:after="120" w:line="360" w:lineRule="auto"/>
      <w:jc w:val="both"/>
      <w:textAlignment w:val="center"/>
    </w:pPr>
    <w:rPr>
      <w:rFonts w:ascii="Bodoni MT" w:eastAsiaTheme="minorEastAsia" w:hAnsi="Bodoni MT" w:cs="Bodoni MT"/>
      <w:color w:val="000000"/>
      <w:sz w:val="24"/>
      <w:szCs w:val="24"/>
    </w:rPr>
  </w:style>
  <w:style w:type="character" w:customStyle="1" w:styleId="CdcTestoCarattere">
    <w:name w:val="Cdc_Testo Carattere"/>
    <w:basedOn w:val="Carpredefinitoparagrafo"/>
    <w:link w:val="CdcTesto"/>
    <w:rsid w:val="0057559F"/>
    <w:rPr>
      <w:rFonts w:ascii="Bodoni MT" w:eastAsiaTheme="minorEastAsia" w:hAnsi="Bodoni MT" w:cs="Bodoni MT"/>
      <w:color w:val="000000"/>
      <w:sz w:val="24"/>
      <w:szCs w:val="24"/>
    </w:rPr>
  </w:style>
  <w:style w:type="character" w:styleId="Rimandonotaapidipagina">
    <w:name w:val="footnote reference"/>
    <w:aliases w:val="(Footnote Reference),SUPERS,EN Footnote Reference,Footnote symbol,Footnote reference number,note TESI,Footnote number,fr,o,Footnotemark,FR,Footnotemark1,Footnotemark2,FR1,Footnotemark3,FR2,Footnotemark4,FR3,FR4,FR5"/>
    <w:basedOn w:val="Carpredefinitoparagrafo"/>
    <w:uiPriority w:val="99"/>
    <w:unhideWhenUsed/>
    <w:qFormat/>
    <w:rsid w:val="004E1627"/>
    <w:rPr>
      <w:vertAlign w:val="superscript"/>
    </w:rPr>
  </w:style>
  <w:style w:type="character" w:customStyle="1" w:styleId="Titolo1Carattere">
    <w:name w:val="Titolo 1 Carattere"/>
    <w:aliases w:val="Cdc_Titolo capitolo Carattere"/>
    <w:basedOn w:val="Carpredefinitoparagrafo"/>
    <w:link w:val="Titolo1"/>
    <w:uiPriority w:val="9"/>
    <w:rsid w:val="003E72A8"/>
    <w:rPr>
      <w:rFonts w:ascii="Bodoni MT" w:eastAsiaTheme="majorEastAsia" w:hAnsi="Bodoni MT" w:cstheme="majorBidi"/>
      <w:b/>
      <w:caps/>
      <w:color w:val="000000" w:themeColor="text1"/>
      <w:sz w:val="36"/>
      <w:szCs w:val="40"/>
    </w:rPr>
  </w:style>
  <w:style w:type="character" w:customStyle="1" w:styleId="Titolo2Carattere">
    <w:name w:val="Titolo 2 Carattere"/>
    <w:aliases w:val="Cdc_Titolo paragrafo Carattere"/>
    <w:basedOn w:val="Carpredefinitoparagrafo"/>
    <w:link w:val="Titolo2"/>
    <w:uiPriority w:val="9"/>
    <w:rsid w:val="00C273FE"/>
    <w:rPr>
      <w:rFonts w:ascii="Bodoni MT" w:eastAsiaTheme="majorEastAsia" w:hAnsi="Bodoni MT" w:cstheme="majorBidi"/>
      <w:b/>
      <w:color w:val="000000" w:themeColor="text1"/>
      <w:sz w:val="32"/>
      <w:szCs w:val="36"/>
    </w:rPr>
  </w:style>
  <w:style w:type="character" w:customStyle="1" w:styleId="Titolo3Carattere">
    <w:name w:val="Titolo 3 Carattere"/>
    <w:aliases w:val="Cdc_Titolo sottoparagrafo Carattere"/>
    <w:basedOn w:val="Carpredefinitoparagrafo"/>
    <w:link w:val="Titolo3"/>
    <w:uiPriority w:val="9"/>
    <w:rsid w:val="00B2037B"/>
    <w:rPr>
      <w:rFonts w:ascii="Bodoni MT" w:eastAsiaTheme="majorEastAsia" w:hAnsi="Bodoni MT" w:cstheme="majorBidi"/>
      <w:b/>
      <w:color w:val="000000" w:themeColor="text1"/>
      <w:sz w:val="28"/>
      <w:szCs w:val="28"/>
    </w:rPr>
  </w:style>
  <w:style w:type="character" w:customStyle="1" w:styleId="Titolo4Carattere">
    <w:name w:val="Titolo 4 Carattere"/>
    <w:basedOn w:val="Carpredefinitoparagrafo"/>
    <w:link w:val="Titolo4"/>
    <w:uiPriority w:val="9"/>
    <w:rsid w:val="00503AC8"/>
    <w:rPr>
      <w:rFonts w:ascii="Bodoni MT" w:eastAsiaTheme="majorEastAsia" w:hAnsi="Bodoni MT" w:cstheme="majorBidi"/>
      <w:b/>
      <w:iCs/>
      <w:sz w:val="28"/>
      <w:szCs w:val="28"/>
    </w:rPr>
  </w:style>
  <w:style w:type="character" w:customStyle="1" w:styleId="Titolo5Carattere">
    <w:name w:val="Titolo 5 Carattere"/>
    <w:basedOn w:val="Carpredefinitoparagrafo"/>
    <w:link w:val="Titolo5"/>
    <w:uiPriority w:val="9"/>
    <w:semiHidden/>
    <w:rsid w:val="00B2037B"/>
    <w:rPr>
      <w:rFonts w:asciiTheme="majorHAnsi" w:eastAsiaTheme="majorEastAsia" w:hAnsiTheme="majorHAnsi" w:cstheme="majorBidi"/>
      <w:color w:val="943634" w:themeColor="accent2" w:themeShade="BF"/>
      <w:sz w:val="24"/>
      <w:szCs w:val="24"/>
    </w:rPr>
  </w:style>
  <w:style w:type="character" w:customStyle="1" w:styleId="Titolo6Carattere">
    <w:name w:val="Titolo 6 Carattere"/>
    <w:basedOn w:val="Carpredefinitoparagrafo"/>
    <w:link w:val="Titolo6"/>
    <w:uiPriority w:val="9"/>
    <w:semiHidden/>
    <w:rsid w:val="00B2037B"/>
    <w:rPr>
      <w:rFonts w:asciiTheme="majorHAnsi" w:eastAsiaTheme="majorEastAsia" w:hAnsiTheme="majorHAnsi" w:cstheme="majorBidi"/>
      <w:i/>
      <w:iCs/>
      <w:color w:val="632423" w:themeColor="accent2" w:themeShade="80"/>
      <w:sz w:val="24"/>
      <w:szCs w:val="24"/>
    </w:rPr>
  </w:style>
  <w:style w:type="character" w:customStyle="1" w:styleId="Titolo7Carattere">
    <w:name w:val="Titolo 7 Carattere"/>
    <w:basedOn w:val="Carpredefinitoparagrafo"/>
    <w:link w:val="Titolo7"/>
    <w:uiPriority w:val="9"/>
    <w:semiHidden/>
    <w:rsid w:val="00B2037B"/>
    <w:rPr>
      <w:rFonts w:asciiTheme="majorHAnsi" w:eastAsiaTheme="majorEastAsia" w:hAnsiTheme="majorHAnsi" w:cstheme="majorBidi"/>
      <w:b/>
      <w:bCs/>
      <w:color w:val="632423" w:themeColor="accent2" w:themeShade="80"/>
    </w:rPr>
  </w:style>
  <w:style w:type="character" w:customStyle="1" w:styleId="Titolo8Carattere">
    <w:name w:val="Titolo 8 Carattere"/>
    <w:basedOn w:val="Carpredefinitoparagrafo"/>
    <w:link w:val="Titolo8"/>
    <w:uiPriority w:val="9"/>
    <w:semiHidden/>
    <w:rsid w:val="00B2037B"/>
    <w:rPr>
      <w:rFonts w:asciiTheme="majorHAnsi" w:eastAsiaTheme="majorEastAsia" w:hAnsiTheme="majorHAnsi" w:cstheme="majorBidi"/>
      <w:color w:val="632423" w:themeColor="accent2" w:themeShade="80"/>
    </w:rPr>
  </w:style>
  <w:style w:type="character" w:customStyle="1" w:styleId="Titolo9Carattere">
    <w:name w:val="Titolo 9 Carattere"/>
    <w:basedOn w:val="Carpredefinitoparagrafo"/>
    <w:link w:val="Titolo9"/>
    <w:uiPriority w:val="9"/>
    <w:semiHidden/>
    <w:rsid w:val="00B2037B"/>
    <w:rPr>
      <w:rFonts w:asciiTheme="majorHAnsi" w:eastAsiaTheme="majorEastAsia" w:hAnsiTheme="majorHAnsi" w:cstheme="majorBidi"/>
      <w:i/>
      <w:iCs/>
      <w:color w:val="632423" w:themeColor="accent2" w:themeShade="80"/>
    </w:rPr>
  </w:style>
  <w:style w:type="paragraph" w:customStyle="1" w:styleId="CdcElencopuntato">
    <w:name w:val="Cdc_Elenco puntato"/>
    <w:basedOn w:val="Paragrafoelenco"/>
    <w:link w:val="CdcElencopuntatoCarattere"/>
    <w:qFormat/>
    <w:rsid w:val="00B2037B"/>
    <w:pPr>
      <w:numPr>
        <w:numId w:val="2"/>
      </w:numPr>
      <w:autoSpaceDE w:val="0"/>
      <w:autoSpaceDN w:val="0"/>
      <w:adjustRightInd w:val="0"/>
      <w:spacing w:before="120" w:after="120"/>
      <w:ind w:left="714" w:hanging="357"/>
      <w:contextualSpacing w:val="0"/>
      <w:textAlignment w:val="center"/>
    </w:pPr>
    <w:rPr>
      <w:rFonts w:ascii="Bodoni MT" w:eastAsiaTheme="minorEastAsia" w:hAnsi="Bodoni MT" w:cs="Bodoni MT"/>
      <w:color w:val="000000"/>
      <w:sz w:val="24"/>
      <w:szCs w:val="24"/>
    </w:rPr>
  </w:style>
  <w:style w:type="character" w:customStyle="1" w:styleId="CdcElencopuntatoCarattere">
    <w:name w:val="Cdc_Elenco puntato Carattere"/>
    <w:basedOn w:val="Carpredefinitoparagrafo"/>
    <w:link w:val="CdcElencopuntato"/>
    <w:rsid w:val="00B2037B"/>
    <w:rPr>
      <w:rFonts w:ascii="Bodoni MT" w:eastAsiaTheme="minorEastAsia" w:hAnsi="Bodoni MT" w:cs="Bodoni MT"/>
      <w:color w:val="000000"/>
      <w:sz w:val="24"/>
      <w:szCs w:val="24"/>
    </w:rPr>
  </w:style>
  <w:style w:type="paragraph" w:styleId="Paragrafoelenco">
    <w:name w:val="List Paragraph"/>
    <w:basedOn w:val="Normale"/>
    <w:uiPriority w:val="34"/>
    <w:qFormat/>
    <w:rsid w:val="00CF238F"/>
    <w:pPr>
      <w:spacing w:line="360" w:lineRule="auto"/>
      <w:ind w:left="720"/>
      <w:contextualSpacing/>
    </w:pPr>
  </w:style>
  <w:style w:type="paragraph" w:styleId="Didascalia">
    <w:name w:val="caption"/>
    <w:aliases w:val="Cdc_Titolo /tabelle/grafici/figure/didascalie"/>
    <w:basedOn w:val="Normale"/>
    <w:next w:val="Normale"/>
    <w:uiPriority w:val="35"/>
    <w:unhideWhenUsed/>
    <w:qFormat/>
    <w:rsid w:val="00346601"/>
    <w:pPr>
      <w:spacing w:before="240" w:after="120" w:line="240" w:lineRule="auto"/>
      <w:jc w:val="center"/>
    </w:pPr>
    <w:rPr>
      <w:rFonts w:ascii="Bodoni MT" w:eastAsiaTheme="minorEastAsia" w:hAnsi="Bodoni MT"/>
      <w:b/>
      <w:bCs/>
      <w:color w:val="000000" w:themeColor="text1"/>
    </w:rPr>
  </w:style>
  <w:style w:type="table" w:styleId="Grigliatabella">
    <w:name w:val="Table Grid"/>
    <w:basedOn w:val="Tabellanormale"/>
    <w:uiPriority w:val="39"/>
    <w:rsid w:val="00093721"/>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dcFonteOriginedati">
    <w:name w:val="Cdc_Fonte/Origine dati"/>
    <w:basedOn w:val="Testonotaapidipagina"/>
    <w:link w:val="CdcFonteOriginedatiCarattere"/>
    <w:qFormat/>
    <w:rsid w:val="00093721"/>
    <w:pPr>
      <w:spacing w:before="120" w:after="120"/>
      <w:jc w:val="center"/>
    </w:pPr>
  </w:style>
  <w:style w:type="character" w:customStyle="1" w:styleId="CdcFonteOriginedatiCarattere">
    <w:name w:val="Cdc_Fonte/Origine dati Carattere"/>
    <w:basedOn w:val="TestonotaapidipaginaCarattere"/>
    <w:link w:val="CdcFonteOriginedati"/>
    <w:rsid w:val="00093721"/>
    <w:rPr>
      <w:rFonts w:ascii="Bodoni MT" w:eastAsiaTheme="minorEastAsia" w:hAnsi="Bodoni MT" w:cs="Times New Roman"/>
      <w:sz w:val="18"/>
      <w:szCs w:val="20"/>
      <w:lang w:eastAsia="it-IT"/>
    </w:rPr>
  </w:style>
  <w:style w:type="paragraph" w:customStyle="1" w:styleId="testoFigure">
    <w:name w:val="testoFigure"/>
    <w:basedOn w:val="Normale"/>
    <w:link w:val="testoFigureCarattere"/>
    <w:qFormat/>
    <w:rsid w:val="00093721"/>
    <w:pPr>
      <w:spacing w:after="160"/>
    </w:pPr>
    <w:rPr>
      <w:rFonts w:ascii="Bodoni MT" w:eastAsiaTheme="minorEastAsia" w:hAnsi="Bodoni MT" w:cs="Minion Pro"/>
      <w:color w:val="000000"/>
      <w:sz w:val="20"/>
      <w:szCs w:val="20"/>
    </w:rPr>
  </w:style>
  <w:style w:type="character" w:customStyle="1" w:styleId="testoFigureCarattere">
    <w:name w:val="testoFigure Carattere"/>
    <w:basedOn w:val="Carpredefinitoparagrafo"/>
    <w:link w:val="testoFigure"/>
    <w:rsid w:val="00093721"/>
    <w:rPr>
      <w:rFonts w:ascii="Bodoni MT" w:eastAsiaTheme="minorEastAsia" w:hAnsi="Bodoni MT" w:cs="Minion Pro"/>
      <w:color w:val="000000"/>
      <w:sz w:val="20"/>
      <w:szCs w:val="20"/>
    </w:rPr>
  </w:style>
  <w:style w:type="paragraph" w:styleId="Titolosommario">
    <w:name w:val="TOC Heading"/>
    <w:basedOn w:val="Titolo1"/>
    <w:next w:val="Normale"/>
    <w:uiPriority w:val="39"/>
    <w:unhideWhenUsed/>
    <w:qFormat/>
    <w:rsid w:val="00A17E04"/>
    <w:pPr>
      <w:numPr>
        <w:numId w:val="0"/>
      </w:numPr>
      <w:outlineLvl w:val="9"/>
    </w:pPr>
  </w:style>
  <w:style w:type="paragraph" w:styleId="Sommario1">
    <w:name w:val="toc 1"/>
    <w:basedOn w:val="Normale"/>
    <w:next w:val="Normale"/>
    <w:autoRedefine/>
    <w:uiPriority w:val="39"/>
    <w:unhideWhenUsed/>
    <w:rsid w:val="00FF2CC0"/>
    <w:pPr>
      <w:tabs>
        <w:tab w:val="left" w:pos="480"/>
        <w:tab w:val="right" w:leader="dot" w:pos="9911"/>
      </w:tabs>
      <w:spacing w:after="100"/>
      <w:jc w:val="both"/>
    </w:pPr>
    <w:rPr>
      <w:rFonts w:ascii="Bodoni MT" w:eastAsiaTheme="minorEastAsia" w:hAnsi="Bodoni MT"/>
      <w:sz w:val="24"/>
      <w:szCs w:val="21"/>
    </w:rPr>
  </w:style>
  <w:style w:type="paragraph" w:styleId="Sommario2">
    <w:name w:val="toc 2"/>
    <w:basedOn w:val="Normale"/>
    <w:next w:val="Normale"/>
    <w:autoRedefine/>
    <w:uiPriority w:val="39"/>
    <w:unhideWhenUsed/>
    <w:rsid w:val="00A77528"/>
    <w:pPr>
      <w:tabs>
        <w:tab w:val="left" w:pos="880"/>
        <w:tab w:val="right" w:leader="dot" w:pos="9911"/>
      </w:tabs>
      <w:spacing w:after="100"/>
      <w:ind w:left="238"/>
      <w:jc w:val="both"/>
    </w:pPr>
    <w:rPr>
      <w:rFonts w:ascii="Bodoni MT" w:eastAsiaTheme="minorEastAsia" w:hAnsi="Bodoni MT"/>
      <w:sz w:val="24"/>
      <w:szCs w:val="21"/>
    </w:rPr>
  </w:style>
  <w:style w:type="paragraph" w:styleId="Sommario3">
    <w:name w:val="toc 3"/>
    <w:basedOn w:val="Normale"/>
    <w:next w:val="Normale"/>
    <w:autoRedefine/>
    <w:uiPriority w:val="39"/>
    <w:unhideWhenUsed/>
    <w:rsid w:val="003E72A8"/>
    <w:pPr>
      <w:tabs>
        <w:tab w:val="left" w:pos="1320"/>
        <w:tab w:val="right" w:leader="dot" w:pos="9911"/>
      </w:tabs>
      <w:spacing w:after="100"/>
      <w:ind w:left="480"/>
      <w:jc w:val="both"/>
    </w:pPr>
    <w:rPr>
      <w:rFonts w:ascii="Bodoni MT" w:eastAsiaTheme="minorEastAsia" w:hAnsi="Bodoni MT"/>
      <w:sz w:val="24"/>
      <w:szCs w:val="21"/>
    </w:rPr>
  </w:style>
  <w:style w:type="character" w:styleId="Collegamentoipertestuale">
    <w:name w:val="Hyperlink"/>
    <w:basedOn w:val="Carpredefinitoparagrafo"/>
    <w:uiPriority w:val="99"/>
    <w:unhideWhenUsed/>
    <w:rsid w:val="00A17E04"/>
    <w:rPr>
      <w:color w:val="0000FF" w:themeColor="hyperlink"/>
      <w:u w:val="single"/>
    </w:rPr>
  </w:style>
  <w:style w:type="paragraph" w:styleId="Indicedellefigure">
    <w:name w:val="table of figures"/>
    <w:basedOn w:val="Normale"/>
    <w:next w:val="Normale"/>
    <w:link w:val="IndicedellefigureCarattere"/>
    <w:uiPriority w:val="99"/>
    <w:unhideWhenUsed/>
    <w:rsid w:val="005E7434"/>
    <w:pPr>
      <w:spacing w:after="0"/>
      <w:jc w:val="both"/>
    </w:pPr>
    <w:rPr>
      <w:rFonts w:ascii="Bodoni MT" w:hAnsi="Bodoni MT"/>
      <w:sz w:val="24"/>
    </w:rPr>
  </w:style>
  <w:style w:type="paragraph" w:customStyle="1" w:styleId="CdcIndici">
    <w:name w:val="Cdc_Indici"/>
    <w:basedOn w:val="Indicedellefigure"/>
    <w:link w:val="CdcIndiciCarattere"/>
    <w:qFormat/>
    <w:rsid w:val="00462E40"/>
    <w:pPr>
      <w:tabs>
        <w:tab w:val="right" w:leader="dot" w:pos="9911"/>
      </w:tabs>
      <w:jc w:val="center"/>
    </w:pPr>
    <w:rPr>
      <w:rFonts w:cs="Bodoni MT"/>
      <w:b/>
      <w:bCs/>
      <w:color w:val="000000"/>
      <w:sz w:val="36"/>
      <w:szCs w:val="36"/>
    </w:rPr>
  </w:style>
  <w:style w:type="paragraph" w:customStyle="1" w:styleId="CdcIntestazionecopertina">
    <w:name w:val="Cdc_ Intestazione copertina"/>
    <w:basedOn w:val="Normale"/>
    <w:link w:val="CdcIntestazionecopertinaCarattere"/>
    <w:qFormat/>
    <w:rsid w:val="00817F55"/>
    <w:pPr>
      <w:spacing w:after="160"/>
    </w:pPr>
    <w:rPr>
      <w:rFonts w:ascii="Bodoni MT" w:eastAsiaTheme="minorEastAsia" w:hAnsi="Bodoni MT"/>
      <w:caps/>
      <w:sz w:val="36"/>
      <w:szCs w:val="36"/>
    </w:rPr>
  </w:style>
  <w:style w:type="character" w:customStyle="1" w:styleId="IndicedellefigureCarattere">
    <w:name w:val="Indice delle figure Carattere"/>
    <w:basedOn w:val="Carpredefinitoparagrafo"/>
    <w:link w:val="Indicedellefigure"/>
    <w:uiPriority w:val="99"/>
    <w:rsid w:val="005E7434"/>
    <w:rPr>
      <w:rFonts w:ascii="Bodoni MT" w:hAnsi="Bodoni MT"/>
      <w:sz w:val="24"/>
    </w:rPr>
  </w:style>
  <w:style w:type="character" w:customStyle="1" w:styleId="CdcIndiciCarattere">
    <w:name w:val="Cdc_Indici Carattere"/>
    <w:basedOn w:val="IndicedellefigureCarattere"/>
    <w:link w:val="CdcIndici"/>
    <w:rsid w:val="00462E40"/>
    <w:rPr>
      <w:rFonts w:ascii="Bodoni MT" w:hAnsi="Bodoni MT" w:cs="Bodoni MT"/>
      <w:b/>
      <w:bCs/>
      <w:color w:val="000000"/>
      <w:sz w:val="36"/>
      <w:szCs w:val="36"/>
    </w:rPr>
  </w:style>
  <w:style w:type="character" w:customStyle="1" w:styleId="CdcIntestazionecopertinaCarattere">
    <w:name w:val="Cdc_ Intestazione copertina Carattere"/>
    <w:basedOn w:val="Carpredefinitoparagrafo"/>
    <w:link w:val="CdcIntestazionecopertina"/>
    <w:rsid w:val="00817F55"/>
    <w:rPr>
      <w:rFonts w:ascii="Bodoni MT" w:eastAsiaTheme="minorEastAsia" w:hAnsi="Bodoni MT"/>
      <w:caps/>
      <w:sz w:val="36"/>
      <w:szCs w:val="36"/>
    </w:rPr>
  </w:style>
  <w:style w:type="paragraph" w:customStyle="1" w:styleId="CdcTitolocopertina">
    <w:name w:val="Cdc_Titolo copertina"/>
    <w:basedOn w:val="Normale"/>
    <w:link w:val="CdcTitolocopertinaCarattere"/>
    <w:qFormat/>
    <w:rsid w:val="00817F55"/>
    <w:pPr>
      <w:spacing w:after="160" w:line="240" w:lineRule="auto"/>
      <w:jc w:val="center"/>
    </w:pPr>
    <w:rPr>
      <w:rFonts w:ascii="Arial" w:eastAsiaTheme="minorEastAsia" w:hAnsi="Arial" w:cs="Arial"/>
      <w:b/>
      <w:color w:val="FFFFFF" w:themeColor="background1"/>
      <w:sz w:val="60"/>
      <w:szCs w:val="56"/>
    </w:rPr>
  </w:style>
  <w:style w:type="character" w:customStyle="1" w:styleId="CdcTitolocopertinaCarattere">
    <w:name w:val="Cdc_Titolo copertina Carattere"/>
    <w:basedOn w:val="Carpredefinitoparagrafo"/>
    <w:link w:val="CdcTitolocopertina"/>
    <w:rsid w:val="00817F55"/>
    <w:rPr>
      <w:rFonts w:ascii="Arial" w:eastAsiaTheme="minorEastAsia" w:hAnsi="Arial" w:cs="Arial"/>
      <w:b/>
      <w:color w:val="FFFFFF" w:themeColor="background1"/>
      <w:sz w:val="60"/>
      <w:szCs w:val="56"/>
    </w:rPr>
  </w:style>
  <w:style w:type="paragraph" w:customStyle="1" w:styleId="CdcAnnocopertina">
    <w:name w:val="Cdc_Anno copertina"/>
    <w:basedOn w:val="Normale"/>
    <w:link w:val="CdcAnnocopertinaCarattere"/>
    <w:qFormat/>
    <w:rsid w:val="00817F55"/>
    <w:pPr>
      <w:spacing w:after="160"/>
      <w:jc w:val="center"/>
    </w:pPr>
    <w:rPr>
      <w:rFonts w:ascii="Arial" w:eastAsiaTheme="minorEastAsia" w:hAnsi="Arial" w:cs="Arial"/>
      <w:b/>
      <w:color w:val="FFFFFF" w:themeColor="background1"/>
      <w:sz w:val="74"/>
      <w:szCs w:val="60"/>
    </w:rPr>
  </w:style>
  <w:style w:type="character" w:customStyle="1" w:styleId="CdcAnnocopertinaCarattere">
    <w:name w:val="Cdc_Anno copertina Carattere"/>
    <w:basedOn w:val="Carpredefinitoparagrafo"/>
    <w:link w:val="CdcAnnocopertina"/>
    <w:rsid w:val="00817F55"/>
    <w:rPr>
      <w:rFonts w:ascii="Arial" w:eastAsiaTheme="minorEastAsia" w:hAnsi="Arial" w:cs="Arial"/>
      <w:b/>
      <w:color w:val="FFFFFF" w:themeColor="background1"/>
      <w:sz w:val="74"/>
      <w:szCs w:val="60"/>
    </w:rPr>
  </w:style>
  <w:style w:type="paragraph" w:customStyle="1" w:styleId="CdcUdienzacopertina">
    <w:name w:val="Cdc_Udienza copertina"/>
    <w:basedOn w:val="Normale"/>
    <w:link w:val="CdcUdienzacopertinaCarattere"/>
    <w:qFormat/>
    <w:rsid w:val="00817F55"/>
    <w:pPr>
      <w:spacing w:after="160"/>
      <w:jc w:val="center"/>
    </w:pPr>
    <w:rPr>
      <w:rFonts w:ascii="Arial" w:eastAsiaTheme="minorEastAsia" w:hAnsi="Arial" w:cs="Arial"/>
      <w:b/>
      <w:i/>
      <w:sz w:val="36"/>
      <w:szCs w:val="36"/>
    </w:rPr>
  </w:style>
  <w:style w:type="character" w:customStyle="1" w:styleId="CdcUdienzacopertinaCarattere">
    <w:name w:val="Cdc_Udienza copertina Carattere"/>
    <w:basedOn w:val="Carpredefinitoparagrafo"/>
    <w:link w:val="CdcUdienzacopertina"/>
    <w:rsid w:val="00817F55"/>
    <w:rPr>
      <w:rFonts w:ascii="Arial" w:eastAsiaTheme="minorEastAsia" w:hAnsi="Arial" w:cs="Arial"/>
      <w:b/>
      <w:i/>
      <w:sz w:val="36"/>
      <w:szCs w:val="36"/>
    </w:rPr>
  </w:style>
  <w:style w:type="paragraph" w:customStyle="1" w:styleId="CdcSottotitolofrontespizio">
    <w:name w:val="Cdc_Sottotitolo frontespizio"/>
    <w:basedOn w:val="Paragrafobase"/>
    <w:link w:val="CdcSottotitolofrontespizioCarattere"/>
    <w:qFormat/>
    <w:rsid w:val="00906115"/>
    <w:pPr>
      <w:jc w:val="center"/>
    </w:pPr>
    <w:rPr>
      <w:rFonts w:ascii="Bodoni MT" w:hAnsi="Bodoni MT" w:cs="Bodoni MT"/>
      <w:caps/>
      <w:sz w:val="34"/>
      <w:szCs w:val="34"/>
    </w:rPr>
  </w:style>
  <w:style w:type="character" w:customStyle="1" w:styleId="CdcSottotitolofrontespizioCarattere">
    <w:name w:val="Cdc_Sottotitolo frontespizio Carattere"/>
    <w:basedOn w:val="ParagrafobaseCarattere"/>
    <w:link w:val="CdcSottotitolofrontespizio"/>
    <w:rsid w:val="00906115"/>
    <w:rPr>
      <w:rFonts w:ascii="Bodoni MT" w:eastAsiaTheme="minorEastAsia" w:hAnsi="Bodoni MT" w:cs="Bodoni MT"/>
      <w:caps/>
      <w:color w:val="000000"/>
      <w:sz w:val="34"/>
      <w:szCs w:val="34"/>
    </w:rPr>
  </w:style>
  <w:style w:type="paragraph" w:customStyle="1" w:styleId="CdcInfovarie">
    <w:name w:val="Cdc_Info_varie"/>
    <w:basedOn w:val="Paragrafobase"/>
    <w:link w:val="CdcInfovarieCarattere"/>
    <w:qFormat/>
    <w:rsid w:val="00906115"/>
    <w:pPr>
      <w:jc w:val="center"/>
    </w:pPr>
    <w:rPr>
      <w:rFonts w:ascii="Bodoni MT" w:hAnsi="Bodoni MT" w:cs="Bodoni MT"/>
      <w:sz w:val="48"/>
      <w:szCs w:val="48"/>
    </w:rPr>
  </w:style>
  <w:style w:type="character" w:customStyle="1" w:styleId="CdcInfovarieCarattere">
    <w:name w:val="Cdc_Info_varie Carattere"/>
    <w:basedOn w:val="ParagrafobaseCarattere"/>
    <w:link w:val="CdcInfovarie"/>
    <w:rsid w:val="00906115"/>
    <w:rPr>
      <w:rFonts w:ascii="Bodoni MT" w:eastAsiaTheme="minorEastAsia" w:hAnsi="Bodoni MT" w:cs="Bodoni MT"/>
      <w:color w:val="000000"/>
      <w:sz w:val="48"/>
      <w:szCs w:val="48"/>
    </w:rPr>
  </w:style>
  <w:style w:type="paragraph" w:customStyle="1" w:styleId="CdcTitoloCopertinaInaugurazioneParificaQuadrimestrale">
    <w:name w:val="Cdc_ Titolo_Copertina_Inaugurazione_Parifica_Quadrimestrale"/>
    <w:basedOn w:val="Normale"/>
    <w:link w:val="CdcTitoloCopertinaInaugurazioneParificaQuadrimestraleCarattere"/>
    <w:qFormat/>
    <w:rsid w:val="0080214E"/>
    <w:pPr>
      <w:spacing w:after="160" w:line="240" w:lineRule="auto"/>
      <w:jc w:val="center"/>
    </w:pPr>
    <w:rPr>
      <w:rFonts w:ascii="Arial" w:eastAsia="Times New Roman" w:hAnsi="Arial" w:cs="Arial"/>
      <w:b/>
      <w:caps/>
      <w:sz w:val="60"/>
      <w:szCs w:val="60"/>
    </w:rPr>
  </w:style>
  <w:style w:type="character" w:customStyle="1" w:styleId="CdcTitoloCopertinaInaugurazioneParificaQuadrimestraleCarattere">
    <w:name w:val="Cdc_ Titolo_Copertina_Inaugurazione_Parifica_Quadrimestrale Carattere"/>
    <w:link w:val="CdcTitoloCopertinaInaugurazioneParificaQuadrimestrale"/>
    <w:rsid w:val="0080214E"/>
    <w:rPr>
      <w:rFonts w:ascii="Arial" w:eastAsia="Times New Roman" w:hAnsi="Arial" w:cs="Arial"/>
      <w:b/>
      <w:caps/>
      <w:sz w:val="60"/>
      <w:szCs w:val="60"/>
    </w:rPr>
  </w:style>
  <w:style w:type="paragraph" w:customStyle="1" w:styleId="CdcAnnoInaugurazioneParificaQuadrimestrale">
    <w:name w:val="Cdc_ Anno_Inaugurazione_Parifica_Quadrimestrale"/>
    <w:basedOn w:val="Normale"/>
    <w:link w:val="CdcAnnoInaugurazioneParificaQuadrimestraleCarattere"/>
    <w:qFormat/>
    <w:rsid w:val="00795846"/>
    <w:pPr>
      <w:spacing w:after="160"/>
      <w:jc w:val="center"/>
    </w:pPr>
    <w:rPr>
      <w:rFonts w:ascii="Arial" w:eastAsia="Times New Roman" w:hAnsi="Arial" w:cs="Arial"/>
      <w:b/>
      <w:sz w:val="54"/>
      <w:szCs w:val="54"/>
    </w:rPr>
  </w:style>
  <w:style w:type="character" w:customStyle="1" w:styleId="CdcAnnoInaugurazioneParificaQuadrimestraleCarattere">
    <w:name w:val="Cdc_ Anno_Inaugurazione_Parifica_Quadrimestrale Carattere"/>
    <w:link w:val="CdcAnnoInaugurazioneParificaQuadrimestrale"/>
    <w:rsid w:val="00795846"/>
    <w:rPr>
      <w:rFonts w:ascii="Arial" w:eastAsia="Times New Roman" w:hAnsi="Arial" w:cs="Arial"/>
      <w:b/>
      <w:sz w:val="54"/>
      <w:szCs w:val="54"/>
    </w:rPr>
  </w:style>
  <w:style w:type="paragraph" w:customStyle="1" w:styleId="CdcSottotiloCopertinaInaugurazioneParificaQuadrimestrale">
    <w:name w:val="Cdc_ Sottotilo_Copertina Inaugurazione_Parifica_Quadrimestrale"/>
    <w:basedOn w:val="Normale"/>
    <w:link w:val="CdcSottotiloCopertinaInaugurazioneParificaQuadrimestraleCarattere"/>
    <w:qFormat/>
    <w:rsid w:val="00795846"/>
    <w:pPr>
      <w:spacing w:after="20" w:line="240" w:lineRule="auto"/>
      <w:jc w:val="center"/>
    </w:pPr>
    <w:rPr>
      <w:rFonts w:ascii="Arial" w:eastAsia="Times New Roman" w:hAnsi="Arial" w:cs="Arial"/>
      <w:sz w:val="42"/>
      <w:szCs w:val="42"/>
    </w:rPr>
  </w:style>
  <w:style w:type="character" w:customStyle="1" w:styleId="CdcSottotiloCopertinaInaugurazioneParificaQuadrimestraleCarattere">
    <w:name w:val="Cdc_ Sottotilo_Copertina Inaugurazione_Parifica_Quadrimestrale Carattere"/>
    <w:link w:val="CdcSottotiloCopertinaInaugurazioneParificaQuadrimestrale"/>
    <w:rsid w:val="00795846"/>
    <w:rPr>
      <w:rFonts w:ascii="Arial" w:eastAsia="Times New Roman" w:hAnsi="Arial" w:cs="Arial"/>
      <w:sz w:val="42"/>
      <w:szCs w:val="42"/>
    </w:rPr>
  </w:style>
  <w:style w:type="paragraph" w:customStyle="1" w:styleId="UdienzaCopertina">
    <w:name w:val="UdienzaCopertina"/>
    <w:basedOn w:val="Normale"/>
    <w:link w:val="UdienzaCopertinaCarattere"/>
    <w:qFormat/>
    <w:rsid w:val="00795846"/>
    <w:pPr>
      <w:spacing w:after="160"/>
      <w:jc w:val="center"/>
    </w:pPr>
    <w:rPr>
      <w:rFonts w:ascii="Arial" w:eastAsia="Times New Roman" w:hAnsi="Arial" w:cs="Arial"/>
      <w:b/>
      <w:caps/>
      <w:sz w:val="36"/>
      <w:szCs w:val="36"/>
    </w:rPr>
  </w:style>
  <w:style w:type="character" w:customStyle="1" w:styleId="UdienzaCopertinaCarattere">
    <w:name w:val="UdienzaCopertina Carattere"/>
    <w:link w:val="UdienzaCopertina"/>
    <w:rsid w:val="00795846"/>
    <w:rPr>
      <w:rFonts w:ascii="Arial" w:eastAsia="Times New Roman" w:hAnsi="Arial" w:cs="Arial"/>
      <w:b/>
      <w:caps/>
      <w:sz w:val="36"/>
      <w:szCs w:val="36"/>
    </w:rPr>
  </w:style>
  <w:style w:type="paragraph" w:customStyle="1" w:styleId="CdcPidipaginaInaugurazione">
    <w:name w:val="Cdc_Piè di pagina_Inaugurazione"/>
    <w:basedOn w:val="UdienzaCopertina"/>
    <w:link w:val="CdcPidipaginaInaugurazioneCarattere"/>
    <w:qFormat/>
    <w:rsid w:val="005B1367"/>
    <w:rPr>
      <w:color w:val="004562"/>
    </w:rPr>
  </w:style>
  <w:style w:type="character" w:customStyle="1" w:styleId="CdcPidipaginaInaugurazioneCarattere">
    <w:name w:val="Cdc_Piè di pagina_Inaugurazione Carattere"/>
    <w:basedOn w:val="UdienzaCopertinaCarattere"/>
    <w:link w:val="CdcPidipaginaInaugurazione"/>
    <w:rsid w:val="005B1367"/>
    <w:rPr>
      <w:rFonts w:ascii="Arial" w:eastAsia="Times New Roman" w:hAnsi="Arial" w:cs="Arial"/>
      <w:b/>
      <w:caps/>
      <w:color w:val="004562"/>
      <w:sz w:val="36"/>
      <w:szCs w:val="36"/>
    </w:rPr>
  </w:style>
  <w:style w:type="paragraph" w:customStyle="1" w:styleId="udinzaCopertina">
    <w:name w:val="udinzaCopertina"/>
    <w:basedOn w:val="UdienzaCopertina"/>
    <w:link w:val="udinzaCopertinaCarattere"/>
    <w:qFormat/>
    <w:rsid w:val="00270B04"/>
    <w:rPr>
      <w:rFonts w:eastAsiaTheme="minorEastAsia"/>
    </w:rPr>
  </w:style>
  <w:style w:type="character" w:customStyle="1" w:styleId="udinzaCopertinaCarattere">
    <w:name w:val="udinzaCopertina Carattere"/>
    <w:basedOn w:val="UdienzaCopertinaCarattere"/>
    <w:link w:val="udinzaCopertina"/>
    <w:rsid w:val="00270B04"/>
    <w:rPr>
      <w:rFonts w:ascii="Arial" w:eastAsiaTheme="minorEastAsia" w:hAnsi="Arial" w:cs="Arial"/>
      <w:b/>
      <w:caps/>
      <w:sz w:val="36"/>
      <w:szCs w:val="36"/>
    </w:rPr>
  </w:style>
  <w:style w:type="paragraph" w:customStyle="1" w:styleId="titoloCopertina">
    <w:name w:val="titoloCopertina"/>
    <w:basedOn w:val="Normale"/>
    <w:link w:val="titoloCopertinaCarattere"/>
    <w:uiPriority w:val="99"/>
    <w:qFormat/>
    <w:rsid w:val="00ED2A9C"/>
    <w:pPr>
      <w:spacing w:after="0" w:line="360" w:lineRule="auto"/>
      <w:ind w:firstLine="567"/>
      <w:jc w:val="center"/>
    </w:pPr>
    <w:rPr>
      <w:rFonts w:ascii="Arial" w:eastAsiaTheme="minorEastAsia" w:hAnsi="Arial" w:cs="Arial"/>
      <w:b/>
      <w:color w:val="FFFFFF" w:themeColor="background1"/>
      <w:sz w:val="60"/>
      <w:szCs w:val="56"/>
    </w:rPr>
  </w:style>
  <w:style w:type="character" w:customStyle="1" w:styleId="titoloCopertinaCarattere">
    <w:name w:val="titoloCopertina Carattere"/>
    <w:basedOn w:val="Carpredefinitoparagrafo"/>
    <w:link w:val="titoloCopertina"/>
    <w:uiPriority w:val="99"/>
    <w:rsid w:val="00ED2A9C"/>
    <w:rPr>
      <w:rFonts w:ascii="Arial" w:eastAsiaTheme="minorEastAsia" w:hAnsi="Arial" w:cs="Arial"/>
      <w:b/>
      <w:color w:val="FFFFFF" w:themeColor="background1"/>
      <w:sz w:val="60"/>
      <w:szCs w:val="56"/>
    </w:rPr>
  </w:style>
  <w:style w:type="numbering" w:customStyle="1" w:styleId="Nessunelenco1">
    <w:name w:val="Nessun elenco1"/>
    <w:next w:val="Nessunelenco"/>
    <w:uiPriority w:val="99"/>
    <w:semiHidden/>
    <w:unhideWhenUsed/>
    <w:rsid w:val="007C335A"/>
  </w:style>
  <w:style w:type="table" w:customStyle="1" w:styleId="Grigliatabella1">
    <w:name w:val="Griglia tabella1"/>
    <w:basedOn w:val="Tabellanormale"/>
    <w:next w:val="Grigliatabella"/>
    <w:uiPriority w:val="39"/>
    <w:rsid w:val="007C335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ttotitiloCopertina">
    <w:name w:val="SottotitiloCopertina"/>
    <w:basedOn w:val="Normale"/>
    <w:link w:val="SottotitiloCopertinaCarattere"/>
    <w:qFormat/>
    <w:rsid w:val="007C335A"/>
    <w:pPr>
      <w:spacing w:after="20" w:line="360" w:lineRule="auto"/>
      <w:ind w:firstLine="567"/>
      <w:jc w:val="center"/>
    </w:pPr>
    <w:rPr>
      <w:rFonts w:ascii="Arial" w:eastAsiaTheme="minorEastAsia" w:hAnsi="Arial" w:cs="Arial"/>
      <w:b/>
      <w:i/>
      <w:sz w:val="42"/>
      <w:szCs w:val="42"/>
    </w:rPr>
  </w:style>
  <w:style w:type="character" w:customStyle="1" w:styleId="SottotitiloCopertinaCarattere">
    <w:name w:val="SottotitiloCopertina Carattere"/>
    <w:basedOn w:val="Carpredefinitoparagrafo"/>
    <w:link w:val="SottotitiloCopertina"/>
    <w:rsid w:val="007C335A"/>
    <w:rPr>
      <w:rFonts w:ascii="Arial" w:eastAsiaTheme="minorEastAsia" w:hAnsi="Arial" w:cs="Arial"/>
      <w:b/>
      <w:i/>
      <w:sz w:val="42"/>
      <w:szCs w:val="42"/>
    </w:rPr>
  </w:style>
  <w:style w:type="paragraph" w:customStyle="1" w:styleId="udienzaCopertina0">
    <w:name w:val="udienzaCopertina"/>
    <w:basedOn w:val="Normale"/>
    <w:link w:val="udienzaCopertinaCarattere0"/>
    <w:qFormat/>
    <w:rsid w:val="007C335A"/>
    <w:pPr>
      <w:spacing w:after="0" w:line="360" w:lineRule="auto"/>
      <w:ind w:firstLine="567"/>
      <w:jc w:val="center"/>
    </w:pPr>
    <w:rPr>
      <w:rFonts w:ascii="Arial" w:eastAsiaTheme="minorEastAsia" w:hAnsi="Arial" w:cs="Arial"/>
      <w:b/>
      <w:i/>
      <w:sz w:val="36"/>
      <w:szCs w:val="36"/>
    </w:rPr>
  </w:style>
  <w:style w:type="character" w:customStyle="1" w:styleId="udienzaCopertinaCarattere0">
    <w:name w:val="udienzaCopertina Carattere"/>
    <w:basedOn w:val="Carpredefinitoparagrafo"/>
    <w:link w:val="udienzaCopertina0"/>
    <w:rsid w:val="007C335A"/>
    <w:rPr>
      <w:rFonts w:ascii="Arial" w:eastAsiaTheme="minorEastAsia" w:hAnsi="Arial" w:cs="Arial"/>
      <w:b/>
      <w:i/>
      <w:sz w:val="36"/>
      <w:szCs w:val="36"/>
    </w:rPr>
  </w:style>
  <w:style w:type="paragraph" w:customStyle="1" w:styleId="Default">
    <w:name w:val="Default"/>
    <w:rsid w:val="007C335A"/>
    <w:pPr>
      <w:autoSpaceDE w:val="0"/>
      <w:autoSpaceDN w:val="0"/>
      <w:adjustRightInd w:val="0"/>
      <w:spacing w:after="0" w:line="240" w:lineRule="auto"/>
    </w:pPr>
    <w:rPr>
      <w:rFonts w:ascii="Verdana" w:hAnsi="Verdana" w:cs="Verdana"/>
      <w:color w:val="000000"/>
      <w:sz w:val="24"/>
      <w:szCs w:val="24"/>
    </w:rPr>
  </w:style>
  <w:style w:type="character" w:styleId="Testosegnaposto">
    <w:name w:val="Placeholder Text"/>
    <w:basedOn w:val="Carpredefinitoparagrafo"/>
    <w:uiPriority w:val="99"/>
    <w:semiHidden/>
    <w:rsid w:val="007C335A"/>
    <w:rPr>
      <w:color w:val="808080"/>
    </w:rPr>
  </w:style>
  <w:style w:type="paragraph" w:styleId="Testonotadichiusura">
    <w:name w:val="endnote text"/>
    <w:basedOn w:val="Normale"/>
    <w:link w:val="TestonotadichiusuraCarattere"/>
    <w:uiPriority w:val="99"/>
    <w:semiHidden/>
    <w:unhideWhenUsed/>
    <w:rsid w:val="007C335A"/>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7C335A"/>
    <w:rPr>
      <w:sz w:val="20"/>
      <w:szCs w:val="20"/>
    </w:rPr>
  </w:style>
  <w:style w:type="character" w:styleId="Rimandonotadichiusura">
    <w:name w:val="endnote reference"/>
    <w:basedOn w:val="Carpredefinitoparagrafo"/>
    <w:uiPriority w:val="99"/>
    <w:semiHidden/>
    <w:unhideWhenUsed/>
    <w:rsid w:val="007C335A"/>
    <w:rPr>
      <w:vertAlign w:val="superscript"/>
    </w:rPr>
  </w:style>
  <w:style w:type="table" w:customStyle="1" w:styleId="TableGrid">
    <w:name w:val="TableGrid"/>
    <w:rsid w:val="007C335A"/>
    <w:pPr>
      <w:spacing w:after="0" w:line="240" w:lineRule="auto"/>
    </w:pPr>
    <w:rPr>
      <w:rFonts w:eastAsiaTheme="minorEastAsia"/>
      <w:lang w:eastAsia="it-IT"/>
    </w:rPr>
    <w:tblPr>
      <w:tblCellMar>
        <w:top w:w="0" w:type="dxa"/>
        <w:left w:w="0" w:type="dxa"/>
        <w:bottom w:w="0" w:type="dxa"/>
        <w:right w:w="0" w:type="dxa"/>
      </w:tblCellMar>
    </w:tblPr>
  </w:style>
  <w:style w:type="paragraph" w:customStyle="1" w:styleId="footnotedescription">
    <w:name w:val="footnote description"/>
    <w:next w:val="Normale"/>
    <w:link w:val="footnotedescriptionChar"/>
    <w:hidden/>
    <w:rsid w:val="007C335A"/>
    <w:pPr>
      <w:spacing w:after="0" w:line="259" w:lineRule="auto"/>
      <w:ind w:right="32"/>
      <w:jc w:val="both"/>
    </w:pPr>
    <w:rPr>
      <w:rFonts w:ascii="Verdana" w:eastAsia="Verdana" w:hAnsi="Verdana" w:cs="Verdana"/>
      <w:color w:val="000000"/>
      <w:sz w:val="16"/>
      <w:lang w:eastAsia="it-IT"/>
    </w:rPr>
  </w:style>
  <w:style w:type="character" w:customStyle="1" w:styleId="footnotedescriptionChar">
    <w:name w:val="footnote description Char"/>
    <w:link w:val="footnotedescription"/>
    <w:rsid w:val="007C335A"/>
    <w:rPr>
      <w:rFonts w:ascii="Verdana" w:eastAsia="Verdana" w:hAnsi="Verdana" w:cs="Verdana"/>
      <w:color w:val="000000"/>
      <w:sz w:val="16"/>
      <w:lang w:eastAsia="it-IT"/>
    </w:rPr>
  </w:style>
  <w:style w:type="character" w:customStyle="1" w:styleId="footnotemark">
    <w:name w:val="footnote mark"/>
    <w:hidden/>
    <w:rsid w:val="007C335A"/>
    <w:rPr>
      <w:rFonts w:ascii="Verdana" w:eastAsia="Verdana" w:hAnsi="Verdana" w:cs="Verdana"/>
      <w:color w:val="000000"/>
      <w:sz w:val="16"/>
      <w:vertAlign w:val="superscript"/>
    </w:rPr>
  </w:style>
  <w:style w:type="paragraph" w:customStyle="1" w:styleId="intestazioneCopertina">
    <w:name w:val="intestazioneCopertina"/>
    <w:basedOn w:val="Normale"/>
    <w:link w:val="intestazioneCopertinaCarattere"/>
    <w:qFormat/>
    <w:rsid w:val="007C335A"/>
    <w:pPr>
      <w:spacing w:after="0" w:line="360" w:lineRule="auto"/>
      <w:ind w:firstLine="567"/>
      <w:jc w:val="both"/>
    </w:pPr>
    <w:rPr>
      <w:rFonts w:ascii="Bodoni MT" w:eastAsiaTheme="minorEastAsia" w:hAnsi="Bodoni MT"/>
      <w:caps/>
      <w:sz w:val="36"/>
      <w:szCs w:val="36"/>
    </w:rPr>
  </w:style>
  <w:style w:type="character" w:customStyle="1" w:styleId="intestazioneCopertinaCarattere">
    <w:name w:val="intestazioneCopertina Carattere"/>
    <w:basedOn w:val="Carpredefinitoparagrafo"/>
    <w:link w:val="intestazioneCopertina"/>
    <w:rsid w:val="007C335A"/>
    <w:rPr>
      <w:rFonts w:ascii="Bodoni MT" w:eastAsiaTheme="minorEastAsia" w:hAnsi="Bodoni MT"/>
      <w:caps/>
      <w:sz w:val="36"/>
      <w:szCs w:val="36"/>
    </w:rPr>
  </w:style>
  <w:style w:type="numbering" w:customStyle="1" w:styleId="Nessunelenco2">
    <w:name w:val="Nessun elenco2"/>
    <w:next w:val="Nessunelenco"/>
    <w:uiPriority w:val="99"/>
    <w:semiHidden/>
    <w:unhideWhenUsed/>
    <w:rsid w:val="005D660C"/>
  </w:style>
  <w:style w:type="table" w:customStyle="1" w:styleId="Grigliatabella2">
    <w:name w:val="Griglia tabella2"/>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D660C"/>
    <w:pPr>
      <w:spacing w:after="0" w:line="240" w:lineRule="auto"/>
    </w:pPr>
    <w:rPr>
      <w:rFonts w:eastAsiaTheme="minorEastAsia"/>
      <w:lang w:eastAsia="it-IT"/>
    </w:rPr>
    <w:tblPr>
      <w:tblCellMar>
        <w:top w:w="0" w:type="dxa"/>
        <w:left w:w="0" w:type="dxa"/>
        <w:bottom w:w="0" w:type="dxa"/>
        <w:right w:w="0" w:type="dxa"/>
      </w:tblCellMar>
    </w:tblPr>
  </w:style>
  <w:style w:type="table" w:customStyle="1" w:styleId="Grigliatabella11">
    <w:name w:val="Griglia tabella11"/>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3">
    <w:name w:val="Nessun elenco3"/>
    <w:next w:val="Nessunelenco"/>
    <w:uiPriority w:val="99"/>
    <w:semiHidden/>
    <w:unhideWhenUsed/>
    <w:rsid w:val="005D660C"/>
  </w:style>
  <w:style w:type="table" w:customStyle="1" w:styleId="Grigliatabella3">
    <w:name w:val="Griglia tabella3"/>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5D660C"/>
    <w:pPr>
      <w:spacing w:after="0" w:line="240" w:lineRule="auto"/>
    </w:pPr>
    <w:rPr>
      <w:rFonts w:eastAsiaTheme="minorEastAsia"/>
      <w:lang w:eastAsia="it-IT"/>
    </w:rPr>
    <w:tblPr>
      <w:tblCellMar>
        <w:top w:w="0" w:type="dxa"/>
        <w:left w:w="0" w:type="dxa"/>
        <w:bottom w:w="0" w:type="dxa"/>
        <w:right w:w="0" w:type="dxa"/>
      </w:tblCellMar>
    </w:tblPr>
  </w:style>
  <w:style w:type="table" w:customStyle="1" w:styleId="Grigliatabella12">
    <w:name w:val="Griglia tabella12"/>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visitato">
    <w:name w:val="FollowedHyperlink"/>
    <w:basedOn w:val="Carpredefinitoparagrafo"/>
    <w:uiPriority w:val="99"/>
    <w:semiHidden/>
    <w:unhideWhenUsed/>
    <w:rsid w:val="00767294"/>
    <w:rPr>
      <w:color w:val="800080" w:themeColor="followedHyperlink"/>
      <w:u w:val="single"/>
    </w:rPr>
  </w:style>
  <w:style w:type="paragraph" w:styleId="Sommario4">
    <w:name w:val="toc 4"/>
    <w:basedOn w:val="Normale"/>
    <w:next w:val="Normale"/>
    <w:autoRedefine/>
    <w:uiPriority w:val="39"/>
    <w:unhideWhenUsed/>
    <w:rsid w:val="00A77528"/>
    <w:pPr>
      <w:spacing w:after="100"/>
      <w:ind w:left="658"/>
      <w:jc w:val="both"/>
    </w:pPr>
    <w:rPr>
      <w:rFonts w:ascii="Bodoni MT" w:hAnsi="Bodoni MT"/>
      <w:sz w:val="24"/>
    </w:rPr>
  </w:style>
  <w:style w:type="table" w:customStyle="1" w:styleId="TableGrid3">
    <w:name w:val="TableGrid3"/>
    <w:rsid w:val="00FF2CC0"/>
    <w:pPr>
      <w:spacing w:after="0" w:line="240" w:lineRule="auto"/>
    </w:pPr>
    <w:rPr>
      <w:rFonts w:eastAsiaTheme="minorEastAsia"/>
      <w:lang w:eastAsia="it-IT"/>
    </w:rPr>
    <w:tblPr>
      <w:tblCellMar>
        <w:top w:w="0" w:type="dxa"/>
        <w:left w:w="0" w:type="dxa"/>
        <w:bottom w:w="0" w:type="dxa"/>
        <w:right w:w="0" w:type="dxa"/>
      </w:tblCellMar>
    </w:tblPr>
  </w:style>
  <w:style w:type="character" w:styleId="Rimandocommento">
    <w:name w:val="annotation reference"/>
    <w:basedOn w:val="Carpredefinitoparagrafo"/>
    <w:uiPriority w:val="99"/>
    <w:semiHidden/>
    <w:unhideWhenUsed/>
    <w:rsid w:val="00B15595"/>
    <w:rPr>
      <w:sz w:val="16"/>
      <w:szCs w:val="16"/>
    </w:rPr>
  </w:style>
  <w:style w:type="paragraph" w:styleId="Testocommento">
    <w:name w:val="annotation text"/>
    <w:basedOn w:val="Normale"/>
    <w:link w:val="TestocommentoCarattere"/>
    <w:uiPriority w:val="99"/>
    <w:semiHidden/>
    <w:unhideWhenUsed/>
    <w:rsid w:val="00B15595"/>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B15595"/>
    <w:rPr>
      <w:sz w:val="20"/>
      <w:szCs w:val="20"/>
    </w:rPr>
  </w:style>
  <w:style w:type="paragraph" w:styleId="Soggettocommento">
    <w:name w:val="annotation subject"/>
    <w:basedOn w:val="Testocommento"/>
    <w:next w:val="Testocommento"/>
    <w:link w:val="SoggettocommentoCarattere"/>
    <w:uiPriority w:val="99"/>
    <w:semiHidden/>
    <w:unhideWhenUsed/>
    <w:rsid w:val="00B15595"/>
    <w:rPr>
      <w:b/>
      <w:bCs/>
    </w:rPr>
  </w:style>
  <w:style w:type="character" w:customStyle="1" w:styleId="SoggettocommentoCarattere">
    <w:name w:val="Soggetto commento Carattere"/>
    <w:basedOn w:val="TestocommentoCarattere"/>
    <w:link w:val="Soggettocommento"/>
    <w:uiPriority w:val="99"/>
    <w:semiHidden/>
    <w:rsid w:val="00B15595"/>
    <w:rPr>
      <w:b/>
      <w:bCs/>
      <w:sz w:val="20"/>
      <w:szCs w:val="20"/>
    </w:rPr>
  </w:style>
  <w:style w:type="numbering" w:customStyle="1" w:styleId="Nessunelenco4">
    <w:name w:val="Nessun elenco4"/>
    <w:next w:val="Nessunelenco"/>
    <w:uiPriority w:val="99"/>
    <w:semiHidden/>
    <w:unhideWhenUsed/>
    <w:rsid w:val="00CD34A0"/>
  </w:style>
  <w:style w:type="table" w:customStyle="1" w:styleId="Grigliatabella4">
    <w:name w:val="Griglia tabella4"/>
    <w:basedOn w:val="Tabellanormale"/>
    <w:next w:val="Grigliatabella"/>
    <w:uiPriority w:val="39"/>
    <w:rsid w:val="00CD3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
    <w:name w:val="Mention"/>
    <w:basedOn w:val="Carpredefinitoparagrafo"/>
    <w:uiPriority w:val="99"/>
    <w:semiHidden/>
    <w:unhideWhenUsed/>
    <w:rsid w:val="00CD34A0"/>
    <w:rPr>
      <w:color w:val="2B579A"/>
      <w:shd w:val="clear" w:color="auto" w:fill="E6E6E6"/>
    </w:rPr>
  </w:style>
  <w:style w:type="paragraph" w:styleId="NormaleWeb">
    <w:name w:val="Normal (Web)"/>
    <w:basedOn w:val="Normale"/>
    <w:uiPriority w:val="99"/>
    <w:semiHidden/>
    <w:unhideWhenUsed/>
    <w:rsid w:val="00CD34A0"/>
    <w:pPr>
      <w:spacing w:after="160" w:line="259" w:lineRule="auto"/>
    </w:pPr>
    <w:rPr>
      <w:rFonts w:ascii="Times New Roman" w:hAnsi="Times New Roman" w:cs="Times New Roman"/>
      <w:sz w:val="24"/>
      <w:szCs w:val="24"/>
    </w:rPr>
  </w:style>
  <w:style w:type="paragraph" w:styleId="Sommario5">
    <w:name w:val="toc 5"/>
    <w:basedOn w:val="Normale"/>
    <w:next w:val="Normale"/>
    <w:autoRedefine/>
    <w:uiPriority w:val="39"/>
    <w:unhideWhenUsed/>
    <w:rsid w:val="00B568E4"/>
    <w:pPr>
      <w:spacing w:after="100" w:line="259" w:lineRule="auto"/>
      <w:ind w:left="880"/>
    </w:pPr>
    <w:rPr>
      <w:rFonts w:eastAsiaTheme="minorEastAsia"/>
      <w:lang w:eastAsia="it-IT"/>
    </w:rPr>
  </w:style>
  <w:style w:type="paragraph" w:styleId="Sommario6">
    <w:name w:val="toc 6"/>
    <w:basedOn w:val="Normale"/>
    <w:next w:val="Normale"/>
    <w:autoRedefine/>
    <w:uiPriority w:val="39"/>
    <w:unhideWhenUsed/>
    <w:rsid w:val="00B568E4"/>
    <w:pPr>
      <w:spacing w:after="100" w:line="259" w:lineRule="auto"/>
      <w:ind w:left="1100"/>
    </w:pPr>
    <w:rPr>
      <w:rFonts w:eastAsiaTheme="minorEastAsia"/>
      <w:lang w:eastAsia="it-IT"/>
    </w:rPr>
  </w:style>
  <w:style w:type="paragraph" w:styleId="Sommario7">
    <w:name w:val="toc 7"/>
    <w:basedOn w:val="Normale"/>
    <w:next w:val="Normale"/>
    <w:autoRedefine/>
    <w:uiPriority w:val="39"/>
    <w:unhideWhenUsed/>
    <w:rsid w:val="00B568E4"/>
    <w:pPr>
      <w:spacing w:after="100" w:line="259" w:lineRule="auto"/>
      <w:ind w:left="1320"/>
    </w:pPr>
    <w:rPr>
      <w:rFonts w:eastAsiaTheme="minorEastAsia"/>
      <w:lang w:eastAsia="it-IT"/>
    </w:rPr>
  </w:style>
  <w:style w:type="paragraph" w:styleId="Sommario8">
    <w:name w:val="toc 8"/>
    <w:basedOn w:val="Normale"/>
    <w:next w:val="Normale"/>
    <w:autoRedefine/>
    <w:uiPriority w:val="39"/>
    <w:unhideWhenUsed/>
    <w:rsid w:val="00B568E4"/>
    <w:pPr>
      <w:spacing w:after="100" w:line="259" w:lineRule="auto"/>
      <w:ind w:left="1540"/>
    </w:pPr>
    <w:rPr>
      <w:rFonts w:eastAsiaTheme="minorEastAsia"/>
      <w:lang w:eastAsia="it-IT"/>
    </w:rPr>
  </w:style>
  <w:style w:type="paragraph" w:styleId="Sommario9">
    <w:name w:val="toc 9"/>
    <w:basedOn w:val="Normale"/>
    <w:next w:val="Normale"/>
    <w:autoRedefine/>
    <w:uiPriority w:val="39"/>
    <w:unhideWhenUsed/>
    <w:rsid w:val="00B568E4"/>
    <w:pPr>
      <w:spacing w:after="100" w:line="259" w:lineRule="auto"/>
      <w:ind w:left="1760"/>
    </w:pPr>
    <w:rPr>
      <w:rFonts w:eastAsiaTheme="minorEastAsia"/>
      <w:lang w:eastAsia="it-IT"/>
    </w:rPr>
  </w:style>
  <w:style w:type="character" w:customStyle="1" w:styleId="Grassetto">
    <w:name w:val="Grassetto"/>
    <w:basedOn w:val="Carpredefinitoparagrafo"/>
    <w:rsid w:val="00AF6918"/>
    <w:rPr>
      <w:rFonts w:ascii="Trebuchet MS" w:hAnsi="Trebuchet MS" w:hint="default"/>
      <w:b/>
      <w:bCs/>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aliases w:val="Cdc_Titolo capitolo"/>
    <w:basedOn w:val="Normale"/>
    <w:next w:val="Normale"/>
    <w:link w:val="Titolo1Carattere"/>
    <w:uiPriority w:val="9"/>
    <w:qFormat/>
    <w:rsid w:val="003E72A8"/>
    <w:pPr>
      <w:keepNext/>
      <w:keepLines/>
      <w:pageBreakBefore/>
      <w:numPr>
        <w:numId w:val="1"/>
      </w:numPr>
      <w:spacing w:before="480" w:after="120" w:line="360" w:lineRule="auto"/>
      <w:ind w:left="431" w:hanging="431"/>
      <w:jc w:val="both"/>
      <w:outlineLvl w:val="0"/>
    </w:pPr>
    <w:rPr>
      <w:rFonts w:ascii="Bodoni MT" w:eastAsiaTheme="majorEastAsia" w:hAnsi="Bodoni MT" w:cstheme="majorBidi"/>
      <w:b/>
      <w:caps/>
      <w:color w:val="000000" w:themeColor="text1"/>
      <w:sz w:val="36"/>
      <w:szCs w:val="40"/>
    </w:rPr>
  </w:style>
  <w:style w:type="paragraph" w:styleId="Titolo2">
    <w:name w:val="heading 2"/>
    <w:aliases w:val="Cdc_Titolo paragrafo"/>
    <w:basedOn w:val="Normale"/>
    <w:next w:val="Normale"/>
    <w:link w:val="Titolo2Carattere"/>
    <w:uiPriority w:val="9"/>
    <w:unhideWhenUsed/>
    <w:qFormat/>
    <w:rsid w:val="00C273FE"/>
    <w:pPr>
      <w:keepNext/>
      <w:keepLines/>
      <w:numPr>
        <w:ilvl w:val="1"/>
        <w:numId w:val="1"/>
      </w:numPr>
      <w:spacing w:before="360" w:after="120" w:line="360" w:lineRule="auto"/>
      <w:ind w:left="0" w:firstLine="0"/>
      <w:outlineLvl w:val="1"/>
    </w:pPr>
    <w:rPr>
      <w:rFonts w:ascii="Bodoni MT" w:eastAsiaTheme="majorEastAsia" w:hAnsi="Bodoni MT" w:cstheme="majorBidi"/>
      <w:b/>
      <w:color w:val="000000" w:themeColor="text1"/>
      <w:sz w:val="32"/>
      <w:szCs w:val="36"/>
    </w:rPr>
  </w:style>
  <w:style w:type="paragraph" w:styleId="Titolo3">
    <w:name w:val="heading 3"/>
    <w:aliases w:val="Cdc_Titolo sottoparagrafo"/>
    <w:basedOn w:val="Normale"/>
    <w:next w:val="Normale"/>
    <w:link w:val="Titolo3Carattere"/>
    <w:uiPriority w:val="9"/>
    <w:unhideWhenUsed/>
    <w:qFormat/>
    <w:rsid w:val="00B2037B"/>
    <w:pPr>
      <w:keepNext/>
      <w:keepLines/>
      <w:numPr>
        <w:ilvl w:val="2"/>
        <w:numId w:val="1"/>
      </w:numPr>
      <w:spacing w:before="360" w:after="120" w:line="360" w:lineRule="auto"/>
      <w:ind w:left="720"/>
      <w:outlineLvl w:val="2"/>
    </w:pPr>
    <w:rPr>
      <w:rFonts w:ascii="Bodoni MT" w:eastAsiaTheme="majorEastAsia" w:hAnsi="Bodoni MT" w:cstheme="majorBidi"/>
      <w:b/>
      <w:color w:val="000000" w:themeColor="text1"/>
      <w:sz w:val="28"/>
      <w:szCs w:val="28"/>
    </w:rPr>
  </w:style>
  <w:style w:type="paragraph" w:styleId="Titolo4">
    <w:name w:val="heading 4"/>
    <w:basedOn w:val="Normale"/>
    <w:next w:val="Normale"/>
    <w:link w:val="Titolo4Carattere"/>
    <w:uiPriority w:val="9"/>
    <w:unhideWhenUsed/>
    <w:qFormat/>
    <w:rsid w:val="00503AC8"/>
    <w:pPr>
      <w:keepNext/>
      <w:keepLines/>
      <w:numPr>
        <w:ilvl w:val="3"/>
        <w:numId w:val="1"/>
      </w:numPr>
      <w:spacing w:before="240" w:after="120" w:line="360" w:lineRule="auto"/>
      <w:ind w:left="862" w:hanging="862"/>
      <w:outlineLvl w:val="3"/>
    </w:pPr>
    <w:rPr>
      <w:rFonts w:ascii="Bodoni MT" w:eastAsiaTheme="majorEastAsia" w:hAnsi="Bodoni MT" w:cstheme="majorBidi"/>
      <w:b/>
      <w:iCs/>
      <w:sz w:val="28"/>
      <w:szCs w:val="28"/>
    </w:rPr>
  </w:style>
  <w:style w:type="paragraph" w:styleId="Titolo5">
    <w:name w:val="heading 5"/>
    <w:basedOn w:val="Normale"/>
    <w:next w:val="Normale"/>
    <w:link w:val="Titolo5Carattere"/>
    <w:uiPriority w:val="9"/>
    <w:semiHidden/>
    <w:unhideWhenUsed/>
    <w:qFormat/>
    <w:rsid w:val="00B2037B"/>
    <w:pPr>
      <w:keepNext/>
      <w:keepLines/>
      <w:numPr>
        <w:ilvl w:val="4"/>
        <w:numId w:val="1"/>
      </w:numPr>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Titolo6">
    <w:name w:val="heading 6"/>
    <w:basedOn w:val="Normale"/>
    <w:next w:val="Normale"/>
    <w:link w:val="Titolo6Carattere"/>
    <w:uiPriority w:val="9"/>
    <w:semiHidden/>
    <w:unhideWhenUsed/>
    <w:qFormat/>
    <w:rsid w:val="00B2037B"/>
    <w:pPr>
      <w:keepNext/>
      <w:keepLines/>
      <w:numPr>
        <w:ilvl w:val="5"/>
        <w:numId w:val="1"/>
      </w:numPr>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Titolo7">
    <w:name w:val="heading 7"/>
    <w:basedOn w:val="Normale"/>
    <w:next w:val="Normale"/>
    <w:link w:val="Titolo7Carattere"/>
    <w:uiPriority w:val="9"/>
    <w:semiHidden/>
    <w:unhideWhenUsed/>
    <w:qFormat/>
    <w:rsid w:val="00B2037B"/>
    <w:pPr>
      <w:keepNext/>
      <w:keepLines/>
      <w:numPr>
        <w:ilvl w:val="6"/>
        <w:numId w:val="1"/>
      </w:numPr>
      <w:spacing w:before="80" w:after="0" w:line="240" w:lineRule="auto"/>
      <w:outlineLvl w:val="6"/>
    </w:pPr>
    <w:rPr>
      <w:rFonts w:asciiTheme="majorHAnsi" w:eastAsiaTheme="majorEastAsia" w:hAnsiTheme="majorHAnsi" w:cstheme="majorBidi"/>
      <w:b/>
      <w:bCs/>
      <w:color w:val="632423" w:themeColor="accent2" w:themeShade="80"/>
    </w:rPr>
  </w:style>
  <w:style w:type="paragraph" w:styleId="Titolo8">
    <w:name w:val="heading 8"/>
    <w:basedOn w:val="Normale"/>
    <w:next w:val="Normale"/>
    <w:link w:val="Titolo8Carattere"/>
    <w:uiPriority w:val="9"/>
    <w:semiHidden/>
    <w:unhideWhenUsed/>
    <w:qFormat/>
    <w:rsid w:val="00B2037B"/>
    <w:pPr>
      <w:keepNext/>
      <w:keepLines/>
      <w:numPr>
        <w:ilvl w:val="7"/>
        <w:numId w:val="1"/>
      </w:numPr>
      <w:spacing w:before="80" w:after="0" w:line="240" w:lineRule="auto"/>
      <w:outlineLvl w:val="7"/>
    </w:pPr>
    <w:rPr>
      <w:rFonts w:asciiTheme="majorHAnsi" w:eastAsiaTheme="majorEastAsia" w:hAnsiTheme="majorHAnsi" w:cstheme="majorBidi"/>
      <w:color w:val="632423" w:themeColor="accent2" w:themeShade="80"/>
    </w:rPr>
  </w:style>
  <w:style w:type="paragraph" w:styleId="Titolo9">
    <w:name w:val="heading 9"/>
    <w:basedOn w:val="Normale"/>
    <w:next w:val="Normale"/>
    <w:link w:val="Titolo9Carattere"/>
    <w:uiPriority w:val="9"/>
    <w:semiHidden/>
    <w:unhideWhenUsed/>
    <w:qFormat/>
    <w:rsid w:val="00B2037B"/>
    <w:pPr>
      <w:keepNext/>
      <w:keepLines/>
      <w:numPr>
        <w:ilvl w:val="8"/>
        <w:numId w:val="1"/>
      </w:numPr>
      <w:spacing w:before="80" w:after="0" w:line="240" w:lineRule="auto"/>
      <w:outlineLvl w:val="8"/>
    </w:pPr>
    <w:rPr>
      <w:rFonts w:asciiTheme="majorHAnsi" w:eastAsiaTheme="majorEastAsia" w:hAnsiTheme="majorHAnsi" w:cstheme="majorBidi"/>
      <w:i/>
      <w:iCs/>
      <w:color w:val="632423" w:themeColor="accent2" w:themeShade="8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4B0B8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B0B8B"/>
  </w:style>
  <w:style w:type="paragraph" w:styleId="Pidipagina">
    <w:name w:val="footer"/>
    <w:basedOn w:val="Normale"/>
    <w:link w:val="PidipaginaCarattere"/>
    <w:uiPriority w:val="99"/>
    <w:unhideWhenUsed/>
    <w:rsid w:val="004B0B8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B0B8B"/>
  </w:style>
  <w:style w:type="paragraph" w:styleId="Testofumetto">
    <w:name w:val="Balloon Text"/>
    <w:basedOn w:val="Normale"/>
    <w:link w:val="TestofumettoCarattere"/>
    <w:uiPriority w:val="99"/>
    <w:semiHidden/>
    <w:unhideWhenUsed/>
    <w:rsid w:val="004B0B8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B0B8B"/>
    <w:rPr>
      <w:rFonts w:ascii="Tahoma" w:hAnsi="Tahoma" w:cs="Tahoma"/>
      <w:sz w:val="16"/>
      <w:szCs w:val="16"/>
    </w:rPr>
  </w:style>
  <w:style w:type="paragraph" w:customStyle="1" w:styleId="Paragrafobase">
    <w:name w:val="[Paragrafo base]"/>
    <w:basedOn w:val="Normale"/>
    <w:link w:val="ParagrafobaseCarattere"/>
    <w:uiPriority w:val="99"/>
    <w:rsid w:val="004B0B8B"/>
    <w:pPr>
      <w:autoSpaceDE w:val="0"/>
      <w:autoSpaceDN w:val="0"/>
      <w:adjustRightInd w:val="0"/>
      <w:spacing w:after="0" w:line="288" w:lineRule="auto"/>
      <w:textAlignment w:val="center"/>
    </w:pPr>
    <w:rPr>
      <w:rFonts w:ascii="Minion Pro" w:eastAsiaTheme="minorEastAsia" w:hAnsi="Minion Pro" w:cs="Minion Pro"/>
      <w:color w:val="000000"/>
      <w:sz w:val="24"/>
      <w:szCs w:val="24"/>
    </w:rPr>
  </w:style>
  <w:style w:type="character" w:customStyle="1" w:styleId="ParagrafobaseCarattere">
    <w:name w:val="[Paragrafo base] Carattere"/>
    <w:basedOn w:val="Carpredefinitoparagrafo"/>
    <w:link w:val="Paragrafobase"/>
    <w:uiPriority w:val="99"/>
    <w:rsid w:val="004B0B8B"/>
    <w:rPr>
      <w:rFonts w:ascii="Minion Pro" w:eastAsiaTheme="minorEastAsia" w:hAnsi="Minion Pro" w:cs="Minion Pro"/>
      <w:color w:val="000000"/>
      <w:sz w:val="24"/>
      <w:szCs w:val="24"/>
    </w:rPr>
  </w:style>
  <w:style w:type="paragraph" w:customStyle="1" w:styleId="CdcTitolofrontespizio">
    <w:name w:val="Cdc_Titolo frontespizio"/>
    <w:basedOn w:val="Paragrafobase"/>
    <w:link w:val="CdcTitolofrontespizioCarattere"/>
    <w:qFormat/>
    <w:rsid w:val="004E1627"/>
    <w:rPr>
      <w:rFonts w:ascii="Bodoni MT" w:hAnsi="Bodoni MT" w:cs="Bodoni MT"/>
      <w:b/>
      <w:bCs/>
      <w:sz w:val="68"/>
      <w:szCs w:val="68"/>
    </w:rPr>
  </w:style>
  <w:style w:type="character" w:customStyle="1" w:styleId="CdcTitolofrontespizioCarattere">
    <w:name w:val="Cdc_Titolo frontespizio Carattere"/>
    <w:basedOn w:val="ParagrafobaseCarattere"/>
    <w:link w:val="CdcTitolofrontespizio"/>
    <w:rsid w:val="004E1627"/>
    <w:rPr>
      <w:rFonts w:ascii="Bodoni MT" w:eastAsiaTheme="minorEastAsia" w:hAnsi="Bodoni MT" w:cs="Bodoni MT"/>
      <w:b/>
      <w:bCs/>
      <w:color w:val="000000"/>
      <w:sz w:val="68"/>
      <w:szCs w:val="68"/>
    </w:rPr>
  </w:style>
  <w:style w:type="paragraph" w:customStyle="1" w:styleId="CdcInfoIntroduzione">
    <w:name w:val="Cdc_Info_Introduzione"/>
    <w:basedOn w:val="Normale"/>
    <w:link w:val="CdcInfoIntroduzioneCarattere"/>
    <w:qFormat/>
    <w:rsid w:val="004E1627"/>
    <w:pPr>
      <w:autoSpaceDE w:val="0"/>
      <w:autoSpaceDN w:val="0"/>
      <w:adjustRightInd w:val="0"/>
      <w:spacing w:after="0" w:line="288" w:lineRule="auto"/>
      <w:jc w:val="right"/>
      <w:textAlignment w:val="center"/>
    </w:pPr>
    <w:rPr>
      <w:rFonts w:ascii="Bodoni MT" w:eastAsiaTheme="minorEastAsia" w:hAnsi="Bodoni MT" w:cs="Bodoni MT"/>
      <w:color w:val="000000"/>
      <w:sz w:val="28"/>
      <w:szCs w:val="30"/>
    </w:rPr>
  </w:style>
  <w:style w:type="character" w:customStyle="1" w:styleId="CdcInfoIntroduzioneCarattere">
    <w:name w:val="Cdc_Info_Introduzione Carattere"/>
    <w:basedOn w:val="Carpredefinitoparagrafo"/>
    <w:link w:val="CdcInfoIntroduzione"/>
    <w:rsid w:val="004E1627"/>
    <w:rPr>
      <w:rFonts w:ascii="Bodoni MT" w:eastAsiaTheme="minorEastAsia" w:hAnsi="Bodoni MT" w:cs="Bodoni MT"/>
      <w:color w:val="000000"/>
      <w:sz w:val="28"/>
      <w:szCs w:val="30"/>
    </w:rPr>
  </w:style>
  <w:style w:type="paragraph" w:customStyle="1" w:styleId="CdcIntroduzione">
    <w:name w:val="Cdc_Introduzione"/>
    <w:basedOn w:val="Normale"/>
    <w:link w:val="CdcIntroduzioneCarattere"/>
    <w:qFormat/>
    <w:rsid w:val="004E1627"/>
    <w:pPr>
      <w:autoSpaceDE w:val="0"/>
      <w:autoSpaceDN w:val="0"/>
      <w:adjustRightInd w:val="0"/>
      <w:spacing w:after="0" w:line="288" w:lineRule="auto"/>
      <w:jc w:val="right"/>
      <w:textAlignment w:val="center"/>
    </w:pPr>
    <w:rPr>
      <w:rFonts w:ascii="Bodoni MT" w:eastAsiaTheme="minorEastAsia" w:hAnsi="Bodoni MT" w:cs="Minion Pro"/>
      <w:b/>
      <w:bCs/>
      <w:color w:val="000000"/>
      <w:sz w:val="36"/>
      <w:szCs w:val="42"/>
    </w:rPr>
  </w:style>
  <w:style w:type="character" w:customStyle="1" w:styleId="CdcIntroduzioneCarattere">
    <w:name w:val="Cdc_Introduzione Carattere"/>
    <w:basedOn w:val="Carpredefinitoparagrafo"/>
    <w:link w:val="CdcIntroduzione"/>
    <w:rsid w:val="004E1627"/>
    <w:rPr>
      <w:rFonts w:ascii="Bodoni MT" w:eastAsiaTheme="minorEastAsia" w:hAnsi="Bodoni MT" w:cs="Minion Pro"/>
      <w:b/>
      <w:bCs/>
      <w:color w:val="000000"/>
      <w:sz w:val="36"/>
      <w:szCs w:val="42"/>
    </w:rPr>
  </w:style>
  <w:style w:type="paragraph" w:styleId="Testonotaapidipagina">
    <w:name w:val="footnote text"/>
    <w:aliases w:val="stile 1,Footnote,Footnote1,Footnote2,Footnote3,Footnote4,Footnote5,Footnote6,Footnote7,Footnote8,Footnote9,Footnote10,Footnote11,Footnote21,Footnote31,Footnote41,Footnote51,Footnote61,Footnote71,Footnote81,Footnote91,Footnot"/>
    <w:basedOn w:val="Normale"/>
    <w:link w:val="TestonotaapidipaginaCarattere"/>
    <w:uiPriority w:val="99"/>
    <w:unhideWhenUsed/>
    <w:qFormat/>
    <w:rsid w:val="002D79C5"/>
    <w:pPr>
      <w:spacing w:after="0" w:line="240" w:lineRule="auto"/>
    </w:pPr>
    <w:rPr>
      <w:rFonts w:ascii="Bodoni MT" w:eastAsiaTheme="minorEastAsia" w:hAnsi="Bodoni MT" w:cs="Times New Roman"/>
      <w:sz w:val="18"/>
      <w:szCs w:val="20"/>
      <w:lang w:eastAsia="it-IT"/>
    </w:rPr>
  </w:style>
  <w:style w:type="character" w:customStyle="1" w:styleId="TestonotaapidipaginaCarattere">
    <w:name w:val="Testo nota a piè di pagina Carattere"/>
    <w:aliases w:val="stile 1 Carattere,Footnote Carattere,Footnote1 Carattere,Footnote2 Carattere,Footnote3 Carattere,Footnote4 Carattere,Footnote5 Carattere,Footnote6 Carattere,Footnote7 Carattere,Footnote8 Carattere,Footnote9 Carattere"/>
    <w:basedOn w:val="Carpredefinitoparagrafo"/>
    <w:link w:val="Testonotaapidipagina"/>
    <w:uiPriority w:val="99"/>
    <w:rsid w:val="002D79C5"/>
    <w:rPr>
      <w:rFonts w:ascii="Bodoni MT" w:eastAsiaTheme="minorEastAsia" w:hAnsi="Bodoni MT" w:cs="Times New Roman"/>
      <w:sz w:val="18"/>
      <w:szCs w:val="20"/>
      <w:lang w:eastAsia="it-IT"/>
    </w:rPr>
  </w:style>
  <w:style w:type="paragraph" w:customStyle="1" w:styleId="CdcTesto">
    <w:name w:val="Cdc_Testo"/>
    <w:basedOn w:val="Normale"/>
    <w:link w:val="CdcTestoCarattere"/>
    <w:qFormat/>
    <w:rsid w:val="0057559F"/>
    <w:pPr>
      <w:autoSpaceDE w:val="0"/>
      <w:autoSpaceDN w:val="0"/>
      <w:adjustRightInd w:val="0"/>
      <w:spacing w:after="120" w:line="360" w:lineRule="auto"/>
      <w:jc w:val="both"/>
      <w:textAlignment w:val="center"/>
    </w:pPr>
    <w:rPr>
      <w:rFonts w:ascii="Bodoni MT" w:eastAsiaTheme="minorEastAsia" w:hAnsi="Bodoni MT" w:cs="Bodoni MT"/>
      <w:color w:val="000000"/>
      <w:sz w:val="24"/>
      <w:szCs w:val="24"/>
    </w:rPr>
  </w:style>
  <w:style w:type="character" w:customStyle="1" w:styleId="CdcTestoCarattere">
    <w:name w:val="Cdc_Testo Carattere"/>
    <w:basedOn w:val="Carpredefinitoparagrafo"/>
    <w:link w:val="CdcTesto"/>
    <w:rsid w:val="0057559F"/>
    <w:rPr>
      <w:rFonts w:ascii="Bodoni MT" w:eastAsiaTheme="minorEastAsia" w:hAnsi="Bodoni MT" w:cs="Bodoni MT"/>
      <w:color w:val="000000"/>
      <w:sz w:val="24"/>
      <w:szCs w:val="24"/>
    </w:rPr>
  </w:style>
  <w:style w:type="character" w:styleId="Rimandonotaapidipagina">
    <w:name w:val="footnote reference"/>
    <w:aliases w:val="(Footnote Reference),SUPERS,EN Footnote Reference,Footnote symbol,Footnote reference number,note TESI,Footnote number,fr,o,Footnotemark,FR,Footnotemark1,Footnotemark2,FR1,Footnotemark3,FR2,Footnotemark4,FR3,FR4,FR5"/>
    <w:basedOn w:val="Carpredefinitoparagrafo"/>
    <w:uiPriority w:val="99"/>
    <w:unhideWhenUsed/>
    <w:qFormat/>
    <w:rsid w:val="004E1627"/>
    <w:rPr>
      <w:vertAlign w:val="superscript"/>
    </w:rPr>
  </w:style>
  <w:style w:type="character" w:customStyle="1" w:styleId="Titolo1Carattere">
    <w:name w:val="Titolo 1 Carattere"/>
    <w:aliases w:val="Cdc_Titolo capitolo Carattere"/>
    <w:basedOn w:val="Carpredefinitoparagrafo"/>
    <w:link w:val="Titolo1"/>
    <w:uiPriority w:val="9"/>
    <w:rsid w:val="003E72A8"/>
    <w:rPr>
      <w:rFonts w:ascii="Bodoni MT" w:eastAsiaTheme="majorEastAsia" w:hAnsi="Bodoni MT" w:cstheme="majorBidi"/>
      <w:b/>
      <w:caps/>
      <w:color w:val="000000" w:themeColor="text1"/>
      <w:sz w:val="36"/>
      <w:szCs w:val="40"/>
    </w:rPr>
  </w:style>
  <w:style w:type="character" w:customStyle="1" w:styleId="Titolo2Carattere">
    <w:name w:val="Titolo 2 Carattere"/>
    <w:aliases w:val="Cdc_Titolo paragrafo Carattere"/>
    <w:basedOn w:val="Carpredefinitoparagrafo"/>
    <w:link w:val="Titolo2"/>
    <w:uiPriority w:val="9"/>
    <w:rsid w:val="00C273FE"/>
    <w:rPr>
      <w:rFonts w:ascii="Bodoni MT" w:eastAsiaTheme="majorEastAsia" w:hAnsi="Bodoni MT" w:cstheme="majorBidi"/>
      <w:b/>
      <w:color w:val="000000" w:themeColor="text1"/>
      <w:sz w:val="32"/>
      <w:szCs w:val="36"/>
    </w:rPr>
  </w:style>
  <w:style w:type="character" w:customStyle="1" w:styleId="Titolo3Carattere">
    <w:name w:val="Titolo 3 Carattere"/>
    <w:aliases w:val="Cdc_Titolo sottoparagrafo Carattere"/>
    <w:basedOn w:val="Carpredefinitoparagrafo"/>
    <w:link w:val="Titolo3"/>
    <w:uiPriority w:val="9"/>
    <w:rsid w:val="00B2037B"/>
    <w:rPr>
      <w:rFonts w:ascii="Bodoni MT" w:eastAsiaTheme="majorEastAsia" w:hAnsi="Bodoni MT" w:cstheme="majorBidi"/>
      <w:b/>
      <w:color w:val="000000" w:themeColor="text1"/>
      <w:sz w:val="28"/>
      <w:szCs w:val="28"/>
    </w:rPr>
  </w:style>
  <w:style w:type="character" w:customStyle="1" w:styleId="Titolo4Carattere">
    <w:name w:val="Titolo 4 Carattere"/>
    <w:basedOn w:val="Carpredefinitoparagrafo"/>
    <w:link w:val="Titolo4"/>
    <w:uiPriority w:val="9"/>
    <w:rsid w:val="00503AC8"/>
    <w:rPr>
      <w:rFonts w:ascii="Bodoni MT" w:eastAsiaTheme="majorEastAsia" w:hAnsi="Bodoni MT" w:cstheme="majorBidi"/>
      <w:b/>
      <w:iCs/>
      <w:sz w:val="28"/>
      <w:szCs w:val="28"/>
    </w:rPr>
  </w:style>
  <w:style w:type="character" w:customStyle="1" w:styleId="Titolo5Carattere">
    <w:name w:val="Titolo 5 Carattere"/>
    <w:basedOn w:val="Carpredefinitoparagrafo"/>
    <w:link w:val="Titolo5"/>
    <w:uiPriority w:val="9"/>
    <w:semiHidden/>
    <w:rsid w:val="00B2037B"/>
    <w:rPr>
      <w:rFonts w:asciiTheme="majorHAnsi" w:eastAsiaTheme="majorEastAsia" w:hAnsiTheme="majorHAnsi" w:cstheme="majorBidi"/>
      <w:color w:val="943634" w:themeColor="accent2" w:themeShade="BF"/>
      <w:sz w:val="24"/>
      <w:szCs w:val="24"/>
    </w:rPr>
  </w:style>
  <w:style w:type="character" w:customStyle="1" w:styleId="Titolo6Carattere">
    <w:name w:val="Titolo 6 Carattere"/>
    <w:basedOn w:val="Carpredefinitoparagrafo"/>
    <w:link w:val="Titolo6"/>
    <w:uiPriority w:val="9"/>
    <w:semiHidden/>
    <w:rsid w:val="00B2037B"/>
    <w:rPr>
      <w:rFonts w:asciiTheme="majorHAnsi" w:eastAsiaTheme="majorEastAsia" w:hAnsiTheme="majorHAnsi" w:cstheme="majorBidi"/>
      <w:i/>
      <w:iCs/>
      <w:color w:val="632423" w:themeColor="accent2" w:themeShade="80"/>
      <w:sz w:val="24"/>
      <w:szCs w:val="24"/>
    </w:rPr>
  </w:style>
  <w:style w:type="character" w:customStyle="1" w:styleId="Titolo7Carattere">
    <w:name w:val="Titolo 7 Carattere"/>
    <w:basedOn w:val="Carpredefinitoparagrafo"/>
    <w:link w:val="Titolo7"/>
    <w:uiPriority w:val="9"/>
    <w:semiHidden/>
    <w:rsid w:val="00B2037B"/>
    <w:rPr>
      <w:rFonts w:asciiTheme="majorHAnsi" w:eastAsiaTheme="majorEastAsia" w:hAnsiTheme="majorHAnsi" w:cstheme="majorBidi"/>
      <w:b/>
      <w:bCs/>
      <w:color w:val="632423" w:themeColor="accent2" w:themeShade="80"/>
    </w:rPr>
  </w:style>
  <w:style w:type="character" w:customStyle="1" w:styleId="Titolo8Carattere">
    <w:name w:val="Titolo 8 Carattere"/>
    <w:basedOn w:val="Carpredefinitoparagrafo"/>
    <w:link w:val="Titolo8"/>
    <w:uiPriority w:val="9"/>
    <w:semiHidden/>
    <w:rsid w:val="00B2037B"/>
    <w:rPr>
      <w:rFonts w:asciiTheme="majorHAnsi" w:eastAsiaTheme="majorEastAsia" w:hAnsiTheme="majorHAnsi" w:cstheme="majorBidi"/>
      <w:color w:val="632423" w:themeColor="accent2" w:themeShade="80"/>
    </w:rPr>
  </w:style>
  <w:style w:type="character" w:customStyle="1" w:styleId="Titolo9Carattere">
    <w:name w:val="Titolo 9 Carattere"/>
    <w:basedOn w:val="Carpredefinitoparagrafo"/>
    <w:link w:val="Titolo9"/>
    <w:uiPriority w:val="9"/>
    <w:semiHidden/>
    <w:rsid w:val="00B2037B"/>
    <w:rPr>
      <w:rFonts w:asciiTheme="majorHAnsi" w:eastAsiaTheme="majorEastAsia" w:hAnsiTheme="majorHAnsi" w:cstheme="majorBidi"/>
      <w:i/>
      <w:iCs/>
      <w:color w:val="632423" w:themeColor="accent2" w:themeShade="80"/>
    </w:rPr>
  </w:style>
  <w:style w:type="paragraph" w:customStyle="1" w:styleId="CdcElencopuntato">
    <w:name w:val="Cdc_Elenco puntato"/>
    <w:basedOn w:val="Paragrafoelenco"/>
    <w:link w:val="CdcElencopuntatoCarattere"/>
    <w:qFormat/>
    <w:rsid w:val="00B2037B"/>
    <w:pPr>
      <w:numPr>
        <w:numId w:val="2"/>
      </w:numPr>
      <w:autoSpaceDE w:val="0"/>
      <w:autoSpaceDN w:val="0"/>
      <w:adjustRightInd w:val="0"/>
      <w:spacing w:before="120" w:after="120"/>
      <w:ind w:left="714" w:hanging="357"/>
      <w:contextualSpacing w:val="0"/>
      <w:textAlignment w:val="center"/>
    </w:pPr>
    <w:rPr>
      <w:rFonts w:ascii="Bodoni MT" w:eastAsiaTheme="minorEastAsia" w:hAnsi="Bodoni MT" w:cs="Bodoni MT"/>
      <w:color w:val="000000"/>
      <w:sz w:val="24"/>
      <w:szCs w:val="24"/>
    </w:rPr>
  </w:style>
  <w:style w:type="character" w:customStyle="1" w:styleId="CdcElencopuntatoCarattere">
    <w:name w:val="Cdc_Elenco puntato Carattere"/>
    <w:basedOn w:val="Carpredefinitoparagrafo"/>
    <w:link w:val="CdcElencopuntato"/>
    <w:rsid w:val="00B2037B"/>
    <w:rPr>
      <w:rFonts w:ascii="Bodoni MT" w:eastAsiaTheme="minorEastAsia" w:hAnsi="Bodoni MT" w:cs="Bodoni MT"/>
      <w:color w:val="000000"/>
      <w:sz w:val="24"/>
      <w:szCs w:val="24"/>
    </w:rPr>
  </w:style>
  <w:style w:type="paragraph" w:styleId="Paragrafoelenco">
    <w:name w:val="List Paragraph"/>
    <w:basedOn w:val="Normale"/>
    <w:uiPriority w:val="34"/>
    <w:qFormat/>
    <w:rsid w:val="00CF238F"/>
    <w:pPr>
      <w:spacing w:line="360" w:lineRule="auto"/>
      <w:ind w:left="720"/>
      <w:contextualSpacing/>
    </w:pPr>
  </w:style>
  <w:style w:type="paragraph" w:styleId="Didascalia">
    <w:name w:val="caption"/>
    <w:aliases w:val="Cdc_Titolo /tabelle/grafici/figure/didascalie"/>
    <w:basedOn w:val="Normale"/>
    <w:next w:val="Normale"/>
    <w:uiPriority w:val="35"/>
    <w:unhideWhenUsed/>
    <w:qFormat/>
    <w:rsid w:val="00346601"/>
    <w:pPr>
      <w:spacing w:before="240" w:after="120" w:line="240" w:lineRule="auto"/>
      <w:jc w:val="center"/>
    </w:pPr>
    <w:rPr>
      <w:rFonts w:ascii="Bodoni MT" w:eastAsiaTheme="minorEastAsia" w:hAnsi="Bodoni MT"/>
      <w:b/>
      <w:bCs/>
      <w:color w:val="000000" w:themeColor="text1"/>
    </w:rPr>
  </w:style>
  <w:style w:type="table" w:styleId="Grigliatabella">
    <w:name w:val="Table Grid"/>
    <w:basedOn w:val="Tabellanormale"/>
    <w:uiPriority w:val="39"/>
    <w:rsid w:val="00093721"/>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dcFonteOriginedati">
    <w:name w:val="Cdc_Fonte/Origine dati"/>
    <w:basedOn w:val="Testonotaapidipagina"/>
    <w:link w:val="CdcFonteOriginedatiCarattere"/>
    <w:qFormat/>
    <w:rsid w:val="00093721"/>
    <w:pPr>
      <w:spacing w:before="120" w:after="120"/>
      <w:jc w:val="center"/>
    </w:pPr>
  </w:style>
  <w:style w:type="character" w:customStyle="1" w:styleId="CdcFonteOriginedatiCarattere">
    <w:name w:val="Cdc_Fonte/Origine dati Carattere"/>
    <w:basedOn w:val="TestonotaapidipaginaCarattere"/>
    <w:link w:val="CdcFonteOriginedati"/>
    <w:rsid w:val="00093721"/>
    <w:rPr>
      <w:rFonts w:ascii="Bodoni MT" w:eastAsiaTheme="minorEastAsia" w:hAnsi="Bodoni MT" w:cs="Times New Roman"/>
      <w:sz w:val="18"/>
      <w:szCs w:val="20"/>
      <w:lang w:eastAsia="it-IT"/>
    </w:rPr>
  </w:style>
  <w:style w:type="paragraph" w:customStyle="1" w:styleId="testoFigure">
    <w:name w:val="testoFigure"/>
    <w:basedOn w:val="Normale"/>
    <w:link w:val="testoFigureCarattere"/>
    <w:qFormat/>
    <w:rsid w:val="00093721"/>
    <w:pPr>
      <w:spacing w:after="160"/>
    </w:pPr>
    <w:rPr>
      <w:rFonts w:ascii="Bodoni MT" w:eastAsiaTheme="minorEastAsia" w:hAnsi="Bodoni MT" w:cs="Minion Pro"/>
      <w:color w:val="000000"/>
      <w:sz w:val="20"/>
      <w:szCs w:val="20"/>
    </w:rPr>
  </w:style>
  <w:style w:type="character" w:customStyle="1" w:styleId="testoFigureCarattere">
    <w:name w:val="testoFigure Carattere"/>
    <w:basedOn w:val="Carpredefinitoparagrafo"/>
    <w:link w:val="testoFigure"/>
    <w:rsid w:val="00093721"/>
    <w:rPr>
      <w:rFonts w:ascii="Bodoni MT" w:eastAsiaTheme="minorEastAsia" w:hAnsi="Bodoni MT" w:cs="Minion Pro"/>
      <w:color w:val="000000"/>
      <w:sz w:val="20"/>
      <w:szCs w:val="20"/>
    </w:rPr>
  </w:style>
  <w:style w:type="paragraph" w:styleId="Titolosommario">
    <w:name w:val="TOC Heading"/>
    <w:basedOn w:val="Titolo1"/>
    <w:next w:val="Normale"/>
    <w:uiPriority w:val="39"/>
    <w:unhideWhenUsed/>
    <w:qFormat/>
    <w:rsid w:val="00A17E04"/>
    <w:pPr>
      <w:numPr>
        <w:numId w:val="0"/>
      </w:numPr>
      <w:outlineLvl w:val="9"/>
    </w:pPr>
  </w:style>
  <w:style w:type="paragraph" w:styleId="Sommario1">
    <w:name w:val="toc 1"/>
    <w:basedOn w:val="Normale"/>
    <w:next w:val="Normale"/>
    <w:autoRedefine/>
    <w:uiPriority w:val="39"/>
    <w:unhideWhenUsed/>
    <w:rsid w:val="00FF2CC0"/>
    <w:pPr>
      <w:tabs>
        <w:tab w:val="left" w:pos="480"/>
        <w:tab w:val="right" w:leader="dot" w:pos="9911"/>
      </w:tabs>
      <w:spacing w:after="100"/>
      <w:jc w:val="both"/>
    </w:pPr>
    <w:rPr>
      <w:rFonts w:ascii="Bodoni MT" w:eastAsiaTheme="minorEastAsia" w:hAnsi="Bodoni MT"/>
      <w:sz w:val="24"/>
      <w:szCs w:val="21"/>
    </w:rPr>
  </w:style>
  <w:style w:type="paragraph" w:styleId="Sommario2">
    <w:name w:val="toc 2"/>
    <w:basedOn w:val="Normale"/>
    <w:next w:val="Normale"/>
    <w:autoRedefine/>
    <w:uiPriority w:val="39"/>
    <w:unhideWhenUsed/>
    <w:rsid w:val="00A77528"/>
    <w:pPr>
      <w:tabs>
        <w:tab w:val="left" w:pos="880"/>
        <w:tab w:val="right" w:leader="dot" w:pos="9911"/>
      </w:tabs>
      <w:spacing w:after="100"/>
      <w:ind w:left="238"/>
      <w:jc w:val="both"/>
    </w:pPr>
    <w:rPr>
      <w:rFonts w:ascii="Bodoni MT" w:eastAsiaTheme="minorEastAsia" w:hAnsi="Bodoni MT"/>
      <w:sz w:val="24"/>
      <w:szCs w:val="21"/>
    </w:rPr>
  </w:style>
  <w:style w:type="paragraph" w:styleId="Sommario3">
    <w:name w:val="toc 3"/>
    <w:basedOn w:val="Normale"/>
    <w:next w:val="Normale"/>
    <w:autoRedefine/>
    <w:uiPriority w:val="39"/>
    <w:unhideWhenUsed/>
    <w:rsid w:val="003E72A8"/>
    <w:pPr>
      <w:tabs>
        <w:tab w:val="left" w:pos="1320"/>
        <w:tab w:val="right" w:leader="dot" w:pos="9911"/>
      </w:tabs>
      <w:spacing w:after="100"/>
      <w:ind w:left="480"/>
      <w:jc w:val="both"/>
    </w:pPr>
    <w:rPr>
      <w:rFonts w:ascii="Bodoni MT" w:eastAsiaTheme="minorEastAsia" w:hAnsi="Bodoni MT"/>
      <w:sz w:val="24"/>
      <w:szCs w:val="21"/>
    </w:rPr>
  </w:style>
  <w:style w:type="character" w:styleId="Collegamentoipertestuale">
    <w:name w:val="Hyperlink"/>
    <w:basedOn w:val="Carpredefinitoparagrafo"/>
    <w:uiPriority w:val="99"/>
    <w:unhideWhenUsed/>
    <w:rsid w:val="00A17E04"/>
    <w:rPr>
      <w:color w:val="0000FF" w:themeColor="hyperlink"/>
      <w:u w:val="single"/>
    </w:rPr>
  </w:style>
  <w:style w:type="paragraph" w:styleId="Indicedellefigure">
    <w:name w:val="table of figures"/>
    <w:basedOn w:val="Normale"/>
    <w:next w:val="Normale"/>
    <w:link w:val="IndicedellefigureCarattere"/>
    <w:uiPriority w:val="99"/>
    <w:unhideWhenUsed/>
    <w:rsid w:val="005E7434"/>
    <w:pPr>
      <w:spacing w:after="0"/>
      <w:jc w:val="both"/>
    </w:pPr>
    <w:rPr>
      <w:rFonts w:ascii="Bodoni MT" w:hAnsi="Bodoni MT"/>
      <w:sz w:val="24"/>
    </w:rPr>
  </w:style>
  <w:style w:type="paragraph" w:customStyle="1" w:styleId="CdcIndici">
    <w:name w:val="Cdc_Indici"/>
    <w:basedOn w:val="Indicedellefigure"/>
    <w:link w:val="CdcIndiciCarattere"/>
    <w:qFormat/>
    <w:rsid w:val="00462E40"/>
    <w:pPr>
      <w:tabs>
        <w:tab w:val="right" w:leader="dot" w:pos="9911"/>
      </w:tabs>
      <w:jc w:val="center"/>
    </w:pPr>
    <w:rPr>
      <w:rFonts w:cs="Bodoni MT"/>
      <w:b/>
      <w:bCs/>
      <w:color w:val="000000"/>
      <w:sz w:val="36"/>
      <w:szCs w:val="36"/>
    </w:rPr>
  </w:style>
  <w:style w:type="paragraph" w:customStyle="1" w:styleId="CdcIntestazionecopertina">
    <w:name w:val="Cdc_ Intestazione copertina"/>
    <w:basedOn w:val="Normale"/>
    <w:link w:val="CdcIntestazionecopertinaCarattere"/>
    <w:qFormat/>
    <w:rsid w:val="00817F55"/>
    <w:pPr>
      <w:spacing w:after="160"/>
    </w:pPr>
    <w:rPr>
      <w:rFonts w:ascii="Bodoni MT" w:eastAsiaTheme="minorEastAsia" w:hAnsi="Bodoni MT"/>
      <w:caps/>
      <w:sz w:val="36"/>
      <w:szCs w:val="36"/>
    </w:rPr>
  </w:style>
  <w:style w:type="character" w:customStyle="1" w:styleId="IndicedellefigureCarattere">
    <w:name w:val="Indice delle figure Carattere"/>
    <w:basedOn w:val="Carpredefinitoparagrafo"/>
    <w:link w:val="Indicedellefigure"/>
    <w:uiPriority w:val="99"/>
    <w:rsid w:val="005E7434"/>
    <w:rPr>
      <w:rFonts w:ascii="Bodoni MT" w:hAnsi="Bodoni MT"/>
      <w:sz w:val="24"/>
    </w:rPr>
  </w:style>
  <w:style w:type="character" w:customStyle="1" w:styleId="CdcIndiciCarattere">
    <w:name w:val="Cdc_Indici Carattere"/>
    <w:basedOn w:val="IndicedellefigureCarattere"/>
    <w:link w:val="CdcIndici"/>
    <w:rsid w:val="00462E40"/>
    <w:rPr>
      <w:rFonts w:ascii="Bodoni MT" w:hAnsi="Bodoni MT" w:cs="Bodoni MT"/>
      <w:b/>
      <w:bCs/>
      <w:color w:val="000000"/>
      <w:sz w:val="36"/>
      <w:szCs w:val="36"/>
    </w:rPr>
  </w:style>
  <w:style w:type="character" w:customStyle="1" w:styleId="CdcIntestazionecopertinaCarattere">
    <w:name w:val="Cdc_ Intestazione copertina Carattere"/>
    <w:basedOn w:val="Carpredefinitoparagrafo"/>
    <w:link w:val="CdcIntestazionecopertina"/>
    <w:rsid w:val="00817F55"/>
    <w:rPr>
      <w:rFonts w:ascii="Bodoni MT" w:eastAsiaTheme="minorEastAsia" w:hAnsi="Bodoni MT"/>
      <w:caps/>
      <w:sz w:val="36"/>
      <w:szCs w:val="36"/>
    </w:rPr>
  </w:style>
  <w:style w:type="paragraph" w:customStyle="1" w:styleId="CdcTitolocopertina">
    <w:name w:val="Cdc_Titolo copertina"/>
    <w:basedOn w:val="Normale"/>
    <w:link w:val="CdcTitolocopertinaCarattere"/>
    <w:qFormat/>
    <w:rsid w:val="00817F55"/>
    <w:pPr>
      <w:spacing w:after="160" w:line="240" w:lineRule="auto"/>
      <w:jc w:val="center"/>
    </w:pPr>
    <w:rPr>
      <w:rFonts w:ascii="Arial" w:eastAsiaTheme="minorEastAsia" w:hAnsi="Arial" w:cs="Arial"/>
      <w:b/>
      <w:color w:val="FFFFFF" w:themeColor="background1"/>
      <w:sz w:val="60"/>
      <w:szCs w:val="56"/>
    </w:rPr>
  </w:style>
  <w:style w:type="character" w:customStyle="1" w:styleId="CdcTitolocopertinaCarattere">
    <w:name w:val="Cdc_Titolo copertina Carattere"/>
    <w:basedOn w:val="Carpredefinitoparagrafo"/>
    <w:link w:val="CdcTitolocopertina"/>
    <w:rsid w:val="00817F55"/>
    <w:rPr>
      <w:rFonts w:ascii="Arial" w:eastAsiaTheme="minorEastAsia" w:hAnsi="Arial" w:cs="Arial"/>
      <w:b/>
      <w:color w:val="FFFFFF" w:themeColor="background1"/>
      <w:sz w:val="60"/>
      <w:szCs w:val="56"/>
    </w:rPr>
  </w:style>
  <w:style w:type="paragraph" w:customStyle="1" w:styleId="CdcAnnocopertina">
    <w:name w:val="Cdc_Anno copertina"/>
    <w:basedOn w:val="Normale"/>
    <w:link w:val="CdcAnnocopertinaCarattere"/>
    <w:qFormat/>
    <w:rsid w:val="00817F55"/>
    <w:pPr>
      <w:spacing w:after="160"/>
      <w:jc w:val="center"/>
    </w:pPr>
    <w:rPr>
      <w:rFonts w:ascii="Arial" w:eastAsiaTheme="minorEastAsia" w:hAnsi="Arial" w:cs="Arial"/>
      <w:b/>
      <w:color w:val="FFFFFF" w:themeColor="background1"/>
      <w:sz w:val="74"/>
      <w:szCs w:val="60"/>
    </w:rPr>
  </w:style>
  <w:style w:type="character" w:customStyle="1" w:styleId="CdcAnnocopertinaCarattere">
    <w:name w:val="Cdc_Anno copertina Carattere"/>
    <w:basedOn w:val="Carpredefinitoparagrafo"/>
    <w:link w:val="CdcAnnocopertina"/>
    <w:rsid w:val="00817F55"/>
    <w:rPr>
      <w:rFonts w:ascii="Arial" w:eastAsiaTheme="minorEastAsia" w:hAnsi="Arial" w:cs="Arial"/>
      <w:b/>
      <w:color w:val="FFFFFF" w:themeColor="background1"/>
      <w:sz w:val="74"/>
      <w:szCs w:val="60"/>
    </w:rPr>
  </w:style>
  <w:style w:type="paragraph" w:customStyle="1" w:styleId="CdcUdienzacopertina">
    <w:name w:val="Cdc_Udienza copertina"/>
    <w:basedOn w:val="Normale"/>
    <w:link w:val="CdcUdienzacopertinaCarattere"/>
    <w:qFormat/>
    <w:rsid w:val="00817F55"/>
    <w:pPr>
      <w:spacing w:after="160"/>
      <w:jc w:val="center"/>
    </w:pPr>
    <w:rPr>
      <w:rFonts w:ascii="Arial" w:eastAsiaTheme="minorEastAsia" w:hAnsi="Arial" w:cs="Arial"/>
      <w:b/>
      <w:i/>
      <w:sz w:val="36"/>
      <w:szCs w:val="36"/>
    </w:rPr>
  </w:style>
  <w:style w:type="character" w:customStyle="1" w:styleId="CdcUdienzacopertinaCarattere">
    <w:name w:val="Cdc_Udienza copertina Carattere"/>
    <w:basedOn w:val="Carpredefinitoparagrafo"/>
    <w:link w:val="CdcUdienzacopertina"/>
    <w:rsid w:val="00817F55"/>
    <w:rPr>
      <w:rFonts w:ascii="Arial" w:eastAsiaTheme="minorEastAsia" w:hAnsi="Arial" w:cs="Arial"/>
      <w:b/>
      <w:i/>
      <w:sz w:val="36"/>
      <w:szCs w:val="36"/>
    </w:rPr>
  </w:style>
  <w:style w:type="paragraph" w:customStyle="1" w:styleId="CdcSottotitolofrontespizio">
    <w:name w:val="Cdc_Sottotitolo frontespizio"/>
    <w:basedOn w:val="Paragrafobase"/>
    <w:link w:val="CdcSottotitolofrontespizioCarattere"/>
    <w:qFormat/>
    <w:rsid w:val="00906115"/>
    <w:pPr>
      <w:jc w:val="center"/>
    </w:pPr>
    <w:rPr>
      <w:rFonts w:ascii="Bodoni MT" w:hAnsi="Bodoni MT" w:cs="Bodoni MT"/>
      <w:caps/>
      <w:sz w:val="34"/>
      <w:szCs w:val="34"/>
    </w:rPr>
  </w:style>
  <w:style w:type="character" w:customStyle="1" w:styleId="CdcSottotitolofrontespizioCarattere">
    <w:name w:val="Cdc_Sottotitolo frontespizio Carattere"/>
    <w:basedOn w:val="ParagrafobaseCarattere"/>
    <w:link w:val="CdcSottotitolofrontespizio"/>
    <w:rsid w:val="00906115"/>
    <w:rPr>
      <w:rFonts w:ascii="Bodoni MT" w:eastAsiaTheme="minorEastAsia" w:hAnsi="Bodoni MT" w:cs="Bodoni MT"/>
      <w:caps/>
      <w:color w:val="000000"/>
      <w:sz w:val="34"/>
      <w:szCs w:val="34"/>
    </w:rPr>
  </w:style>
  <w:style w:type="paragraph" w:customStyle="1" w:styleId="CdcInfovarie">
    <w:name w:val="Cdc_Info_varie"/>
    <w:basedOn w:val="Paragrafobase"/>
    <w:link w:val="CdcInfovarieCarattere"/>
    <w:qFormat/>
    <w:rsid w:val="00906115"/>
    <w:pPr>
      <w:jc w:val="center"/>
    </w:pPr>
    <w:rPr>
      <w:rFonts w:ascii="Bodoni MT" w:hAnsi="Bodoni MT" w:cs="Bodoni MT"/>
      <w:sz w:val="48"/>
      <w:szCs w:val="48"/>
    </w:rPr>
  </w:style>
  <w:style w:type="character" w:customStyle="1" w:styleId="CdcInfovarieCarattere">
    <w:name w:val="Cdc_Info_varie Carattere"/>
    <w:basedOn w:val="ParagrafobaseCarattere"/>
    <w:link w:val="CdcInfovarie"/>
    <w:rsid w:val="00906115"/>
    <w:rPr>
      <w:rFonts w:ascii="Bodoni MT" w:eastAsiaTheme="minorEastAsia" w:hAnsi="Bodoni MT" w:cs="Bodoni MT"/>
      <w:color w:val="000000"/>
      <w:sz w:val="48"/>
      <w:szCs w:val="48"/>
    </w:rPr>
  </w:style>
  <w:style w:type="paragraph" w:customStyle="1" w:styleId="CdcTitoloCopertinaInaugurazioneParificaQuadrimestrale">
    <w:name w:val="Cdc_ Titolo_Copertina_Inaugurazione_Parifica_Quadrimestrale"/>
    <w:basedOn w:val="Normale"/>
    <w:link w:val="CdcTitoloCopertinaInaugurazioneParificaQuadrimestraleCarattere"/>
    <w:qFormat/>
    <w:rsid w:val="0080214E"/>
    <w:pPr>
      <w:spacing w:after="160" w:line="240" w:lineRule="auto"/>
      <w:jc w:val="center"/>
    </w:pPr>
    <w:rPr>
      <w:rFonts w:ascii="Arial" w:eastAsia="Times New Roman" w:hAnsi="Arial" w:cs="Arial"/>
      <w:b/>
      <w:caps/>
      <w:sz w:val="60"/>
      <w:szCs w:val="60"/>
    </w:rPr>
  </w:style>
  <w:style w:type="character" w:customStyle="1" w:styleId="CdcTitoloCopertinaInaugurazioneParificaQuadrimestraleCarattere">
    <w:name w:val="Cdc_ Titolo_Copertina_Inaugurazione_Parifica_Quadrimestrale Carattere"/>
    <w:link w:val="CdcTitoloCopertinaInaugurazioneParificaQuadrimestrale"/>
    <w:rsid w:val="0080214E"/>
    <w:rPr>
      <w:rFonts w:ascii="Arial" w:eastAsia="Times New Roman" w:hAnsi="Arial" w:cs="Arial"/>
      <w:b/>
      <w:caps/>
      <w:sz w:val="60"/>
      <w:szCs w:val="60"/>
    </w:rPr>
  </w:style>
  <w:style w:type="paragraph" w:customStyle="1" w:styleId="CdcAnnoInaugurazioneParificaQuadrimestrale">
    <w:name w:val="Cdc_ Anno_Inaugurazione_Parifica_Quadrimestrale"/>
    <w:basedOn w:val="Normale"/>
    <w:link w:val="CdcAnnoInaugurazioneParificaQuadrimestraleCarattere"/>
    <w:qFormat/>
    <w:rsid w:val="00795846"/>
    <w:pPr>
      <w:spacing w:after="160"/>
      <w:jc w:val="center"/>
    </w:pPr>
    <w:rPr>
      <w:rFonts w:ascii="Arial" w:eastAsia="Times New Roman" w:hAnsi="Arial" w:cs="Arial"/>
      <w:b/>
      <w:sz w:val="54"/>
      <w:szCs w:val="54"/>
    </w:rPr>
  </w:style>
  <w:style w:type="character" w:customStyle="1" w:styleId="CdcAnnoInaugurazioneParificaQuadrimestraleCarattere">
    <w:name w:val="Cdc_ Anno_Inaugurazione_Parifica_Quadrimestrale Carattere"/>
    <w:link w:val="CdcAnnoInaugurazioneParificaQuadrimestrale"/>
    <w:rsid w:val="00795846"/>
    <w:rPr>
      <w:rFonts w:ascii="Arial" w:eastAsia="Times New Roman" w:hAnsi="Arial" w:cs="Arial"/>
      <w:b/>
      <w:sz w:val="54"/>
      <w:szCs w:val="54"/>
    </w:rPr>
  </w:style>
  <w:style w:type="paragraph" w:customStyle="1" w:styleId="CdcSottotiloCopertinaInaugurazioneParificaQuadrimestrale">
    <w:name w:val="Cdc_ Sottotilo_Copertina Inaugurazione_Parifica_Quadrimestrale"/>
    <w:basedOn w:val="Normale"/>
    <w:link w:val="CdcSottotiloCopertinaInaugurazioneParificaQuadrimestraleCarattere"/>
    <w:qFormat/>
    <w:rsid w:val="00795846"/>
    <w:pPr>
      <w:spacing w:after="20" w:line="240" w:lineRule="auto"/>
      <w:jc w:val="center"/>
    </w:pPr>
    <w:rPr>
      <w:rFonts w:ascii="Arial" w:eastAsia="Times New Roman" w:hAnsi="Arial" w:cs="Arial"/>
      <w:sz w:val="42"/>
      <w:szCs w:val="42"/>
    </w:rPr>
  </w:style>
  <w:style w:type="character" w:customStyle="1" w:styleId="CdcSottotiloCopertinaInaugurazioneParificaQuadrimestraleCarattere">
    <w:name w:val="Cdc_ Sottotilo_Copertina Inaugurazione_Parifica_Quadrimestrale Carattere"/>
    <w:link w:val="CdcSottotiloCopertinaInaugurazioneParificaQuadrimestrale"/>
    <w:rsid w:val="00795846"/>
    <w:rPr>
      <w:rFonts w:ascii="Arial" w:eastAsia="Times New Roman" w:hAnsi="Arial" w:cs="Arial"/>
      <w:sz w:val="42"/>
      <w:szCs w:val="42"/>
    </w:rPr>
  </w:style>
  <w:style w:type="paragraph" w:customStyle="1" w:styleId="UdienzaCopertina">
    <w:name w:val="UdienzaCopertina"/>
    <w:basedOn w:val="Normale"/>
    <w:link w:val="UdienzaCopertinaCarattere"/>
    <w:qFormat/>
    <w:rsid w:val="00795846"/>
    <w:pPr>
      <w:spacing w:after="160"/>
      <w:jc w:val="center"/>
    </w:pPr>
    <w:rPr>
      <w:rFonts w:ascii="Arial" w:eastAsia="Times New Roman" w:hAnsi="Arial" w:cs="Arial"/>
      <w:b/>
      <w:caps/>
      <w:sz w:val="36"/>
      <w:szCs w:val="36"/>
    </w:rPr>
  </w:style>
  <w:style w:type="character" w:customStyle="1" w:styleId="UdienzaCopertinaCarattere">
    <w:name w:val="UdienzaCopertina Carattere"/>
    <w:link w:val="UdienzaCopertina"/>
    <w:rsid w:val="00795846"/>
    <w:rPr>
      <w:rFonts w:ascii="Arial" w:eastAsia="Times New Roman" w:hAnsi="Arial" w:cs="Arial"/>
      <w:b/>
      <w:caps/>
      <w:sz w:val="36"/>
      <w:szCs w:val="36"/>
    </w:rPr>
  </w:style>
  <w:style w:type="paragraph" w:customStyle="1" w:styleId="CdcPidipaginaInaugurazione">
    <w:name w:val="Cdc_Piè di pagina_Inaugurazione"/>
    <w:basedOn w:val="UdienzaCopertina"/>
    <w:link w:val="CdcPidipaginaInaugurazioneCarattere"/>
    <w:qFormat/>
    <w:rsid w:val="005B1367"/>
    <w:rPr>
      <w:color w:val="004562"/>
    </w:rPr>
  </w:style>
  <w:style w:type="character" w:customStyle="1" w:styleId="CdcPidipaginaInaugurazioneCarattere">
    <w:name w:val="Cdc_Piè di pagina_Inaugurazione Carattere"/>
    <w:basedOn w:val="UdienzaCopertinaCarattere"/>
    <w:link w:val="CdcPidipaginaInaugurazione"/>
    <w:rsid w:val="005B1367"/>
    <w:rPr>
      <w:rFonts w:ascii="Arial" w:eastAsia="Times New Roman" w:hAnsi="Arial" w:cs="Arial"/>
      <w:b/>
      <w:caps/>
      <w:color w:val="004562"/>
      <w:sz w:val="36"/>
      <w:szCs w:val="36"/>
    </w:rPr>
  </w:style>
  <w:style w:type="paragraph" w:customStyle="1" w:styleId="udinzaCopertina">
    <w:name w:val="udinzaCopertina"/>
    <w:basedOn w:val="UdienzaCopertina"/>
    <w:link w:val="udinzaCopertinaCarattere"/>
    <w:qFormat/>
    <w:rsid w:val="00270B04"/>
    <w:rPr>
      <w:rFonts w:eastAsiaTheme="minorEastAsia"/>
    </w:rPr>
  </w:style>
  <w:style w:type="character" w:customStyle="1" w:styleId="udinzaCopertinaCarattere">
    <w:name w:val="udinzaCopertina Carattere"/>
    <w:basedOn w:val="UdienzaCopertinaCarattere"/>
    <w:link w:val="udinzaCopertina"/>
    <w:rsid w:val="00270B04"/>
    <w:rPr>
      <w:rFonts w:ascii="Arial" w:eastAsiaTheme="minorEastAsia" w:hAnsi="Arial" w:cs="Arial"/>
      <w:b/>
      <w:caps/>
      <w:sz w:val="36"/>
      <w:szCs w:val="36"/>
    </w:rPr>
  </w:style>
  <w:style w:type="paragraph" w:customStyle="1" w:styleId="titoloCopertina">
    <w:name w:val="titoloCopertina"/>
    <w:basedOn w:val="Normale"/>
    <w:link w:val="titoloCopertinaCarattere"/>
    <w:uiPriority w:val="99"/>
    <w:qFormat/>
    <w:rsid w:val="00ED2A9C"/>
    <w:pPr>
      <w:spacing w:after="0" w:line="360" w:lineRule="auto"/>
      <w:ind w:firstLine="567"/>
      <w:jc w:val="center"/>
    </w:pPr>
    <w:rPr>
      <w:rFonts w:ascii="Arial" w:eastAsiaTheme="minorEastAsia" w:hAnsi="Arial" w:cs="Arial"/>
      <w:b/>
      <w:color w:val="FFFFFF" w:themeColor="background1"/>
      <w:sz w:val="60"/>
      <w:szCs w:val="56"/>
    </w:rPr>
  </w:style>
  <w:style w:type="character" w:customStyle="1" w:styleId="titoloCopertinaCarattere">
    <w:name w:val="titoloCopertina Carattere"/>
    <w:basedOn w:val="Carpredefinitoparagrafo"/>
    <w:link w:val="titoloCopertina"/>
    <w:uiPriority w:val="99"/>
    <w:rsid w:val="00ED2A9C"/>
    <w:rPr>
      <w:rFonts w:ascii="Arial" w:eastAsiaTheme="minorEastAsia" w:hAnsi="Arial" w:cs="Arial"/>
      <w:b/>
      <w:color w:val="FFFFFF" w:themeColor="background1"/>
      <w:sz w:val="60"/>
      <w:szCs w:val="56"/>
    </w:rPr>
  </w:style>
  <w:style w:type="numbering" w:customStyle="1" w:styleId="Nessunelenco1">
    <w:name w:val="Nessun elenco1"/>
    <w:next w:val="Nessunelenco"/>
    <w:uiPriority w:val="99"/>
    <w:semiHidden/>
    <w:unhideWhenUsed/>
    <w:rsid w:val="007C335A"/>
  </w:style>
  <w:style w:type="table" w:customStyle="1" w:styleId="Grigliatabella1">
    <w:name w:val="Griglia tabella1"/>
    <w:basedOn w:val="Tabellanormale"/>
    <w:next w:val="Grigliatabella"/>
    <w:uiPriority w:val="39"/>
    <w:rsid w:val="007C335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ttotitiloCopertina">
    <w:name w:val="SottotitiloCopertina"/>
    <w:basedOn w:val="Normale"/>
    <w:link w:val="SottotitiloCopertinaCarattere"/>
    <w:qFormat/>
    <w:rsid w:val="007C335A"/>
    <w:pPr>
      <w:spacing w:after="20" w:line="360" w:lineRule="auto"/>
      <w:ind w:firstLine="567"/>
      <w:jc w:val="center"/>
    </w:pPr>
    <w:rPr>
      <w:rFonts w:ascii="Arial" w:eastAsiaTheme="minorEastAsia" w:hAnsi="Arial" w:cs="Arial"/>
      <w:b/>
      <w:i/>
      <w:sz w:val="42"/>
      <w:szCs w:val="42"/>
    </w:rPr>
  </w:style>
  <w:style w:type="character" w:customStyle="1" w:styleId="SottotitiloCopertinaCarattere">
    <w:name w:val="SottotitiloCopertina Carattere"/>
    <w:basedOn w:val="Carpredefinitoparagrafo"/>
    <w:link w:val="SottotitiloCopertina"/>
    <w:rsid w:val="007C335A"/>
    <w:rPr>
      <w:rFonts w:ascii="Arial" w:eastAsiaTheme="minorEastAsia" w:hAnsi="Arial" w:cs="Arial"/>
      <w:b/>
      <w:i/>
      <w:sz w:val="42"/>
      <w:szCs w:val="42"/>
    </w:rPr>
  </w:style>
  <w:style w:type="paragraph" w:customStyle="1" w:styleId="udienzaCopertina0">
    <w:name w:val="udienzaCopertina"/>
    <w:basedOn w:val="Normale"/>
    <w:link w:val="udienzaCopertinaCarattere0"/>
    <w:qFormat/>
    <w:rsid w:val="007C335A"/>
    <w:pPr>
      <w:spacing w:after="0" w:line="360" w:lineRule="auto"/>
      <w:ind w:firstLine="567"/>
      <w:jc w:val="center"/>
    </w:pPr>
    <w:rPr>
      <w:rFonts w:ascii="Arial" w:eastAsiaTheme="minorEastAsia" w:hAnsi="Arial" w:cs="Arial"/>
      <w:b/>
      <w:i/>
      <w:sz w:val="36"/>
      <w:szCs w:val="36"/>
    </w:rPr>
  </w:style>
  <w:style w:type="character" w:customStyle="1" w:styleId="udienzaCopertinaCarattere0">
    <w:name w:val="udienzaCopertina Carattere"/>
    <w:basedOn w:val="Carpredefinitoparagrafo"/>
    <w:link w:val="udienzaCopertina0"/>
    <w:rsid w:val="007C335A"/>
    <w:rPr>
      <w:rFonts w:ascii="Arial" w:eastAsiaTheme="minorEastAsia" w:hAnsi="Arial" w:cs="Arial"/>
      <w:b/>
      <w:i/>
      <w:sz w:val="36"/>
      <w:szCs w:val="36"/>
    </w:rPr>
  </w:style>
  <w:style w:type="paragraph" w:customStyle="1" w:styleId="Default">
    <w:name w:val="Default"/>
    <w:rsid w:val="007C335A"/>
    <w:pPr>
      <w:autoSpaceDE w:val="0"/>
      <w:autoSpaceDN w:val="0"/>
      <w:adjustRightInd w:val="0"/>
      <w:spacing w:after="0" w:line="240" w:lineRule="auto"/>
    </w:pPr>
    <w:rPr>
      <w:rFonts w:ascii="Verdana" w:hAnsi="Verdana" w:cs="Verdana"/>
      <w:color w:val="000000"/>
      <w:sz w:val="24"/>
      <w:szCs w:val="24"/>
    </w:rPr>
  </w:style>
  <w:style w:type="character" w:styleId="Testosegnaposto">
    <w:name w:val="Placeholder Text"/>
    <w:basedOn w:val="Carpredefinitoparagrafo"/>
    <w:uiPriority w:val="99"/>
    <w:semiHidden/>
    <w:rsid w:val="007C335A"/>
    <w:rPr>
      <w:color w:val="808080"/>
    </w:rPr>
  </w:style>
  <w:style w:type="paragraph" w:styleId="Testonotadichiusura">
    <w:name w:val="endnote text"/>
    <w:basedOn w:val="Normale"/>
    <w:link w:val="TestonotadichiusuraCarattere"/>
    <w:uiPriority w:val="99"/>
    <w:semiHidden/>
    <w:unhideWhenUsed/>
    <w:rsid w:val="007C335A"/>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7C335A"/>
    <w:rPr>
      <w:sz w:val="20"/>
      <w:szCs w:val="20"/>
    </w:rPr>
  </w:style>
  <w:style w:type="character" w:styleId="Rimandonotadichiusura">
    <w:name w:val="endnote reference"/>
    <w:basedOn w:val="Carpredefinitoparagrafo"/>
    <w:uiPriority w:val="99"/>
    <w:semiHidden/>
    <w:unhideWhenUsed/>
    <w:rsid w:val="007C335A"/>
    <w:rPr>
      <w:vertAlign w:val="superscript"/>
    </w:rPr>
  </w:style>
  <w:style w:type="table" w:customStyle="1" w:styleId="TableGrid">
    <w:name w:val="TableGrid"/>
    <w:rsid w:val="007C335A"/>
    <w:pPr>
      <w:spacing w:after="0" w:line="240" w:lineRule="auto"/>
    </w:pPr>
    <w:rPr>
      <w:rFonts w:eastAsiaTheme="minorEastAsia"/>
      <w:lang w:eastAsia="it-IT"/>
    </w:rPr>
    <w:tblPr>
      <w:tblCellMar>
        <w:top w:w="0" w:type="dxa"/>
        <w:left w:w="0" w:type="dxa"/>
        <w:bottom w:w="0" w:type="dxa"/>
        <w:right w:w="0" w:type="dxa"/>
      </w:tblCellMar>
    </w:tblPr>
  </w:style>
  <w:style w:type="paragraph" w:customStyle="1" w:styleId="footnotedescription">
    <w:name w:val="footnote description"/>
    <w:next w:val="Normale"/>
    <w:link w:val="footnotedescriptionChar"/>
    <w:hidden/>
    <w:rsid w:val="007C335A"/>
    <w:pPr>
      <w:spacing w:after="0" w:line="259" w:lineRule="auto"/>
      <w:ind w:right="32"/>
      <w:jc w:val="both"/>
    </w:pPr>
    <w:rPr>
      <w:rFonts w:ascii="Verdana" w:eastAsia="Verdana" w:hAnsi="Verdana" w:cs="Verdana"/>
      <w:color w:val="000000"/>
      <w:sz w:val="16"/>
      <w:lang w:eastAsia="it-IT"/>
    </w:rPr>
  </w:style>
  <w:style w:type="character" w:customStyle="1" w:styleId="footnotedescriptionChar">
    <w:name w:val="footnote description Char"/>
    <w:link w:val="footnotedescription"/>
    <w:rsid w:val="007C335A"/>
    <w:rPr>
      <w:rFonts w:ascii="Verdana" w:eastAsia="Verdana" w:hAnsi="Verdana" w:cs="Verdana"/>
      <w:color w:val="000000"/>
      <w:sz w:val="16"/>
      <w:lang w:eastAsia="it-IT"/>
    </w:rPr>
  </w:style>
  <w:style w:type="character" w:customStyle="1" w:styleId="footnotemark">
    <w:name w:val="footnote mark"/>
    <w:hidden/>
    <w:rsid w:val="007C335A"/>
    <w:rPr>
      <w:rFonts w:ascii="Verdana" w:eastAsia="Verdana" w:hAnsi="Verdana" w:cs="Verdana"/>
      <w:color w:val="000000"/>
      <w:sz w:val="16"/>
      <w:vertAlign w:val="superscript"/>
    </w:rPr>
  </w:style>
  <w:style w:type="paragraph" w:customStyle="1" w:styleId="intestazioneCopertina">
    <w:name w:val="intestazioneCopertina"/>
    <w:basedOn w:val="Normale"/>
    <w:link w:val="intestazioneCopertinaCarattere"/>
    <w:qFormat/>
    <w:rsid w:val="007C335A"/>
    <w:pPr>
      <w:spacing w:after="0" w:line="360" w:lineRule="auto"/>
      <w:ind w:firstLine="567"/>
      <w:jc w:val="both"/>
    </w:pPr>
    <w:rPr>
      <w:rFonts w:ascii="Bodoni MT" w:eastAsiaTheme="minorEastAsia" w:hAnsi="Bodoni MT"/>
      <w:caps/>
      <w:sz w:val="36"/>
      <w:szCs w:val="36"/>
    </w:rPr>
  </w:style>
  <w:style w:type="character" w:customStyle="1" w:styleId="intestazioneCopertinaCarattere">
    <w:name w:val="intestazioneCopertina Carattere"/>
    <w:basedOn w:val="Carpredefinitoparagrafo"/>
    <w:link w:val="intestazioneCopertina"/>
    <w:rsid w:val="007C335A"/>
    <w:rPr>
      <w:rFonts w:ascii="Bodoni MT" w:eastAsiaTheme="minorEastAsia" w:hAnsi="Bodoni MT"/>
      <w:caps/>
      <w:sz w:val="36"/>
      <w:szCs w:val="36"/>
    </w:rPr>
  </w:style>
  <w:style w:type="numbering" w:customStyle="1" w:styleId="Nessunelenco2">
    <w:name w:val="Nessun elenco2"/>
    <w:next w:val="Nessunelenco"/>
    <w:uiPriority w:val="99"/>
    <w:semiHidden/>
    <w:unhideWhenUsed/>
    <w:rsid w:val="005D660C"/>
  </w:style>
  <w:style w:type="table" w:customStyle="1" w:styleId="Grigliatabella2">
    <w:name w:val="Griglia tabella2"/>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D660C"/>
    <w:pPr>
      <w:spacing w:after="0" w:line="240" w:lineRule="auto"/>
    </w:pPr>
    <w:rPr>
      <w:rFonts w:eastAsiaTheme="minorEastAsia"/>
      <w:lang w:eastAsia="it-IT"/>
    </w:rPr>
    <w:tblPr>
      <w:tblCellMar>
        <w:top w:w="0" w:type="dxa"/>
        <w:left w:w="0" w:type="dxa"/>
        <w:bottom w:w="0" w:type="dxa"/>
        <w:right w:w="0" w:type="dxa"/>
      </w:tblCellMar>
    </w:tblPr>
  </w:style>
  <w:style w:type="table" w:customStyle="1" w:styleId="Grigliatabella11">
    <w:name w:val="Griglia tabella11"/>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3">
    <w:name w:val="Nessun elenco3"/>
    <w:next w:val="Nessunelenco"/>
    <w:uiPriority w:val="99"/>
    <w:semiHidden/>
    <w:unhideWhenUsed/>
    <w:rsid w:val="005D660C"/>
  </w:style>
  <w:style w:type="table" w:customStyle="1" w:styleId="Grigliatabella3">
    <w:name w:val="Griglia tabella3"/>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5D660C"/>
    <w:pPr>
      <w:spacing w:after="0" w:line="240" w:lineRule="auto"/>
    </w:pPr>
    <w:rPr>
      <w:rFonts w:eastAsiaTheme="minorEastAsia"/>
      <w:lang w:eastAsia="it-IT"/>
    </w:rPr>
    <w:tblPr>
      <w:tblCellMar>
        <w:top w:w="0" w:type="dxa"/>
        <w:left w:w="0" w:type="dxa"/>
        <w:bottom w:w="0" w:type="dxa"/>
        <w:right w:w="0" w:type="dxa"/>
      </w:tblCellMar>
    </w:tblPr>
  </w:style>
  <w:style w:type="table" w:customStyle="1" w:styleId="Grigliatabella12">
    <w:name w:val="Griglia tabella12"/>
    <w:basedOn w:val="Tabellanormale"/>
    <w:next w:val="Grigliatabella"/>
    <w:uiPriority w:val="39"/>
    <w:rsid w:val="005D660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visitato">
    <w:name w:val="FollowedHyperlink"/>
    <w:basedOn w:val="Carpredefinitoparagrafo"/>
    <w:uiPriority w:val="99"/>
    <w:semiHidden/>
    <w:unhideWhenUsed/>
    <w:rsid w:val="00767294"/>
    <w:rPr>
      <w:color w:val="800080" w:themeColor="followedHyperlink"/>
      <w:u w:val="single"/>
    </w:rPr>
  </w:style>
  <w:style w:type="paragraph" w:styleId="Sommario4">
    <w:name w:val="toc 4"/>
    <w:basedOn w:val="Normale"/>
    <w:next w:val="Normale"/>
    <w:autoRedefine/>
    <w:uiPriority w:val="39"/>
    <w:unhideWhenUsed/>
    <w:rsid w:val="00A77528"/>
    <w:pPr>
      <w:spacing w:after="100"/>
      <w:ind w:left="658"/>
      <w:jc w:val="both"/>
    </w:pPr>
    <w:rPr>
      <w:rFonts w:ascii="Bodoni MT" w:hAnsi="Bodoni MT"/>
      <w:sz w:val="24"/>
    </w:rPr>
  </w:style>
  <w:style w:type="table" w:customStyle="1" w:styleId="TableGrid3">
    <w:name w:val="TableGrid3"/>
    <w:rsid w:val="00FF2CC0"/>
    <w:pPr>
      <w:spacing w:after="0" w:line="240" w:lineRule="auto"/>
    </w:pPr>
    <w:rPr>
      <w:rFonts w:eastAsiaTheme="minorEastAsia"/>
      <w:lang w:eastAsia="it-IT"/>
    </w:rPr>
    <w:tblPr>
      <w:tblCellMar>
        <w:top w:w="0" w:type="dxa"/>
        <w:left w:w="0" w:type="dxa"/>
        <w:bottom w:w="0" w:type="dxa"/>
        <w:right w:w="0" w:type="dxa"/>
      </w:tblCellMar>
    </w:tblPr>
  </w:style>
  <w:style w:type="character" w:styleId="Rimandocommento">
    <w:name w:val="annotation reference"/>
    <w:basedOn w:val="Carpredefinitoparagrafo"/>
    <w:uiPriority w:val="99"/>
    <w:semiHidden/>
    <w:unhideWhenUsed/>
    <w:rsid w:val="00B15595"/>
    <w:rPr>
      <w:sz w:val="16"/>
      <w:szCs w:val="16"/>
    </w:rPr>
  </w:style>
  <w:style w:type="paragraph" w:styleId="Testocommento">
    <w:name w:val="annotation text"/>
    <w:basedOn w:val="Normale"/>
    <w:link w:val="TestocommentoCarattere"/>
    <w:uiPriority w:val="99"/>
    <w:semiHidden/>
    <w:unhideWhenUsed/>
    <w:rsid w:val="00B15595"/>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B15595"/>
    <w:rPr>
      <w:sz w:val="20"/>
      <w:szCs w:val="20"/>
    </w:rPr>
  </w:style>
  <w:style w:type="paragraph" w:styleId="Soggettocommento">
    <w:name w:val="annotation subject"/>
    <w:basedOn w:val="Testocommento"/>
    <w:next w:val="Testocommento"/>
    <w:link w:val="SoggettocommentoCarattere"/>
    <w:uiPriority w:val="99"/>
    <w:semiHidden/>
    <w:unhideWhenUsed/>
    <w:rsid w:val="00B15595"/>
    <w:rPr>
      <w:b/>
      <w:bCs/>
    </w:rPr>
  </w:style>
  <w:style w:type="character" w:customStyle="1" w:styleId="SoggettocommentoCarattere">
    <w:name w:val="Soggetto commento Carattere"/>
    <w:basedOn w:val="TestocommentoCarattere"/>
    <w:link w:val="Soggettocommento"/>
    <w:uiPriority w:val="99"/>
    <w:semiHidden/>
    <w:rsid w:val="00B15595"/>
    <w:rPr>
      <w:b/>
      <w:bCs/>
      <w:sz w:val="20"/>
      <w:szCs w:val="20"/>
    </w:rPr>
  </w:style>
  <w:style w:type="numbering" w:customStyle="1" w:styleId="Nessunelenco4">
    <w:name w:val="Nessun elenco4"/>
    <w:next w:val="Nessunelenco"/>
    <w:uiPriority w:val="99"/>
    <w:semiHidden/>
    <w:unhideWhenUsed/>
    <w:rsid w:val="00CD34A0"/>
  </w:style>
  <w:style w:type="table" w:customStyle="1" w:styleId="Grigliatabella4">
    <w:name w:val="Griglia tabella4"/>
    <w:basedOn w:val="Tabellanormale"/>
    <w:next w:val="Grigliatabella"/>
    <w:uiPriority w:val="39"/>
    <w:rsid w:val="00CD3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
    <w:name w:val="Mention"/>
    <w:basedOn w:val="Carpredefinitoparagrafo"/>
    <w:uiPriority w:val="99"/>
    <w:semiHidden/>
    <w:unhideWhenUsed/>
    <w:rsid w:val="00CD34A0"/>
    <w:rPr>
      <w:color w:val="2B579A"/>
      <w:shd w:val="clear" w:color="auto" w:fill="E6E6E6"/>
    </w:rPr>
  </w:style>
  <w:style w:type="paragraph" w:styleId="NormaleWeb">
    <w:name w:val="Normal (Web)"/>
    <w:basedOn w:val="Normale"/>
    <w:uiPriority w:val="99"/>
    <w:semiHidden/>
    <w:unhideWhenUsed/>
    <w:rsid w:val="00CD34A0"/>
    <w:pPr>
      <w:spacing w:after="160" w:line="259" w:lineRule="auto"/>
    </w:pPr>
    <w:rPr>
      <w:rFonts w:ascii="Times New Roman" w:hAnsi="Times New Roman" w:cs="Times New Roman"/>
      <w:sz w:val="24"/>
      <w:szCs w:val="24"/>
    </w:rPr>
  </w:style>
  <w:style w:type="paragraph" w:styleId="Sommario5">
    <w:name w:val="toc 5"/>
    <w:basedOn w:val="Normale"/>
    <w:next w:val="Normale"/>
    <w:autoRedefine/>
    <w:uiPriority w:val="39"/>
    <w:unhideWhenUsed/>
    <w:rsid w:val="00B568E4"/>
    <w:pPr>
      <w:spacing w:after="100" w:line="259" w:lineRule="auto"/>
      <w:ind w:left="880"/>
    </w:pPr>
    <w:rPr>
      <w:rFonts w:eastAsiaTheme="minorEastAsia"/>
      <w:lang w:eastAsia="it-IT"/>
    </w:rPr>
  </w:style>
  <w:style w:type="paragraph" w:styleId="Sommario6">
    <w:name w:val="toc 6"/>
    <w:basedOn w:val="Normale"/>
    <w:next w:val="Normale"/>
    <w:autoRedefine/>
    <w:uiPriority w:val="39"/>
    <w:unhideWhenUsed/>
    <w:rsid w:val="00B568E4"/>
    <w:pPr>
      <w:spacing w:after="100" w:line="259" w:lineRule="auto"/>
      <w:ind w:left="1100"/>
    </w:pPr>
    <w:rPr>
      <w:rFonts w:eastAsiaTheme="minorEastAsia"/>
      <w:lang w:eastAsia="it-IT"/>
    </w:rPr>
  </w:style>
  <w:style w:type="paragraph" w:styleId="Sommario7">
    <w:name w:val="toc 7"/>
    <w:basedOn w:val="Normale"/>
    <w:next w:val="Normale"/>
    <w:autoRedefine/>
    <w:uiPriority w:val="39"/>
    <w:unhideWhenUsed/>
    <w:rsid w:val="00B568E4"/>
    <w:pPr>
      <w:spacing w:after="100" w:line="259" w:lineRule="auto"/>
      <w:ind w:left="1320"/>
    </w:pPr>
    <w:rPr>
      <w:rFonts w:eastAsiaTheme="minorEastAsia"/>
      <w:lang w:eastAsia="it-IT"/>
    </w:rPr>
  </w:style>
  <w:style w:type="paragraph" w:styleId="Sommario8">
    <w:name w:val="toc 8"/>
    <w:basedOn w:val="Normale"/>
    <w:next w:val="Normale"/>
    <w:autoRedefine/>
    <w:uiPriority w:val="39"/>
    <w:unhideWhenUsed/>
    <w:rsid w:val="00B568E4"/>
    <w:pPr>
      <w:spacing w:after="100" w:line="259" w:lineRule="auto"/>
      <w:ind w:left="1540"/>
    </w:pPr>
    <w:rPr>
      <w:rFonts w:eastAsiaTheme="minorEastAsia"/>
      <w:lang w:eastAsia="it-IT"/>
    </w:rPr>
  </w:style>
  <w:style w:type="paragraph" w:styleId="Sommario9">
    <w:name w:val="toc 9"/>
    <w:basedOn w:val="Normale"/>
    <w:next w:val="Normale"/>
    <w:autoRedefine/>
    <w:uiPriority w:val="39"/>
    <w:unhideWhenUsed/>
    <w:rsid w:val="00B568E4"/>
    <w:pPr>
      <w:spacing w:after="100" w:line="259" w:lineRule="auto"/>
      <w:ind w:left="1760"/>
    </w:pPr>
    <w:rPr>
      <w:rFonts w:eastAsiaTheme="minorEastAsia"/>
      <w:lang w:eastAsia="it-IT"/>
    </w:rPr>
  </w:style>
  <w:style w:type="character" w:customStyle="1" w:styleId="Grassetto">
    <w:name w:val="Grassetto"/>
    <w:basedOn w:val="Carpredefinitoparagrafo"/>
    <w:rsid w:val="00AF6918"/>
    <w:rPr>
      <w:rFonts w:ascii="Trebuchet MS" w:hAnsi="Trebuchet MS" w:hint="default"/>
      <w:b/>
      <w:bCs/>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901718">
      <w:bodyDiv w:val="1"/>
      <w:marLeft w:val="0"/>
      <w:marRight w:val="0"/>
      <w:marTop w:val="0"/>
      <w:marBottom w:val="0"/>
      <w:divBdr>
        <w:top w:val="none" w:sz="0" w:space="0" w:color="auto"/>
        <w:left w:val="none" w:sz="0" w:space="0" w:color="auto"/>
        <w:bottom w:val="none" w:sz="0" w:space="0" w:color="auto"/>
        <w:right w:val="none" w:sz="0" w:space="0" w:color="auto"/>
      </w:divBdr>
    </w:div>
    <w:div w:id="202209841">
      <w:bodyDiv w:val="1"/>
      <w:marLeft w:val="0"/>
      <w:marRight w:val="0"/>
      <w:marTop w:val="0"/>
      <w:marBottom w:val="0"/>
      <w:divBdr>
        <w:top w:val="none" w:sz="0" w:space="0" w:color="auto"/>
        <w:left w:val="none" w:sz="0" w:space="0" w:color="auto"/>
        <w:bottom w:val="none" w:sz="0" w:space="0" w:color="auto"/>
        <w:right w:val="none" w:sz="0" w:space="0" w:color="auto"/>
      </w:divBdr>
    </w:div>
    <w:div w:id="341903268">
      <w:bodyDiv w:val="1"/>
      <w:marLeft w:val="0"/>
      <w:marRight w:val="0"/>
      <w:marTop w:val="0"/>
      <w:marBottom w:val="0"/>
      <w:divBdr>
        <w:top w:val="none" w:sz="0" w:space="0" w:color="auto"/>
        <w:left w:val="none" w:sz="0" w:space="0" w:color="auto"/>
        <w:bottom w:val="none" w:sz="0" w:space="0" w:color="auto"/>
        <w:right w:val="none" w:sz="0" w:space="0" w:color="auto"/>
      </w:divBdr>
    </w:div>
    <w:div w:id="414478184">
      <w:bodyDiv w:val="1"/>
      <w:marLeft w:val="0"/>
      <w:marRight w:val="0"/>
      <w:marTop w:val="0"/>
      <w:marBottom w:val="0"/>
      <w:divBdr>
        <w:top w:val="none" w:sz="0" w:space="0" w:color="auto"/>
        <w:left w:val="none" w:sz="0" w:space="0" w:color="auto"/>
        <w:bottom w:val="none" w:sz="0" w:space="0" w:color="auto"/>
        <w:right w:val="none" w:sz="0" w:space="0" w:color="auto"/>
      </w:divBdr>
    </w:div>
    <w:div w:id="507714964">
      <w:bodyDiv w:val="1"/>
      <w:marLeft w:val="0"/>
      <w:marRight w:val="0"/>
      <w:marTop w:val="0"/>
      <w:marBottom w:val="0"/>
      <w:divBdr>
        <w:top w:val="none" w:sz="0" w:space="0" w:color="auto"/>
        <w:left w:val="none" w:sz="0" w:space="0" w:color="auto"/>
        <w:bottom w:val="none" w:sz="0" w:space="0" w:color="auto"/>
        <w:right w:val="none" w:sz="0" w:space="0" w:color="auto"/>
      </w:divBdr>
    </w:div>
    <w:div w:id="767313052">
      <w:bodyDiv w:val="1"/>
      <w:marLeft w:val="0"/>
      <w:marRight w:val="0"/>
      <w:marTop w:val="0"/>
      <w:marBottom w:val="0"/>
      <w:divBdr>
        <w:top w:val="none" w:sz="0" w:space="0" w:color="auto"/>
        <w:left w:val="none" w:sz="0" w:space="0" w:color="auto"/>
        <w:bottom w:val="none" w:sz="0" w:space="0" w:color="auto"/>
        <w:right w:val="none" w:sz="0" w:space="0" w:color="auto"/>
      </w:divBdr>
    </w:div>
    <w:div w:id="1240138897">
      <w:bodyDiv w:val="1"/>
      <w:marLeft w:val="0"/>
      <w:marRight w:val="0"/>
      <w:marTop w:val="0"/>
      <w:marBottom w:val="0"/>
      <w:divBdr>
        <w:top w:val="none" w:sz="0" w:space="0" w:color="auto"/>
        <w:left w:val="none" w:sz="0" w:space="0" w:color="auto"/>
        <w:bottom w:val="none" w:sz="0" w:space="0" w:color="auto"/>
        <w:right w:val="none" w:sz="0" w:space="0" w:color="auto"/>
      </w:divBdr>
    </w:div>
    <w:div w:id="1338457572">
      <w:bodyDiv w:val="1"/>
      <w:marLeft w:val="0"/>
      <w:marRight w:val="0"/>
      <w:marTop w:val="0"/>
      <w:marBottom w:val="0"/>
      <w:divBdr>
        <w:top w:val="none" w:sz="0" w:space="0" w:color="auto"/>
        <w:left w:val="none" w:sz="0" w:space="0" w:color="auto"/>
        <w:bottom w:val="none" w:sz="0" w:space="0" w:color="auto"/>
        <w:right w:val="none" w:sz="0" w:space="0" w:color="auto"/>
      </w:divBdr>
    </w:div>
    <w:div w:id="1490754075">
      <w:bodyDiv w:val="1"/>
      <w:marLeft w:val="0"/>
      <w:marRight w:val="0"/>
      <w:marTop w:val="0"/>
      <w:marBottom w:val="0"/>
      <w:divBdr>
        <w:top w:val="none" w:sz="0" w:space="0" w:color="auto"/>
        <w:left w:val="none" w:sz="0" w:space="0" w:color="auto"/>
        <w:bottom w:val="none" w:sz="0" w:space="0" w:color="auto"/>
        <w:right w:val="none" w:sz="0" w:space="0" w:color="auto"/>
      </w:divBdr>
    </w:div>
    <w:div w:id="1584298039">
      <w:bodyDiv w:val="1"/>
      <w:marLeft w:val="0"/>
      <w:marRight w:val="0"/>
      <w:marTop w:val="0"/>
      <w:marBottom w:val="0"/>
      <w:divBdr>
        <w:top w:val="none" w:sz="0" w:space="0" w:color="auto"/>
        <w:left w:val="none" w:sz="0" w:space="0" w:color="auto"/>
        <w:bottom w:val="none" w:sz="0" w:space="0" w:color="auto"/>
        <w:right w:val="none" w:sz="0" w:space="0" w:color="auto"/>
      </w:divBdr>
    </w:div>
    <w:div w:id="1767458538">
      <w:bodyDiv w:val="1"/>
      <w:marLeft w:val="0"/>
      <w:marRight w:val="0"/>
      <w:marTop w:val="0"/>
      <w:marBottom w:val="0"/>
      <w:divBdr>
        <w:top w:val="none" w:sz="0" w:space="0" w:color="auto"/>
        <w:left w:val="none" w:sz="0" w:space="0" w:color="auto"/>
        <w:bottom w:val="none" w:sz="0" w:space="0" w:color="auto"/>
        <w:right w:val="none" w:sz="0" w:space="0" w:color="auto"/>
      </w:divBdr>
    </w:div>
    <w:div w:id="1781146258">
      <w:bodyDiv w:val="1"/>
      <w:marLeft w:val="0"/>
      <w:marRight w:val="0"/>
      <w:marTop w:val="0"/>
      <w:marBottom w:val="0"/>
      <w:divBdr>
        <w:top w:val="none" w:sz="0" w:space="0" w:color="auto"/>
        <w:left w:val="none" w:sz="0" w:space="0" w:color="auto"/>
        <w:bottom w:val="none" w:sz="0" w:space="0" w:color="auto"/>
        <w:right w:val="none" w:sz="0" w:space="0" w:color="auto"/>
      </w:divBdr>
    </w:div>
    <w:div w:id="1901551762">
      <w:bodyDiv w:val="1"/>
      <w:marLeft w:val="0"/>
      <w:marRight w:val="0"/>
      <w:marTop w:val="0"/>
      <w:marBottom w:val="0"/>
      <w:divBdr>
        <w:top w:val="none" w:sz="0" w:space="0" w:color="auto"/>
        <w:left w:val="none" w:sz="0" w:space="0" w:color="auto"/>
        <w:bottom w:val="none" w:sz="0" w:space="0" w:color="auto"/>
        <w:right w:val="none" w:sz="0" w:space="0" w:color="auto"/>
      </w:divBdr>
    </w:div>
    <w:div w:id="1979718868">
      <w:bodyDiv w:val="1"/>
      <w:marLeft w:val="0"/>
      <w:marRight w:val="0"/>
      <w:marTop w:val="0"/>
      <w:marBottom w:val="0"/>
      <w:divBdr>
        <w:top w:val="none" w:sz="0" w:space="0" w:color="auto"/>
        <w:left w:val="none" w:sz="0" w:space="0" w:color="auto"/>
        <w:bottom w:val="none" w:sz="0" w:space="0" w:color="auto"/>
        <w:right w:val="none" w:sz="0" w:space="0" w:color="auto"/>
      </w:divBdr>
    </w:div>
    <w:div w:id="2002848023">
      <w:bodyDiv w:val="1"/>
      <w:marLeft w:val="0"/>
      <w:marRight w:val="0"/>
      <w:marTop w:val="0"/>
      <w:marBottom w:val="0"/>
      <w:divBdr>
        <w:top w:val="none" w:sz="0" w:space="0" w:color="auto"/>
        <w:left w:val="none" w:sz="0" w:space="0" w:color="auto"/>
        <w:bottom w:val="none" w:sz="0" w:space="0" w:color="auto"/>
        <w:right w:val="none" w:sz="0" w:space="0" w:color="auto"/>
      </w:divBdr>
    </w:div>
    <w:div w:id="2076901393">
      <w:bodyDiv w:val="1"/>
      <w:marLeft w:val="0"/>
      <w:marRight w:val="0"/>
      <w:marTop w:val="0"/>
      <w:marBottom w:val="0"/>
      <w:divBdr>
        <w:top w:val="none" w:sz="0" w:space="0" w:color="auto"/>
        <w:left w:val="none" w:sz="0" w:space="0" w:color="auto"/>
        <w:bottom w:val="none" w:sz="0" w:space="0" w:color="auto"/>
        <w:right w:val="none" w:sz="0" w:space="0" w:color="auto"/>
      </w:divBdr>
    </w:div>
    <w:div w:id="2085951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7.xml"/><Relationship Id="rId26" Type="http://schemas.openxmlformats.org/officeDocument/2006/relationships/header" Target="header11.xml"/><Relationship Id="rId39" Type="http://schemas.openxmlformats.org/officeDocument/2006/relationships/chart" Target="charts/chart1.xml"/><Relationship Id="rId21" Type="http://schemas.openxmlformats.org/officeDocument/2006/relationships/footer" Target="footer4.xml"/><Relationship Id="rId34" Type="http://schemas.openxmlformats.org/officeDocument/2006/relationships/footer" Target="footer10.xml"/><Relationship Id="rId42" Type="http://schemas.openxmlformats.org/officeDocument/2006/relationships/header" Target="header15.xml"/><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image" Target="media/image17.png"/><Relationship Id="rId63" Type="http://schemas.openxmlformats.org/officeDocument/2006/relationships/header" Target="header20.xml"/><Relationship Id="rId68" Type="http://schemas.openxmlformats.org/officeDocument/2006/relationships/chart" Target="charts/chart4.xml"/><Relationship Id="rId76" Type="http://schemas.openxmlformats.org/officeDocument/2006/relationships/chart" Target="charts/chart6.xml"/><Relationship Id="rId84" Type="http://schemas.openxmlformats.org/officeDocument/2006/relationships/header" Target="header32.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13.xml"/><Relationship Id="rId11" Type="http://schemas.openxmlformats.org/officeDocument/2006/relationships/header" Target="header3.xml"/><Relationship Id="rId24" Type="http://schemas.openxmlformats.org/officeDocument/2006/relationships/header" Target="header10.xml"/><Relationship Id="rId32" Type="http://schemas.openxmlformats.org/officeDocument/2006/relationships/footer" Target="footer9.xml"/><Relationship Id="rId37" Type="http://schemas.openxmlformats.org/officeDocument/2006/relationships/image" Target="media/image7.png"/><Relationship Id="rId40" Type="http://schemas.openxmlformats.org/officeDocument/2006/relationships/chart" Target="charts/chart2.xml"/><Relationship Id="rId45" Type="http://schemas.openxmlformats.org/officeDocument/2006/relationships/footer" Target="footer13.xml"/><Relationship Id="rId53" Type="http://schemas.openxmlformats.org/officeDocument/2006/relationships/chart" Target="charts/chart3.xml"/><Relationship Id="rId58" Type="http://schemas.openxmlformats.org/officeDocument/2006/relationships/image" Target="media/image20.png"/><Relationship Id="rId66" Type="http://schemas.openxmlformats.org/officeDocument/2006/relationships/header" Target="header23.xml"/><Relationship Id="rId74" Type="http://schemas.openxmlformats.org/officeDocument/2006/relationships/header" Target="header29.xml"/><Relationship Id="rId79" Type="http://schemas.openxmlformats.org/officeDocument/2006/relationships/hyperlink" Target="https://it.wikipedia.org/wiki/ricavo" TargetMode="External"/><Relationship Id="rId87" Type="http://schemas.openxmlformats.org/officeDocument/2006/relationships/footer" Target="footer18.xml"/><Relationship Id="rId5" Type="http://schemas.openxmlformats.org/officeDocument/2006/relationships/settings" Target="settings.xml"/><Relationship Id="rId61" Type="http://schemas.openxmlformats.org/officeDocument/2006/relationships/header" Target="header18.xml"/><Relationship Id="rId82" Type="http://schemas.openxmlformats.org/officeDocument/2006/relationships/footer" Target="footer16.xml"/><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header" Target="header9.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image" Target="media/image5.png"/><Relationship Id="rId43" Type="http://schemas.openxmlformats.org/officeDocument/2006/relationships/footer" Target="footer12.xml"/><Relationship Id="rId48" Type="http://schemas.openxmlformats.org/officeDocument/2006/relationships/image" Target="media/image11.png"/><Relationship Id="rId56" Type="http://schemas.openxmlformats.org/officeDocument/2006/relationships/image" Target="media/image18.png"/><Relationship Id="rId64" Type="http://schemas.openxmlformats.org/officeDocument/2006/relationships/header" Target="header21.xml"/><Relationship Id="rId69" Type="http://schemas.openxmlformats.org/officeDocument/2006/relationships/header" Target="header25.xml"/><Relationship Id="rId77" Type="http://schemas.openxmlformats.org/officeDocument/2006/relationships/header" Target="header30.xml"/><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header" Target="header27.xml"/><Relationship Id="rId80" Type="http://schemas.openxmlformats.org/officeDocument/2006/relationships/hyperlink" Target="https://it.wikipedia.org/wiki/attivit%C3%A0" TargetMode="External"/><Relationship Id="rId85" Type="http://schemas.openxmlformats.org/officeDocument/2006/relationships/footer" Target="footer17.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6.xml"/><Relationship Id="rId25" Type="http://schemas.openxmlformats.org/officeDocument/2006/relationships/footer" Target="footer6.xml"/><Relationship Id="rId33" Type="http://schemas.openxmlformats.org/officeDocument/2006/relationships/image" Target="media/image4.png"/><Relationship Id="rId38" Type="http://schemas.openxmlformats.org/officeDocument/2006/relationships/image" Target="media/image8.png"/><Relationship Id="rId46" Type="http://schemas.openxmlformats.org/officeDocument/2006/relationships/image" Target="media/image9.png"/><Relationship Id="rId59" Type="http://schemas.openxmlformats.org/officeDocument/2006/relationships/header" Target="header17.xml"/><Relationship Id="rId67" Type="http://schemas.openxmlformats.org/officeDocument/2006/relationships/header" Target="header24.xml"/><Relationship Id="rId20" Type="http://schemas.openxmlformats.org/officeDocument/2006/relationships/header" Target="header8.xml"/><Relationship Id="rId41" Type="http://schemas.openxmlformats.org/officeDocument/2006/relationships/footer" Target="footer11.xml"/><Relationship Id="rId54" Type="http://schemas.openxmlformats.org/officeDocument/2006/relationships/image" Target="media/image16.png"/><Relationship Id="rId62" Type="http://schemas.openxmlformats.org/officeDocument/2006/relationships/header" Target="header19.xml"/><Relationship Id="rId70" Type="http://schemas.openxmlformats.org/officeDocument/2006/relationships/header" Target="header26.xml"/><Relationship Id="rId75" Type="http://schemas.openxmlformats.org/officeDocument/2006/relationships/chart" Target="charts/chart5.xml"/><Relationship Id="rId83" Type="http://schemas.openxmlformats.org/officeDocument/2006/relationships/header" Target="header31.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5.xml"/><Relationship Id="rId28" Type="http://schemas.openxmlformats.org/officeDocument/2006/relationships/header" Target="header12.xml"/><Relationship Id="rId36" Type="http://schemas.openxmlformats.org/officeDocument/2006/relationships/image" Target="media/image6.png"/><Relationship Id="rId49" Type="http://schemas.openxmlformats.org/officeDocument/2006/relationships/image" Target="media/image12.png"/><Relationship Id="rId57" Type="http://schemas.openxmlformats.org/officeDocument/2006/relationships/image" Target="media/image19.png"/><Relationship Id="rId10" Type="http://schemas.openxmlformats.org/officeDocument/2006/relationships/header" Target="header2.xml"/><Relationship Id="rId31" Type="http://schemas.openxmlformats.org/officeDocument/2006/relationships/header" Target="header14.xml"/><Relationship Id="rId44" Type="http://schemas.openxmlformats.org/officeDocument/2006/relationships/header" Target="header16.xml"/><Relationship Id="rId52" Type="http://schemas.openxmlformats.org/officeDocument/2006/relationships/image" Target="media/image15.png"/><Relationship Id="rId60" Type="http://schemas.openxmlformats.org/officeDocument/2006/relationships/footer" Target="footer14.xml"/><Relationship Id="rId65" Type="http://schemas.openxmlformats.org/officeDocument/2006/relationships/header" Target="header22.xml"/><Relationship Id="rId73" Type="http://schemas.openxmlformats.org/officeDocument/2006/relationships/header" Target="header28.xml"/><Relationship Id="rId78" Type="http://schemas.openxmlformats.org/officeDocument/2006/relationships/hyperlink" Target="https://it.wikipedia.org/wiki/costo" TargetMode="External"/><Relationship Id="rId81" Type="http://schemas.openxmlformats.org/officeDocument/2006/relationships/hyperlink" Target="https://it.wikipedia.org/wiki/passivit%C3%A0" TargetMode="External"/><Relationship Id="rId86" Type="http://schemas.openxmlformats.org/officeDocument/2006/relationships/header" Target="header33.xml"/></Relationships>
</file>

<file path=word/_rels/footnotes.xml.rels><?xml version="1.0" encoding="UTF-8" standalone="yes"?>
<Relationships xmlns="http://schemas.openxmlformats.org/package/2006/relationships"><Relationship Id="rId3" Type="http://schemas.openxmlformats.org/officeDocument/2006/relationships/hyperlink" Target="http://entilocali.leggiditalia.it/" TargetMode="External"/><Relationship Id="rId2" Type="http://schemas.openxmlformats.org/officeDocument/2006/relationships/hyperlink" Target="http://entilocali.leggiditalia.it/" TargetMode="External"/><Relationship Id="rId1" Type="http://schemas.openxmlformats.org/officeDocument/2006/relationships/hyperlink" Target="http://entilocali.leggiditalia.i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33.xml.rels><?xml version="1.0" encoding="UTF-8" standalone="yes"?>
<Relationships xmlns="http://schemas.openxmlformats.org/package/2006/relationships"><Relationship Id="rId1" Type="http://schemas.openxmlformats.org/officeDocument/2006/relationships/image" Target="media/image21.jp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package" Target="../embeddings/Microsoft_Excel_Worksheet1.xlsx"/><Relationship Id="rId1" Type="http://schemas.openxmlformats.org/officeDocument/2006/relationships/themeOverride" Target="../theme/themeOverride1.xml"/><Relationship Id="rId4"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oleObject" Target="file:///C:\Users\rita_dore\Desktop\Confronti%202015_2016.xlsx" TargetMode="External"/><Relationship Id="rId1" Type="http://schemas.openxmlformats.org/officeDocument/2006/relationships/themeOverride" Target="../theme/themeOverride2.xml"/><Relationship Id="rId4"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oleObject" Target="file:///C:\Users\rita_dore\Desktop\Ras%20Spese%202016%20al%2011_9_2017.xlsx" TargetMode="External"/><Relationship Id="rId1" Type="http://schemas.openxmlformats.org/officeDocument/2006/relationships/themeOverride" Target="../theme/themeOverride3.xml"/><Relationship Id="rId4"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C:\Users\daniela_scardigli\AppData\Local\Microsoft\Windows\INetCache\Content.Outlook\W0TIK9AK\tab%20su%20trasferimenti.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openxmlformats.org/officeDocument/2006/relationships/oleObject" Target="../embeddings/oleObject1.bin"/><Relationship Id="rId1" Type="http://schemas.openxmlformats.org/officeDocument/2006/relationships/themeOverride" Target="../theme/themeOverride4.xml"/><Relationship Id="rId4"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microsoft.com/office/2011/relationships/chartColorStyle" Target="colors6.xml"/><Relationship Id="rId2" Type="http://schemas.openxmlformats.org/officeDocument/2006/relationships/oleObject" Target="../embeddings/oleObject2.bin"/><Relationship Id="rId1" Type="http://schemas.openxmlformats.org/officeDocument/2006/relationships/themeOverride" Target="../theme/themeOverride5.xml"/><Relationship Id="rId4"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000"/>
              <a:t>Spesa per Titoli - 2015-2016</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2015</c:v>
          </c:tx>
          <c:spPr>
            <a:solidFill>
              <a:schemeClr val="accent1"/>
            </a:solidFill>
            <a:ln>
              <a:noFill/>
            </a:ln>
            <a:effectLst/>
            <a:sp3d/>
          </c:spPr>
          <c:invertIfNegative val="0"/>
          <c:cat>
            <c:strRef>
              <c:f>'Confronti Spesa Titoli'!$R$16:$R$21</c:f>
              <c:strCache>
                <c:ptCount val="6"/>
                <c:pt idx="0">
                  <c:v>I</c:v>
                </c:pt>
                <c:pt idx="1">
                  <c:v>II</c:v>
                </c:pt>
                <c:pt idx="2">
                  <c:v>III</c:v>
                </c:pt>
                <c:pt idx="3">
                  <c:v>IV</c:v>
                </c:pt>
                <c:pt idx="4">
                  <c:v>V</c:v>
                </c:pt>
                <c:pt idx="5">
                  <c:v>VII</c:v>
                </c:pt>
              </c:strCache>
            </c:strRef>
          </c:cat>
          <c:val>
            <c:numRef>
              <c:f>'Confronti Spesa Titoli'!$S$16:$S$21</c:f>
              <c:numCache>
                <c:formatCode>_(* #,##0.00_);_(* \(#,##0.00\);_(* "-"??_);_(@_)</c:formatCode>
                <c:ptCount val="6"/>
                <c:pt idx="0">
                  <c:v>7167291316.1400003</c:v>
                </c:pt>
                <c:pt idx="1">
                  <c:v>2606783065.4699998</c:v>
                </c:pt>
                <c:pt idx="2">
                  <c:v>28400000</c:v>
                </c:pt>
                <c:pt idx="3">
                  <c:v>289952775</c:v>
                </c:pt>
                <c:pt idx="4">
                  <c:v>0</c:v>
                </c:pt>
                <c:pt idx="5">
                  <c:v>179731698.33000001</c:v>
                </c:pt>
              </c:numCache>
            </c:numRef>
          </c:val>
          <c:extLst xmlns:c16r2="http://schemas.microsoft.com/office/drawing/2015/06/chart">
            <c:ext xmlns:c16="http://schemas.microsoft.com/office/drawing/2014/chart" uri="{C3380CC4-5D6E-409C-BE32-E72D297353CC}">
              <c16:uniqueId val="{00000000-03C9-4151-AFE3-A2B9DBEB6A6E}"/>
            </c:ext>
          </c:extLst>
        </c:ser>
        <c:ser>
          <c:idx val="1"/>
          <c:order val="1"/>
          <c:tx>
            <c:v>2016</c:v>
          </c:tx>
          <c:spPr>
            <a:solidFill>
              <a:schemeClr val="accent2"/>
            </a:solidFill>
            <a:ln>
              <a:noFill/>
            </a:ln>
            <a:effectLst/>
            <a:sp3d/>
          </c:spPr>
          <c:invertIfNegative val="0"/>
          <c:cat>
            <c:strRef>
              <c:f>'Confronti Spesa Titoli'!$R$16:$R$21</c:f>
              <c:strCache>
                <c:ptCount val="6"/>
                <c:pt idx="0">
                  <c:v>I</c:v>
                </c:pt>
                <c:pt idx="1">
                  <c:v>II</c:v>
                </c:pt>
                <c:pt idx="2">
                  <c:v>III</c:v>
                </c:pt>
                <c:pt idx="3">
                  <c:v>IV</c:v>
                </c:pt>
                <c:pt idx="4">
                  <c:v>V</c:v>
                </c:pt>
                <c:pt idx="5">
                  <c:v>VII</c:v>
                </c:pt>
              </c:strCache>
            </c:strRef>
          </c:cat>
          <c:val>
            <c:numRef>
              <c:f>'Confronti Spesa Titoli'!$T$16:$T$21</c:f>
              <c:numCache>
                <c:formatCode>_(* #,##0.00_);_(* \(#,##0.00\);_(* "-"??_);_(@_)</c:formatCode>
                <c:ptCount val="6"/>
                <c:pt idx="0">
                  <c:v>6915810600.2099962</c:v>
                </c:pt>
                <c:pt idx="1">
                  <c:v>2259756849.73</c:v>
                </c:pt>
                <c:pt idx="2">
                  <c:v>426306547.31</c:v>
                </c:pt>
                <c:pt idx="3">
                  <c:v>394282350</c:v>
                </c:pt>
                <c:pt idx="4">
                  <c:v>0</c:v>
                </c:pt>
                <c:pt idx="5">
                  <c:v>155745712.36999997</c:v>
                </c:pt>
              </c:numCache>
            </c:numRef>
          </c:val>
          <c:extLst xmlns:c16r2="http://schemas.microsoft.com/office/drawing/2015/06/chart">
            <c:ext xmlns:c16="http://schemas.microsoft.com/office/drawing/2014/chart" uri="{C3380CC4-5D6E-409C-BE32-E72D297353CC}">
              <c16:uniqueId val="{00000001-03C9-4151-AFE3-A2B9DBEB6A6E}"/>
            </c:ext>
          </c:extLst>
        </c:ser>
        <c:dLbls>
          <c:showLegendKey val="0"/>
          <c:showVal val="0"/>
          <c:showCatName val="0"/>
          <c:showSerName val="0"/>
          <c:showPercent val="0"/>
          <c:showBubbleSize val="0"/>
        </c:dLbls>
        <c:gapWidth val="150"/>
        <c:shape val="box"/>
        <c:axId val="159328128"/>
        <c:axId val="159329664"/>
        <c:axId val="0"/>
      </c:bar3DChart>
      <c:catAx>
        <c:axId val="159328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159329664"/>
        <c:crosses val="autoZero"/>
        <c:auto val="1"/>
        <c:lblAlgn val="ctr"/>
        <c:lblOffset val="100"/>
        <c:noMultiLvlLbl val="0"/>
      </c:catAx>
      <c:valAx>
        <c:axId val="15932966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mn-cs"/>
              </a:defRPr>
            </a:pPr>
            <a:endParaRPr lang="it-IT"/>
          </a:p>
        </c:txPr>
        <c:crossAx val="15932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800"/>
              <a:t>Spesa</a:t>
            </a:r>
            <a:r>
              <a:rPr lang="it-IT" sz="800" baseline="0"/>
              <a:t> - Missioni</a:t>
            </a:r>
          </a:p>
          <a:p>
            <a:pPr>
              <a:defRPr sz="1400" b="0" i="0" u="none" strike="noStrike" kern="1200" spc="0" baseline="0">
                <a:solidFill>
                  <a:schemeClr val="tx1">
                    <a:lumMod val="65000"/>
                    <a:lumOff val="35000"/>
                  </a:schemeClr>
                </a:solidFill>
                <a:latin typeface="+mn-lt"/>
                <a:ea typeface="+mn-ea"/>
                <a:cs typeface="+mn-cs"/>
              </a:defRPr>
            </a:pPr>
            <a:r>
              <a:rPr lang="it-IT" sz="800" baseline="0"/>
              <a:t>Prev.Definitive 2015/2016</a:t>
            </a:r>
            <a:endParaRPr lang="it-IT" sz="800"/>
          </a:p>
        </c:rich>
      </c:tx>
      <c:overlay val="0"/>
      <c:spPr>
        <a:noFill/>
        <a:ln>
          <a:noFill/>
        </a:ln>
        <a:effectLst/>
      </c:sp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497778258566762"/>
          <c:y val="0.15950617283950619"/>
          <c:w val="0.83214130415295329"/>
          <c:h val="0.63365483354984675"/>
        </c:manualLayout>
      </c:layout>
      <c:bar3DChart>
        <c:barDir val="col"/>
        <c:grouping val="clustered"/>
        <c:varyColors val="0"/>
        <c:ser>
          <c:idx val="0"/>
          <c:order val="0"/>
          <c:tx>
            <c:v>2015</c:v>
          </c:tx>
          <c:spPr>
            <a:solidFill>
              <a:schemeClr val="accent1"/>
            </a:solidFill>
            <a:ln>
              <a:noFill/>
            </a:ln>
            <a:effectLst/>
            <a:sp3d/>
          </c:spPr>
          <c:invertIfNegative val="0"/>
          <c:cat>
            <c:strRef>
              <c:f>'SPESA Prev definitive 2015_2016'!$O$3:$O$23</c:f>
              <c:strCache>
                <c:ptCount val="21"/>
                <c:pt idx="0">
                  <c:v>01</c:v>
                </c:pt>
                <c:pt idx="1">
                  <c:v>03</c:v>
                </c:pt>
                <c:pt idx="2">
                  <c:v>04</c:v>
                </c:pt>
                <c:pt idx="3">
                  <c:v>05</c:v>
                </c:pt>
                <c:pt idx="4">
                  <c:v>06</c:v>
                </c:pt>
                <c:pt idx="5">
                  <c:v>07</c:v>
                </c:pt>
                <c:pt idx="6">
                  <c:v>08</c:v>
                </c:pt>
                <c:pt idx="7">
                  <c:v>09</c:v>
                </c:pt>
                <c:pt idx="8">
                  <c:v>10</c:v>
                </c:pt>
                <c:pt idx="9">
                  <c:v>11</c:v>
                </c:pt>
                <c:pt idx="10">
                  <c:v>12</c:v>
                </c:pt>
                <c:pt idx="11">
                  <c:v>13</c:v>
                </c:pt>
                <c:pt idx="12">
                  <c:v>14</c:v>
                </c:pt>
                <c:pt idx="13">
                  <c:v>15</c:v>
                </c:pt>
                <c:pt idx="14">
                  <c:v>16</c:v>
                </c:pt>
                <c:pt idx="15">
                  <c:v>17</c:v>
                </c:pt>
                <c:pt idx="16">
                  <c:v>18</c:v>
                </c:pt>
                <c:pt idx="17">
                  <c:v>19</c:v>
                </c:pt>
                <c:pt idx="18">
                  <c:v>20</c:v>
                </c:pt>
                <c:pt idx="19">
                  <c:v>50</c:v>
                </c:pt>
                <c:pt idx="20">
                  <c:v>99</c:v>
                </c:pt>
              </c:strCache>
            </c:strRef>
          </c:cat>
          <c:val>
            <c:numRef>
              <c:f>'SPESA Prev definitive 2015_2016'!$P$3:$P$23</c:f>
              <c:numCache>
                <c:formatCode>_(* #,##0.00_);_(* \(#,##0.00\);_(* "-"??_);_(@_)</c:formatCode>
                <c:ptCount val="21"/>
                <c:pt idx="0">
                  <c:v>1152616189.0900002</c:v>
                </c:pt>
                <c:pt idx="1">
                  <c:v>5111944.29</c:v>
                </c:pt>
                <c:pt idx="2">
                  <c:v>468909390.66000003</c:v>
                </c:pt>
                <c:pt idx="3">
                  <c:v>101995734.15000001</c:v>
                </c:pt>
                <c:pt idx="4">
                  <c:v>34145623.759999998</c:v>
                </c:pt>
                <c:pt idx="5">
                  <c:v>59245086.890000001</c:v>
                </c:pt>
                <c:pt idx="6">
                  <c:v>147863645.03999999</c:v>
                </c:pt>
                <c:pt idx="7">
                  <c:v>844635992.64999998</c:v>
                </c:pt>
                <c:pt idx="8">
                  <c:v>1051582889.3000001</c:v>
                </c:pt>
                <c:pt idx="9">
                  <c:v>26385955.949999999</c:v>
                </c:pt>
                <c:pt idx="10">
                  <c:v>375018733.39000005</c:v>
                </c:pt>
                <c:pt idx="11">
                  <c:v>3238735873.8400002</c:v>
                </c:pt>
                <c:pt idx="12">
                  <c:v>188334764.15000001</c:v>
                </c:pt>
                <c:pt idx="13">
                  <c:v>256994070.63999999</c:v>
                </c:pt>
                <c:pt idx="14">
                  <c:v>209067268.09</c:v>
                </c:pt>
                <c:pt idx="15">
                  <c:v>26369749.740000002</c:v>
                </c:pt>
                <c:pt idx="16">
                  <c:v>651500917.16999996</c:v>
                </c:pt>
                <c:pt idx="17">
                  <c:v>98397071.360000014</c:v>
                </c:pt>
                <c:pt idx="18">
                  <c:v>819512226.69999981</c:v>
                </c:pt>
                <c:pt idx="19">
                  <c:v>336004029.75</c:v>
                </c:pt>
                <c:pt idx="20">
                  <c:v>179731698.33000001</c:v>
                </c:pt>
              </c:numCache>
            </c:numRef>
          </c:val>
          <c:extLst xmlns:c16r2="http://schemas.microsoft.com/office/drawing/2015/06/chart">
            <c:ext xmlns:c16="http://schemas.microsoft.com/office/drawing/2014/chart" uri="{C3380CC4-5D6E-409C-BE32-E72D297353CC}">
              <c16:uniqueId val="{00000000-2183-4625-AA25-DF0C7E537BDC}"/>
            </c:ext>
          </c:extLst>
        </c:ser>
        <c:ser>
          <c:idx val="1"/>
          <c:order val="1"/>
          <c:tx>
            <c:v>2016</c:v>
          </c:tx>
          <c:spPr>
            <a:solidFill>
              <a:schemeClr val="accent2"/>
            </a:solidFill>
            <a:ln>
              <a:noFill/>
            </a:ln>
            <a:effectLst/>
            <a:sp3d/>
          </c:spPr>
          <c:invertIfNegative val="0"/>
          <c:cat>
            <c:strRef>
              <c:f>'SPESA Prev definitive 2015_2016'!$O$3:$O$23</c:f>
              <c:strCache>
                <c:ptCount val="21"/>
                <c:pt idx="0">
                  <c:v>01</c:v>
                </c:pt>
                <c:pt idx="1">
                  <c:v>03</c:v>
                </c:pt>
                <c:pt idx="2">
                  <c:v>04</c:v>
                </c:pt>
                <c:pt idx="3">
                  <c:v>05</c:v>
                </c:pt>
                <c:pt idx="4">
                  <c:v>06</c:v>
                </c:pt>
                <c:pt idx="5">
                  <c:v>07</c:v>
                </c:pt>
                <c:pt idx="6">
                  <c:v>08</c:v>
                </c:pt>
                <c:pt idx="7">
                  <c:v>09</c:v>
                </c:pt>
                <c:pt idx="8">
                  <c:v>10</c:v>
                </c:pt>
                <c:pt idx="9">
                  <c:v>11</c:v>
                </c:pt>
                <c:pt idx="10">
                  <c:v>12</c:v>
                </c:pt>
                <c:pt idx="11">
                  <c:v>13</c:v>
                </c:pt>
                <c:pt idx="12">
                  <c:v>14</c:v>
                </c:pt>
                <c:pt idx="13">
                  <c:v>15</c:v>
                </c:pt>
                <c:pt idx="14">
                  <c:v>16</c:v>
                </c:pt>
                <c:pt idx="15">
                  <c:v>17</c:v>
                </c:pt>
                <c:pt idx="16">
                  <c:v>18</c:v>
                </c:pt>
                <c:pt idx="17">
                  <c:v>19</c:v>
                </c:pt>
                <c:pt idx="18">
                  <c:v>20</c:v>
                </c:pt>
                <c:pt idx="19">
                  <c:v>50</c:v>
                </c:pt>
                <c:pt idx="20">
                  <c:v>99</c:v>
                </c:pt>
              </c:strCache>
            </c:strRef>
          </c:cat>
          <c:val>
            <c:numRef>
              <c:f>'SPESA Prev definitive 2015_2016'!$Q$3:$Q$23</c:f>
              <c:numCache>
                <c:formatCode>_(* #,##0.00_);_(* \(#,##0.00\);_(* "-"??_);_(@_)</c:formatCode>
                <c:ptCount val="21"/>
                <c:pt idx="0">
                  <c:v>1251477579.0399997</c:v>
                </c:pt>
                <c:pt idx="1">
                  <c:v>10100000</c:v>
                </c:pt>
                <c:pt idx="2">
                  <c:v>276489876.87</c:v>
                </c:pt>
                <c:pt idx="3">
                  <c:v>95032818.079999998</c:v>
                </c:pt>
                <c:pt idx="4">
                  <c:v>11303734.869999999</c:v>
                </c:pt>
                <c:pt idx="5">
                  <c:v>42810976.170000002</c:v>
                </c:pt>
                <c:pt idx="6">
                  <c:v>145969299.37000003</c:v>
                </c:pt>
                <c:pt idx="7">
                  <c:v>734171859.40999937</c:v>
                </c:pt>
                <c:pt idx="8">
                  <c:v>760244207.86000013</c:v>
                </c:pt>
                <c:pt idx="9">
                  <c:v>38145915.570000015</c:v>
                </c:pt>
                <c:pt idx="10">
                  <c:v>307665902.09999985</c:v>
                </c:pt>
                <c:pt idx="11">
                  <c:v>3601051175.8299999</c:v>
                </c:pt>
                <c:pt idx="12">
                  <c:v>298844139.93000001</c:v>
                </c:pt>
                <c:pt idx="13">
                  <c:v>153218339.92000002</c:v>
                </c:pt>
                <c:pt idx="14">
                  <c:v>266981655.26000005</c:v>
                </c:pt>
                <c:pt idx="15">
                  <c:v>50442953.210000001</c:v>
                </c:pt>
                <c:pt idx="16">
                  <c:v>1382400757.6499999</c:v>
                </c:pt>
                <c:pt idx="17">
                  <c:v>55546825.009999998</c:v>
                </c:pt>
                <c:pt idx="18">
                  <c:v>291212981.09999996</c:v>
                </c:pt>
                <c:pt idx="19">
                  <c:v>223045350</c:v>
                </c:pt>
                <c:pt idx="20">
                  <c:v>155745712.36999997</c:v>
                </c:pt>
              </c:numCache>
            </c:numRef>
          </c:val>
          <c:extLst xmlns:c16r2="http://schemas.microsoft.com/office/drawing/2015/06/chart">
            <c:ext xmlns:c16="http://schemas.microsoft.com/office/drawing/2014/chart" uri="{C3380CC4-5D6E-409C-BE32-E72D297353CC}">
              <c16:uniqueId val="{00000001-2183-4625-AA25-DF0C7E537BDC}"/>
            </c:ext>
          </c:extLst>
        </c:ser>
        <c:dLbls>
          <c:showLegendKey val="0"/>
          <c:showVal val="0"/>
          <c:showCatName val="0"/>
          <c:showSerName val="0"/>
          <c:showPercent val="0"/>
          <c:showBubbleSize val="0"/>
        </c:dLbls>
        <c:gapWidth val="219"/>
        <c:shape val="box"/>
        <c:axId val="46358912"/>
        <c:axId val="46360448"/>
        <c:axId val="0"/>
      </c:bar3DChart>
      <c:catAx>
        <c:axId val="4635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360448"/>
        <c:crosses val="autoZero"/>
        <c:auto val="1"/>
        <c:lblAlgn val="ctr"/>
        <c:lblOffset val="100"/>
        <c:noMultiLvlLbl val="0"/>
      </c:catAx>
      <c:valAx>
        <c:axId val="46360448"/>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mn-cs"/>
              </a:defRPr>
            </a:pPr>
            <a:endParaRPr lang="it-IT"/>
          </a:p>
        </c:txPr>
        <c:crossAx val="4635891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60"/>
      <c:rotY val="9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444444444444443"/>
          <c:y val="0.31944444444444442"/>
          <c:w val="0.71388888888888891"/>
          <c:h val="0.597800379119276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14F-46B1-96CB-3DC1CFCD07D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14F-46B1-96CB-3DC1CFCD07D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14F-46B1-96CB-3DC1CFCD07DC}"/>
              </c:ext>
            </c:extLst>
          </c:dPt>
          <c:dLbls>
            <c:dLbl>
              <c:idx val="0"/>
              <c:layout>
                <c:manualLayout>
                  <c:x val="-3.083229082346018E-2"/>
                  <c:y val="-0.10455723803755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14F-46B1-96CB-3DC1CFCD07DC}"/>
                </c:ext>
              </c:extLst>
            </c:dLbl>
            <c:dLbl>
              <c:idx val="1"/>
              <c:layout>
                <c:manualLayout>
                  <c:x val="3.7651777172713223E-2"/>
                  <c:y val="-0.1321405208964264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14F-46B1-96CB-3DC1CFCD07DC}"/>
                </c:ext>
              </c:extLst>
            </c:dLbl>
            <c:dLbl>
              <c:idx val="2"/>
              <c:layout>
                <c:manualLayout>
                  <c:x val="8.7089067137635839E-2"/>
                  <c:y val="0.1312081566727235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14F-46B1-96CB-3DC1CFCD07D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Foglio1!$C$32:$C$34</c:f>
              <c:strCache>
                <c:ptCount val="3"/>
                <c:pt idx="0">
                  <c:v>FR</c:v>
                </c:pt>
                <c:pt idx="1">
                  <c:v>AS</c:v>
                </c:pt>
                <c:pt idx="2">
                  <c:v>UE</c:v>
                </c:pt>
              </c:strCache>
            </c:strRef>
          </c:cat>
          <c:val>
            <c:numRef>
              <c:f>Foglio1!$G$32:$G$34</c:f>
              <c:numCache>
                <c:formatCode>#,##0.00_ ;\-#,##0.00\ </c:formatCode>
                <c:ptCount val="3"/>
                <c:pt idx="0">
                  <c:v>6663119494.5100002</c:v>
                </c:pt>
                <c:pt idx="1">
                  <c:v>332727833.33999997</c:v>
                </c:pt>
                <c:pt idx="2">
                  <c:v>78680043.450000018</c:v>
                </c:pt>
              </c:numCache>
            </c:numRef>
          </c:val>
          <c:extLst xmlns:c16r2="http://schemas.microsoft.com/office/drawing/2015/06/chart">
            <c:ext xmlns:c16="http://schemas.microsoft.com/office/drawing/2014/chart" uri="{C3380CC4-5D6E-409C-BE32-E72D297353CC}">
              <c16:uniqueId val="{00000006-C14F-46B1-96CB-3DC1CFCD07DC}"/>
            </c:ext>
          </c:extLst>
        </c:ser>
        <c:dLbls>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5594603750526359E-2"/>
          <c:y val="0.17445919330298409"/>
          <c:w val="0.96388888888888891"/>
          <c:h val="0.5337230242053077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04B-48A3-9882-CD86CA2A7F6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04B-48A3-9882-CD86CA2A7F6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04B-48A3-9882-CD86CA2A7F6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04B-48A3-9882-CD86CA2A7F64}"/>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04B-48A3-9882-CD86CA2A7F64}"/>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C04B-48A3-9882-CD86CA2A7F64}"/>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C04B-48A3-9882-CD86CA2A7F64}"/>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C04B-48A3-9882-CD86CA2A7F64}"/>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C04B-48A3-9882-CD86CA2A7F64}"/>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C04B-48A3-9882-CD86CA2A7F64}"/>
              </c:ext>
            </c:extLst>
          </c:dPt>
          <c:dLbls>
            <c:dLbl>
              <c:idx val="0"/>
              <c:layout>
                <c:manualLayout>
                  <c:x val="4.0450227189908948E-2"/>
                  <c:y val="-1.0761154855643044E-2"/>
                </c:manualLayout>
              </c:layout>
              <c:tx>
                <c:rich>
                  <a:bodyPr/>
                  <a:lstStyle/>
                  <a:p>
                    <a:fld id="{033A76A9-93A8-46EC-9072-0BA09430D6D1}" type="VALUE">
                      <a:rPr lang="en-US"/>
                      <a:pPr/>
                      <a:t>[VALORE]</a:t>
                    </a:fld>
                    <a:r>
                      <a:rPr lang="en-US" baseline="0"/>
                      <a:t>; </a:t>
                    </a:r>
                  </a:p>
                  <a:p>
                    <a:fld id="{C4E78E0F-4F5B-4A52-B6F5-BAA04DD180AF}" type="PERCENTAGE">
                      <a:rPr lang="en-US" baseline="0"/>
                      <a:pPr/>
                      <a:t>[PERCENTUALE]</a:t>
                    </a:fld>
                    <a:endParaRPr lang="it-IT"/>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C04B-48A3-9882-CD86CA2A7F64}"/>
                </c:ext>
              </c:extLst>
            </c:dLbl>
            <c:dLbl>
              <c:idx val="1"/>
              <c:layout>
                <c:manualLayout>
                  <c:x val="-4.8843320777294308E-2"/>
                  <c:y val="-3.6027631962671336E-2"/>
                </c:manualLayout>
              </c:layout>
              <c:tx>
                <c:rich>
                  <a:bodyPr/>
                  <a:lstStyle/>
                  <a:p>
                    <a:fld id="{9A75CE64-4EDB-45E8-A084-89F5A9690D2F}" type="VALUE">
                      <a:rPr lang="en-US"/>
                      <a:pPr/>
                      <a:t>[VALORE]</a:t>
                    </a:fld>
                    <a:r>
                      <a:rPr lang="en-US" baseline="0"/>
                      <a:t>; </a:t>
                    </a:r>
                  </a:p>
                  <a:p>
                    <a:fld id="{508F0AA2-93B9-4406-A24E-E9BB206DE737}" type="PERCENTAGE">
                      <a:rPr lang="en-US" baseline="0"/>
                      <a:pPr/>
                      <a:t>[PERCENTUALE]</a:t>
                    </a:fld>
                    <a:endParaRPr lang="it-IT"/>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C04B-48A3-9882-CD86CA2A7F64}"/>
                </c:ext>
              </c:extLst>
            </c:dLbl>
            <c:dLbl>
              <c:idx val="2"/>
              <c:layout>
                <c:manualLayout>
                  <c:x val="-6.3912324337311172E-2"/>
                  <c:y val="9.4177238261883928E-2"/>
                </c:manualLayout>
              </c:layout>
              <c:tx>
                <c:rich>
                  <a:bodyPr/>
                  <a:lstStyle/>
                  <a:p>
                    <a:fld id="{8DBA2710-53B2-47E9-8F66-F633366FB3CE}" type="VALUE">
                      <a:rPr lang="en-US"/>
                      <a:pPr/>
                      <a:t>[VALORE]</a:t>
                    </a:fld>
                    <a:r>
                      <a:rPr lang="en-US" baseline="0"/>
                      <a:t>; </a:t>
                    </a:r>
                  </a:p>
                  <a:p>
                    <a:fld id="{4BA2E8DA-C7BE-4E6A-8361-606071303D22}" type="PERCENTAGE">
                      <a:rPr lang="en-US" baseline="0"/>
                      <a:pPr/>
                      <a:t>[PERCENTUALE]</a:t>
                    </a:fld>
                    <a:endParaRPr lang="it-IT"/>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C04B-48A3-9882-CD86CA2A7F64}"/>
                </c:ext>
              </c:extLst>
            </c:dLbl>
            <c:dLbl>
              <c:idx val="3"/>
              <c:layout>
                <c:manualLayout>
                  <c:x val="-5.1325459317585302E-2"/>
                  <c:y val="-2.0956502784800931E-2"/>
                </c:manualLayout>
              </c:layout>
              <c:tx>
                <c:rich>
                  <a:bodyPr/>
                  <a:lstStyle/>
                  <a:p>
                    <a:fld id="{FFC0EFF4-D89C-4186-BAD4-7D119189AD3D}" type="VALUE">
                      <a:rPr lang="en-US"/>
                      <a:pPr/>
                      <a:t>[VALORE]</a:t>
                    </a:fld>
                    <a:r>
                      <a:rPr lang="en-US" baseline="0"/>
                      <a:t>; </a:t>
                    </a:r>
                  </a:p>
                  <a:p>
                    <a:fld id="{72A1363B-4656-4646-BCFF-336F76306806}" type="PERCENTAGE">
                      <a:rPr lang="en-US" baseline="0"/>
                      <a:pPr/>
                      <a:t>[PERCENTUALE]</a:t>
                    </a:fld>
                    <a:endParaRPr lang="it-IT"/>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C04B-48A3-9882-CD86CA2A7F64}"/>
                </c:ext>
              </c:extLst>
            </c:dLbl>
            <c:dLbl>
              <c:idx val="9"/>
              <c:layout>
                <c:manualLayout>
                  <c:x val="0.2487657024155403"/>
                  <c:y val="-3.0098901735754007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C04B-48A3-9882-CD86CA2A7F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'Trasferimenti correnti'!$B$49:$B$58</c:f>
              <c:strCache>
                <c:ptCount val="10"/>
                <c:pt idx="0">
                  <c:v>Aziende Sanitarie e Ospedaliere </c:v>
                </c:pt>
                <c:pt idx="1">
                  <c:v>Comuni, Unioni di Comuni e Comunità Montane </c:v>
                </c:pt>
                <c:pt idx="2">
                  <c:v>Enti dell' Amministrazione Centrale</c:v>
                </c:pt>
                <c:pt idx="3">
                  <c:v>Enti, Agenzie e Organismi Regionali</c:v>
                </c:pt>
                <c:pt idx="4">
                  <c:v>Imprese </c:v>
                </c:pt>
                <c:pt idx="5">
                  <c:v>Altri Enti delle Amministrazioni Locali</c:v>
                </c:pt>
                <c:pt idx="6">
                  <c:v>Province</c:v>
                </c:pt>
                <c:pt idx="7">
                  <c:v>Altri </c:v>
                </c:pt>
                <c:pt idx="8">
                  <c:v>Università</c:v>
                </c:pt>
                <c:pt idx="9">
                  <c:v>Famiglie</c:v>
                </c:pt>
              </c:strCache>
            </c:strRef>
          </c:cat>
          <c:val>
            <c:numRef>
              <c:f>'Trasferimenti correnti'!$C$49:$C$58</c:f>
              <c:numCache>
                <c:formatCode>#,##0</c:formatCode>
                <c:ptCount val="10"/>
                <c:pt idx="0">
                  <c:v>2999281213.1300015</c:v>
                </c:pt>
                <c:pt idx="1">
                  <c:v>885567416.21999514</c:v>
                </c:pt>
                <c:pt idx="2">
                  <c:v>768913327.25</c:v>
                </c:pt>
                <c:pt idx="3">
                  <c:v>436495053.31000012</c:v>
                </c:pt>
                <c:pt idx="4">
                  <c:v>133473806.15000004</c:v>
                </c:pt>
                <c:pt idx="5">
                  <c:v>130306913.72</c:v>
                </c:pt>
                <c:pt idx="6">
                  <c:v>99732780.800000012</c:v>
                </c:pt>
                <c:pt idx="7">
                  <c:v>85652047.950003624</c:v>
                </c:pt>
                <c:pt idx="8">
                  <c:v>44073890.590000004</c:v>
                </c:pt>
                <c:pt idx="9">
                  <c:v>1948286.8199999998</c:v>
                </c:pt>
              </c:numCache>
            </c:numRef>
          </c:val>
          <c:extLst xmlns:c16r2="http://schemas.microsoft.com/office/drawing/2015/06/chart">
            <c:ext xmlns:c16="http://schemas.microsoft.com/office/drawing/2014/chart" uri="{C3380CC4-5D6E-409C-BE32-E72D297353CC}">
              <c16:uniqueId val="{00000014-C04B-48A3-9882-CD86CA2A7F64}"/>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C04B-48A3-9882-CD86CA2A7F6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C04B-48A3-9882-CD86CA2A7F6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C04B-48A3-9882-CD86CA2A7F6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C-C04B-48A3-9882-CD86CA2A7F64}"/>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E-C04B-48A3-9882-CD86CA2A7F64}"/>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0-C04B-48A3-9882-CD86CA2A7F64}"/>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2-C04B-48A3-9882-CD86CA2A7F64}"/>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C04B-48A3-9882-CD86CA2A7F64}"/>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C04B-48A3-9882-CD86CA2A7F64}"/>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C04B-48A3-9882-CD86CA2A7F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'Trasferimenti correnti'!$B$49:$B$58</c:f>
              <c:strCache>
                <c:ptCount val="10"/>
                <c:pt idx="0">
                  <c:v>Aziende Sanitarie e Ospedaliere </c:v>
                </c:pt>
                <c:pt idx="1">
                  <c:v>Comuni, Unioni di Comuni e Comunità Montane </c:v>
                </c:pt>
                <c:pt idx="2">
                  <c:v>Enti dell' Amministrazione Centrale</c:v>
                </c:pt>
                <c:pt idx="3">
                  <c:v>Enti, Agenzie e Organismi Regionali</c:v>
                </c:pt>
                <c:pt idx="4">
                  <c:v>Imprese </c:v>
                </c:pt>
                <c:pt idx="5">
                  <c:v>Altri Enti delle Amministrazioni Locali</c:v>
                </c:pt>
                <c:pt idx="6">
                  <c:v>Province</c:v>
                </c:pt>
                <c:pt idx="7">
                  <c:v>Altri </c:v>
                </c:pt>
                <c:pt idx="8">
                  <c:v>Università</c:v>
                </c:pt>
                <c:pt idx="9">
                  <c:v>Famiglie</c:v>
                </c:pt>
              </c:strCache>
            </c:strRef>
          </c:cat>
          <c:val>
            <c:numRef>
              <c:f>'Trasferimenti correnti'!$D$49:$D$58</c:f>
              <c:numCache>
                <c:formatCode>0.0%</c:formatCode>
                <c:ptCount val="10"/>
                <c:pt idx="0">
                  <c:v>0.53698162902425328</c:v>
                </c:pt>
                <c:pt idx="1">
                  <c:v>0.15854913226904552</c:v>
                </c:pt>
                <c:pt idx="2">
                  <c:v>0.13766376064959776</c:v>
                </c:pt>
                <c:pt idx="3">
                  <c:v>7.8148665674075524E-2</c:v>
                </c:pt>
                <c:pt idx="4">
                  <c:v>2.3896719502236218E-2</c:v>
                </c:pt>
                <c:pt idx="5">
                  <c:v>2.3329729301863739E-2</c:v>
                </c:pt>
                <c:pt idx="6">
                  <c:v>1.7855835213669072E-2</c:v>
                </c:pt>
                <c:pt idx="7">
                  <c:v>1.5334866245989065E-2</c:v>
                </c:pt>
                <c:pt idx="8">
                  <c:v>7.8908471345894727E-3</c:v>
                </c:pt>
                <c:pt idx="9">
                  <c:v>3.4881498468037632E-4</c:v>
                </c:pt>
              </c:numCache>
            </c:numRef>
          </c:val>
          <c:extLst xmlns:c16r2="http://schemas.microsoft.com/office/drawing/2015/06/chart">
            <c:ext xmlns:c16="http://schemas.microsoft.com/office/drawing/2014/chart" uri="{C3380CC4-5D6E-409C-BE32-E72D297353CC}">
              <c16:uniqueId val="{00000029-C04B-48A3-9882-CD86CA2A7F64}"/>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2.8371609798775156E-2"/>
          <c:y val="0.77025080198308549"/>
          <c:w val="0.89881233595800503"/>
          <c:h val="0.197341790609507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Immobilizzazioni Materiali</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8B5-4AC0-BCA9-DD7737FFCD8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8B5-4AC0-BCA9-DD7737FFCD8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8B5-4AC0-BCA9-DD7737FFCD8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8B5-4AC0-BCA9-DD7737FFCD8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8B5-4AC0-BCA9-DD7737FFCD88}"/>
              </c:ext>
            </c:extLst>
          </c:dPt>
          <c:dLbls>
            <c:dLbl>
              <c:idx val="0"/>
              <c:layout>
                <c:manualLayout>
                  <c:x val="0.24722222222222212"/>
                  <c:y val="-1.060944534001666E-17"/>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8B5-4AC0-BCA9-DD7737FFCD88}"/>
                </c:ext>
              </c:extLst>
            </c:dLbl>
            <c:dLbl>
              <c:idx val="2"/>
              <c:layout>
                <c:manualLayout>
                  <c:x val="-9.166666666666666E-2"/>
                  <c:y val="8.3333333333333329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8B5-4AC0-BCA9-DD7737FFCD88}"/>
                </c:ext>
              </c:extLst>
            </c:dLbl>
            <c:dLbl>
              <c:idx val="3"/>
              <c:layout>
                <c:manualLayout>
                  <c:x val="-9.7222222222222238E-2"/>
                  <c:y val="5.555555555555555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8B5-4AC0-BCA9-DD7737FFCD88}"/>
                </c:ext>
              </c:extLst>
            </c:dLbl>
            <c:dLbl>
              <c:idx val="4"/>
              <c:layout>
                <c:manualLayout>
                  <c:x val="-0.20277777777777778"/>
                  <c:y val="1.3888888888888888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8B5-4AC0-BCA9-DD7737FFCD8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it-IT"/>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'[p03.xlsx]Table 2'!$D$2:$D$6</c:f>
              <c:strCache>
                <c:ptCount val="5"/>
                <c:pt idx="0">
                  <c:v>Beni immobili demaniali</c:v>
                </c:pt>
                <c:pt idx="1">
                  <c:v>Beni immobili disponibili</c:v>
                </c:pt>
                <c:pt idx="2">
                  <c:v>Beni mobili</c:v>
                </c:pt>
                <c:pt idx="3">
                  <c:v>Altri beni materiali</c:v>
                </c:pt>
                <c:pt idx="4">
                  <c:v>Immobilizzazioni in corso ed acconti</c:v>
                </c:pt>
              </c:strCache>
            </c:strRef>
          </c:cat>
          <c:val>
            <c:numRef>
              <c:f>'[p03.xlsx]Table 2'!$E$2:$E$6</c:f>
              <c:numCache>
                <c:formatCode>#,##0</c:formatCode>
                <c:ptCount val="5"/>
                <c:pt idx="0">
                  <c:v>130643146</c:v>
                </c:pt>
                <c:pt idx="1">
                  <c:v>987319463</c:v>
                </c:pt>
                <c:pt idx="2">
                  <c:v>15913932</c:v>
                </c:pt>
                <c:pt idx="3">
                  <c:v>374238402</c:v>
                </c:pt>
                <c:pt idx="4">
                  <c:v>170257697</c:v>
                </c:pt>
              </c:numCache>
            </c:numRef>
          </c:val>
          <c:extLst xmlns:c16r2="http://schemas.microsoft.com/office/drawing/2015/06/chart">
            <c:ext xmlns:c16="http://schemas.microsoft.com/office/drawing/2014/chart" uri="{C3380CC4-5D6E-409C-BE32-E72D297353CC}">
              <c16:uniqueId val="{0000000A-58B5-4AC0-BCA9-DD7737FFCD88}"/>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Totale Immobilizzazioni</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B59-43BC-8850-AED832B9FB8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B59-43BC-8850-AED832B9FB8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B59-43BC-8850-AED832B9FB8D}"/>
              </c:ext>
            </c:extLst>
          </c:dPt>
          <c:dLbls>
            <c:dLbl>
              <c:idx val="0"/>
              <c:layout>
                <c:manualLayout>
                  <c:x val="2.5000000000000001E-2"/>
                  <c:y val="1.144830854476528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6FA8AA5E-863A-4BF6-9962-14EA37D2FE92}" type="VALUE">
                      <a:rPr lang="en-US"/>
                      <a:pPr>
                        <a:defRPr sz="900" b="0" i="0" u="none" strike="noStrike" kern="1200" baseline="0">
                          <a:solidFill>
                            <a:schemeClr val="tx1">
                              <a:lumMod val="75000"/>
                              <a:lumOff val="25000"/>
                            </a:schemeClr>
                          </a:solidFill>
                          <a:latin typeface="+mn-lt"/>
                          <a:ea typeface="+mn-ea"/>
                          <a:cs typeface="+mn-cs"/>
                        </a:defRPr>
                      </a:pPr>
                      <a:t>[VALORE]</a:t>
                    </a:fld>
                    <a:endParaRPr lang="en-US"/>
                  </a:p>
                  <a:p>
                    <a:pPr>
                      <a:defRPr sz="900" b="0" i="0" u="none" strike="noStrike" kern="1200" baseline="0">
                        <a:solidFill>
                          <a:schemeClr val="tx1">
                            <a:lumMod val="75000"/>
                            <a:lumOff val="25000"/>
                          </a:schemeClr>
                        </a:solidFill>
                        <a:latin typeface="+mn-lt"/>
                        <a:ea typeface="+mn-ea"/>
                        <a:cs typeface="+mn-cs"/>
                      </a:defRPr>
                    </a:pPr>
                    <a:r>
                      <a:rPr lang="en-US"/>
                      <a:t>48,43%</a:t>
                    </a:r>
                  </a:p>
                </c:rich>
              </c:tx>
              <c:spPr>
                <a:noFill/>
                <a:ln>
                  <a:noFill/>
                </a:ln>
                <a:effectLst/>
              </c:sp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4374999999999999"/>
                      <c:h val="0.17476851851851852"/>
                    </c:manualLayout>
                  </c15:layout>
                  <c15:dlblFieldTable/>
                  <c15:showDataLabelsRange val="0"/>
                </c:ext>
                <c:ext xmlns:c16="http://schemas.microsoft.com/office/drawing/2014/chart" uri="{C3380CC4-5D6E-409C-BE32-E72D297353CC}">
                  <c16:uniqueId val="{00000001-5B59-43BC-8850-AED832B9FB8D}"/>
                </c:ext>
              </c:extLst>
            </c:dLbl>
            <c:dLbl>
              <c:idx val="1"/>
              <c:layout>
                <c:manualLayout>
                  <c:x val="-3.4722222222222217E-2"/>
                  <c:y val="3.462215660542432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97D5A961-4FC8-42FA-9FE8-BE9359AA0F94}" type="VALUE">
                      <a:rPr lang="en-US"/>
                      <a:pPr>
                        <a:defRPr sz="900" b="0" i="0" u="none" strike="noStrike" kern="1200" baseline="0">
                          <a:solidFill>
                            <a:schemeClr val="tx1">
                              <a:lumMod val="75000"/>
                              <a:lumOff val="25000"/>
                            </a:schemeClr>
                          </a:solidFill>
                          <a:latin typeface="+mn-lt"/>
                          <a:ea typeface="+mn-ea"/>
                          <a:cs typeface="+mn-cs"/>
                        </a:defRPr>
                      </a:pPr>
                      <a:t>[VALORE]</a:t>
                    </a:fld>
                    <a:endParaRPr lang="en-US"/>
                  </a:p>
                  <a:p>
                    <a:pPr>
                      <a:defRPr sz="900" b="0" i="0" u="none" strike="noStrike" kern="1200" baseline="0">
                        <a:solidFill>
                          <a:schemeClr val="tx1">
                            <a:lumMod val="75000"/>
                            <a:lumOff val="25000"/>
                          </a:schemeClr>
                        </a:solidFill>
                        <a:latin typeface="+mn-lt"/>
                        <a:ea typeface="+mn-ea"/>
                        <a:cs typeface="+mn-cs"/>
                      </a:defRPr>
                    </a:pPr>
                    <a:r>
                      <a:rPr lang="en-US"/>
                      <a:t>50,92%</a:t>
                    </a:r>
                  </a:p>
                </c:rich>
              </c:tx>
              <c:spPr>
                <a:noFill/>
                <a:ln>
                  <a:noFill/>
                </a:ln>
                <a:effectLst/>
              </c:sp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4930555555555556"/>
                      <c:h val="0.21180555555555555"/>
                    </c:manualLayout>
                  </c15:layout>
                  <c15:dlblFieldTable/>
                  <c15:showDataLabelsRange val="0"/>
                </c:ext>
                <c:ext xmlns:c16="http://schemas.microsoft.com/office/drawing/2014/chart" uri="{C3380CC4-5D6E-409C-BE32-E72D297353CC}">
                  <c16:uniqueId val="{00000003-5B59-43BC-8850-AED832B9FB8D}"/>
                </c:ext>
              </c:extLst>
            </c:dLbl>
            <c:dLbl>
              <c:idx val="2"/>
              <c:layout>
                <c:manualLayout>
                  <c:x val="-0.17700765529308837"/>
                  <c:y val="3.642789442986293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D1C96DE-5FA3-4C91-ADC7-466262E7079F}" type="VALUE">
                      <a:rPr lang="en-US"/>
                      <a:pPr>
                        <a:defRPr sz="900" b="0" i="0" u="none" strike="noStrike" kern="1200" baseline="0">
                          <a:solidFill>
                            <a:schemeClr val="tx1">
                              <a:lumMod val="75000"/>
                              <a:lumOff val="25000"/>
                            </a:schemeClr>
                          </a:solidFill>
                          <a:latin typeface="+mn-lt"/>
                          <a:ea typeface="+mn-ea"/>
                          <a:cs typeface="+mn-cs"/>
                        </a:defRPr>
                      </a:pPr>
                      <a:t>[VALORE]</a:t>
                    </a:fld>
                    <a:endParaRPr lang="en-US"/>
                  </a:p>
                  <a:p>
                    <a:pPr>
                      <a:defRPr sz="900" b="0" i="0" u="none" strike="noStrike" kern="1200" baseline="0">
                        <a:solidFill>
                          <a:schemeClr val="tx1">
                            <a:lumMod val="75000"/>
                            <a:lumOff val="25000"/>
                          </a:schemeClr>
                        </a:solidFill>
                        <a:latin typeface="+mn-lt"/>
                        <a:ea typeface="+mn-ea"/>
                        <a:cs typeface="+mn-cs"/>
                      </a:defRPr>
                    </a:pPr>
                    <a:r>
                      <a:rPr lang="en-US"/>
                      <a:t>0,65%</a:t>
                    </a:r>
                  </a:p>
                </c:rich>
              </c:tx>
              <c:spPr>
                <a:noFill/>
                <a:ln>
                  <a:noFill/>
                </a:ln>
                <a:effectLst/>
              </c:sp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6115288713910761"/>
                      <c:h val="0.12030110819480898"/>
                    </c:manualLayout>
                  </c15:layout>
                  <c15:dlblFieldTable/>
                  <c15:showDataLabelsRange val="0"/>
                </c:ext>
                <c:ext xmlns:c16="http://schemas.microsoft.com/office/drawing/2014/chart" uri="{C3380CC4-5D6E-409C-BE32-E72D297353CC}">
                  <c16:uniqueId val="{00000005-5B59-43BC-8850-AED832B9FB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'[p03.xlsx]Table 2'!$A$41:$A$43</c:f>
              <c:strCache>
                <c:ptCount val="3"/>
                <c:pt idx="0">
                  <c:v>Immobilizzazioni Materiali </c:v>
                </c:pt>
                <c:pt idx="1">
                  <c:v>Immobilizzazioni Finanziarie</c:v>
                </c:pt>
                <c:pt idx="2">
                  <c:v>Immobilizzazioni Immateriali </c:v>
                </c:pt>
              </c:strCache>
            </c:strRef>
          </c:cat>
          <c:val>
            <c:numRef>
              <c:f>'[p03.xlsx]Table 2'!$B$41:$B$43</c:f>
              <c:numCache>
                <c:formatCode>_("€"* #,##0.00_);_("€"* \(#,##0.00\);_("€"* "-"??_);_(@_)</c:formatCode>
                <c:ptCount val="3"/>
                <c:pt idx="0">
                  <c:v>1678372641</c:v>
                </c:pt>
                <c:pt idx="1">
                  <c:v>1764629321</c:v>
                </c:pt>
                <c:pt idx="2">
                  <c:v>22496927</c:v>
                </c:pt>
              </c:numCache>
            </c:numRef>
          </c:val>
          <c:extLst xmlns:c16r2="http://schemas.microsoft.com/office/drawing/2015/06/chart">
            <c:ext xmlns:c16="http://schemas.microsoft.com/office/drawing/2014/chart" uri="{C3380CC4-5D6E-409C-BE32-E72D297353CC}">
              <c16:uniqueId val="{00000006-5B59-43BC-8850-AED832B9FB8D}"/>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8-5B59-43BC-8850-AED832B9FB8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A-5B59-43BC-8850-AED832B9FB8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C-5B59-43BC-8850-AED832B9FB8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'[p03.xlsx]Table 2'!$A$41:$A$43</c:f>
              <c:strCache>
                <c:ptCount val="3"/>
                <c:pt idx="0">
                  <c:v>Immobilizzazioni Materiali </c:v>
                </c:pt>
                <c:pt idx="1">
                  <c:v>Immobilizzazioni Finanziarie</c:v>
                </c:pt>
                <c:pt idx="2">
                  <c:v>Immobilizzazioni Immateriali </c:v>
                </c:pt>
              </c:strCache>
            </c:strRef>
          </c:cat>
          <c:val>
            <c:numRef>
              <c:f>'[p03.xlsx]Table 2'!$C$41:$C$43</c:f>
              <c:numCache>
                <c:formatCode>0.00%</c:formatCode>
                <c:ptCount val="3"/>
                <c:pt idx="0">
                  <c:v>0.48430000000000001</c:v>
                </c:pt>
                <c:pt idx="1">
                  <c:v>0.50919999999999999</c:v>
                </c:pt>
                <c:pt idx="2">
                  <c:v>6.4999999999999997E-3</c:v>
                </c:pt>
              </c:numCache>
            </c:numRef>
          </c:val>
          <c:extLst xmlns:c16r2="http://schemas.microsoft.com/office/drawing/2015/06/chart">
            <c:ext xmlns:c16="http://schemas.microsoft.com/office/drawing/2014/chart" uri="{C3380CC4-5D6E-409C-BE32-E72D297353CC}">
              <c16:uniqueId val="{0000000D-5B59-43BC-8850-AED832B9FB8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17511898512685911"/>
          <c:y val="0.82291557305336838"/>
          <c:w val="0.64976202974628172"/>
          <c:h val="0.149306649168853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5B0CB5-AC40-44BB-83EF-334594718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286</Pages>
  <Words>90384</Words>
  <Characters>515195</Characters>
  <Application>Microsoft Office Word</Application>
  <DocSecurity>4</DocSecurity>
  <Lines>4293</Lines>
  <Paragraphs>1208</Paragraphs>
  <ScaleCrop>false</ScaleCrop>
  <HeadingPairs>
    <vt:vector size="2" baseType="variant">
      <vt:variant>
        <vt:lpstr>Titolo</vt:lpstr>
      </vt:variant>
      <vt:variant>
        <vt:i4>1</vt:i4>
      </vt:variant>
    </vt:vector>
  </HeadingPairs>
  <TitlesOfParts>
    <vt:vector size="1" baseType="lpstr">
      <vt:lpstr/>
    </vt:vector>
  </TitlesOfParts>
  <Company>Corte dei conti</Company>
  <LinksUpToDate>false</LinksUpToDate>
  <CharactersWithSpaces>604371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Roselli Simone</dc:creator>
  <cp:lastModifiedBy>gardi_d</cp:lastModifiedBy>
  <cp:revision>2</cp:revision>
  <cp:lastPrinted>2018-02-27T08:50:00Z</cp:lastPrinted>
  <dcterms:created xsi:type="dcterms:W3CDTF">2018-03-07T09:06:00Z</dcterms:created>
  <dcterms:modified xsi:type="dcterms:W3CDTF">2018-03-07T09:06:00Z</dcterms:modified>
</cp:coreProperties>
</file>