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E70" w:rsidRPr="00230E70" w:rsidRDefault="00230E70" w:rsidP="00230E70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230E70">
        <w:rPr>
          <w:rFonts w:ascii="Times New Roman" w:hAnsi="Times New Roman"/>
          <w:b/>
          <w:sz w:val="24"/>
          <w:szCs w:val="24"/>
        </w:rPr>
        <w:t xml:space="preserve">Misure del Ristori </w:t>
      </w:r>
      <w:r w:rsidRPr="00230E70">
        <w:rPr>
          <w:rFonts w:ascii="Times New Roman" w:hAnsi="Times New Roman"/>
          <w:b/>
          <w:i/>
          <w:sz w:val="24"/>
          <w:szCs w:val="24"/>
        </w:rPr>
        <w:t>ter</w:t>
      </w:r>
    </w:p>
    <w:p w:rsidR="0069007D" w:rsidRDefault="00230E70" w:rsidP="006900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230E70">
        <w:rPr>
          <w:rFonts w:ascii="Times New Roman" w:hAnsi="Times New Roman"/>
          <w:sz w:val="24"/>
          <w:szCs w:val="24"/>
        </w:rPr>
        <w:t xml:space="preserve">l </w:t>
      </w:r>
      <w:hyperlink r:id="rId7" w:history="1"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>decreto-legge n. 154 del 2020</w:t>
        </w:r>
      </w:hyperlink>
      <w:r w:rsidRPr="00230E70">
        <w:rPr>
          <w:rFonts w:ascii="Times New Roman" w:hAnsi="Times New Roman"/>
          <w:sz w:val="24"/>
          <w:szCs w:val="24"/>
        </w:rPr>
        <w:t xml:space="preserve">, </w:t>
      </w:r>
      <w:r w:rsidRPr="00230E70">
        <w:rPr>
          <w:rFonts w:ascii="Times New Roman" w:hAnsi="Times New Roman"/>
          <w:b/>
          <w:bCs/>
          <w:sz w:val="24"/>
          <w:szCs w:val="24"/>
        </w:rPr>
        <w:t xml:space="preserve">c.d. Decreto Ristori </w:t>
      </w:r>
      <w:r w:rsidRPr="00230E70">
        <w:rPr>
          <w:rFonts w:ascii="Times New Roman" w:hAnsi="Times New Roman"/>
          <w:b/>
          <w:bCs/>
          <w:i/>
          <w:iCs/>
          <w:sz w:val="24"/>
          <w:szCs w:val="24"/>
        </w:rPr>
        <w:t>ter</w:t>
      </w:r>
      <w:r w:rsidRPr="00230E70">
        <w:rPr>
          <w:rFonts w:ascii="Times New Roman" w:hAnsi="Times New Roman"/>
          <w:sz w:val="24"/>
          <w:szCs w:val="24"/>
        </w:rPr>
        <w:t xml:space="preserve"> </w:t>
      </w:r>
      <w:r w:rsidRPr="00230E70">
        <w:rPr>
          <w:rFonts w:ascii="Times New Roman" w:hAnsi="Times New Roman"/>
          <w:b/>
          <w:bCs/>
          <w:sz w:val="24"/>
          <w:szCs w:val="24"/>
        </w:rPr>
        <w:t>rifinanzia alcune misure di sostegno alle imprese colpite dall'emergenza epidemiologica</w:t>
      </w:r>
      <w:r w:rsidRPr="00230E70">
        <w:rPr>
          <w:rFonts w:ascii="Times New Roman" w:hAnsi="Times New Roman"/>
          <w:sz w:val="24"/>
          <w:szCs w:val="24"/>
        </w:rPr>
        <w:t xml:space="preserve"> da COVID-19, stanziando ulteriori risorse destinate al Fondo istituito con il precedente D.L. Ristori </w:t>
      </w:r>
      <w:r w:rsidRPr="00230E70">
        <w:rPr>
          <w:rFonts w:ascii="Times New Roman" w:hAnsi="Times New Roman"/>
          <w:i/>
          <w:iCs/>
          <w:sz w:val="24"/>
          <w:szCs w:val="24"/>
        </w:rPr>
        <w:t>bis</w:t>
      </w:r>
      <w:r w:rsidRPr="00230E70">
        <w:rPr>
          <w:rFonts w:ascii="Times New Roman" w:hAnsi="Times New Roman"/>
          <w:sz w:val="24"/>
          <w:szCs w:val="24"/>
        </w:rPr>
        <w:t xml:space="preserve"> (articolo 8, co. 2, del </w:t>
      </w:r>
      <w:hyperlink r:id="rId8" w:history="1"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>decreto-legge 9 novembre 2020, n. 149</w:t>
        </w:r>
      </w:hyperlink>
      <w:r w:rsidRPr="00230E70">
        <w:rPr>
          <w:rFonts w:ascii="Times New Roman" w:hAnsi="Times New Roman"/>
          <w:sz w:val="24"/>
          <w:szCs w:val="24"/>
        </w:rPr>
        <w:t xml:space="preserve">) per un ammontare di </w:t>
      </w:r>
      <w:r w:rsidRPr="00230E70">
        <w:rPr>
          <w:rFonts w:ascii="Times New Roman" w:hAnsi="Times New Roman"/>
          <w:b/>
          <w:bCs/>
          <w:sz w:val="24"/>
          <w:szCs w:val="24"/>
        </w:rPr>
        <w:t>1.450 milioni di euro per l'anno 2020</w:t>
      </w:r>
      <w:r w:rsidRPr="00230E70">
        <w:rPr>
          <w:rFonts w:ascii="Times New Roman" w:hAnsi="Times New Roman"/>
          <w:sz w:val="24"/>
          <w:szCs w:val="24"/>
        </w:rPr>
        <w:t xml:space="preserve"> e di </w:t>
      </w:r>
      <w:r w:rsidRPr="00230E70">
        <w:rPr>
          <w:rFonts w:ascii="Times New Roman" w:hAnsi="Times New Roman"/>
          <w:b/>
          <w:bCs/>
          <w:sz w:val="24"/>
          <w:szCs w:val="24"/>
        </w:rPr>
        <w:t>220,1 milioni di euro per l'anno 2021</w:t>
      </w:r>
      <w:r w:rsidRPr="00230E70">
        <w:rPr>
          <w:rFonts w:ascii="Times New Roman" w:hAnsi="Times New Roman"/>
          <w:sz w:val="24"/>
          <w:szCs w:val="24"/>
        </w:rPr>
        <w:t xml:space="preserve">, anche in conseguenza delle diverse </w:t>
      </w:r>
      <w:hyperlink r:id="rId9" w:anchor="i-precedenti-interventi-del-ministero-della-salute-per-definire-le-misure-di-prevenzione-1" w:history="1"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>ordinanze del Ministero della salute di novembre 2020</w:t>
        </w:r>
      </w:hyperlink>
      <w:r w:rsidRPr="00230E70">
        <w:rPr>
          <w:rFonts w:ascii="Times New Roman" w:hAnsi="Times New Roman"/>
          <w:sz w:val="24"/>
          <w:szCs w:val="24"/>
        </w:rPr>
        <w:t xml:space="preserve"> che hanno definito le aree di rischio epidemiologico nelle diverse regioni italiane. </w:t>
      </w:r>
    </w:p>
    <w:p w:rsidR="0069007D" w:rsidRDefault="00230E70" w:rsidP="0069007D">
      <w:pPr>
        <w:rPr>
          <w:rFonts w:ascii="Times New Roman" w:hAnsi="Times New Roman"/>
          <w:sz w:val="24"/>
          <w:szCs w:val="24"/>
        </w:rPr>
      </w:pPr>
      <w:r w:rsidRPr="00230E70">
        <w:rPr>
          <w:rFonts w:ascii="Times New Roman" w:hAnsi="Times New Roman"/>
          <w:sz w:val="24"/>
          <w:szCs w:val="24"/>
        </w:rPr>
        <w:t>Sono inoltre previste risorse per il finanziamento di misure urgenti di solidariet</w:t>
      </w:r>
      <w:r>
        <w:rPr>
          <w:rFonts w:ascii="Times New Roman" w:hAnsi="Times New Roman"/>
          <w:sz w:val="24"/>
          <w:szCs w:val="24"/>
        </w:rPr>
        <w:t>à</w:t>
      </w:r>
      <w:r w:rsidRPr="00230E70">
        <w:rPr>
          <w:rFonts w:ascii="Times New Roman" w:hAnsi="Times New Roman"/>
          <w:sz w:val="24"/>
          <w:szCs w:val="24"/>
        </w:rPr>
        <w:t xml:space="preserve"> alimentare dei Comuni e per l'acquisto di farmaci per la cura di pazienti affetti dal virus SARS-CoV-2, mediante, rispettivamente, l'istituzione, nello stato di previsione del Ministero dell'interno, di un apposito fondo di</w:t>
      </w:r>
      <w:r w:rsidRPr="00230E70">
        <w:rPr>
          <w:rFonts w:ascii="Times New Roman" w:hAnsi="Times New Roman"/>
          <w:b/>
          <w:bCs/>
          <w:sz w:val="24"/>
          <w:szCs w:val="24"/>
        </w:rPr>
        <w:t xml:space="preserve"> 400 milioni di euro nel 2020</w:t>
      </w:r>
      <w:r w:rsidRPr="00230E70">
        <w:rPr>
          <w:rFonts w:ascii="Times New Roman" w:hAnsi="Times New Roman"/>
          <w:sz w:val="24"/>
          <w:szCs w:val="24"/>
        </w:rPr>
        <w:t xml:space="preserve"> e l'</w:t>
      </w:r>
      <w:r w:rsidRPr="00230E70">
        <w:rPr>
          <w:rFonts w:ascii="Times New Roman" w:hAnsi="Times New Roman"/>
          <w:b/>
          <w:bCs/>
          <w:sz w:val="24"/>
          <w:szCs w:val="24"/>
        </w:rPr>
        <w:t>incremento di 100 milioni</w:t>
      </w:r>
      <w:r w:rsidRPr="00230E70">
        <w:rPr>
          <w:rFonts w:ascii="Times New Roman" w:hAnsi="Times New Roman"/>
          <w:sz w:val="24"/>
          <w:szCs w:val="24"/>
        </w:rPr>
        <w:t xml:space="preserve"> </w:t>
      </w:r>
      <w:r w:rsidRPr="00230E70">
        <w:rPr>
          <w:rFonts w:ascii="Times New Roman" w:hAnsi="Times New Roman"/>
          <w:b/>
          <w:bCs/>
          <w:sz w:val="24"/>
          <w:szCs w:val="24"/>
        </w:rPr>
        <w:t xml:space="preserve">per il 2020 </w:t>
      </w:r>
      <w:r w:rsidRPr="00230E70">
        <w:rPr>
          <w:rFonts w:ascii="Times New Roman" w:hAnsi="Times New Roman"/>
          <w:sz w:val="24"/>
          <w:szCs w:val="24"/>
        </w:rPr>
        <w:t xml:space="preserve">del Fondo per le emergenze nazionali - istituito ai sensi dell'articolo 44 del </w:t>
      </w:r>
      <w:hyperlink r:id="rId10" w:history="1">
        <w:proofErr w:type="spellStart"/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>D.Lgs.</w:t>
        </w:r>
        <w:proofErr w:type="spellEnd"/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 2 gennaio 2018, n. 1</w:t>
        </w:r>
      </w:hyperlink>
      <w:r w:rsidRPr="00230E70">
        <w:rPr>
          <w:rFonts w:ascii="Times New Roman" w:hAnsi="Times New Roman"/>
          <w:sz w:val="24"/>
          <w:szCs w:val="24"/>
        </w:rPr>
        <w:t xml:space="preserve"> presso la Presidenza del Consiglio dei ministri, Dipartimento della protezione civile- da destinare agli interventi di competenza del Commissario straordinario per l'emergenza. </w:t>
      </w:r>
    </w:p>
    <w:p w:rsidR="00230E70" w:rsidRPr="00230E70" w:rsidRDefault="00230E70" w:rsidP="0069007D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30E70">
        <w:rPr>
          <w:rFonts w:ascii="Times New Roman" w:hAnsi="Times New Roman"/>
          <w:sz w:val="24"/>
          <w:szCs w:val="24"/>
        </w:rPr>
        <w:t xml:space="preserve">Il decreto legge è stato successivamente abrogato dalla </w:t>
      </w:r>
      <w:hyperlink r:id="rId11" w:history="1"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>legge n.176/2020</w:t>
        </w:r>
      </w:hyperlink>
      <w:r w:rsidRPr="00230E70">
        <w:rPr>
          <w:rFonts w:ascii="Times New Roman" w:hAnsi="Times New Roman"/>
          <w:sz w:val="24"/>
          <w:szCs w:val="24"/>
        </w:rPr>
        <w:t xml:space="preserve">, di conversione del </w:t>
      </w:r>
      <w:hyperlink r:id="rId12" w:history="1">
        <w:r w:rsidRPr="00230E70">
          <w:rPr>
            <w:rFonts w:ascii="Times New Roman" w:hAnsi="Times New Roman"/>
            <w:color w:val="0000FF"/>
            <w:sz w:val="24"/>
            <w:szCs w:val="24"/>
            <w:u w:val="single"/>
          </w:rPr>
          <w:t>D.L. n. 137/2020</w:t>
        </w:r>
      </w:hyperlink>
      <w:r w:rsidRPr="00230E7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30E70">
        <w:rPr>
          <w:rFonts w:ascii="Times New Roman" w:hAnsi="Times New Roman"/>
          <w:sz w:val="24"/>
          <w:szCs w:val="24"/>
        </w:rPr>
        <w:t>c,d</w:t>
      </w:r>
      <w:proofErr w:type="spellEnd"/>
      <w:r w:rsidRPr="00230E70">
        <w:rPr>
          <w:rFonts w:ascii="Times New Roman" w:hAnsi="Times New Roman"/>
          <w:sz w:val="24"/>
          <w:szCs w:val="24"/>
        </w:rPr>
        <w:t xml:space="preserve">, ristori cfr. </w:t>
      </w:r>
      <w:r w:rsidRPr="00230E70">
        <w:rPr>
          <w:rFonts w:ascii="Times New Roman" w:hAnsi="Times New Roman"/>
          <w:i/>
          <w:iCs/>
          <w:sz w:val="24"/>
          <w:szCs w:val="24"/>
        </w:rPr>
        <w:t>infra)</w:t>
      </w:r>
      <w:r w:rsidRPr="00230E70">
        <w:rPr>
          <w:rFonts w:ascii="Times New Roman" w:hAnsi="Times New Roman"/>
          <w:sz w:val="24"/>
          <w:szCs w:val="24"/>
        </w:rPr>
        <w:t>, che ne ha recepito il contenuto con salvezza degli effetti e degli atti e provvedimenti adottati.</w:t>
      </w:r>
    </w:p>
    <w:p w:rsidR="007B5605" w:rsidRPr="000A5178" w:rsidRDefault="007B5605" w:rsidP="000A5178"/>
    <w:sectPr w:rsidR="007B5605" w:rsidRPr="000A5178" w:rsidSect="00D904BD">
      <w:headerReference w:type="default" r:id="rId13"/>
      <w:footerReference w:type="even" r:id="rId14"/>
      <w:footerReference w:type="default" r:id="rId15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E70" w:rsidRDefault="00230E70">
      <w:r>
        <w:separator/>
      </w:r>
    </w:p>
    <w:p w:rsidR="00230E70" w:rsidRDefault="00230E70"/>
  </w:endnote>
  <w:endnote w:type="continuationSeparator" w:id="0">
    <w:p w:rsidR="00230E70" w:rsidRDefault="00230E70">
      <w:r>
        <w:continuationSeparator/>
      </w:r>
    </w:p>
    <w:p w:rsidR="00230E70" w:rsidRDefault="00230E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615B630-E7ED-4580-9F50-0F2789099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48F7CE-0509-41E3-ADB3-5731031AACAC}"/>
    <w:embedBold r:id="rId3" w:fontKey="{0C9A442C-C70F-43CA-BD07-4839D48896B7}"/>
    <w:embedItalic r:id="rId4" w:fontKey="{179D6CF5-523F-4A61-B17F-606C0E4BA0E7}"/>
    <w:embedBoldItalic r:id="rId5" w:fontKey="{AA3A5A10-05D5-4CCF-90D2-9886501DFF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2BAEF1E-C19D-458C-AD9F-141091FB2FE8}"/>
    <w:embedBold r:id="rId7" w:fontKey="{7107CD7E-D9ED-473B-8DBA-9FAD4C278D2D}"/>
    <w:embedItalic r:id="rId8" w:fontKey="{9F148756-887E-427A-A549-434ABE0A4431}"/>
    <w:embedBoldItalic r:id="rId9" w:fontKey="{6F7C7825-48D5-444F-BA47-ED8B451C78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ECCD0AB-F163-44A3-8C7E-C2B3588385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AE4E6ECE-92DA-4679-8F92-866CA9602F8C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248BC0C7-CDB8-4F0E-A551-A69A6BA251D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D38D5E48-8974-4FF5-9FBF-B1CBCFDF2444}"/>
    <w:embedBold r:id="rId14" w:fontKey="{B9977C83-52A8-407A-AAC6-84FFC5CB09DB}"/>
    <w:embedItalic r:id="rId15" w:fontKey="{5FD85A21-69C2-40AA-8B62-B25DC1A6C44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EE33B400-1DD9-48C8-A40D-0259ED8EDEF8}"/>
    <w:embedBold r:id="rId17" w:fontKey="{661C8ABE-B5E4-4DE7-A6A8-D073B43F8C47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AC15D251-83FD-49F1-996E-48ED9154246E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67149EF8-4692-47BE-97E1-FCDEE9A1E5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6D26E2F5-29ED-4127-AF2F-589680D59D1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6FC9DBDD-7334-4823-9162-C067BAE599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AA6884CA-C290-42AF-930F-FC9E166E9F98}"/>
    <w:embedBold r:id="rId23" w:fontKey="{0D293E39-BECF-427E-85CB-DB4BCAD4669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A39C2D61-D7AE-4F2C-BBEE-2C4A50619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5DC9B865-7919-4B4F-B790-F69ABE57172C}"/>
    <w:embedBold r:id="rId26" w:fontKey="{FC158943-52E0-4977-AA64-11132BBC92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62AAC099-DC40-4FE1-953A-35C848BF0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10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69007D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E70" w:rsidRDefault="00230E70">
      <w:r>
        <w:separator/>
      </w:r>
    </w:p>
  </w:footnote>
  <w:footnote w:type="continuationSeparator" w:id="0">
    <w:p w:rsidR="00230E70" w:rsidRDefault="00230E70">
      <w:r>
        <w:continuationSeparator/>
      </w:r>
    </w:p>
    <w:p w:rsidR="00230E70" w:rsidRDefault="00230E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8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19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0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1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4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6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29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3"/>
  </w:num>
  <w:num w:numId="5">
    <w:abstractNumId w:val="28"/>
  </w:num>
  <w:num w:numId="6">
    <w:abstractNumId w:val="16"/>
  </w:num>
  <w:num w:numId="7">
    <w:abstractNumId w:val="25"/>
  </w:num>
  <w:num w:numId="8">
    <w:abstractNumId w:val="12"/>
  </w:num>
  <w:num w:numId="9">
    <w:abstractNumId w:val="3"/>
  </w:num>
  <w:num w:numId="10">
    <w:abstractNumId w:val="29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10"/>
  </w:num>
  <w:num w:numId="28">
    <w:abstractNumId w:val="19"/>
  </w:num>
  <w:num w:numId="29">
    <w:abstractNumId w:val="18"/>
  </w:num>
  <w:num w:numId="30">
    <w:abstractNumId w:val="14"/>
  </w:num>
  <w:num w:numId="31">
    <w:abstractNumId w:val="24"/>
  </w:num>
  <w:num w:numId="32">
    <w:abstractNumId w:val="24"/>
  </w:num>
  <w:num w:numId="33">
    <w:abstractNumId w:val="24"/>
  </w:num>
  <w:num w:numId="34">
    <w:abstractNumId w:val="21"/>
  </w:num>
  <w:num w:numId="35">
    <w:abstractNumId w:val="21"/>
  </w:num>
  <w:num w:numId="36">
    <w:abstractNumId w:val="21"/>
  </w:num>
  <w:num w:numId="37">
    <w:abstractNumId w:val="27"/>
  </w:num>
  <w:num w:numId="38">
    <w:abstractNumId w:val="3"/>
  </w:num>
  <w:num w:numId="39">
    <w:abstractNumId w:val="29"/>
  </w:num>
  <w:num w:numId="40">
    <w:abstractNumId w:val="10"/>
  </w:num>
  <w:num w:numId="41">
    <w:abstractNumId w:val="25"/>
  </w:num>
  <w:num w:numId="42">
    <w:abstractNumId w:val="12"/>
  </w:num>
  <w:num w:numId="43">
    <w:abstractNumId w:val="3"/>
  </w:num>
  <w:num w:numId="44">
    <w:abstractNumId w:val="29"/>
  </w:num>
  <w:num w:numId="45">
    <w:abstractNumId w:val="1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70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0E70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5918"/>
    <w:rsid w:val="005B6F13"/>
    <w:rsid w:val="005C2175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007D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7C2BD081"/>
  <w15:chartTrackingRefBased/>
  <w15:docId w15:val="{DFF04882-8DA3-4827-9059-3098067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uiPriority w:val="99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</w:style>
  <w:style w:type="paragraph" w:customStyle="1" w:styleId="NOWEB02">
    <w:name w:val="NOWEB02"/>
    <w:basedOn w:val="NOWEB"/>
    <w:rsid w:val="003608A4"/>
    <w:pPr>
      <w:ind w:firstLine="0"/>
      <w:jc w:val="center"/>
    </w:pPr>
  </w:style>
  <w:style w:type="paragraph" w:customStyle="1" w:styleId="NOWEB03">
    <w:name w:val="NOWEB03"/>
    <w:basedOn w:val="NOWEB"/>
    <w:rsid w:val="003608A4"/>
    <w:pPr>
      <w:ind w:firstLine="0"/>
      <w:jc w:val="center"/>
    </w:pPr>
  </w:style>
  <w:style w:type="paragraph" w:customStyle="1" w:styleId="NOWEB04">
    <w:name w:val="NOWEB04"/>
    <w:basedOn w:val="NOWEB"/>
    <w:rsid w:val="003608A4"/>
    <w:pPr>
      <w:ind w:firstLine="0"/>
      <w:jc w:val="center"/>
    </w:pPr>
  </w:style>
  <w:style w:type="paragraph" w:customStyle="1" w:styleId="NOWEB05">
    <w:name w:val="NOWEB05"/>
    <w:basedOn w:val="NOWEB"/>
    <w:rsid w:val="003608A4"/>
    <w:pPr>
      <w:ind w:firstLine="0"/>
      <w:jc w:val="center"/>
    </w:pPr>
  </w:style>
  <w:style w:type="paragraph" w:customStyle="1" w:styleId="NOWEB06">
    <w:name w:val="NOWEB06"/>
    <w:basedOn w:val="NOWEB"/>
    <w:rsid w:val="003608A4"/>
    <w:pPr>
      <w:ind w:firstLine="0"/>
      <w:jc w:val="center"/>
    </w:pPr>
  </w:style>
  <w:style w:type="paragraph" w:customStyle="1" w:styleId="NOWEB07">
    <w:name w:val="NOWEB07"/>
    <w:basedOn w:val="NOWEB"/>
    <w:rsid w:val="003608A4"/>
    <w:pPr>
      <w:ind w:firstLine="0"/>
      <w:jc w:val="center"/>
    </w:pPr>
  </w:style>
  <w:style w:type="paragraph" w:customStyle="1" w:styleId="NOWEB08">
    <w:name w:val="NOWEB08"/>
    <w:basedOn w:val="NOWEB"/>
    <w:rsid w:val="003608A4"/>
    <w:pPr>
      <w:ind w:firstLine="0"/>
      <w:jc w:val="center"/>
    </w:p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uiPriority w:val="20"/>
    <w:qFormat/>
    <w:rsid w:val="00E851C8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230E70"/>
    <w:rPr>
      <w:color w:val="0000FF"/>
      <w:u w:val="single"/>
    </w:rPr>
  </w:style>
  <w:style w:type="character" w:customStyle="1" w:styleId="if-empty-remove">
    <w:name w:val="if-empty-remove"/>
    <w:basedOn w:val="Carpredefinitoparagrafo"/>
    <w:rsid w:val="00230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mattiva.it/uri-res/N2Ls?urn:nir:stato:decreto.legge:2020-11-09;149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azzettaufficiale.it/atto/serie_generale/caricaDettaglioAtto/originario?atto.dataPubblicazioneGazzetta=2020-11-23&amp;atto.codiceRedazionale=20G00175&amp;elenco30giorni=false" TargetMode="External"/><Relationship Id="rId12" Type="http://schemas.openxmlformats.org/officeDocument/2006/relationships/hyperlink" Target="http://www.normattiva.it/uri-res/N2Ls?urn:nir:stato:decreto.legge:2020;13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rmattiva.it/uri-res/N2Ls?urn:nir:stato:legge:2020;176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normattiva.it/atto/caricaDettaglioAtto?atto.dataPubblicazioneGazzetta=2018-01-22&amp;atto.codiceRedazionale=18G00011&amp;atto.articolo.numero=0&amp;qId=82be2a16-621a-4ce3-ad2c-8395937f7110&amp;tabID=0.9679266737436905&amp;title=lbl.dettaglioAtt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mi.camera.it/temi/iniziative-per-prevenire-e-contrastare-la-diffusione-del-nuovo-coronavirus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230</Words>
  <Characters>2226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2</cp:revision>
  <cp:lastPrinted>2007-01-25T11:00:00Z</cp:lastPrinted>
  <dcterms:created xsi:type="dcterms:W3CDTF">2021-03-31T11:32:00Z</dcterms:created>
  <dcterms:modified xsi:type="dcterms:W3CDTF">2021-03-31T12:00:00Z</dcterms:modified>
</cp:coreProperties>
</file>