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A49" w:rsidRPr="003B4A49" w:rsidRDefault="00EA3BC3" w:rsidP="003B4A49">
      <w:pPr>
        <w:jc w:val="center"/>
        <w:rPr>
          <w:b/>
        </w:rPr>
      </w:pPr>
      <w:r>
        <w:rPr>
          <w:b/>
        </w:rPr>
        <w:t>Decreto legge n. 1</w:t>
      </w:r>
      <w:bookmarkStart w:id="0" w:name="_GoBack"/>
      <w:bookmarkEnd w:id="0"/>
      <w:r w:rsidR="003B4A49" w:rsidRPr="003B4A49">
        <w:rPr>
          <w:b/>
        </w:rPr>
        <w:t>/2021</w:t>
      </w:r>
    </w:p>
    <w:p w:rsidR="003B4A49" w:rsidRDefault="003B4A49" w:rsidP="003B4A49"/>
    <w:p w:rsidR="003B4A49" w:rsidRDefault="003B4A49" w:rsidP="003B4A49">
      <w:r>
        <w:t>I</w:t>
      </w:r>
      <w:r>
        <w:t xml:space="preserve">l </w:t>
      </w:r>
      <w:hyperlink r:id="rId7" w:history="1">
        <w:r>
          <w:rPr>
            <w:rStyle w:val="Collegamentoipertestuale"/>
          </w:rPr>
          <w:t>decreto-legge n. 1 del 5 gennaio 2021</w:t>
        </w:r>
      </w:hyperlink>
      <w:r>
        <w:t xml:space="preserve"> (il cui contenuto è stato trasfuso nel </w:t>
      </w:r>
      <w:hyperlink r:id="rId8" w:history="1">
        <w:r>
          <w:rPr>
            <w:rStyle w:val="Collegamentoipertestuale"/>
          </w:rPr>
          <w:t>D.L. 172/2020</w:t>
        </w:r>
      </w:hyperlink>
      <w:r>
        <w:t xml:space="preserve"> </w:t>
      </w:r>
      <w:r>
        <w:t>-</w:t>
      </w:r>
      <w:r>
        <w:t xml:space="preserve"> </w:t>
      </w:r>
      <w:hyperlink r:id="rId9" w:history="1">
        <w:r>
          <w:rPr>
            <w:rStyle w:val="Collegamentoipertestuale"/>
          </w:rPr>
          <w:t>L</w:t>
        </w:r>
        <w:r>
          <w:rPr>
            <w:rStyle w:val="Collegamentoipertestuale"/>
          </w:rPr>
          <w:t>egge n. 6/2021</w:t>
        </w:r>
      </w:hyperlink>
      <w:r>
        <w:t xml:space="preserve">, che lo ha conseguentemente abrogato) </w:t>
      </w:r>
      <w:r>
        <w:rPr>
          <w:rStyle w:val="Enfasigrassetto"/>
        </w:rPr>
        <w:t>introduce, dal 7 dicembre e fino al 15 gennaio 2021</w:t>
      </w:r>
      <w:r>
        <w:t xml:space="preserve">, </w:t>
      </w:r>
      <w:r>
        <w:rPr>
          <w:rStyle w:val="Enfasigrassetto"/>
        </w:rPr>
        <w:t xml:space="preserve">misure "ponte" </w:t>
      </w:r>
      <w:r>
        <w:t xml:space="preserve">per determinare alcuni effetti restrittivi in linea con il precedente decreto-legge n. 172/2020 che stabilisce alcune misure valide fino al 6 gennaio, che fino a tale data si sono sommati a quelli già previsti fino al 15 di gennaio 2021 dal </w:t>
      </w:r>
      <w:hyperlink r:id="rId10" w:history="1">
        <w:r>
          <w:rPr>
            <w:rStyle w:val="Collegamentoipertestuale"/>
          </w:rPr>
          <w:t xml:space="preserve">DL. 158 del 2 dicembre 2020 </w:t>
        </w:r>
      </w:hyperlink>
      <w:r>
        <w:t xml:space="preserve">e dal </w:t>
      </w:r>
      <w:hyperlink r:id="rId11" w:history="1">
        <w:r>
          <w:rPr>
            <w:rStyle w:val="Collegamentoipertestuale"/>
          </w:rPr>
          <w:t>DPCM del 3 dicembre 2020</w:t>
        </w:r>
      </w:hyperlink>
      <w:r>
        <w:t xml:space="preserve"> . </w:t>
      </w:r>
    </w:p>
    <w:p w:rsidR="003B4A49" w:rsidRDefault="003B4A49" w:rsidP="003B4A49">
      <w:r>
        <w:t xml:space="preserve">Tali misure prevedono il divieto, su tutto il territorio nazionale, di spostarsi tra regioni o province autonome diverse, fatta eccezione per comprovate esigenze lavorative, situazioni di necessità o motivi di salute, rimanendo sempre consentito il rientro alla propria residenza, domicilio o abitazione. Non sono comunque consentiti gli spostamenti verso le seconde case in altra regione. </w:t>
      </w:r>
    </w:p>
    <w:p w:rsidR="003B4A49" w:rsidRDefault="003B4A49" w:rsidP="003B4A49">
      <w:r>
        <w:t xml:space="preserve">Per i </w:t>
      </w:r>
      <w:r>
        <w:rPr>
          <w:rStyle w:val="Enfasigrassetto"/>
        </w:rPr>
        <w:t>giorni del 9 e 10 gennaio 2021</w:t>
      </w:r>
      <w:r>
        <w:t xml:space="preserve">, in particolare, si prevede l'applicazione su tutto il territorio nazionale delle misure previste per le zone a rischio elevato all'articolo 2 del citato DPCM 3 dicembre 2020 (c.d. "zona arancione"), con l'applicazione del regime speciale previsto per gli spostamenti dai piccoli Comuni (popolazione fino a 5.000 abitanti) consentiti entro 30 chilometri dai relativi confini, eccetto che per quelli verso i capoluoghi di provincia. Fino al 15 gennaio, nei territori definiti a rischio elevato (cd. "zona rossa") è prevista la possibilità, già disposta dal </w:t>
      </w:r>
      <w:hyperlink r:id="rId12" w:history="1">
        <w:r>
          <w:rPr>
            <w:rStyle w:val="Collegamentoipertestuale"/>
          </w:rPr>
          <w:t>decreto-legge 18 dicembre 2020, n. 172</w:t>
        </w:r>
      </w:hyperlink>
      <w:r>
        <w:t xml:space="preserve">, di spostarsi, una sola volta al giorno, in un massimo di due persone (nel computo non rientrano i minori di 14 anni e le persone disabili o non autosufficienti conviventi), verso una sola abitazione privata della propria regione. Viene prevista la </w:t>
      </w:r>
      <w:r>
        <w:rPr>
          <w:rStyle w:val="Enfasigrassetto"/>
        </w:rPr>
        <w:t>ripresa dell'attività in presenza dell'attività didattica nelle istituzioni scolastiche secondarie di secondo grado per il 50% degli studenti</w:t>
      </w:r>
      <w:r>
        <w:t xml:space="preserve">, a partire dall'11 gennaio. </w:t>
      </w:r>
    </w:p>
    <w:p w:rsidR="003B4A49" w:rsidRDefault="003B4A49" w:rsidP="003B4A49">
      <w:r>
        <w:t xml:space="preserve">Con riferimento all'attuazione del </w:t>
      </w:r>
      <w:r>
        <w:rPr>
          <w:rStyle w:val="Enfasigrassetto"/>
        </w:rPr>
        <w:t>piano di somministrazione del vaccino</w:t>
      </w:r>
      <w:r>
        <w:t xml:space="preserve"> contro il contagio da Covid-19 di cui articolo 1, comma 457, della legge 30 dicembre 2020, n. 178 (legge di bilancio 2021) si prevedono specifiche procedure per l'espressione del consenso da parte dei soggetti non in grado di prestare un consenso libero e consapevole alla somministrazione del trattamento, in particolare per gli ospiti di residenze sanitarie assistite (RSA) e strutture assimilate, che siano privi di tutore, curatore o amministratore di sostegno. Il decreto-legge rivede inoltre i </w:t>
      </w:r>
      <w:r>
        <w:rPr>
          <w:rStyle w:val="Enfasigrassetto"/>
        </w:rPr>
        <w:t>criteri per l'individuazione degli scenari di rischio</w:t>
      </w:r>
      <w:r>
        <w:t xml:space="preserve"> da definire con ordinanza del Ministero della salute, aggiungendo, in coerenza con il documento in materia di </w:t>
      </w:r>
      <w:r>
        <w:rPr>
          <w:rStyle w:val="Enfasicorsivo"/>
        </w:rPr>
        <w:t>'</w:t>
      </w:r>
      <w:hyperlink r:id="rId13" w:history="1">
        <w:r>
          <w:rPr>
            <w:rStyle w:val="Collegamentoipertestuale"/>
            <w:i/>
            <w:iCs/>
          </w:rPr>
          <w:t>Prevenzione e risposta a COVID-19: evoluzione della strategia e pianificazione nella fase di transizione per il periodo autunno-invernale</w:t>
        </w:r>
      </w:hyperlink>
      <w:r>
        <w:rPr>
          <w:rStyle w:val="Enfasicorsivo"/>
        </w:rPr>
        <w:t xml:space="preserve">' </w:t>
      </w:r>
      <w:r>
        <w:t xml:space="preserve">alcuni </w:t>
      </w:r>
      <w:r>
        <w:rPr>
          <w:rStyle w:val="Enfasigrassetto"/>
        </w:rPr>
        <w:t>parametri di valutazione</w:t>
      </w:r>
      <w:r>
        <w:t xml:space="preserve"> rispetto a quanto già previsto dai commi 16-bis e 16-ter, articolo 1, del DL. n. 33 del 2020, nei territori ove si manifesti un'incidenza settimanale dei contagi superiore a 50 casi ogni 100.000 abitanti: si prevede infatti la possibilità di disporre misure aggiuntive e progressive rispetto a quelle applicabili </w:t>
      </w:r>
      <w:r>
        <w:lastRenderedPageBreak/>
        <w:t>sull'intero territorio nazionale quanto si manifesti uno scenario almeno di tipo 2 (</w:t>
      </w:r>
      <w:r>
        <w:rPr>
          <w:rStyle w:val="if-empty-remove"/>
        </w:rPr>
        <w:t>situazione di trasmissibilità sostenuta e diffusa ma gestibile dal sistema sanitario nel breve-medio periodo e valori dell'indice RT regionale tra 1 e 1,25</w:t>
      </w:r>
      <w:r>
        <w:t>), anche con un livello di rischio moderato ovvero uno scenario almeno di tipo 3 (s</w:t>
      </w:r>
      <w:r>
        <w:rPr>
          <w:rStyle w:val="if-empty-remove"/>
        </w:rPr>
        <w:t>ituazione di trasmissibilità sostenuta e diffusa con rischi di tenuta del sistema sanitario nel medio periodo e valori dell'indice RT regionale tra 1,25 e 1,5)</w:t>
      </w:r>
      <w:r>
        <w:t xml:space="preserve">, anche in questo caso con un livello di rischio almeno moderato. </w:t>
      </w:r>
    </w:p>
    <w:p w:rsidR="007B5605" w:rsidRPr="003B4A49" w:rsidRDefault="003B4A49" w:rsidP="003B4A49">
      <w:r>
        <w:t xml:space="preserve">In sede di prima applicazione e fino al 15 gennaio 2021, nelle more dell'adozione di un nuovo decreto del Presidente del Consiglio dei ministri, si prevede che il Ministro della salute, con propria ordinanza, applichi a una o più regioni nel cui territorio si manifesta un'incidenza dei contagi superiore a 50 casi ogni 100.000 abitanti le predette misure riferite, rispettivamente, all'area c.d. "zona arancione" (art. 2 del DPCM 3 dicembre 2020) e all'area c.d. "zona rossa" (art. 3 del DPCM 3 dicembre 2020). Tali ordinanze sono state pubblicate nella Gazzetta ufficiale del 9 gennaio 2021 per le regioni </w:t>
      </w:r>
      <w:hyperlink r:id="rId14" w:history="1">
        <w:r>
          <w:rPr>
            <w:rStyle w:val="Collegamentoipertestuale"/>
          </w:rPr>
          <w:t>Lombardia</w:t>
        </w:r>
      </w:hyperlink>
      <w:r>
        <w:t xml:space="preserve">, </w:t>
      </w:r>
      <w:hyperlink r:id="rId15" w:history="1">
        <w:r>
          <w:rPr>
            <w:rStyle w:val="Collegamentoipertestuale"/>
          </w:rPr>
          <w:t>Veneto</w:t>
        </w:r>
      </w:hyperlink>
      <w:r>
        <w:t xml:space="preserve">, </w:t>
      </w:r>
      <w:hyperlink r:id="rId16" w:history="1">
        <w:r>
          <w:rPr>
            <w:rStyle w:val="Collegamentoipertestuale"/>
          </w:rPr>
          <w:t>Emilia Romagna</w:t>
        </w:r>
      </w:hyperlink>
      <w:r>
        <w:t xml:space="preserve">, </w:t>
      </w:r>
      <w:hyperlink r:id="rId17" w:history="1">
        <w:r>
          <w:rPr>
            <w:rStyle w:val="Collegamentoipertestuale"/>
          </w:rPr>
          <w:t>Calabria</w:t>
        </w:r>
      </w:hyperlink>
      <w:r>
        <w:t xml:space="preserve">, </w:t>
      </w:r>
      <w:hyperlink r:id="rId18" w:history="1">
        <w:r>
          <w:rPr>
            <w:rStyle w:val="Collegamentoipertestuale"/>
          </w:rPr>
          <w:t>Sicilia</w:t>
        </w:r>
      </w:hyperlink>
      <w:r>
        <w:t xml:space="preserve"> e prevedono per le medesime regioni, dal 10 al 15 gennaio (nelle more del nuovo DPCM) l'applicazione delle misure di "area arancione".</w:t>
      </w:r>
    </w:p>
    <w:sectPr w:rsidR="007B5605" w:rsidRPr="003B4A49" w:rsidSect="00D904BD">
      <w:headerReference w:type="default" r:id="rId19"/>
      <w:footerReference w:type="even" r:id="rId20"/>
      <w:footerReference w:type="default" r:id="rId21"/>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A49" w:rsidRDefault="003B4A49">
      <w:r>
        <w:separator/>
      </w:r>
    </w:p>
    <w:p w:rsidR="003B4A49" w:rsidRDefault="003B4A49"/>
  </w:endnote>
  <w:endnote w:type="continuationSeparator" w:id="0">
    <w:p w:rsidR="003B4A49" w:rsidRDefault="003B4A49">
      <w:r>
        <w:continuationSeparator/>
      </w:r>
    </w:p>
    <w:p w:rsidR="003B4A49" w:rsidRDefault="003B4A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4E9F44C-298B-4FBA-9EE0-4124D4885CB2}"/>
  </w:font>
  <w:font w:name="Times New Roman">
    <w:panose1 w:val="02020603050405020304"/>
    <w:charset w:val="00"/>
    <w:family w:val="roman"/>
    <w:pitch w:val="variable"/>
    <w:sig w:usb0="E0002EFF" w:usb1="C000785B" w:usb2="00000009" w:usb3="00000000" w:csb0="000001FF" w:csb1="00000000"/>
    <w:embedRegular r:id="rId2" w:fontKey="{49F29680-812C-4B39-8AFC-277086149640}"/>
    <w:embedBold r:id="rId3" w:fontKey="{D8EA4CC0-2725-46E3-AC9E-7E5EF2258FC6}"/>
    <w:embedItalic r:id="rId4" w:fontKey="{8D2939B0-0111-4707-BA1B-363976850B0D}"/>
    <w:embedBoldItalic r:id="rId5" w:fontKey="{C939A35E-92B5-4841-9B8E-449EC3988018}"/>
  </w:font>
  <w:font w:name="Arial">
    <w:panose1 w:val="020B0604020202020204"/>
    <w:charset w:val="00"/>
    <w:family w:val="swiss"/>
    <w:pitch w:val="variable"/>
    <w:sig w:usb0="E0002EFF" w:usb1="C000785B" w:usb2="00000009" w:usb3="00000000" w:csb0="000001FF" w:csb1="00000000"/>
    <w:embedRegular r:id="rId6" w:fontKey="{1673C7DF-B3C9-4AF8-98ED-A0953CFB98D0}"/>
    <w:embedBold r:id="rId7" w:fontKey="{A2E25E3B-52D7-4E9A-8281-BDAB3F9A98D2}"/>
    <w:embedItalic r:id="rId8" w:fontKey="{099ECB52-8F04-48FE-8FD6-A750FEBAE475}"/>
    <w:embedBoldItalic r:id="rId9" w:fontKey="{85ED8B15-25E4-4268-A07E-EA905A5C9A12}"/>
  </w:font>
  <w:font w:name="Wingdings">
    <w:panose1 w:val="05000000000000000000"/>
    <w:charset w:val="02"/>
    <w:family w:val="auto"/>
    <w:pitch w:val="variable"/>
    <w:sig w:usb0="00000000" w:usb1="10000000" w:usb2="00000000" w:usb3="00000000" w:csb0="80000000" w:csb1="00000000"/>
    <w:embedRegular r:id="rId10" w:fontKey="{4BE4BFE2-A06D-4D92-A83A-F411483EFEF0}"/>
  </w:font>
  <w:font w:name="Courier New">
    <w:panose1 w:val="02070309020205020404"/>
    <w:charset w:val="00"/>
    <w:family w:val="modern"/>
    <w:pitch w:val="fixed"/>
    <w:sig w:usb0="E0002EFF" w:usb1="C0007843" w:usb2="00000009" w:usb3="00000000" w:csb0="000001FF" w:csb1="00000000"/>
    <w:embedRegular r:id="rId11" w:fontKey="{F8E3493F-743A-4A15-B7D3-6DD217D4C499}"/>
  </w:font>
  <w:font w:name="Monotype Sorts">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embedRegular r:id="rId12" w:fontKey="{9F7ECF7D-8F53-479A-847B-5F93A14E3C8A}"/>
  </w:font>
  <w:font w:name="Garamond">
    <w:panose1 w:val="02020404030301010803"/>
    <w:charset w:val="00"/>
    <w:family w:val="roman"/>
    <w:pitch w:val="variable"/>
    <w:sig w:usb0="00000287" w:usb1="00000000" w:usb2="00000000" w:usb3="00000000" w:csb0="0000009F" w:csb1="00000000"/>
    <w:embedRegular r:id="rId13" w:fontKey="{9F63B43F-103F-44DC-8308-44D43B6578AF}"/>
    <w:embedBold r:id="rId14" w:fontKey="{4AC61AFD-A288-4558-8BE3-1C30743B38A0}"/>
    <w:embedItalic r:id="rId15" w:fontKey="{D4B64BA1-9589-4DB5-B915-A3DE303C2EAB}"/>
  </w:font>
  <w:font w:name="Book Antiqua">
    <w:panose1 w:val="02040602050305030304"/>
    <w:charset w:val="00"/>
    <w:family w:val="roman"/>
    <w:pitch w:val="variable"/>
    <w:sig w:usb0="00000287" w:usb1="00000000" w:usb2="00000000" w:usb3="00000000" w:csb0="0000009F" w:csb1="00000000"/>
    <w:embedRegular r:id="rId16" w:fontKey="{8FB84215-BF43-4808-B750-0E1E4B747ACB}"/>
    <w:embedBold r:id="rId17" w:fontKey="{CBEECA21-7717-4C99-BB3A-09CBFF82009F}"/>
  </w:font>
  <w:font w:name="Estrangelo Edessa">
    <w:panose1 w:val="00000000000000000000"/>
    <w:charset w:val="00"/>
    <w:family w:val="script"/>
    <w:pitch w:val="variable"/>
    <w:sig w:usb0="80002043" w:usb1="00000000" w:usb2="00000080" w:usb3="00000000" w:csb0="00000001" w:csb1="00000000"/>
  </w:font>
  <w:font w:name="CG Times">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8" w:fontKey="{E381773A-F63C-4FF2-A928-6966FAE4DC18}"/>
  </w:font>
  <w:font w:name="Impact">
    <w:panose1 w:val="020B0806030902050204"/>
    <w:charset w:val="00"/>
    <w:family w:val="swiss"/>
    <w:pitch w:val="variable"/>
    <w:sig w:usb0="00000287" w:usb1="00000000" w:usb2="00000000" w:usb3="00000000" w:csb0="0000009F" w:csb1="00000000"/>
    <w:embedRegular r:id="rId19" w:fontKey="{525ABE91-D450-44CF-981B-EAD3D88D38B0}"/>
  </w:font>
  <w:font w:name="Tahoma">
    <w:panose1 w:val="020B0604030504040204"/>
    <w:charset w:val="00"/>
    <w:family w:val="swiss"/>
    <w:pitch w:val="variable"/>
    <w:sig w:usb0="E1002EFF" w:usb1="C000605B" w:usb2="00000029" w:usb3="00000000" w:csb0="000101FF" w:csb1="00000000"/>
    <w:embedRegular r:id="rId20" w:fontKey="{9656CFE5-A063-4A2D-9334-F9010894AAC7}"/>
  </w:font>
  <w:font w:name="Arial Black">
    <w:panose1 w:val="020B0A04020102020204"/>
    <w:charset w:val="00"/>
    <w:family w:val="swiss"/>
    <w:pitch w:val="variable"/>
    <w:sig w:usb0="A00002AF" w:usb1="400078FB" w:usb2="00000000" w:usb3="00000000" w:csb0="0000009F" w:csb1="00000000"/>
    <w:embedRegular r:id="rId21" w:fontKey="{2E110E85-C007-4262-BBED-4C8C185B967A}"/>
  </w:font>
  <w:font w:name="Verdana">
    <w:panose1 w:val="020B0604030504040204"/>
    <w:charset w:val="00"/>
    <w:family w:val="swiss"/>
    <w:pitch w:val="variable"/>
    <w:sig w:usb0="A00006FF" w:usb1="4000205B" w:usb2="00000010" w:usb3="00000000" w:csb0="0000019F" w:csb1="00000000"/>
    <w:embedRegular r:id="rId22" w:fontKey="{A3372FA4-24D2-487C-A82F-73E8BC298783}"/>
    <w:embedBold r:id="rId23" w:fontKey="{E253C495-E04B-4204-B6D0-83E51A1D381F}"/>
  </w:font>
  <w:font w:name="Times">
    <w:panose1 w:val="02020603050405020304"/>
    <w:charset w:val="00"/>
    <w:family w:val="roman"/>
    <w:pitch w:val="variable"/>
    <w:sig w:usb0="E0002EFF" w:usb1="C000785B" w:usb2="00000009" w:usb3="00000000" w:csb0="000001FF" w:csb1="00000000"/>
    <w:embedRegular r:id="rId24" w:fontKey="{30789EF6-E26E-457F-9E88-1087C5D22DD1}"/>
  </w:font>
  <w:font w:name="Cambria">
    <w:panose1 w:val="02040503050406030204"/>
    <w:charset w:val="00"/>
    <w:family w:val="roman"/>
    <w:pitch w:val="variable"/>
    <w:sig w:usb0="E00006FF" w:usb1="420024FF" w:usb2="02000000" w:usb3="00000000" w:csb0="0000019F" w:csb1="00000000"/>
    <w:embedRegular r:id="rId25" w:fontKey="{BDCF12B2-03CC-4746-BC6A-98A442675873}"/>
    <w:embedBold r:id="rId26" w:fontKey="{F0BA83FF-EB6F-44CF-ADC7-98BFBB2C76EF}"/>
  </w:font>
  <w:font w:name="Calibri">
    <w:panose1 w:val="020F0502020204030204"/>
    <w:charset w:val="00"/>
    <w:family w:val="swiss"/>
    <w:pitch w:val="variable"/>
    <w:sig w:usb0="E0002EFF" w:usb1="C000247B" w:usb2="00000009" w:usb3="00000000" w:csb0="000001FF" w:csb1="00000000"/>
    <w:embedRegular r:id="rId27" w:fontKey="{7A21F2F8-8054-4E5E-B502-020FD0849C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3B4A49">
      <w:rPr>
        <w:rStyle w:val="Numeropagina"/>
        <w:noProof/>
      </w:rPr>
      <w:t>2</w:t>
    </w:r>
    <w:r>
      <w:rPr>
        <w:rStyle w:val="Numeropagina"/>
      </w:rPr>
      <w:fldChar w:fldCharType="end"/>
    </w:r>
  </w:p>
  <w:p w:rsidR="002D2D94" w:rsidRDefault="002D2D9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EA3BC3">
      <w:rPr>
        <w:rStyle w:val="Numeropagina"/>
        <w:noProof/>
      </w:rPr>
      <w:t>1</w:t>
    </w:r>
    <w:r>
      <w:rPr>
        <w:rStyle w:val="Numeropagina"/>
      </w:rPr>
      <w:fldChar w:fldCharType="end"/>
    </w:r>
  </w:p>
  <w:p w:rsidR="002D2D94" w:rsidRDefault="002D2D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A49" w:rsidRDefault="003B4A49">
      <w:r>
        <w:separator/>
      </w:r>
    </w:p>
  </w:footnote>
  <w:footnote w:type="continuationSeparator" w:id="0">
    <w:p w:rsidR="003B4A49" w:rsidRDefault="003B4A49">
      <w:r>
        <w:continuationSeparator/>
      </w:r>
    </w:p>
    <w:p w:rsidR="003B4A49" w:rsidRDefault="003B4A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Intestazion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34C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C0E1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DA5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92DA3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ACFD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237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FA6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CCD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11" w15:restartNumberingAfterBreak="0">
    <w:nsid w:val="0BC53518"/>
    <w:multiLevelType w:val="multilevel"/>
    <w:tmpl w:val="B228470E"/>
    <w:lvl w:ilvl="0">
      <w:start w:val="1"/>
      <w:numFmt w:val="decimal"/>
      <w:lvlText w:val="%1"/>
      <w:lvlJc w:val="left"/>
      <w:pPr>
        <w:tabs>
          <w:tab w:val="num" w:pos="432"/>
        </w:tabs>
        <w:ind w:left="432" w:hanging="432"/>
      </w:pPr>
    </w:lvl>
    <w:lvl w:ilvl="1">
      <w:start w:val="1"/>
      <w:numFmt w:val="none"/>
      <w:lvlText w:val="1."/>
      <w:lvlJc w:val="left"/>
      <w:pPr>
        <w:tabs>
          <w:tab w:val="num" w:pos="576"/>
        </w:tabs>
        <w:ind w:left="576" w:hanging="576"/>
      </w:pPr>
    </w:lvl>
    <w:lvl w:ilvl="2">
      <w:start w:val="1"/>
      <w:numFmt w:val="none"/>
      <w:lvlText w:val="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3" w15:restartNumberingAfterBreak="0">
    <w:nsid w:val="158005F0"/>
    <w:multiLevelType w:val="singleLevel"/>
    <w:tmpl w:val="74CC2B92"/>
    <w:lvl w:ilvl="0">
      <w:start w:val="1"/>
      <w:numFmt w:val="bullet"/>
      <w:lvlText w:val=""/>
      <w:lvlJc w:val="left"/>
      <w:pPr>
        <w:tabs>
          <w:tab w:val="num" w:pos="360"/>
        </w:tabs>
        <w:ind w:left="284" w:hanging="284"/>
      </w:pPr>
      <w:rPr>
        <w:rFonts w:ascii="Wingdings" w:hAnsi="Wingdings" w:hint="default"/>
      </w:rPr>
    </w:lvl>
  </w:abstractNum>
  <w:abstractNum w:abstractNumId="14" w15:restartNumberingAfterBreak="0">
    <w:nsid w:val="247672F6"/>
    <w:multiLevelType w:val="hybridMultilevel"/>
    <w:tmpl w:val="18D03944"/>
    <w:lvl w:ilvl="0" w:tplc="DAF80D5E">
      <w:start w:val="1"/>
      <w:numFmt w:val="bullet"/>
      <w:lvlText w:val="-"/>
      <w:lvlJc w:val="left"/>
      <w:pPr>
        <w:tabs>
          <w:tab w:val="num" w:pos="567"/>
        </w:tabs>
        <w:ind w:left="567"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02F26"/>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20D66E0"/>
    <w:multiLevelType w:val="singleLevel"/>
    <w:tmpl w:val="843EC29C"/>
    <w:lvl w:ilvl="0">
      <w:start w:val="1"/>
      <w:numFmt w:val="bullet"/>
      <w:lvlText w:val=""/>
      <w:lvlJc w:val="left"/>
      <w:pPr>
        <w:tabs>
          <w:tab w:val="num" w:pos="360"/>
        </w:tabs>
        <w:ind w:left="284" w:hanging="284"/>
      </w:pPr>
      <w:rPr>
        <w:rFonts w:ascii="Wingdings" w:hAnsi="Wingdings" w:hint="default"/>
      </w:rPr>
    </w:lvl>
  </w:abstractNum>
  <w:abstractNum w:abstractNumId="17" w15:restartNumberingAfterBreak="0">
    <w:nsid w:val="3A9825D6"/>
    <w:multiLevelType w:val="singleLevel"/>
    <w:tmpl w:val="DA72DE48"/>
    <w:lvl w:ilvl="0">
      <w:start w:val="1"/>
      <w:numFmt w:val="bullet"/>
      <w:lvlText w:val=""/>
      <w:lvlJc w:val="left"/>
      <w:pPr>
        <w:tabs>
          <w:tab w:val="num" w:pos="357"/>
        </w:tabs>
        <w:ind w:left="283" w:hanging="283"/>
      </w:pPr>
      <w:rPr>
        <w:rFonts w:ascii="Wingdings" w:hAnsi="Wingdings" w:hint="default"/>
      </w:rPr>
    </w:lvl>
  </w:abstractNum>
  <w:abstractNum w:abstractNumId="18" w15:restartNumberingAfterBreak="0">
    <w:nsid w:val="4346211C"/>
    <w:multiLevelType w:val="singleLevel"/>
    <w:tmpl w:val="6FDE224E"/>
    <w:lvl w:ilvl="0">
      <w:start w:val="1"/>
      <w:numFmt w:val="bullet"/>
      <w:lvlText w:val=""/>
      <w:lvlJc w:val="left"/>
      <w:pPr>
        <w:tabs>
          <w:tab w:val="num" w:pos="361"/>
        </w:tabs>
        <w:ind w:left="340" w:hanging="339"/>
      </w:pPr>
      <w:rPr>
        <w:rFonts w:ascii="Symbol" w:hAnsi="Symbol" w:hint="default"/>
        <w:b w:val="0"/>
        <w:i w:val="0"/>
        <w:sz w:val="20"/>
      </w:rPr>
    </w:lvl>
  </w:abstractNum>
  <w:abstractNum w:abstractNumId="19" w15:restartNumberingAfterBreak="0">
    <w:nsid w:val="4C1A3D16"/>
    <w:multiLevelType w:val="singleLevel"/>
    <w:tmpl w:val="4FF6EAE8"/>
    <w:lvl w:ilvl="0">
      <w:numFmt w:val="bullet"/>
      <w:lvlText w:val=""/>
      <w:lvlJc w:val="left"/>
      <w:pPr>
        <w:tabs>
          <w:tab w:val="num" w:pos="502"/>
        </w:tabs>
        <w:ind w:left="425" w:hanging="283"/>
      </w:pPr>
      <w:rPr>
        <w:rFonts w:ascii="Symbol" w:hAnsi="Symbol" w:hint="default"/>
      </w:rPr>
    </w:lvl>
  </w:abstractNum>
  <w:abstractNum w:abstractNumId="20" w15:restartNumberingAfterBreak="0">
    <w:nsid w:val="4C243564"/>
    <w:multiLevelType w:val="singleLevel"/>
    <w:tmpl w:val="EBB2C880"/>
    <w:lvl w:ilvl="0">
      <w:numFmt w:val="bullet"/>
      <w:lvlText w:val="-"/>
      <w:lvlJc w:val="left"/>
      <w:pPr>
        <w:tabs>
          <w:tab w:val="num" w:pos="360"/>
        </w:tabs>
        <w:ind w:left="357" w:hanging="357"/>
      </w:pPr>
    </w:lvl>
  </w:abstractNum>
  <w:abstractNum w:abstractNumId="21"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F565B5"/>
    <w:multiLevelType w:val="multilevel"/>
    <w:tmpl w:val="551EB94A"/>
    <w:lvl w:ilvl="0">
      <w:start w:val="4"/>
      <w:numFmt w:val="decimal"/>
      <w:lvlText w:val="%1."/>
      <w:lvlJc w:val="left"/>
      <w:pPr>
        <w:tabs>
          <w:tab w:val="num" w:pos="360"/>
        </w:tabs>
        <w:ind w:left="360" w:hanging="360"/>
      </w:pPr>
    </w:lvl>
    <w:lvl w:ilvl="1">
      <w:start w:val="1"/>
      <w:numFmt w:val="decimal"/>
      <w:lvlText w:val="%1.%2."/>
      <w:lvlJc w:val="left"/>
      <w:pPr>
        <w:tabs>
          <w:tab w:val="num" w:pos="851"/>
        </w:tabs>
        <w:ind w:left="851" w:hanging="454"/>
      </w:pPr>
      <w:rPr>
        <w:b/>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EF94157"/>
    <w:multiLevelType w:val="singleLevel"/>
    <w:tmpl w:val="34E4A10E"/>
    <w:lvl w:ilvl="0">
      <w:start w:val="1"/>
      <w:numFmt w:val="bullet"/>
      <w:lvlText w:val=""/>
      <w:lvlJc w:val="left"/>
      <w:pPr>
        <w:tabs>
          <w:tab w:val="num" w:pos="644"/>
        </w:tabs>
        <w:ind w:left="567" w:hanging="283"/>
      </w:pPr>
      <w:rPr>
        <w:rFonts w:ascii="Monotype Sorts" w:hAnsi="Monotype Sorts" w:hint="default"/>
      </w:rPr>
    </w:lvl>
  </w:abstractNum>
  <w:abstractNum w:abstractNumId="24" w15:restartNumberingAfterBreak="0">
    <w:nsid w:val="60DB0F9E"/>
    <w:multiLevelType w:val="hybridMultilevel"/>
    <w:tmpl w:val="61FEA7FC"/>
    <w:lvl w:ilvl="0" w:tplc="FCCE1ED8">
      <w:start w:val="1"/>
      <w:numFmt w:val="bullet"/>
      <w:lvlText w:val="-"/>
      <w:lvlJc w:val="left"/>
      <w:pPr>
        <w:tabs>
          <w:tab w:val="num" w:pos="794"/>
        </w:tabs>
        <w:ind w:left="737" w:hanging="17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6" w15:restartNumberingAfterBreak="0">
    <w:nsid w:val="6E684987"/>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0A075A1"/>
    <w:multiLevelType w:val="hybridMultilevel"/>
    <w:tmpl w:val="F4502B2A"/>
    <w:lvl w:ilvl="0" w:tplc="6E52CF94">
      <w:start w:val="1"/>
      <w:numFmt w:val="bullet"/>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FB3EF2"/>
    <w:multiLevelType w:val="singleLevel"/>
    <w:tmpl w:val="B164D6E4"/>
    <w:lvl w:ilvl="0">
      <w:start w:val="1"/>
      <w:numFmt w:val="bullet"/>
      <w:lvlText w:val=""/>
      <w:lvlJc w:val="left"/>
      <w:pPr>
        <w:tabs>
          <w:tab w:val="num" w:pos="360"/>
        </w:tabs>
        <w:ind w:left="284" w:hanging="284"/>
      </w:pPr>
      <w:rPr>
        <w:rFonts w:ascii="Symbol" w:hAnsi="Symbol" w:hint="default"/>
        <w:sz w:val="24"/>
      </w:rPr>
    </w:lvl>
  </w:abstractNum>
  <w:abstractNum w:abstractNumId="29"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abstractNumId w:val="11"/>
  </w:num>
  <w:num w:numId="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3"/>
  </w:num>
  <w:num w:numId="5">
    <w:abstractNumId w:val="28"/>
  </w:num>
  <w:num w:numId="6">
    <w:abstractNumId w:val="16"/>
  </w:num>
  <w:num w:numId="7">
    <w:abstractNumId w:val="25"/>
  </w:num>
  <w:num w:numId="8">
    <w:abstractNumId w:val="12"/>
  </w:num>
  <w:num w:numId="9">
    <w:abstractNumId w:val="3"/>
  </w:num>
  <w:num w:numId="10">
    <w:abstractNumId w:val="29"/>
  </w:num>
  <w:num w:numId="11">
    <w:abstractNumId w:val="10"/>
  </w:num>
  <w:num w:numId="12">
    <w:abstractNumId w:val="20"/>
  </w:num>
  <w:num w:numId="13">
    <w:abstractNumId w:val="15"/>
  </w:num>
  <w:num w:numId="14">
    <w:abstractNumId w:val="26"/>
  </w:num>
  <w:num w:numId="15">
    <w:abstractNumId w:val="17"/>
  </w:num>
  <w:num w:numId="16">
    <w:abstractNumId w:val="8"/>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9"/>
  </w:num>
  <w:num w:numId="27">
    <w:abstractNumId w:val="10"/>
  </w:num>
  <w:num w:numId="28">
    <w:abstractNumId w:val="19"/>
  </w:num>
  <w:num w:numId="29">
    <w:abstractNumId w:val="18"/>
  </w:num>
  <w:num w:numId="30">
    <w:abstractNumId w:val="14"/>
  </w:num>
  <w:num w:numId="31">
    <w:abstractNumId w:val="24"/>
  </w:num>
  <w:num w:numId="32">
    <w:abstractNumId w:val="24"/>
  </w:num>
  <w:num w:numId="33">
    <w:abstractNumId w:val="24"/>
  </w:num>
  <w:num w:numId="34">
    <w:abstractNumId w:val="21"/>
  </w:num>
  <w:num w:numId="35">
    <w:abstractNumId w:val="21"/>
  </w:num>
  <w:num w:numId="36">
    <w:abstractNumId w:val="21"/>
  </w:num>
  <w:num w:numId="37">
    <w:abstractNumId w:val="27"/>
  </w:num>
  <w:num w:numId="38">
    <w:abstractNumId w:val="3"/>
  </w:num>
  <w:num w:numId="39">
    <w:abstractNumId w:val="29"/>
  </w:num>
  <w:num w:numId="40">
    <w:abstractNumId w:val="10"/>
  </w:num>
  <w:num w:numId="41">
    <w:abstractNumId w:val="25"/>
  </w:num>
  <w:num w:numId="42">
    <w:abstractNumId w:val="12"/>
  </w:num>
  <w:num w:numId="43">
    <w:abstractNumId w:val="3"/>
  </w:num>
  <w:num w:numId="44">
    <w:abstractNumId w:val="29"/>
  </w:num>
  <w:num w:numId="45">
    <w:abstractNumId w:val="1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49"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A49"/>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4A49"/>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5918"/>
    <w:rsid w:val="005B6F13"/>
    <w:rsid w:val="005C2175"/>
    <w:rsid w:val="005C2578"/>
    <w:rsid w:val="005C2D8B"/>
    <w:rsid w:val="005C6B90"/>
    <w:rsid w:val="005D031E"/>
    <w:rsid w:val="005D29AD"/>
    <w:rsid w:val="005D4551"/>
    <w:rsid w:val="005D718C"/>
    <w:rsid w:val="005E208D"/>
    <w:rsid w:val="005E5574"/>
    <w:rsid w:val="005E68ED"/>
    <w:rsid w:val="005E71F8"/>
    <w:rsid w:val="005F0D87"/>
    <w:rsid w:val="005F1FC2"/>
    <w:rsid w:val="005F3A44"/>
    <w:rsid w:val="005F7233"/>
    <w:rsid w:val="00601735"/>
    <w:rsid w:val="006064F0"/>
    <w:rsid w:val="00615803"/>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6337"/>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408B"/>
    <w:rsid w:val="00AC4D32"/>
    <w:rsid w:val="00AC4FC4"/>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794D"/>
    <w:rsid w:val="00C03D6A"/>
    <w:rsid w:val="00C06920"/>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3BC3"/>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4A2"/>
    <w:rsid w:val="00F60A9D"/>
    <w:rsid w:val="00F65DC6"/>
    <w:rsid w:val="00F669B9"/>
    <w:rsid w:val="00F670C1"/>
    <w:rsid w:val="00F71177"/>
    <w:rsid w:val="00F73268"/>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d4d4d4">
      <v:stroke color="#d4d4d4" weight="1.75pt"/>
      <v:shadow on="t" origin=",32385f" offset="0,-1pt"/>
    </o:shapedefaults>
    <o:shapelayout v:ext="edit">
      <o:idmap v:ext="edit" data="1"/>
    </o:shapelayout>
  </w:shapeDefaults>
  <w:doNotEmbedSmartTags/>
  <w:decimalSymbol w:val=","/>
  <w:listSeparator w:val=";"/>
  <w14:docId w14:val="09F86474"/>
  <w15:chartTrackingRefBased/>
  <w15:docId w15:val="{51576102-7C3D-4951-8C63-55F660A8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851C8"/>
    <w:pPr>
      <w:spacing w:line="300" w:lineRule="atLeast"/>
      <w:ind w:firstLine="284"/>
      <w:jc w:val="both"/>
    </w:pPr>
    <w:rPr>
      <w:rFonts w:ascii="Arial" w:hAnsi="Arial"/>
      <w:sz w:val="22"/>
    </w:rPr>
  </w:style>
  <w:style w:type="paragraph" w:styleId="Titolo1">
    <w:name w:val="heading 1"/>
    <w:basedOn w:val="Normale"/>
    <w:next w:val="Normale"/>
    <w:qFormat/>
    <w:rsid w:val="003608A4"/>
    <w:pPr>
      <w:keepNext/>
      <w:spacing w:before="480" w:after="480"/>
      <w:ind w:firstLine="0"/>
      <w:jc w:val="center"/>
      <w:outlineLvl w:val="0"/>
    </w:pPr>
    <w:rPr>
      <w:b/>
      <w:smallCaps/>
      <w:kern w:val="28"/>
      <w:sz w:val="26"/>
    </w:rPr>
  </w:style>
  <w:style w:type="paragraph" w:styleId="Titolo2">
    <w:name w:val="heading 2"/>
    <w:basedOn w:val="Normale"/>
    <w:next w:val="Normale"/>
    <w:qFormat/>
    <w:rsid w:val="003608A4"/>
    <w:pPr>
      <w:keepNext/>
      <w:spacing w:before="480" w:after="240"/>
      <w:ind w:left="284" w:hanging="284"/>
      <w:jc w:val="left"/>
      <w:outlineLvl w:val="1"/>
    </w:pPr>
    <w:rPr>
      <w:b/>
      <w:sz w:val="24"/>
    </w:rPr>
  </w:style>
  <w:style w:type="paragraph" w:styleId="Titolo3">
    <w:name w:val="heading 3"/>
    <w:basedOn w:val="Normale"/>
    <w:next w:val="Normale"/>
    <w:qFormat/>
    <w:rsid w:val="003608A4"/>
    <w:pPr>
      <w:keepNext/>
      <w:spacing w:before="240" w:after="180"/>
      <w:ind w:left="568" w:hanging="284"/>
      <w:jc w:val="left"/>
      <w:outlineLvl w:val="2"/>
    </w:pPr>
    <w:rPr>
      <w:b/>
      <w:i/>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ind w:firstLine="0"/>
      <w:outlineLvl w:val="5"/>
    </w:pPr>
    <w:rPr>
      <w:rFonts w:ascii="Times New Roman" w:hAnsi="Times New Roman"/>
      <w:i/>
    </w:rPr>
  </w:style>
  <w:style w:type="paragraph" w:styleId="Titolo7">
    <w:name w:val="heading 7"/>
    <w:basedOn w:val="Normale"/>
    <w:next w:val="Normale"/>
    <w:rsid w:val="003608A4"/>
    <w:pPr>
      <w:spacing w:before="240" w:after="60"/>
      <w:ind w:firstLine="0"/>
      <w:outlineLvl w:val="6"/>
    </w:pPr>
    <w:rPr>
      <w:sz w:val="20"/>
    </w:rPr>
  </w:style>
  <w:style w:type="paragraph" w:styleId="Titolo8">
    <w:name w:val="heading 8"/>
    <w:basedOn w:val="Normale"/>
    <w:next w:val="Normale"/>
    <w:rsid w:val="003608A4"/>
    <w:pPr>
      <w:spacing w:before="240" w:after="60"/>
      <w:ind w:firstLine="0"/>
      <w:outlineLvl w:val="7"/>
    </w:pPr>
    <w:rPr>
      <w:i/>
      <w:sz w:val="20"/>
    </w:rPr>
  </w:style>
  <w:style w:type="paragraph" w:styleId="Titolo9">
    <w:name w:val="heading 9"/>
    <w:basedOn w:val="Normale"/>
    <w:next w:val="Normale"/>
    <w:rsid w:val="003608A4"/>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effect w:val="none"/>
      <w:lang w:val="es-ES"/>
    </w:rPr>
  </w:style>
  <w:style w:type="table" w:styleId="Grigliatabella">
    <w:name w:val="Table Grid"/>
    <w:basedOn w:val="Tabellanormale"/>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uiPriority w:val="22"/>
    <w:qFormat/>
    <w:rsid w:val="003608A4"/>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3608A4"/>
    <w:pPr>
      <w:spacing w:after="120"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rPr>
      <w:effect w:val="none"/>
    </w:rPr>
  </w:style>
  <w:style w:type="paragraph" w:customStyle="1" w:styleId="NOWEB02">
    <w:name w:val="NOWEB02"/>
    <w:basedOn w:val="NOWEB"/>
    <w:rsid w:val="003608A4"/>
    <w:pPr>
      <w:ind w:firstLine="0"/>
      <w:jc w:val="center"/>
    </w:pPr>
    <w:rPr>
      <w:effect w:val="none"/>
    </w:rPr>
  </w:style>
  <w:style w:type="paragraph" w:customStyle="1" w:styleId="NOWEB03">
    <w:name w:val="NOWEB03"/>
    <w:basedOn w:val="NOWEB"/>
    <w:rsid w:val="003608A4"/>
    <w:pPr>
      <w:ind w:firstLine="0"/>
      <w:jc w:val="center"/>
    </w:pPr>
    <w:rPr>
      <w:effect w:val="none"/>
    </w:rPr>
  </w:style>
  <w:style w:type="paragraph" w:customStyle="1" w:styleId="NOWEB04">
    <w:name w:val="NOWEB04"/>
    <w:basedOn w:val="NOWEB"/>
    <w:rsid w:val="003608A4"/>
    <w:pPr>
      <w:ind w:firstLine="0"/>
      <w:jc w:val="center"/>
    </w:pPr>
    <w:rPr>
      <w:effect w:val="none"/>
    </w:rPr>
  </w:style>
  <w:style w:type="paragraph" w:customStyle="1" w:styleId="NOWEB05">
    <w:name w:val="NOWEB05"/>
    <w:basedOn w:val="NOWEB"/>
    <w:rsid w:val="003608A4"/>
    <w:pPr>
      <w:ind w:firstLine="0"/>
      <w:jc w:val="center"/>
    </w:pPr>
    <w:rPr>
      <w:effect w:val="none"/>
    </w:rPr>
  </w:style>
  <w:style w:type="paragraph" w:customStyle="1" w:styleId="NOWEB06">
    <w:name w:val="NOWEB06"/>
    <w:basedOn w:val="NOWEB"/>
    <w:rsid w:val="003608A4"/>
    <w:pPr>
      <w:ind w:firstLine="0"/>
      <w:jc w:val="center"/>
    </w:pPr>
    <w:rPr>
      <w:effect w:val="none"/>
    </w:rPr>
  </w:style>
  <w:style w:type="paragraph" w:customStyle="1" w:styleId="NOWEB07">
    <w:name w:val="NOWEB07"/>
    <w:basedOn w:val="NOWEB"/>
    <w:rsid w:val="003608A4"/>
    <w:pPr>
      <w:ind w:firstLine="0"/>
      <w:jc w:val="center"/>
    </w:pPr>
    <w:rPr>
      <w:effect w:val="none"/>
    </w:rPr>
  </w:style>
  <w:style w:type="paragraph" w:customStyle="1" w:styleId="NOWEB08">
    <w:name w:val="NOWEB08"/>
    <w:basedOn w:val="NOWEB"/>
    <w:rsid w:val="003608A4"/>
    <w:pPr>
      <w:ind w:firstLine="0"/>
      <w:jc w:val="center"/>
    </w:pPr>
    <w:rPr>
      <w:effect w:val="none"/>
    </w:r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rsid w:val="003608A4"/>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uiPriority w:val="20"/>
    <w:qFormat/>
    <w:rsid w:val="00E851C8"/>
    <w:rPr>
      <w:i/>
      <w:iCs/>
    </w:rPr>
  </w:style>
  <w:style w:type="character" w:styleId="Collegamentoipertestuale">
    <w:name w:val="Hyperlink"/>
    <w:basedOn w:val="Carpredefinitoparagrafo"/>
    <w:uiPriority w:val="99"/>
    <w:semiHidden/>
    <w:unhideWhenUsed/>
    <w:rsid w:val="003B4A49"/>
    <w:rPr>
      <w:color w:val="0000FF"/>
      <w:u w:val="single"/>
    </w:rPr>
  </w:style>
  <w:style w:type="character" w:customStyle="1" w:styleId="if-empty-remove">
    <w:name w:val="if-empty-remove"/>
    <w:basedOn w:val="Carpredefinitoparagrafo"/>
    <w:rsid w:val="003B4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mattiva.it/uri-res/N2Ls?urn:nir:stato:decreto.legge:2020;172" TargetMode="External"/><Relationship Id="rId13" Type="http://schemas.openxmlformats.org/officeDocument/2006/relationships/hyperlink" Target="https://www.iss.it/documents/20126/0/COVID+19_+strategia_ISS_ministero+%282%29.pdf/ec96c257-44d7-e2a4-cc06-00acc239bce3?t=1602582682471" TargetMode="External"/><Relationship Id="rId18" Type="http://schemas.openxmlformats.org/officeDocument/2006/relationships/hyperlink" Target="https://www.gazzettaufficiale.it/atto/vediMenuHTML?atto.dataPubblicazioneGazzetta=2021-01-09&amp;atto.codiceRedazionale=21A00123&amp;tipoSerie=serie_generale&amp;tipoVigenza=originario"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gazzettaufficiale.it/atto/serie_generale/caricaDettaglioAtto/originario?atto.dataPubblicazioneGazzetta=2021-01-05&amp;atto.codiceRedazionale=21G00001&amp;elenco30giorni=false" TargetMode="External"/><Relationship Id="rId12" Type="http://schemas.openxmlformats.org/officeDocument/2006/relationships/hyperlink" Target="https://www.gazzettaufficiale.it/atto/serie_generale/caricaDettaglioAtto/originario?atto.dataPubblicazioneGazzetta=2020-12-18&amp;atto.codiceRedazionale=20G00196&amp;elenco30giorni=false" TargetMode="External"/><Relationship Id="rId17" Type="http://schemas.openxmlformats.org/officeDocument/2006/relationships/hyperlink" Target="https://www.gazzettaufficiale.it/atto/vediMenuHTML?atto.dataPubblicazioneGazzetta=2021-01-09&amp;atto.codiceRedazionale=21A00122&amp;tipoSerie=serie_generale&amp;tipoVigenza=originario" TargetMode="External"/><Relationship Id="rId2" Type="http://schemas.openxmlformats.org/officeDocument/2006/relationships/styles" Target="styles.xml"/><Relationship Id="rId16" Type="http://schemas.openxmlformats.org/officeDocument/2006/relationships/hyperlink" Target="https://www.gazzettaufficiale.it/atto/vediMenuHTML?atto.dataPubblicazioneGazzetta=2021-01-09&amp;atto.codiceRedazionale=21A00121&amp;tipoSerie=serie_generale&amp;tipoVigenza=originari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mi.camera.it/leg18/post/OCD15_14255/decreto-del-presidente-del-consiglio-ministri-del-3-dicembre-2020-nuove-misure-periodo-festivita-fine-anno-e-l-inizio-del-2021-13.html" TargetMode="External"/><Relationship Id="rId5" Type="http://schemas.openxmlformats.org/officeDocument/2006/relationships/footnotes" Target="footnotes.xml"/><Relationship Id="rId15" Type="http://schemas.openxmlformats.org/officeDocument/2006/relationships/hyperlink" Target="https://www.gazzettaufficiale.it/atto/vediMenuHTML?atto.dataPubblicazioneGazzetta=2021-01-09&amp;atto.codiceRedazionale=21A00121&amp;tipoSerie=serie_generale&amp;tipoVigenza=originario" TargetMode="External"/><Relationship Id="rId23" Type="http://schemas.openxmlformats.org/officeDocument/2006/relationships/theme" Target="theme/theme1.xml"/><Relationship Id="rId10" Type="http://schemas.openxmlformats.org/officeDocument/2006/relationships/hyperlink" Target="http://documenti.camera.it/leg18/dossier/testi/D20158.htm?_160832487048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ormattiva.it/uri-res/N2Ls?urn:nir:stato:legge:2021;6" TargetMode="External"/><Relationship Id="rId14" Type="http://schemas.openxmlformats.org/officeDocument/2006/relationships/hyperlink" Target="https://www.gazzettaufficiale.it/atto/serie_generale/caricaDettaglioAtto/originario?atto.dataPubblicazioneGazzetta=2021-01-09&amp;atto.codiceRedazionale=21A00119&amp;elenco30giorni=tru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970</Words>
  <Characters>5535</Characters>
  <Application>Microsoft Office Word</Application>
  <DocSecurity>0</DocSecurity>
  <Lines>46</Lines>
  <Paragraphs>12</Paragraphs>
  <ScaleCrop>false</ScaleCrop>
  <Company>Cdd</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Claudia Provenzano</dc:creator>
  <cp:keywords/>
  <dc:description/>
  <cp:lastModifiedBy>Claudia Provenzano</cp:lastModifiedBy>
  <cp:revision>2</cp:revision>
  <cp:lastPrinted>2007-01-25T11:00:00Z</cp:lastPrinted>
  <dcterms:created xsi:type="dcterms:W3CDTF">2021-03-31T12:09:00Z</dcterms:created>
  <dcterms:modified xsi:type="dcterms:W3CDTF">2021-03-31T12:11:00Z</dcterms:modified>
</cp:coreProperties>
</file>