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A49" w:rsidRPr="003B4A49" w:rsidRDefault="00EA3BC3" w:rsidP="003B4A49">
      <w:pPr>
        <w:jc w:val="center"/>
        <w:rPr>
          <w:b/>
        </w:rPr>
      </w:pPr>
      <w:r>
        <w:rPr>
          <w:b/>
        </w:rPr>
        <w:t>Decreto legge n. 1</w:t>
      </w:r>
      <w:r w:rsidR="003B4A49" w:rsidRPr="003B4A49">
        <w:rPr>
          <w:b/>
        </w:rPr>
        <w:t>/2021</w:t>
      </w:r>
    </w:p>
    <w:p w:rsidR="003B4A49" w:rsidRDefault="003B4A49" w:rsidP="003B4A49"/>
    <w:p w:rsidR="007B5605" w:rsidRPr="003B4A49" w:rsidRDefault="007317B1" w:rsidP="007317B1">
      <w:r>
        <w:t>I</w:t>
      </w:r>
      <w:r w:rsidRPr="007317B1">
        <w:t xml:space="preserve">l </w:t>
      </w:r>
      <w:hyperlink r:id="rId7" w:history="1">
        <w:r w:rsidRPr="007317B1">
          <w:rPr>
            <w:rStyle w:val="Collegamentoipertestuale"/>
          </w:rPr>
          <w:t>decreto-legge n. 158 del 2 dicembre 2020</w:t>
        </w:r>
      </w:hyperlink>
      <w:r w:rsidRPr="007317B1">
        <w:t xml:space="preserve"> (il cui contenuto è stato trasfuso nel </w:t>
      </w:r>
      <w:hyperlink r:id="rId8" w:history="1">
        <w:r w:rsidRPr="007317B1">
          <w:rPr>
            <w:rStyle w:val="Collegamentoipertestuale"/>
          </w:rPr>
          <w:t>D.L. 172/2020</w:t>
        </w:r>
      </w:hyperlink>
      <w:r w:rsidRPr="007317B1">
        <w:t xml:space="preserve"> , </w:t>
      </w:r>
      <w:hyperlink r:id="rId9" w:history="1">
        <w:r w:rsidRPr="007317B1">
          <w:rPr>
            <w:rStyle w:val="Collegamentoipertestuale"/>
          </w:rPr>
          <w:t>legge n. 6/2021</w:t>
        </w:r>
      </w:hyperlink>
      <w:r w:rsidRPr="007317B1">
        <w:t xml:space="preserve">, che lo ha conseguentemente abrogato) in vigore dal 3 dicembre (qui il </w:t>
      </w:r>
      <w:hyperlink r:id="rId10" w:history="1">
        <w:r w:rsidRPr="007317B1">
          <w:rPr>
            <w:rStyle w:val="Collegamentoipertestuale"/>
          </w:rPr>
          <w:t>Dossier sul provvedimento</w:t>
        </w:r>
      </w:hyperlink>
      <w:r w:rsidRPr="007317B1">
        <w:t xml:space="preserve"> incardinato alla Camera) </w:t>
      </w:r>
      <w:r w:rsidRPr="007317B1">
        <w:rPr>
          <w:b/>
          <w:bCs/>
        </w:rPr>
        <w:t xml:space="preserve">estende da 30 a 50 giorni il termine massimo previsto per l'efficacia delle misure </w:t>
      </w:r>
      <w:r w:rsidRPr="007317B1">
        <w:t xml:space="preserve">tra quelle previste al comma 2, articolo 1, del DL. 19 del 25 marzo 2020 (v. </w:t>
      </w:r>
      <w:r w:rsidRPr="007317B1">
        <w:rPr>
          <w:i/>
          <w:iCs/>
        </w:rPr>
        <w:t>infra</w:t>
      </w:r>
      <w:r w:rsidRPr="007317B1">
        <w:t xml:space="preserve">) dirette a contenere e contrastare i rischi sanitari derivanti dalla diffusione del virus COVID-19, reiterabili e modificabili anche </w:t>
      </w:r>
      <w:proofErr w:type="spellStart"/>
      <w:r w:rsidRPr="007317B1">
        <w:t>piu'</w:t>
      </w:r>
      <w:proofErr w:type="spellEnd"/>
      <w:r w:rsidRPr="007317B1">
        <w:t xml:space="preserve"> volte entro il periodo fissato per lo stato di emergenza (da ultimo esteso </w:t>
      </w:r>
      <w:hyperlink r:id="rId11" w:history="1">
        <w:r w:rsidRPr="007317B1">
          <w:rPr>
            <w:rStyle w:val="Collegamentoipertestuale"/>
          </w:rPr>
          <w:t>fino al 31 gennaio 2020</w:t>
        </w:r>
      </w:hyperlink>
      <w:r w:rsidRPr="007317B1">
        <w:t xml:space="preserve">). Vengono inoltre previsti </w:t>
      </w:r>
      <w:r w:rsidRPr="007317B1">
        <w:rPr>
          <w:b/>
          <w:bCs/>
        </w:rPr>
        <w:t>specifici divieti di spostamento</w:t>
      </w:r>
      <w:r w:rsidRPr="007317B1">
        <w:t xml:space="preserve"> per il periodo delle festività di fine anno, nell'ambito del territorio nazionale: dal 21 dicembre 2020 al 6 gennaio 2021, infatti, è fatto divieto di ogni spostamento in entrata e in uscita tra i territori di diverse Regioni o Province autonome, e nelle giornate del 25 e del 26 dicembre 2020 e del 1° gennaio 2021 </w:t>
      </w:r>
      <w:r w:rsidR="005B426A">
        <w:t>è</w:t>
      </w:r>
      <w:r w:rsidRPr="007317B1">
        <w:t xml:space="preserve"> vietato ogni spostamento tra comuni, salvi gli spostamenti motivati da comprovate esigenze lavorative o situazioni di necessit</w:t>
      </w:r>
      <w:r w:rsidR="005B426A">
        <w:t>à</w:t>
      </w:r>
      <w:r w:rsidRPr="007317B1">
        <w:t xml:space="preserve"> ovvero per motivi di salute. </w:t>
      </w:r>
      <w:r w:rsidR="005B426A">
        <w:t>È</w:t>
      </w:r>
      <w:r w:rsidRPr="007317B1">
        <w:t xml:space="preserve"> comunque consentito il rientro alla propria residenza, domicilio o abitazione, con esclusione degli spostamenti verso le seconde case che si trovano in altra Regione o Provincia autonoma (o Comune per le sole giornate del 25 e 26 dicembre 2020 e del 1° gennaio 2021). Viene infine consentito, per lo specifico periodo dal 21 dicembre 2020 al 6 gennaio 2021, che gli atti previsti per l'adozione delle misure in esame ai sensi del decreto-legge n. 19/2020, vale a dire i </w:t>
      </w:r>
      <w:r w:rsidRPr="007317B1">
        <w:rPr>
          <w:b/>
          <w:bCs/>
        </w:rPr>
        <w:t>decreti del Presidente del Consiglio dei ministri</w:t>
      </w:r>
      <w:r w:rsidRPr="007317B1">
        <w:t xml:space="preserve">, possano prevedere, anche indipendentemente dalla classificazione in livelli di rischio e di scenario, specifiche misure rientranti tra quelle previste dall'articolo 1, comma 2, dello stesso decreto-legge. </w:t>
      </w:r>
      <w:bookmarkStart w:id="0" w:name="_GoBack"/>
      <w:bookmarkEnd w:id="0"/>
    </w:p>
    <w:sectPr w:rsidR="007B5605" w:rsidRPr="003B4A49" w:rsidSect="00D904BD">
      <w:headerReference w:type="default" r:id="rId12"/>
      <w:footerReference w:type="even" r:id="rId13"/>
      <w:footerReference w:type="default" r:id="rId14"/>
      <w:type w:val="oddPage"/>
      <w:pgSz w:w="11906" w:h="16838" w:code="9"/>
      <w:pgMar w:top="1985" w:right="1985" w:bottom="1985" w:left="1985" w:header="1134" w:footer="1134" w:gutter="0"/>
      <w:cols w:space="284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A49" w:rsidRDefault="003B4A49">
      <w:r>
        <w:separator/>
      </w:r>
    </w:p>
    <w:p w:rsidR="003B4A49" w:rsidRDefault="003B4A49"/>
  </w:endnote>
  <w:endnote w:type="continuationSeparator" w:id="0">
    <w:p w:rsidR="003B4A49" w:rsidRDefault="003B4A49">
      <w:r>
        <w:continuationSeparator/>
      </w:r>
    </w:p>
    <w:p w:rsidR="003B4A49" w:rsidRDefault="003B4A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A36543A-BE44-4BFC-B805-24FEEBCB0E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DB06E71-160A-4634-809C-1AC264F97668}"/>
    <w:embedBold r:id="rId3" w:fontKey="{E399C30E-6D6D-4D7B-B9A7-9E26BE19AEC6}"/>
    <w:embedItalic r:id="rId4" w:fontKey="{F6EC8E25-5645-4E23-8402-A9FD1553647F}"/>
    <w:embedBoldItalic r:id="rId5" w:fontKey="{A74132A6-052A-4670-AD38-7D6FF5D1EA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4371FB1-C43E-46E2-A6C2-73ED9DD5C8A9}"/>
    <w:embedBold r:id="rId7" w:fontKey="{AE346573-40AF-4861-BFA1-0477DEB04D2D}"/>
    <w:embedItalic r:id="rId8" w:fontKey="{17FF7E2E-687B-4108-9139-346F2BD3E19B}"/>
    <w:embedBoldItalic r:id="rId9" w:fontKey="{5731ECB4-D483-426C-8F3B-858A20F0C5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FD9CDD3-5A88-4CEC-8A49-8738E8D526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A6E574B2-69A4-4A4B-90E3-ABA84A05435A}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12" w:fontKey="{6FE2242E-1A1E-4989-A2BA-631D1CB2CE8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6A6DA0E1-A0FA-4C03-AF62-C143F95295AC}"/>
    <w:embedBold r:id="rId14" w:fontKey="{6257DE4F-0118-4647-9BD6-F01DB166CCA8}"/>
    <w:embedItalic r:id="rId15" w:fontKey="{506E15B9-64C7-459C-85A6-A630A6F26E0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B3FAC390-ED5B-43B2-AC7D-D85A0465FDBE}"/>
    <w:embedBold r:id="rId17" w:fontKey="{0A831C4B-4448-400C-AA08-D86B04680B3A}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8" w:fontKey="{71C99080-57AC-4661-A192-42991B6EE62C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9" w:fontKey="{33BD1996-3A57-4E44-A218-3E479370A4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D856D82A-4231-492E-8130-AE9BBEAC143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1" w:fontKey="{50A12632-4A8E-4DB4-9422-341EF055899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2" w:fontKey="{9A4FE17B-B6CD-44F9-A2A5-5D874273919B}"/>
    <w:embedBold r:id="rId23" w:fontKey="{C42AC672-E87E-498B-830A-933676777A5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4" w:fontKey="{39AB4591-F5F6-4EEC-B180-00BC354851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1CA5C552-BCD2-4A7E-BB1C-6E74AD911490}"/>
    <w:embedBold r:id="rId26" w:fontKey="{15B30824-5250-4DAF-A804-F25BAEAF65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7" w:fontKey="{B4C4338A-A738-4127-989A-C4A022809F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3B4A49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5B426A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A49" w:rsidRDefault="003B4A49">
      <w:r>
        <w:separator/>
      </w:r>
    </w:p>
  </w:footnote>
  <w:footnote w:type="continuationSeparator" w:id="0">
    <w:p w:rsidR="003B4A49" w:rsidRDefault="003B4A49">
      <w:r>
        <w:continuationSeparator/>
      </w:r>
    </w:p>
    <w:p w:rsidR="003B4A49" w:rsidRDefault="003B4A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1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3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B4928"/>
    <w:multiLevelType w:val="multilevel"/>
    <w:tmpl w:val="8360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8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9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20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1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2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5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7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30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4"/>
  </w:num>
  <w:num w:numId="5">
    <w:abstractNumId w:val="29"/>
  </w:num>
  <w:num w:numId="6">
    <w:abstractNumId w:val="17"/>
  </w:num>
  <w:num w:numId="7">
    <w:abstractNumId w:val="26"/>
  </w:num>
  <w:num w:numId="8">
    <w:abstractNumId w:val="12"/>
  </w:num>
  <w:num w:numId="9">
    <w:abstractNumId w:val="3"/>
  </w:num>
  <w:num w:numId="10">
    <w:abstractNumId w:val="30"/>
  </w:num>
  <w:num w:numId="11">
    <w:abstractNumId w:val="10"/>
  </w:num>
  <w:num w:numId="12">
    <w:abstractNumId w:val="21"/>
  </w:num>
  <w:num w:numId="13">
    <w:abstractNumId w:val="16"/>
  </w:num>
  <w:num w:numId="14">
    <w:abstractNumId w:val="27"/>
  </w:num>
  <w:num w:numId="15">
    <w:abstractNumId w:val="18"/>
  </w:num>
  <w:num w:numId="16">
    <w:abstractNumId w:val="8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30"/>
  </w:num>
  <w:num w:numId="27">
    <w:abstractNumId w:val="10"/>
  </w:num>
  <w:num w:numId="28">
    <w:abstractNumId w:val="20"/>
  </w:num>
  <w:num w:numId="29">
    <w:abstractNumId w:val="19"/>
  </w:num>
  <w:num w:numId="30">
    <w:abstractNumId w:val="14"/>
  </w:num>
  <w:num w:numId="31">
    <w:abstractNumId w:val="25"/>
  </w:num>
  <w:num w:numId="32">
    <w:abstractNumId w:val="25"/>
  </w:num>
  <w:num w:numId="33">
    <w:abstractNumId w:val="25"/>
  </w:num>
  <w:num w:numId="34">
    <w:abstractNumId w:val="22"/>
  </w:num>
  <w:num w:numId="35">
    <w:abstractNumId w:val="22"/>
  </w:num>
  <w:num w:numId="36">
    <w:abstractNumId w:val="22"/>
  </w:num>
  <w:num w:numId="37">
    <w:abstractNumId w:val="28"/>
  </w:num>
  <w:num w:numId="38">
    <w:abstractNumId w:val="3"/>
  </w:num>
  <w:num w:numId="39">
    <w:abstractNumId w:val="30"/>
  </w:num>
  <w:num w:numId="40">
    <w:abstractNumId w:val="10"/>
  </w:num>
  <w:num w:numId="41">
    <w:abstractNumId w:val="26"/>
  </w:num>
  <w:num w:numId="42">
    <w:abstractNumId w:val="12"/>
  </w:num>
  <w:num w:numId="43">
    <w:abstractNumId w:val="3"/>
  </w:num>
  <w:num w:numId="44">
    <w:abstractNumId w:val="30"/>
  </w:num>
  <w:num w:numId="45">
    <w:abstractNumId w:val="10"/>
  </w:num>
  <w:num w:numId="46">
    <w:abstractNumId w:val="22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A49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63CE"/>
    <w:rsid w:val="00027E0E"/>
    <w:rsid w:val="00031017"/>
    <w:rsid w:val="00031506"/>
    <w:rsid w:val="000340C6"/>
    <w:rsid w:val="00034E07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93030"/>
    <w:rsid w:val="000930BE"/>
    <w:rsid w:val="0009365F"/>
    <w:rsid w:val="0009559C"/>
    <w:rsid w:val="000A5178"/>
    <w:rsid w:val="000B0271"/>
    <w:rsid w:val="000B2065"/>
    <w:rsid w:val="000B2690"/>
    <w:rsid w:val="000B3065"/>
    <w:rsid w:val="000B35E6"/>
    <w:rsid w:val="000D0747"/>
    <w:rsid w:val="000D2DF5"/>
    <w:rsid w:val="000D4F08"/>
    <w:rsid w:val="000E0775"/>
    <w:rsid w:val="000E0E27"/>
    <w:rsid w:val="000E15B7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1280"/>
    <w:rsid w:val="00107049"/>
    <w:rsid w:val="00107FB9"/>
    <w:rsid w:val="00110AB8"/>
    <w:rsid w:val="00110D3B"/>
    <w:rsid w:val="0011184E"/>
    <w:rsid w:val="0011220B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372F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1F4A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693F"/>
    <w:rsid w:val="003173C8"/>
    <w:rsid w:val="00317B34"/>
    <w:rsid w:val="00320C3B"/>
    <w:rsid w:val="003224C8"/>
    <w:rsid w:val="0032277A"/>
    <w:rsid w:val="003230BC"/>
    <w:rsid w:val="003231E6"/>
    <w:rsid w:val="00323F8B"/>
    <w:rsid w:val="00324067"/>
    <w:rsid w:val="00324291"/>
    <w:rsid w:val="00324E1B"/>
    <w:rsid w:val="00333DAE"/>
    <w:rsid w:val="003342CC"/>
    <w:rsid w:val="0033747B"/>
    <w:rsid w:val="0033793A"/>
    <w:rsid w:val="00350776"/>
    <w:rsid w:val="003561C6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4A49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7B56"/>
    <w:rsid w:val="00404550"/>
    <w:rsid w:val="00405BE5"/>
    <w:rsid w:val="004131CE"/>
    <w:rsid w:val="00414885"/>
    <w:rsid w:val="004205BB"/>
    <w:rsid w:val="0042173F"/>
    <w:rsid w:val="004220EF"/>
    <w:rsid w:val="0042565C"/>
    <w:rsid w:val="0042599D"/>
    <w:rsid w:val="00426FBC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5009AA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426A"/>
    <w:rsid w:val="005B5918"/>
    <w:rsid w:val="005B6F13"/>
    <w:rsid w:val="005C2175"/>
    <w:rsid w:val="005C2578"/>
    <w:rsid w:val="005C2D8B"/>
    <w:rsid w:val="005C6B90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B131F"/>
    <w:rsid w:val="006B37A3"/>
    <w:rsid w:val="006B530F"/>
    <w:rsid w:val="006B5A37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DC9"/>
    <w:rsid w:val="007317B1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FBB"/>
    <w:rsid w:val="007D70F0"/>
    <w:rsid w:val="007E18AE"/>
    <w:rsid w:val="007E40CA"/>
    <w:rsid w:val="007E6551"/>
    <w:rsid w:val="007F4AE3"/>
    <w:rsid w:val="007F6BFB"/>
    <w:rsid w:val="0080005E"/>
    <w:rsid w:val="0080083E"/>
    <w:rsid w:val="00802B9C"/>
    <w:rsid w:val="00807AA4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D15A5"/>
    <w:rsid w:val="008D329A"/>
    <w:rsid w:val="008D4F47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2046"/>
    <w:rsid w:val="0096224C"/>
    <w:rsid w:val="00962275"/>
    <w:rsid w:val="009740CB"/>
    <w:rsid w:val="0098142D"/>
    <w:rsid w:val="00981DB5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C0478"/>
    <w:rsid w:val="009C096D"/>
    <w:rsid w:val="009C0DBB"/>
    <w:rsid w:val="009C1BCE"/>
    <w:rsid w:val="009C22F9"/>
    <w:rsid w:val="009C2CDF"/>
    <w:rsid w:val="009C44B3"/>
    <w:rsid w:val="009C7ACA"/>
    <w:rsid w:val="009D672F"/>
    <w:rsid w:val="009D77F5"/>
    <w:rsid w:val="009D7ACE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408B"/>
    <w:rsid w:val="00AC4D32"/>
    <w:rsid w:val="00AC4FC4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AF8"/>
    <w:rsid w:val="00C36FA9"/>
    <w:rsid w:val="00C376AF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4FC5"/>
    <w:rsid w:val="00DD4FEC"/>
    <w:rsid w:val="00DD6DA0"/>
    <w:rsid w:val="00DD6FB6"/>
    <w:rsid w:val="00DD7294"/>
    <w:rsid w:val="00DE077D"/>
    <w:rsid w:val="00DE23FF"/>
    <w:rsid w:val="00DE3AB5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BAB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3BC3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09F86474"/>
  <w15:chartTrackingRefBased/>
  <w15:docId w15:val="{51576102-7C3D-4951-8C63-55F660A8E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851C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qFormat/>
    <w:rsid w:val="003608A4"/>
    <w:pPr>
      <w:keepNext/>
      <w:spacing w:before="480" w:after="480"/>
      <w:ind w:firstLine="0"/>
      <w:jc w:val="center"/>
      <w:outlineLvl w:val="0"/>
    </w:pPr>
    <w:rPr>
      <w:b/>
      <w:smallCaps/>
      <w:kern w:val="28"/>
      <w:sz w:val="26"/>
    </w:rPr>
  </w:style>
  <w:style w:type="paragraph" w:styleId="Titolo2">
    <w:name w:val="heading 2"/>
    <w:basedOn w:val="Normale"/>
    <w:next w:val="Normale"/>
    <w:qFormat/>
    <w:rsid w:val="003608A4"/>
    <w:pPr>
      <w:keepNext/>
      <w:spacing w:before="480" w:after="240"/>
      <w:ind w:left="284" w:hanging="284"/>
      <w:jc w:val="left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3608A4"/>
    <w:pPr>
      <w:keepNext/>
      <w:spacing w:before="240" w:after="180"/>
      <w:ind w:left="568" w:hanging="284"/>
      <w:jc w:val="left"/>
      <w:outlineLvl w:val="2"/>
    </w:pPr>
    <w:rPr>
      <w:b/>
      <w:i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ind w:firstLine="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ind w:firstLine="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ind w:firstLine="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ind w:firstLine="0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  <w:ind w:firstLine="0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ind w:firstLine="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ind w:firstLine="0"/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ind w:firstLine="0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ind w:firstLine="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ind w:firstLine="0"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ind w:firstLine="0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after="120" w:line="240" w:lineRule="auto"/>
      <w:ind w:firstLine="0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ind w:firstLine="0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ind w:firstLine="0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ind w:firstLine="0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ind w:firstLine="0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ind w:firstLine="0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ind w:firstLine="0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ind w:firstLine="0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before="120" w:after="120" w:line="280" w:lineRule="exact"/>
      <w:ind w:left="425" w:right="851" w:firstLine="0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ind w:firstLine="0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ind w:firstLine="0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after="12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ind w:firstLine="0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ind w:firstLine="0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ind w:firstLine="0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after="120" w:line="240" w:lineRule="auto"/>
      <w:ind w:firstLine="0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after="120" w:line="240" w:lineRule="atLeast"/>
      <w:ind w:left="-840" w:firstLine="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ind w:firstLine="0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  <w:pPr>
      <w:spacing w:after="120"/>
    </w:pPr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 w:firstLine="0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ind w:firstLine="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after="120"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after="120"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before="120" w:after="120"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pPr>
      <w:spacing w:after="120"/>
      <w:ind w:firstLine="0"/>
    </w:pPr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ind w:firstLine="0"/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spacing w:before="120"/>
      <w:ind w:left="284" w:right="284" w:firstLine="0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ind w:firstLine="0"/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spacing w:before="120"/>
      <w:ind w:left="142" w:right="140" w:firstLine="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ind w:firstLine="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 w:firstLine="0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ind w:firstLine="0"/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  <w:jc w:val="center"/>
    </w:pPr>
  </w:style>
  <w:style w:type="paragraph" w:customStyle="1" w:styleId="To">
    <w:name w:val="To"/>
    <w:basedOn w:val="Normale"/>
    <w:rsid w:val="003608A4"/>
    <w:pPr>
      <w:spacing w:line="240" w:lineRule="auto"/>
      <w:ind w:firstLine="0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pPr>
      <w:ind w:firstLine="0"/>
    </w:pPr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ind w:firstLine="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effect w:val="none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after="120"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uiPriority w:val="22"/>
    <w:qFormat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ind w:firstLine="0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rsid w:val="003608A4"/>
    <w:pPr>
      <w:spacing w:after="120"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ind w:firstLine="0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spacing w:before="120"/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pPr>
      <w:ind w:firstLine="0"/>
    </w:pPr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ind w:firstLine="0"/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ind w:firstLine="0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before="120"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before="120" w:line="240" w:lineRule="auto"/>
      <w:ind w:firstLine="0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ind w:firstLine="0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ind w:firstLine="0"/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ind w:firstLine="0"/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ind w:firstLine="0"/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ind w:firstLine="0"/>
      <w:jc w:val="center"/>
    </w:pPr>
  </w:style>
  <w:style w:type="paragraph" w:customStyle="1" w:styleId="XV-Copertinacamera">
    <w:name w:val="XV-Copertina/camera"/>
    <w:basedOn w:val="Normale"/>
    <w:rsid w:val="003608A4"/>
    <w:pPr>
      <w:ind w:firstLine="0"/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2">
    <w:name w:val="NOWEB02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3">
    <w:name w:val="NOWEB03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4">
    <w:name w:val="NOWEB04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5">
    <w:name w:val="NOWEB05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6">
    <w:name w:val="NOWEB06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7">
    <w:name w:val="NOWEB07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8">
    <w:name w:val="NOWEB08"/>
    <w:basedOn w:val="NOWEB"/>
    <w:rsid w:val="003608A4"/>
    <w:pPr>
      <w:ind w:firstLine="0"/>
      <w:jc w:val="center"/>
    </w:pPr>
    <w:rPr>
      <w:effect w:val="none"/>
    </w:rPr>
  </w:style>
  <w:style w:type="paragraph" w:customStyle="1" w:styleId="SIWEB01">
    <w:name w:val="SIWEB01"/>
    <w:basedOn w:val="SIWEB"/>
    <w:rsid w:val="003608A4"/>
    <w:pPr>
      <w:ind w:right="0" w:firstLine="0"/>
      <w:jc w:val="center"/>
    </w:pPr>
  </w:style>
  <w:style w:type="paragraph" w:customStyle="1" w:styleId="SIWEB02">
    <w:name w:val="SIWEB02"/>
    <w:basedOn w:val="SIWEB"/>
    <w:rsid w:val="003608A4"/>
    <w:pPr>
      <w:ind w:right="0" w:firstLine="0"/>
      <w:jc w:val="center"/>
    </w:pPr>
  </w:style>
  <w:style w:type="paragraph" w:customStyle="1" w:styleId="SIWEB03">
    <w:name w:val="SIWEB03"/>
    <w:basedOn w:val="SIWEB"/>
    <w:rsid w:val="003608A4"/>
    <w:pPr>
      <w:ind w:right="0" w:firstLine="0"/>
      <w:jc w:val="center"/>
    </w:pPr>
  </w:style>
  <w:style w:type="paragraph" w:customStyle="1" w:styleId="SIWEB04">
    <w:name w:val="SIWEB04"/>
    <w:basedOn w:val="SIWEB"/>
    <w:rsid w:val="003608A4"/>
    <w:pPr>
      <w:ind w:right="0" w:firstLine="0"/>
      <w:jc w:val="center"/>
    </w:pPr>
  </w:style>
  <w:style w:type="paragraph" w:customStyle="1" w:styleId="SIWEB05">
    <w:name w:val="SIWEB05"/>
    <w:basedOn w:val="SIWEB"/>
    <w:rsid w:val="003608A4"/>
    <w:pPr>
      <w:ind w:right="0" w:firstLine="0"/>
      <w:jc w:val="center"/>
    </w:pPr>
  </w:style>
  <w:style w:type="paragraph" w:customStyle="1" w:styleId="SIWEB06">
    <w:name w:val="SIWEB06"/>
    <w:basedOn w:val="SIWEB"/>
    <w:rsid w:val="003608A4"/>
    <w:pPr>
      <w:ind w:right="0" w:firstLine="0"/>
      <w:jc w:val="center"/>
    </w:pPr>
  </w:style>
  <w:style w:type="paragraph" w:customStyle="1" w:styleId="SIWEB07">
    <w:name w:val="SIWEB07"/>
    <w:basedOn w:val="SIWEB"/>
    <w:rsid w:val="003608A4"/>
    <w:pPr>
      <w:ind w:right="0" w:firstLine="0"/>
      <w:jc w:val="center"/>
    </w:pPr>
  </w:style>
  <w:style w:type="paragraph" w:customStyle="1" w:styleId="SIWEB08">
    <w:name w:val="SIWEB08"/>
    <w:basedOn w:val="SIWEB"/>
    <w:rsid w:val="003608A4"/>
    <w:pPr>
      <w:ind w:right="0" w:firstLine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 w:firstLine="0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  <w:jc w:val="center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ind w:firstLine="0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ind w:firstLine="0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 w:firstLine="0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 w:firstLine="0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 w:firstLine="0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ind w:firstLine="0"/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ind w:firstLine="0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ind w:firstLine="0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 w:val="32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 w:val="32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  <w:ind w:firstLine="0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before="0"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ind w:firstLine="0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  <w:ind w:firstLine="0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  <w:ind w:firstLine="0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ind w:firstLine="0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uiPriority w:val="20"/>
    <w:qFormat/>
    <w:rsid w:val="00E851C8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3B4A49"/>
    <w:rPr>
      <w:color w:val="0000FF"/>
      <w:u w:val="single"/>
    </w:rPr>
  </w:style>
  <w:style w:type="character" w:customStyle="1" w:styleId="if-empty-remove">
    <w:name w:val="if-empty-remove"/>
    <w:basedOn w:val="Carpredefinitoparagrafo"/>
    <w:rsid w:val="003B4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mattiva.it/uri-res/N2Ls?urn:nir:stato:decreto.legge:2020;172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azzettaufficiale.it/atto/serie_generale/caricaDettaglioAtto/originario?atto.dataPubblicazioneGazzetta=2020-12-02&amp;atto.codiceRedazionale=20G00184&amp;elenco30giorni=fals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azzettaufficiale.it/atto/serie_generale/caricaDettaglioAtto/originario?atto.dataPubblicazioneGazzetta=2020-10-07&amp;atto.codiceRedazionale=20A05463&amp;elenco30giorni=fals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emi.camera.it/leg18/dossier/OCD18-14449/disposizioni-urgenti-fronteggiare-i-rischi-sanitari-connessi-alla-diffusione-del-virus-covid-19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rmattiva.it/uri-res/N2Ls?urn:nir:stato:legge:2021;6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310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NormalSegreteria</vt:lpstr>
    </vt:vector>
  </TitlesOfParts>
  <Company>Cdd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NormalSegreteria</dc:title>
  <dc:subject>Modello utilizzato dalle Segreterie del Servizio Studi della Camera dei Deputati</dc:subject>
  <dc:creator>Claudia Provenzano</dc:creator>
  <cp:keywords/>
  <dc:description/>
  <cp:lastModifiedBy>Claudia Provenzano</cp:lastModifiedBy>
  <cp:revision>4</cp:revision>
  <cp:lastPrinted>2007-01-25T11:00:00Z</cp:lastPrinted>
  <dcterms:created xsi:type="dcterms:W3CDTF">2021-03-31T12:13:00Z</dcterms:created>
  <dcterms:modified xsi:type="dcterms:W3CDTF">2021-03-31T12:20:00Z</dcterms:modified>
</cp:coreProperties>
</file>