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A42" w:rsidRDefault="002E51D6" w:rsidP="00CF7A4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E45A0">
        <w:rPr>
          <w:b/>
          <w:sz w:val="28"/>
          <w:szCs w:val="28"/>
        </w:rPr>
        <w:t xml:space="preserve">Sintesi </w:t>
      </w:r>
    </w:p>
    <w:p w:rsidR="00D77911" w:rsidRPr="00CF7A42" w:rsidRDefault="002E51D6" w:rsidP="00CF7A42">
      <w:pPr>
        <w:jc w:val="center"/>
        <w:rPr>
          <w:sz w:val="28"/>
          <w:szCs w:val="28"/>
        </w:rPr>
      </w:pPr>
      <w:r w:rsidRPr="003E45A0">
        <w:rPr>
          <w:b/>
          <w:sz w:val="28"/>
          <w:szCs w:val="28"/>
        </w:rPr>
        <w:t>Riunione dei Direttori Scientifici IRCCS Pubblici</w:t>
      </w:r>
      <w:r w:rsidR="00CF56D9">
        <w:rPr>
          <w:b/>
          <w:sz w:val="28"/>
          <w:szCs w:val="28"/>
        </w:rPr>
        <w:t xml:space="preserve">, </w:t>
      </w:r>
      <w:r w:rsidR="00CF56D9" w:rsidRPr="00CF7A42">
        <w:rPr>
          <w:sz w:val="28"/>
          <w:szCs w:val="28"/>
        </w:rPr>
        <w:t>a cura di Giovanni Apolone</w:t>
      </w:r>
    </w:p>
    <w:p w:rsidR="002E51D6" w:rsidRPr="00CF7A42" w:rsidRDefault="003E45A0" w:rsidP="00CF7A42">
      <w:pPr>
        <w:jc w:val="center"/>
        <w:rPr>
          <w:sz w:val="28"/>
          <w:szCs w:val="28"/>
        </w:rPr>
      </w:pPr>
      <w:r w:rsidRPr="00CF7A42">
        <w:rPr>
          <w:sz w:val="28"/>
          <w:szCs w:val="28"/>
        </w:rPr>
        <w:t>1</w:t>
      </w:r>
      <w:r w:rsidR="002E51D6" w:rsidRPr="00CF7A42">
        <w:rPr>
          <w:sz w:val="28"/>
          <w:szCs w:val="28"/>
        </w:rPr>
        <w:t>6 marzo 2020</w:t>
      </w:r>
    </w:p>
    <w:p w:rsidR="002E51D6" w:rsidRPr="003E45A0" w:rsidRDefault="002E51D6" w:rsidP="003E45A0">
      <w:pPr>
        <w:jc w:val="both"/>
        <w:rPr>
          <w:sz w:val="28"/>
          <w:szCs w:val="28"/>
        </w:rPr>
      </w:pPr>
    </w:p>
    <w:p w:rsidR="0061458F" w:rsidRDefault="00CF56D9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 xml:space="preserve">Tutti </w:t>
      </w:r>
      <w:r w:rsidR="000421E8">
        <w:rPr>
          <w:sz w:val="28"/>
          <w:szCs w:val="28"/>
        </w:rPr>
        <w:t xml:space="preserve">i Colleghi </w:t>
      </w:r>
      <w:r w:rsidRPr="00CF7A42">
        <w:rPr>
          <w:sz w:val="28"/>
          <w:szCs w:val="28"/>
        </w:rPr>
        <w:t xml:space="preserve">condividono la necessità di un riordino/riforma essendo l’attuale  sistema caratterizzato da un gran numero di IRCCS, molto eterogenei per storia, dimensioni, tematiche, performance, </w:t>
      </w:r>
      <w:r w:rsidR="00CF7A42">
        <w:rPr>
          <w:sz w:val="28"/>
          <w:szCs w:val="28"/>
        </w:rPr>
        <w:t xml:space="preserve">distribuiti in modo non uniforme nel territorio nazionale (50% in sole </w:t>
      </w:r>
      <w:r w:rsidR="000421E8">
        <w:rPr>
          <w:sz w:val="28"/>
          <w:szCs w:val="28"/>
        </w:rPr>
        <w:t>2</w:t>
      </w:r>
      <w:r w:rsidR="0061458F">
        <w:rPr>
          <w:sz w:val="28"/>
          <w:szCs w:val="28"/>
        </w:rPr>
        <w:t xml:space="preserve"> Regioni</w:t>
      </w:r>
      <w:r w:rsidR="009C2ACA">
        <w:rPr>
          <w:sz w:val="28"/>
          <w:szCs w:val="28"/>
        </w:rPr>
        <w:t>, 7 Regioni/Province Autonome sprovviste</w:t>
      </w:r>
      <w:r w:rsidR="0061458F">
        <w:rPr>
          <w:sz w:val="28"/>
          <w:szCs w:val="28"/>
        </w:rPr>
        <w:t>).</w:t>
      </w: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Pr="009C2ACA" w:rsidRDefault="009C2ACA" w:rsidP="003E45A0">
      <w:pPr>
        <w:jc w:val="both"/>
        <w:rPr>
          <w:sz w:val="28"/>
          <w:szCs w:val="28"/>
          <w:u w:val="single"/>
        </w:rPr>
      </w:pPr>
      <w:r w:rsidRPr="009C2ACA">
        <w:rPr>
          <w:sz w:val="28"/>
          <w:szCs w:val="28"/>
          <w:u w:val="single"/>
        </w:rPr>
        <w:t>Eterogeneità degli IRCCS:  distribuzione</w:t>
      </w:r>
      <w:r>
        <w:rPr>
          <w:sz w:val="28"/>
          <w:szCs w:val="28"/>
          <w:u w:val="single"/>
        </w:rPr>
        <w:t xml:space="preserve"> dei 52 IRCCS su base naziona</w:t>
      </w:r>
      <w:r w:rsidRPr="009C2ACA">
        <w:rPr>
          <w:sz w:val="28"/>
          <w:szCs w:val="28"/>
          <w:u w:val="single"/>
        </w:rPr>
        <w:t>le</w:t>
      </w:r>
    </w:p>
    <w:p w:rsidR="0061458F" w:rsidRDefault="009C2ACA" w:rsidP="003E45A0">
      <w:pPr>
        <w:jc w:val="both"/>
        <w:rPr>
          <w:sz w:val="28"/>
          <w:szCs w:val="28"/>
        </w:rPr>
      </w:pPr>
      <w:r w:rsidRPr="0061458F">
        <w:rPr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 o:ole="">
            <v:imagedata r:id="rId5" o:title=""/>
          </v:shape>
          <o:OLEObject Type="Embed" ProgID="PowerPoint.Slide.12" ShapeID="_x0000_i1025" DrawAspect="Content" ObjectID="_1710313722" r:id="rId6"/>
        </w:object>
      </w: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Pr="009C2ACA" w:rsidRDefault="009C2ACA" w:rsidP="003E45A0">
      <w:pPr>
        <w:jc w:val="both"/>
        <w:rPr>
          <w:sz w:val="28"/>
          <w:szCs w:val="28"/>
          <w:u w:val="single"/>
        </w:rPr>
      </w:pPr>
      <w:r w:rsidRPr="009C2ACA">
        <w:rPr>
          <w:sz w:val="28"/>
          <w:szCs w:val="28"/>
          <w:u w:val="single"/>
        </w:rPr>
        <w:t>Eterogeneità degli IRCCS: performance rispetto ai principiai criteri di valutazione della Ricerca Corrente</w:t>
      </w:r>
    </w:p>
    <w:p w:rsidR="009C2ACA" w:rsidRDefault="009C2ACA" w:rsidP="003E45A0">
      <w:pPr>
        <w:jc w:val="both"/>
        <w:rPr>
          <w:sz w:val="28"/>
          <w:szCs w:val="28"/>
        </w:rPr>
      </w:pPr>
    </w:p>
    <w:p w:rsidR="009C2ACA" w:rsidRDefault="00897932" w:rsidP="003E45A0">
      <w:pPr>
        <w:jc w:val="both"/>
        <w:rPr>
          <w:sz w:val="28"/>
          <w:szCs w:val="28"/>
        </w:rPr>
      </w:pPr>
      <w:r w:rsidRPr="009C2ACA">
        <w:rPr>
          <w:sz w:val="28"/>
          <w:szCs w:val="28"/>
        </w:rPr>
        <w:object w:dxaOrig="7216" w:dyaOrig="5407">
          <v:shape id="_x0000_i1026" type="#_x0000_t75" style="width:491.25pt;height:361.5pt" o:ole="">
            <v:imagedata r:id="rId7" o:title=""/>
          </v:shape>
          <o:OLEObject Type="Embed" ProgID="PowerPoint.Slide.12" ShapeID="_x0000_i1026" DrawAspect="Content" ObjectID="_1710313723" r:id="rId8"/>
        </w:object>
      </w:r>
    </w:p>
    <w:p w:rsidR="000421E8" w:rsidRDefault="00CF7A42" w:rsidP="003E45A0">
      <w:pPr>
        <w:jc w:val="both"/>
        <w:rPr>
          <w:sz w:val="28"/>
          <w:szCs w:val="28"/>
        </w:rPr>
      </w:pPr>
      <w:r>
        <w:rPr>
          <w:sz w:val="28"/>
          <w:szCs w:val="28"/>
        </w:rPr>
        <w:t>Il contributo alla Ricerca Istituzion</w:t>
      </w:r>
      <w:r w:rsidR="0061458F">
        <w:rPr>
          <w:sz w:val="28"/>
          <w:szCs w:val="28"/>
        </w:rPr>
        <w:t>a</w:t>
      </w:r>
      <w:r>
        <w:rPr>
          <w:sz w:val="28"/>
          <w:szCs w:val="28"/>
        </w:rPr>
        <w:t xml:space="preserve">le (Corrente) è così diminuito </w:t>
      </w:r>
      <w:r w:rsidR="000421E8">
        <w:rPr>
          <w:sz w:val="28"/>
          <w:szCs w:val="28"/>
        </w:rPr>
        <w:t xml:space="preserve">nel tempo, </w:t>
      </w:r>
      <w:r>
        <w:rPr>
          <w:sz w:val="28"/>
          <w:szCs w:val="28"/>
        </w:rPr>
        <w:t xml:space="preserve">nonostante un generale incremento della produttività del sistema, </w:t>
      </w:r>
      <w:r w:rsidR="00CF56D9" w:rsidRPr="00CF7A42">
        <w:rPr>
          <w:sz w:val="28"/>
          <w:szCs w:val="28"/>
        </w:rPr>
        <w:t xml:space="preserve"> </w:t>
      </w:r>
      <w:r>
        <w:rPr>
          <w:sz w:val="28"/>
          <w:szCs w:val="28"/>
        </w:rPr>
        <w:t>in quanto il finanziamento</w:t>
      </w:r>
      <w:r w:rsidR="00CF56D9" w:rsidRPr="00CF7A42">
        <w:rPr>
          <w:sz w:val="28"/>
          <w:szCs w:val="28"/>
        </w:rPr>
        <w:t xml:space="preserve"> </w:t>
      </w:r>
      <w:r w:rsidR="000421E8">
        <w:rPr>
          <w:sz w:val="28"/>
          <w:szCs w:val="28"/>
        </w:rPr>
        <w:t xml:space="preserve">globale </w:t>
      </w:r>
      <w:r w:rsidR="00CF56D9" w:rsidRPr="00CF7A42">
        <w:rPr>
          <w:sz w:val="28"/>
          <w:szCs w:val="28"/>
        </w:rPr>
        <w:t>di fatto è rimasto stabile nonostante l’aumento del numero dei riconoscimenti.</w:t>
      </w:r>
      <w:r w:rsidR="000421E8">
        <w:rPr>
          <w:sz w:val="28"/>
          <w:szCs w:val="28"/>
        </w:rPr>
        <w:t xml:space="preserve"> Una analisi dei contributi assegnati a ciascun IRCCS evidenzia come</w:t>
      </w:r>
      <w:r w:rsidR="009C2ACA">
        <w:rPr>
          <w:sz w:val="28"/>
          <w:szCs w:val="28"/>
        </w:rPr>
        <w:t xml:space="preserve"> a) i primi 10 IRCCS spiegano più del 40% dei fondi assegnati sulla base della performance, b) si  passa</w:t>
      </w:r>
      <w:r w:rsidR="000421E8">
        <w:rPr>
          <w:sz w:val="28"/>
          <w:szCs w:val="28"/>
        </w:rPr>
        <w:t xml:space="preserve"> da un finanziamento superiore a 10 milioni di Euro a poche centinanti di migliaia, facendo sorgere il dubbio che in molti casi l’entità del contributo non può essere sufficiente a garantire una attività di ricerca (pre-clinica, traslazionale, clinica e sanitaria) di rilevanza nazionale.</w:t>
      </w:r>
      <w:r w:rsidR="00CF56D9" w:rsidRPr="00CF7A42">
        <w:rPr>
          <w:sz w:val="28"/>
          <w:szCs w:val="28"/>
        </w:rPr>
        <w:t xml:space="preserve"> </w:t>
      </w:r>
    </w:p>
    <w:p w:rsidR="000421E8" w:rsidRPr="0061458F" w:rsidRDefault="009C2ACA" w:rsidP="003E45A0">
      <w:pPr>
        <w:jc w:val="both"/>
        <w:rPr>
          <w:b/>
          <w:sz w:val="28"/>
          <w:szCs w:val="28"/>
        </w:rPr>
      </w:pPr>
      <w:r w:rsidRPr="0061458F">
        <w:rPr>
          <w:b/>
          <w:sz w:val="28"/>
          <w:szCs w:val="28"/>
        </w:rPr>
        <w:object w:dxaOrig="7216" w:dyaOrig="5407">
          <v:shape id="_x0000_i1027" type="#_x0000_t75" style="width:463.5pt;height:324.75pt" o:ole="">
            <v:imagedata r:id="rId9" o:title=""/>
          </v:shape>
          <o:OLEObject Type="Embed" ProgID="PowerPoint.Slide.12" ShapeID="_x0000_i1027" DrawAspect="Content" ObjectID="_1710313724" r:id="rId10"/>
        </w:object>
      </w:r>
    </w:p>
    <w:p w:rsidR="009C2ACA" w:rsidRDefault="009C2ACA" w:rsidP="003E45A0">
      <w:pPr>
        <w:jc w:val="both"/>
        <w:rPr>
          <w:sz w:val="28"/>
          <w:szCs w:val="28"/>
        </w:rPr>
      </w:pPr>
    </w:p>
    <w:p w:rsidR="00CF56D9" w:rsidRPr="00CF7A42" w:rsidRDefault="00CF56D9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 xml:space="preserve">La </w:t>
      </w:r>
      <w:r w:rsidR="00CF7A42">
        <w:rPr>
          <w:sz w:val="28"/>
          <w:szCs w:val="28"/>
        </w:rPr>
        <w:t>Legge D</w:t>
      </w:r>
      <w:r w:rsidRPr="00CF7A42">
        <w:rPr>
          <w:sz w:val="28"/>
          <w:szCs w:val="28"/>
        </w:rPr>
        <w:t>elega contien</w:t>
      </w:r>
      <w:r w:rsidR="00CF7A42" w:rsidRPr="00CF7A42">
        <w:rPr>
          <w:sz w:val="28"/>
          <w:szCs w:val="28"/>
        </w:rPr>
        <w:t>e molti punti che vanno in questa direzione, ma alcuni hanno ma</w:t>
      </w:r>
      <w:r w:rsidRPr="00CF7A42">
        <w:rPr>
          <w:sz w:val="28"/>
          <w:szCs w:val="28"/>
        </w:rPr>
        <w:t>ggiore importanza e priorità</w:t>
      </w:r>
    </w:p>
    <w:p w:rsidR="00CF7A42" w:rsidRPr="00CF7A42" w:rsidRDefault="00CF7A42" w:rsidP="00CF7A42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>Di seguito alcuni aspetti generali e di seguito una sintesi degli aspetti più discussi con riferimento ai contenuti della Legge Delega</w:t>
      </w:r>
    </w:p>
    <w:p w:rsidR="00CF7A42" w:rsidRDefault="00CF7A42" w:rsidP="00CF7A42">
      <w:pPr>
        <w:spacing w:after="0" w:line="240" w:lineRule="auto"/>
        <w:rPr>
          <w:rFonts w:eastAsia="Times New Roman"/>
          <w:b/>
          <w:sz w:val="28"/>
          <w:szCs w:val="28"/>
          <w:u w:val="single"/>
        </w:rPr>
      </w:pPr>
    </w:p>
    <w:p w:rsidR="00CF7A42" w:rsidRPr="00CF7A42" w:rsidRDefault="00CF7A42" w:rsidP="00CF7A42">
      <w:pPr>
        <w:spacing w:after="0" w:line="240" w:lineRule="auto"/>
        <w:rPr>
          <w:rFonts w:eastAsia="Times New Roman"/>
          <w:b/>
          <w:sz w:val="28"/>
          <w:szCs w:val="28"/>
          <w:u w:val="single"/>
        </w:rPr>
      </w:pPr>
      <w:r w:rsidRPr="00CF7A42">
        <w:rPr>
          <w:rFonts w:eastAsia="Times New Roman"/>
          <w:b/>
          <w:sz w:val="28"/>
          <w:szCs w:val="28"/>
          <w:u w:val="single"/>
        </w:rPr>
        <w:t>Aspetti generali</w:t>
      </w:r>
    </w:p>
    <w:p w:rsidR="00CF7A42" w:rsidRDefault="00CF7A42" w:rsidP="00CF7A42">
      <w:pPr>
        <w:spacing w:after="0" w:line="240" w:lineRule="auto"/>
        <w:rPr>
          <w:rFonts w:eastAsia="Times New Roman"/>
          <w:sz w:val="28"/>
          <w:szCs w:val="28"/>
          <w:u w:val="single"/>
        </w:rPr>
      </w:pPr>
    </w:p>
    <w:p w:rsidR="00CF7A42" w:rsidRP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  <w:r w:rsidRPr="00CF7A42">
        <w:rPr>
          <w:rFonts w:eastAsia="Times New Roman"/>
          <w:sz w:val="28"/>
          <w:szCs w:val="28"/>
          <w:u w:val="single"/>
        </w:rPr>
        <w:t>Programmare il numero di IRCCS</w:t>
      </w:r>
      <w:r w:rsidRPr="00CF7A42">
        <w:rPr>
          <w:rFonts w:eastAsia="Times New Roman"/>
          <w:sz w:val="28"/>
          <w:szCs w:val="28"/>
        </w:rPr>
        <w:t xml:space="preserve"> necessari al sistema basta su una valutazione dei bisogni a livello nazionale, con adeguati aggiustamenti al fine di tener conto di bisogni locali/geografici: si veda l’esempio degli IRCCS Oncologici</w:t>
      </w:r>
    </w:p>
    <w:p w:rsidR="00CF7A42" w:rsidRP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</w:p>
    <w:p w:rsidR="00CF7A42" w:rsidRP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  <w:r w:rsidRPr="00CF7A42">
        <w:rPr>
          <w:rFonts w:eastAsia="Times New Roman"/>
          <w:sz w:val="28"/>
          <w:szCs w:val="28"/>
          <w:u w:val="single"/>
        </w:rPr>
        <w:t>Uniformità a livello nazionale e regionale  riguardo al Ruolo dei Direttori Scientifici</w:t>
      </w:r>
      <w:r w:rsidRPr="00CF7A42">
        <w:rPr>
          <w:rFonts w:eastAsia="Times New Roman"/>
          <w:sz w:val="28"/>
          <w:szCs w:val="28"/>
        </w:rPr>
        <w:t xml:space="preserve">  e condivisione obiettivi di ricerca con i Direttori Generali</w:t>
      </w:r>
    </w:p>
    <w:p w:rsidR="00CF7A42" w:rsidRP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</w:p>
    <w:p w:rsidR="002E51D6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  <w:r w:rsidRPr="00CF7A42">
        <w:rPr>
          <w:rFonts w:eastAsia="Times New Roman"/>
          <w:sz w:val="28"/>
          <w:szCs w:val="28"/>
          <w:u w:val="single"/>
        </w:rPr>
        <w:t>Programmazione regionale  sulla ricerca e finanziamento</w:t>
      </w:r>
      <w:r w:rsidRPr="00CF7A42">
        <w:rPr>
          <w:rFonts w:eastAsia="Times New Roman"/>
          <w:sz w:val="28"/>
          <w:szCs w:val="28"/>
        </w:rPr>
        <w:t xml:space="preserve"> regionale degli IRCCS  </w:t>
      </w:r>
    </w:p>
    <w:p w:rsid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</w:p>
    <w:p w:rsid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</w:p>
    <w:p w:rsidR="00CF7A42" w:rsidRPr="00CF7A42" w:rsidRDefault="00CF7A42" w:rsidP="00CF7A42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CF7A42">
        <w:rPr>
          <w:rFonts w:eastAsia="Times New Roman"/>
          <w:b/>
          <w:sz w:val="28"/>
          <w:szCs w:val="28"/>
        </w:rPr>
        <w:t>Specifiche riflessioni/proposte</w:t>
      </w:r>
    </w:p>
    <w:p w:rsidR="00CF7A42" w:rsidRPr="00CF7A42" w:rsidRDefault="00CF7A42" w:rsidP="00CF7A42">
      <w:pPr>
        <w:spacing w:after="0" w:line="240" w:lineRule="auto"/>
        <w:rPr>
          <w:rFonts w:eastAsia="Times New Roman"/>
          <w:sz w:val="28"/>
          <w:szCs w:val="28"/>
        </w:rPr>
      </w:pPr>
    </w:p>
    <w:p w:rsidR="002E51D6" w:rsidRPr="00CF7A42" w:rsidRDefault="002E51D6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  <w:u w:val="single"/>
        </w:rPr>
        <w:t>Ruolo e attenuazione della incompatibilità</w:t>
      </w:r>
      <w:r w:rsidR="00CF7A42">
        <w:rPr>
          <w:sz w:val="28"/>
          <w:szCs w:val="28"/>
          <w:u w:val="single"/>
        </w:rPr>
        <w:t>/esclusività</w:t>
      </w:r>
      <w:r w:rsidRPr="00CF7A42">
        <w:rPr>
          <w:sz w:val="28"/>
          <w:szCs w:val="28"/>
          <w:u w:val="single"/>
        </w:rPr>
        <w:t xml:space="preserve"> del Direttore Scientifico</w:t>
      </w:r>
      <w:r w:rsidRPr="00CF7A42">
        <w:rPr>
          <w:sz w:val="28"/>
          <w:szCs w:val="28"/>
        </w:rPr>
        <w:t xml:space="preserve"> (punto</w:t>
      </w:r>
      <w:r w:rsidRPr="00CF7A42">
        <w:rPr>
          <w:i/>
          <w:sz w:val="28"/>
          <w:szCs w:val="28"/>
        </w:rPr>
        <w:t xml:space="preserve"> l</w:t>
      </w:r>
      <w:r w:rsidRPr="00CF7A42">
        <w:rPr>
          <w:sz w:val="28"/>
          <w:szCs w:val="28"/>
        </w:rPr>
        <w:t xml:space="preserve"> del Disegno di Legge). La proposta presente nel punto apre  alla  attività didattica e di ricerca e si è prospettata  la possibilità che tale “apertura” possa essere individualizzata alla specifiche realtà e bisogni degli specifici IRCCS</w:t>
      </w:r>
    </w:p>
    <w:p w:rsidR="006C692E" w:rsidRPr="00CF7A42" w:rsidRDefault="006C692E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  <w:u w:val="single"/>
        </w:rPr>
        <w:t>Revisione del percorso dei “Piramidati”</w:t>
      </w:r>
      <w:r w:rsidRPr="00CF7A42">
        <w:rPr>
          <w:sz w:val="28"/>
          <w:szCs w:val="28"/>
        </w:rPr>
        <w:t xml:space="preserve"> (punto </w:t>
      </w:r>
      <w:r w:rsidRPr="00CF7A42">
        <w:rPr>
          <w:i/>
          <w:sz w:val="28"/>
          <w:szCs w:val="28"/>
        </w:rPr>
        <w:t>n</w:t>
      </w:r>
      <w:r w:rsidRPr="00CF7A42">
        <w:rPr>
          <w:sz w:val="28"/>
          <w:szCs w:val="28"/>
        </w:rPr>
        <w:t>) con la possibilità di una riduzione della durata del percorso e contratto a TD , ora 5+5, per quei casi in cui il soggetto abbia raggiunto gli obbiettivi prefissati prima dei 10 anni</w:t>
      </w:r>
    </w:p>
    <w:p w:rsidR="006C692E" w:rsidRPr="00CF7A42" w:rsidRDefault="006C692E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 xml:space="preserve">A questo punto è collegata la necessità di ipotizzare quanto prima </w:t>
      </w:r>
      <w:r w:rsidRPr="00CF7A42">
        <w:rPr>
          <w:sz w:val="28"/>
          <w:szCs w:val="28"/>
          <w:u w:val="single"/>
        </w:rPr>
        <w:t>una interazione con le singole Regioni</w:t>
      </w:r>
      <w:r w:rsidRPr="00CF7A42">
        <w:rPr>
          <w:sz w:val="28"/>
          <w:szCs w:val="28"/>
        </w:rPr>
        <w:t xml:space="preserve"> (o con la Conferenza Stato-RegionI) per  cominciare a trovare una soluzione/metodo per una progressivo inse</w:t>
      </w:r>
      <w:r w:rsidR="00527824" w:rsidRPr="00CF7A42">
        <w:rPr>
          <w:sz w:val="28"/>
          <w:szCs w:val="28"/>
        </w:rPr>
        <w:t>rimento di questi “top piramidat</w:t>
      </w:r>
      <w:r w:rsidRPr="00CF7A42">
        <w:rPr>
          <w:sz w:val="28"/>
          <w:szCs w:val="28"/>
        </w:rPr>
        <w:t>i” nel personale del SSR con cont</w:t>
      </w:r>
      <w:r w:rsidR="00527824" w:rsidRPr="00CF7A42">
        <w:rPr>
          <w:sz w:val="28"/>
          <w:szCs w:val="28"/>
        </w:rPr>
        <w:t>r</w:t>
      </w:r>
      <w:r w:rsidRPr="00CF7A42">
        <w:rPr>
          <w:sz w:val="28"/>
          <w:szCs w:val="28"/>
        </w:rPr>
        <w:t>atto a tempo indeterminato</w:t>
      </w:r>
    </w:p>
    <w:p w:rsidR="006C692E" w:rsidRPr="00CF7A42" w:rsidRDefault="006C692E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 xml:space="preserve">Accettando la distinzione tra Pubblici e Privati, all’interno dei Pubblici vi è molto eterogeneità rispetto ad alcuni punti: 1)  </w:t>
      </w:r>
      <w:r w:rsidRPr="00CF7A42">
        <w:rPr>
          <w:sz w:val="28"/>
          <w:szCs w:val="28"/>
          <w:u w:val="single"/>
        </w:rPr>
        <w:t>supporto economico delle regioni agli IRCCS</w:t>
      </w:r>
      <w:r w:rsidRPr="00CF7A42">
        <w:rPr>
          <w:sz w:val="28"/>
          <w:szCs w:val="28"/>
        </w:rPr>
        <w:t xml:space="preserve"> (presente solo in alcune, tra cui Lombardia, Emilia-Romagna, Campania)</w:t>
      </w:r>
      <w:r w:rsidR="005666B1" w:rsidRPr="00CF7A42">
        <w:rPr>
          <w:sz w:val="28"/>
          <w:szCs w:val="28"/>
        </w:rPr>
        <w:t xml:space="preserve">: </w:t>
      </w:r>
      <w:r w:rsidRPr="00CF7A42">
        <w:rPr>
          <w:sz w:val="28"/>
          <w:szCs w:val="28"/>
        </w:rPr>
        <w:t xml:space="preserve">questo aspetto è solo </w:t>
      </w:r>
      <w:r w:rsidR="005666B1" w:rsidRPr="00CF7A42">
        <w:rPr>
          <w:sz w:val="28"/>
          <w:szCs w:val="28"/>
        </w:rPr>
        <w:t>tra</w:t>
      </w:r>
      <w:r w:rsidRPr="00CF7A42">
        <w:rPr>
          <w:sz w:val="28"/>
          <w:szCs w:val="28"/>
        </w:rPr>
        <w:t>tt</w:t>
      </w:r>
      <w:r w:rsidR="005666B1" w:rsidRPr="00CF7A42">
        <w:rPr>
          <w:sz w:val="28"/>
          <w:szCs w:val="28"/>
        </w:rPr>
        <w:t>at</w:t>
      </w:r>
      <w:r w:rsidRPr="00CF7A42">
        <w:rPr>
          <w:sz w:val="28"/>
          <w:szCs w:val="28"/>
        </w:rPr>
        <w:t xml:space="preserve">o nel punto </w:t>
      </w:r>
      <w:r w:rsidRPr="00CF7A42">
        <w:rPr>
          <w:i/>
          <w:sz w:val="28"/>
          <w:szCs w:val="28"/>
        </w:rPr>
        <w:t>e</w:t>
      </w:r>
      <w:r w:rsidRPr="00CF7A42">
        <w:rPr>
          <w:sz w:val="28"/>
          <w:szCs w:val="28"/>
        </w:rPr>
        <w:t xml:space="preserve"> solo relativamente ai nuovi riconoscimenti; 2</w:t>
      </w:r>
      <w:r w:rsidRPr="00CF7A42">
        <w:rPr>
          <w:sz w:val="28"/>
          <w:szCs w:val="28"/>
          <w:u w:val="single"/>
        </w:rPr>
        <w:t>)</w:t>
      </w:r>
      <w:r w:rsidR="005666B1" w:rsidRPr="00CF7A42">
        <w:rPr>
          <w:sz w:val="28"/>
          <w:szCs w:val="28"/>
          <w:u w:val="single"/>
        </w:rPr>
        <w:t xml:space="preserve"> gerarchia , interazione e coordinamento tra DS e DG</w:t>
      </w:r>
      <w:r w:rsidR="005666B1" w:rsidRPr="00CF7A42">
        <w:rPr>
          <w:sz w:val="28"/>
          <w:szCs w:val="28"/>
        </w:rPr>
        <w:t xml:space="preserve"> (punto </w:t>
      </w:r>
      <w:r w:rsidR="005666B1" w:rsidRPr="00CF7A42">
        <w:rPr>
          <w:i/>
          <w:sz w:val="28"/>
          <w:szCs w:val="28"/>
        </w:rPr>
        <w:t>h</w:t>
      </w:r>
      <w:r w:rsidR="005666B1" w:rsidRPr="00CF7A42">
        <w:rPr>
          <w:sz w:val="28"/>
          <w:szCs w:val="28"/>
        </w:rPr>
        <w:t xml:space="preserve">); </w:t>
      </w:r>
    </w:p>
    <w:p w:rsidR="005666B1" w:rsidRPr="00CF7A42" w:rsidRDefault="005666B1" w:rsidP="003E45A0">
      <w:pPr>
        <w:jc w:val="both"/>
        <w:rPr>
          <w:sz w:val="28"/>
          <w:szCs w:val="28"/>
        </w:rPr>
      </w:pPr>
      <w:r w:rsidRPr="00CF7A42">
        <w:rPr>
          <w:sz w:val="28"/>
          <w:szCs w:val="28"/>
          <w:u w:val="single"/>
        </w:rPr>
        <w:t>Criteri di riconoscimento, conferma e eventuale revoca</w:t>
      </w:r>
      <w:r w:rsidRPr="00CF7A42">
        <w:rPr>
          <w:sz w:val="28"/>
          <w:szCs w:val="28"/>
        </w:rPr>
        <w:t>, ricordati in diversi punti (</w:t>
      </w:r>
      <w:r w:rsidRPr="00CF7A42">
        <w:rPr>
          <w:i/>
          <w:sz w:val="28"/>
          <w:szCs w:val="28"/>
        </w:rPr>
        <w:t>b,c,i</w:t>
      </w:r>
      <w:r w:rsidRPr="00CF7A42">
        <w:rPr>
          <w:sz w:val="28"/>
          <w:szCs w:val="28"/>
        </w:rPr>
        <w:t>)</w:t>
      </w:r>
      <w:r w:rsidR="00CF56D9" w:rsidRPr="00CF7A42">
        <w:rPr>
          <w:sz w:val="28"/>
          <w:szCs w:val="28"/>
        </w:rPr>
        <w:t xml:space="preserve"> che potranno essere la base per la creazione di almeno 2 Gruppi di IRCCS, in base alla capacità di rispettare e raggiungere criteri, indicatori e standard prefissasti</w:t>
      </w:r>
    </w:p>
    <w:p w:rsidR="002E51D6" w:rsidRPr="00CF7A42" w:rsidRDefault="005666B1" w:rsidP="00527824">
      <w:pPr>
        <w:jc w:val="both"/>
        <w:rPr>
          <w:sz w:val="28"/>
          <w:szCs w:val="28"/>
        </w:rPr>
      </w:pPr>
      <w:r w:rsidRPr="00CF7A42">
        <w:rPr>
          <w:sz w:val="28"/>
          <w:szCs w:val="28"/>
          <w:u w:val="single"/>
        </w:rPr>
        <w:t>Definizione di IRCCS e relativo inquadramento come legal entity</w:t>
      </w:r>
      <w:r w:rsidRPr="00CF7A42">
        <w:rPr>
          <w:sz w:val="28"/>
          <w:szCs w:val="28"/>
        </w:rPr>
        <w:t xml:space="preserve"> (punto </w:t>
      </w:r>
      <w:r w:rsidRPr="00CF7A42">
        <w:rPr>
          <w:i/>
          <w:sz w:val="28"/>
          <w:szCs w:val="28"/>
        </w:rPr>
        <w:t>a</w:t>
      </w:r>
      <w:r w:rsidRPr="00CF7A42">
        <w:rPr>
          <w:sz w:val="28"/>
          <w:szCs w:val="28"/>
        </w:rPr>
        <w:t>). L’attuale definizione si basa su un concetto di un ospedale (ricovero e cura) che riporta alla Regione per l’attività assistenziale, con un livello di ec</w:t>
      </w:r>
      <w:r w:rsidR="003E45A0" w:rsidRPr="00CF7A42">
        <w:rPr>
          <w:sz w:val="28"/>
          <w:szCs w:val="28"/>
        </w:rPr>
        <w:t>celle</w:t>
      </w:r>
      <w:r w:rsidRPr="00CF7A42">
        <w:rPr>
          <w:sz w:val="28"/>
          <w:szCs w:val="28"/>
        </w:rPr>
        <w:t xml:space="preserve">nza nella ricerca </w:t>
      </w:r>
      <w:r w:rsidR="00527824" w:rsidRPr="00CF7A42">
        <w:rPr>
          <w:sz w:val="28"/>
          <w:szCs w:val="28"/>
        </w:rPr>
        <w:t>riconosciuta del MdS</w:t>
      </w:r>
      <w:r w:rsidR="00CF56D9" w:rsidRPr="00CF7A42">
        <w:rPr>
          <w:sz w:val="28"/>
          <w:szCs w:val="28"/>
        </w:rPr>
        <w:t xml:space="preserve">, </w:t>
      </w:r>
      <w:r w:rsidR="00527824" w:rsidRPr="00CF7A42">
        <w:rPr>
          <w:sz w:val="28"/>
          <w:szCs w:val="28"/>
        </w:rPr>
        <w:t xml:space="preserve"> </w:t>
      </w:r>
      <w:r w:rsidRPr="00CF7A42">
        <w:rPr>
          <w:sz w:val="28"/>
          <w:szCs w:val="28"/>
        </w:rPr>
        <w:t xml:space="preserve">che sia di rilevanza nazionale. </w:t>
      </w:r>
      <w:r w:rsidR="003E45A0" w:rsidRPr="00CF7A42">
        <w:rPr>
          <w:sz w:val="28"/>
          <w:szCs w:val="28"/>
        </w:rPr>
        <w:t>Una applicazione alla lettera di questa definiz</w:t>
      </w:r>
      <w:r w:rsidR="00527824" w:rsidRPr="00CF7A42">
        <w:rPr>
          <w:sz w:val="28"/>
          <w:szCs w:val="28"/>
        </w:rPr>
        <w:t>ione già ora avrebbe conseguenze</w:t>
      </w:r>
      <w:r w:rsidR="003E45A0" w:rsidRPr="00CF7A42">
        <w:rPr>
          <w:sz w:val="28"/>
          <w:szCs w:val="28"/>
        </w:rPr>
        <w:t xml:space="preserve"> su alcuni degli attuali IRCCS (non ospedali, senza rilevanza nazionale). </w:t>
      </w:r>
      <w:r w:rsidRPr="00CF7A42">
        <w:rPr>
          <w:sz w:val="28"/>
          <w:szCs w:val="28"/>
        </w:rPr>
        <w:t>Modifiche di questa definizione potrebbe</w:t>
      </w:r>
      <w:r w:rsidR="00CF56D9" w:rsidRPr="00CF7A42">
        <w:rPr>
          <w:sz w:val="28"/>
          <w:szCs w:val="28"/>
        </w:rPr>
        <w:t>ro</w:t>
      </w:r>
      <w:r w:rsidRPr="00CF7A42">
        <w:rPr>
          <w:sz w:val="28"/>
          <w:szCs w:val="28"/>
        </w:rPr>
        <w:t xml:space="preserve"> </w:t>
      </w:r>
      <w:r w:rsidR="003E45A0" w:rsidRPr="00CF7A42">
        <w:rPr>
          <w:sz w:val="28"/>
          <w:szCs w:val="28"/>
        </w:rPr>
        <w:t>spo</w:t>
      </w:r>
      <w:r w:rsidRPr="00CF7A42">
        <w:rPr>
          <w:sz w:val="28"/>
          <w:szCs w:val="28"/>
        </w:rPr>
        <w:t xml:space="preserve">stare gli IRCCS verso gli Enti di </w:t>
      </w:r>
      <w:r w:rsidR="003E45A0" w:rsidRPr="00CF7A42">
        <w:rPr>
          <w:sz w:val="28"/>
          <w:szCs w:val="28"/>
        </w:rPr>
        <w:t>Ricerca</w:t>
      </w:r>
      <w:r w:rsidRPr="00CF7A42">
        <w:rPr>
          <w:sz w:val="28"/>
          <w:szCs w:val="28"/>
        </w:rPr>
        <w:t xml:space="preserve"> vigilati e/o </w:t>
      </w:r>
      <w:r w:rsidR="003E45A0" w:rsidRPr="00CF7A42">
        <w:rPr>
          <w:sz w:val="28"/>
          <w:szCs w:val="28"/>
        </w:rPr>
        <w:t>verso</w:t>
      </w:r>
      <w:r w:rsidRPr="00CF7A42">
        <w:rPr>
          <w:sz w:val="28"/>
          <w:szCs w:val="28"/>
        </w:rPr>
        <w:t xml:space="preserve"> una </w:t>
      </w:r>
      <w:r w:rsidR="003E45A0" w:rsidRPr="00CF7A42">
        <w:rPr>
          <w:sz w:val="28"/>
          <w:szCs w:val="28"/>
        </w:rPr>
        <w:t>definizione</w:t>
      </w:r>
      <w:r w:rsidRPr="00CF7A42">
        <w:rPr>
          <w:sz w:val="28"/>
          <w:szCs w:val="28"/>
        </w:rPr>
        <w:t xml:space="preserve"> di Ospedali di </w:t>
      </w:r>
      <w:r w:rsidR="003E45A0" w:rsidRPr="00CF7A42">
        <w:rPr>
          <w:sz w:val="28"/>
          <w:szCs w:val="28"/>
        </w:rPr>
        <w:t>Ricerca</w:t>
      </w:r>
      <w:r w:rsidRPr="00CF7A42">
        <w:rPr>
          <w:sz w:val="28"/>
          <w:szCs w:val="28"/>
        </w:rPr>
        <w:t xml:space="preserve"> con implicazioni</w:t>
      </w:r>
      <w:r w:rsidR="00527824" w:rsidRPr="00CF7A42">
        <w:rPr>
          <w:sz w:val="28"/>
          <w:szCs w:val="28"/>
        </w:rPr>
        <w:t xml:space="preserve"> positive e negative da chiarire.</w:t>
      </w:r>
    </w:p>
    <w:p w:rsidR="00CF56D9" w:rsidRPr="00CF7A42" w:rsidRDefault="00CF56D9" w:rsidP="00CF56D9">
      <w:pPr>
        <w:spacing w:after="0" w:line="240" w:lineRule="auto"/>
        <w:rPr>
          <w:rFonts w:eastAsia="Times New Roman"/>
          <w:sz w:val="28"/>
          <w:szCs w:val="28"/>
        </w:rPr>
      </w:pPr>
    </w:p>
    <w:p w:rsidR="00CF56D9" w:rsidRPr="00CF7A42" w:rsidRDefault="000421E8" w:rsidP="00527824">
      <w:pPr>
        <w:jc w:val="both"/>
        <w:rPr>
          <w:sz w:val="28"/>
          <w:szCs w:val="28"/>
        </w:rPr>
      </w:pPr>
      <w:r w:rsidRPr="00CF7A42">
        <w:rPr>
          <w:sz w:val="28"/>
          <w:szCs w:val="28"/>
        </w:rPr>
        <w:t xml:space="preserve">A breve, gli IRCCS pubblici produrranno un documento più esaustivo, concordato, da condividere con le parti istituzionali. </w:t>
      </w:r>
    </w:p>
    <w:p w:rsidR="002E51D6" w:rsidRPr="00CF7A42" w:rsidRDefault="002E51D6">
      <w:pPr>
        <w:rPr>
          <w:sz w:val="28"/>
          <w:szCs w:val="28"/>
        </w:rPr>
      </w:pPr>
    </w:p>
    <w:sectPr w:rsidR="002E51D6" w:rsidRPr="00CF7A42" w:rsidSect="00D779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13A07"/>
    <w:multiLevelType w:val="multilevel"/>
    <w:tmpl w:val="D072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D6"/>
    <w:rsid w:val="000421E8"/>
    <w:rsid w:val="002E51D6"/>
    <w:rsid w:val="003E45A0"/>
    <w:rsid w:val="004B137B"/>
    <w:rsid w:val="00527824"/>
    <w:rsid w:val="005666B1"/>
    <w:rsid w:val="0061458F"/>
    <w:rsid w:val="006C692E"/>
    <w:rsid w:val="007E3024"/>
    <w:rsid w:val="00897932"/>
    <w:rsid w:val="008A52DA"/>
    <w:rsid w:val="009C2ACA"/>
    <w:rsid w:val="00B904A9"/>
    <w:rsid w:val="00C80473"/>
    <w:rsid w:val="00CF56D9"/>
    <w:rsid w:val="00CF7A42"/>
    <w:rsid w:val="00D7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267AD22-A1CC-4407-B5D3-F60B39F27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779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i_Microsoft_PowerPoint1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a_di_Microsoft_PowerPoint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Diapositiva_di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671</Words>
  <Characters>3831</Characters>
  <Application>Microsoft Office Word</Application>
  <DocSecurity>4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apolonegiovanni</dc:creator>
  <cp:lastModifiedBy>Claudia Provenzano</cp:lastModifiedBy>
  <cp:revision>2</cp:revision>
  <cp:lastPrinted>2022-03-21T16:13:00Z</cp:lastPrinted>
  <dcterms:created xsi:type="dcterms:W3CDTF">2022-04-01T08:22:00Z</dcterms:created>
  <dcterms:modified xsi:type="dcterms:W3CDTF">2022-04-01T08:22:00Z</dcterms:modified>
</cp:coreProperties>
</file>