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605" w:rsidRDefault="007B5605" w:rsidP="000A5178"/>
    <w:p w:rsidR="00D86ABC" w:rsidRDefault="00D86ABC" w:rsidP="000A5178"/>
    <w:p w:rsidR="00696AA7" w:rsidRDefault="00696AA7" w:rsidP="00696AA7">
      <w:pPr>
        <w:pStyle w:val="Titolo3"/>
        <w:jc w:val="center"/>
      </w:pPr>
      <w:r>
        <w:t xml:space="preserve">Approfondimento sulle misure adottate </w:t>
      </w:r>
      <w:r>
        <w:br/>
        <w:t xml:space="preserve">a seguito del DPCM del 2 marzo 2021 </w:t>
      </w:r>
      <w:r>
        <w:br/>
        <w:t>(ultimo provvedimento a contrasto dell’emergenza COVID19 adottato con la forma del decreto del Presidente del Consiglio dei Ministri).</w:t>
      </w:r>
    </w:p>
    <w:p w:rsidR="00696AA7" w:rsidRDefault="00696AA7" w:rsidP="00696AA7">
      <w:pPr>
        <w:pStyle w:val="Titolo3"/>
      </w:pPr>
    </w:p>
    <w:p w:rsidR="00696AA7" w:rsidRPr="00696AA7" w:rsidRDefault="00696AA7" w:rsidP="00696AA7">
      <w:r w:rsidRPr="00696AA7">
        <w:t xml:space="preserve">Le misure da adottare nelle aree "gialle" confermano la sospensione delle attività riguardanti palestre, piscine ed impianti sciistici e la possibilità dell'apertura di musei nei giorni infrasettimanali, purchè con afflusso controllato. L'apertura anche il sabato e nei giorni festivi dei musei in tali zone è prevista </w:t>
      </w:r>
      <w:r w:rsidRPr="00696AA7">
        <w:rPr>
          <w:b/>
          <w:bCs/>
        </w:rPr>
        <w:t>dal prossimo 27 marzo</w:t>
      </w:r>
      <w:r w:rsidRPr="00696AA7">
        <w:t xml:space="preserve">, così come la </w:t>
      </w:r>
      <w:r w:rsidRPr="00696AA7">
        <w:rPr>
          <w:b/>
          <w:bCs/>
        </w:rPr>
        <w:t>riapertura di teatri e cinema</w:t>
      </w:r>
      <w:r w:rsidRPr="00696AA7">
        <w:t xml:space="preserve">, con posti a sedere preassegnati, nel rispetto delle norme di distanziamento. In ogni caso, la capienza non potrà superare il 25% di quella massima, fino a 400 spettatori all'aperto e 200 al chiuso per ogni sala. Rimangono inoltre </w:t>
      </w:r>
      <w:r w:rsidRPr="00696AA7">
        <w:rPr>
          <w:b/>
          <w:bCs/>
        </w:rPr>
        <w:t>sospese le attività dei centri culturali</w:t>
      </w:r>
      <w:r w:rsidRPr="00696AA7">
        <w:t xml:space="preserve">, centri sociali e centri ricreativi, le attività presso discoteche e locali assimilati, all'aperto o al chiuso; vietate anche le feste nei luoghi al chiuso e all'aperto, incluse quelle relative a cerimonie civili e religiose, oltre che sagre, fiere di qualunque genere ed eventi analoghi. Sono invece consentite fino alle 18 le attività di bar e ristoranti, anche con servizio al tavolo per un massimo di quattro persone non conviventi; dopo le 18 è consentito solo l'asporto. </w:t>
      </w:r>
      <w:r w:rsidRPr="00696AA7">
        <w:rPr>
          <w:b/>
          <w:bCs/>
        </w:rPr>
        <w:t>Ulteriore novità</w:t>
      </w:r>
      <w:r w:rsidRPr="00696AA7">
        <w:t xml:space="preserve"> è la possibilità per i Presidenti delle Regioni </w:t>
      </w:r>
      <w:bookmarkStart w:id="0" w:name="_GoBack"/>
      <w:bookmarkEnd w:id="0"/>
      <w:r w:rsidRPr="00696AA7">
        <w:t xml:space="preserve">"gialle" o "arancioni" (le cui misure previste vengono disciplinate dal Capo IV del Decreto) di disporre la </w:t>
      </w:r>
      <w:r w:rsidRPr="00696AA7">
        <w:rPr>
          <w:b/>
          <w:bCs/>
        </w:rPr>
        <w:t>sospensione dell'attività scolastica</w:t>
      </w:r>
      <w:r w:rsidRPr="00696AA7">
        <w:t xml:space="preserve"> nelle aree in cui abbiano adottato misure più stringenti per via della gravità delle varianti; oppure nelle zone in cui vi siano più di </w:t>
      </w:r>
      <w:r w:rsidRPr="00696AA7">
        <w:rPr>
          <w:b/>
          <w:bCs/>
        </w:rPr>
        <w:t>250 contagi ogni 100mila abitanti nell'arco di 7 giorni</w:t>
      </w:r>
      <w:r w:rsidRPr="00696AA7">
        <w:t xml:space="preserve"> o ancora nel caso di una eccezionale situazione di peggioramento del quadro epidemiologico. Per i divieti di spostamento, nelle zone arancioni (come nelle zone rosse) sarà consentito il transito sui territori se necessario per raggiungere ulteriori territori non soggetti a restrizioni negli spostamenti. Le </w:t>
      </w:r>
      <w:r w:rsidRPr="00696AA7">
        <w:rPr>
          <w:b/>
          <w:bCs/>
        </w:rPr>
        <w:t>attività dei servizi di ristorazione</w:t>
      </w:r>
      <w:r w:rsidRPr="00696AA7">
        <w:t xml:space="preserve">, ai sensi dell'articolo 27 del Decreto, sono consentite fino alle h. 18, eccetto che per alberghi e strutture ricettive, restando ferma in ogni caso la possibilità delle </w:t>
      </w:r>
      <w:r w:rsidRPr="00696AA7">
        <w:rPr>
          <w:b/>
          <w:bCs/>
        </w:rPr>
        <w:t>consegne a domicilio</w:t>
      </w:r>
      <w:r w:rsidRPr="00696AA7">
        <w:t>. Rimane il divieto di asporto per le attività dei bar (codice ATECO 56.3) dopo le 18, fatta eccezione per le enoteche o esercizi di commercio al dettaglio di bevande (codice ATECO 47.25) per i quali è consentito l'asporto solo fino alle 22. Resta ovviamente fermo il divieto di consumo sul posto.</w:t>
      </w:r>
      <w:r w:rsidRPr="00696AA7">
        <w:br/>
        <w:t>Con riferimento al capitolo "Istruzione", nelle</w:t>
      </w:r>
      <w:r w:rsidRPr="00696AA7">
        <w:rPr>
          <w:b/>
          <w:bCs/>
        </w:rPr>
        <w:t xml:space="preserve"> zone "rosse"</w:t>
      </w:r>
      <w:r w:rsidRPr="00696AA7">
        <w:t xml:space="preserve"> disciplinate dal Capo V del Decreto, individuate come regioni nel cui territorio si manifesti un'</w:t>
      </w:r>
      <w:r w:rsidRPr="00696AA7">
        <w:rPr>
          <w:b/>
          <w:bCs/>
        </w:rPr>
        <w:t>incidenza settimanale dei contagi superiore a 50 casi ogni 100.000 abitanti</w:t>
      </w:r>
      <w:r w:rsidRPr="00696AA7">
        <w:t xml:space="preserve"> e che si collocano in uno </w:t>
      </w:r>
      <w:r w:rsidRPr="00696AA7">
        <w:rPr>
          <w:b/>
          <w:bCs/>
        </w:rPr>
        <w:t xml:space="preserve">scenario almeno di tipo 3 e con un livello di rischio almeno </w:t>
      </w:r>
      <w:r w:rsidRPr="00696AA7">
        <w:rPr>
          <w:b/>
          <w:bCs/>
        </w:rPr>
        <w:lastRenderedPageBreak/>
        <w:t>moderato</w:t>
      </w:r>
      <w:r w:rsidRPr="00696AA7">
        <w:t xml:space="preserve">, si prevede l'applicazione di misure più rigorose di prevenzione ulteriori rispetto a tutte quelle previste per le zone gialle, come il divieto di spostamento anche all'interno del medesimo territorio regionale: dal 6 marzo si prevede in tali zone la </w:t>
      </w:r>
      <w:r w:rsidRPr="00696AA7">
        <w:rPr>
          <w:b/>
          <w:bCs/>
        </w:rPr>
        <w:t xml:space="preserve">sospensione dell'attività in presenza delle scuole di ogni ordine e grado </w:t>
      </w:r>
      <w:r w:rsidRPr="00696AA7">
        <w:t>(che si dovranno svolgere pertanto esclusivamente con modalità a distanza), comprese le scuole dell'infanzia ed elementari, ferma restando la possibilità di svolgere attività in presenza per l'utilizzo di laboratori e per gli alunni con disabilità e con bisogni educativi speciali; la sospensione di tutte le attività motorie e sportive, inclusi eventi e competizioni, anche svolti all'aperto, eccezion fatta per quelle svolta in forma individuale; vengono sospese anche le mostre - oltre che, come già previsto, gli spettacoli teatrali e cinematografici, e i concerti -, ma permangono i servizi su prenotazione delle biblioteche. Nelle zone rosse rimarranno inoltre sospesi i servizi alla persona come parrucchieri, barbieri e centri estetici, e consentiti solo i servizi di lavanderia e pompe funebri. Con riferimento alle</w:t>
      </w:r>
      <w:r w:rsidRPr="00696AA7">
        <w:rPr>
          <w:b/>
          <w:bCs/>
        </w:rPr>
        <w:t xml:space="preserve"> attività lavorative</w:t>
      </w:r>
      <w:r w:rsidRPr="00696AA7">
        <w:t xml:space="preserve">, si dispone la </w:t>
      </w:r>
      <w:r w:rsidRPr="00696AA7">
        <w:rPr>
          <w:b/>
          <w:bCs/>
        </w:rPr>
        <w:t>limitazione della presenza del personale nei luoghi di lavoro</w:t>
      </w:r>
      <w:r w:rsidRPr="00696AA7">
        <w:t xml:space="preserve">, assicurando esclusivamente le attività indifferibili che richiedono la presenza, anche </w:t>
      </w:r>
      <w:r w:rsidRPr="00696AA7">
        <w:rPr>
          <w:b/>
          <w:bCs/>
        </w:rPr>
        <w:t>in ragione dell'emergenza</w:t>
      </w:r>
      <w:r w:rsidRPr="00696AA7">
        <w:t xml:space="preserve">. Il personale non in presenza presta la propria attività lavorativa in </w:t>
      </w:r>
      <w:r w:rsidRPr="00696AA7">
        <w:rPr>
          <w:b/>
          <w:bCs/>
        </w:rPr>
        <w:t>modalità agile</w:t>
      </w:r>
      <w:r w:rsidRPr="00696AA7">
        <w:t xml:space="preserve">. Specifiche e dettagliate norme vengono inoltre previste con riferimento agli </w:t>
      </w:r>
      <w:r w:rsidRPr="00696AA7">
        <w:rPr>
          <w:b/>
          <w:bCs/>
        </w:rPr>
        <w:t xml:space="preserve">spostamenti da e per l'estero </w:t>
      </w:r>
      <w:r w:rsidRPr="00696AA7">
        <w:t>(articolo 49), ampliando gli elenchi dei Paesi interessati dai divieti (ivi includendo l'</w:t>
      </w:r>
      <w:hyperlink r:id="rId7" w:history="1">
        <w:r w:rsidRPr="00696AA7">
          <w:rPr>
            <w:rStyle w:val="Collegamentoipertestuale"/>
          </w:rPr>
          <w:t>elenco E dell'allegato 20</w:t>
        </w:r>
      </w:hyperlink>
      <w:r w:rsidRPr="00696AA7">
        <w:t>, vale a dire tutti i paesi non espressamente citati negli altri elenchi) e ai</w:t>
      </w:r>
      <w:r w:rsidRPr="00696AA7">
        <w:rPr>
          <w:b/>
          <w:bCs/>
        </w:rPr>
        <w:t xml:space="preserve"> trasporti pubblici o di vettori privati</w:t>
      </w:r>
      <w:r w:rsidRPr="00696AA7">
        <w:t xml:space="preserve">. Riguardo l'attuazione delle misure, si fa obbligo al Prefetto territorialmente competente, tenuto ad informare preventivamente il Ministro dell'interno, di </w:t>
      </w:r>
      <w:r w:rsidRPr="00696AA7">
        <w:rPr>
          <w:b/>
          <w:bCs/>
        </w:rPr>
        <w:t>assicurare l'esecuzione delle misure del Decreto</w:t>
      </w:r>
      <w:r w:rsidRPr="00696AA7">
        <w:t xml:space="preserve">, e a monitorare l'attuazione delle restanti misure da parte delle amministrazioni  competenti, avvalendosi delle Forze di polizia, del Corpo nazionale dei Vigili del fuoco e dell'Ispettorato del lavoro, oltre che, ove necessario, delle Forze armate, informando il presidente della Regione o della Provincia autonoma interessata. </w:t>
      </w:r>
      <w:r w:rsidRPr="00696AA7">
        <w:rPr>
          <w:b/>
          <w:bCs/>
        </w:rPr>
        <w:t>Ulteriore novità</w:t>
      </w:r>
      <w:r w:rsidRPr="00696AA7">
        <w:t xml:space="preserve"> è un </w:t>
      </w:r>
      <w:r w:rsidRPr="00696AA7">
        <w:rPr>
          <w:b/>
          <w:bCs/>
        </w:rPr>
        <w:t>tavolo tecnico di confronto con le Regioni</w:t>
      </w:r>
      <w:r w:rsidRPr="00696AA7">
        <w:t xml:space="preserve">, la cui istituzione è prevista con decreto del Ministero della salute, con componenti in rappresentanza dello stesso Ministero, dell'Istituto superiore di sanità, delle regioni e delle province autonome, del Ministro per gli affari regionali e le autonomie e del Comitato tecnico-scientifico, con il compito di procedere all'eventuale </w:t>
      </w:r>
      <w:r w:rsidRPr="00696AA7">
        <w:rPr>
          <w:b/>
          <w:bCs/>
        </w:rPr>
        <w:t>revisione o aggiornamento dei parametri per la valutazione del rischio epidemiologico</w:t>
      </w:r>
      <w:r w:rsidRPr="00696AA7">
        <w:t>, in considerazione anche delle nuove varianti virali.</w:t>
      </w:r>
    </w:p>
    <w:p w:rsidR="00696AA7" w:rsidRPr="00696AA7" w:rsidRDefault="00696AA7" w:rsidP="00696AA7">
      <w:r w:rsidRPr="00696AA7">
        <w:t> </w:t>
      </w:r>
    </w:p>
    <w:p w:rsidR="00D86ABC" w:rsidRPr="000A5178" w:rsidRDefault="00D86ABC" w:rsidP="00696AA7"/>
    <w:sectPr w:rsidR="00D86ABC" w:rsidRPr="000A5178" w:rsidSect="00D904BD">
      <w:headerReference w:type="default" r:id="rId8"/>
      <w:footerReference w:type="even" r:id="rId9"/>
      <w:footerReference w:type="default" r:id="rId10"/>
      <w:type w:val="oddPage"/>
      <w:pgSz w:w="11906" w:h="16838" w:code="9"/>
      <w:pgMar w:top="1985" w:right="1985" w:bottom="1985" w:left="1985" w:header="1134" w:footer="1134" w:gutter="0"/>
      <w:cols w:space="284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796" w:rsidRDefault="00181796">
      <w:r>
        <w:separator/>
      </w:r>
    </w:p>
    <w:p w:rsidR="00181796" w:rsidRDefault="00181796"/>
  </w:endnote>
  <w:endnote w:type="continuationSeparator" w:id="0">
    <w:p w:rsidR="00181796" w:rsidRDefault="00181796">
      <w:r>
        <w:continuationSeparator/>
      </w:r>
    </w:p>
    <w:p w:rsidR="00181796" w:rsidRDefault="001817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A981571-5C08-40FD-9116-8EB36ABE3B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99F4A5-DED8-47FD-8904-1C8D6C6630DF}"/>
    <w:embedBold r:id="rId3" w:fontKey="{31AB4185-797E-436C-8D79-0FF1E077E294}"/>
    <w:embedItalic r:id="rId4" w:fontKey="{3C19BC05-28FA-4008-B9AB-BC07E286BF1D}"/>
    <w:embedBoldItalic r:id="rId5" w:fontKey="{1F08523C-14F3-4E3F-A679-5D33A483F4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E6593D6-23EF-49DF-AC76-2640B362E8E1}"/>
    <w:embedBold r:id="rId7" w:fontKey="{C8FA48E1-5664-42A2-9E55-305A4092E666}"/>
    <w:embedItalic r:id="rId8" w:fontKey="{0DA35D8F-E113-49C3-9491-D07501C1AEEE}"/>
    <w:embedBoldItalic r:id="rId9" w:fontKey="{4BDE8F6A-0FAD-474D-85DC-07440034520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ACB5E26-A5B3-4B9E-BFA2-A33506DFDD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EC4F8A0E-1553-49D0-A1F1-9DBDE7BC895E}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12" w:fontKey="{7162CE3B-9552-4D37-8998-F46EA924A5F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4CEC263B-8ADA-40DA-892B-C88A0D5D2861}"/>
    <w:embedBold r:id="rId14" w:fontKey="{707393AB-0FB5-4458-B892-58021C1E5B49}"/>
    <w:embedItalic r:id="rId15" w:fontKey="{0053036B-B4DC-41F5-8924-1520AE5E565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FC38DEC4-F05F-49E2-B5D4-327BFD2DD348}"/>
    <w:embedBold r:id="rId17" w:fontKey="{6DA5F885-661E-4CD9-BCE0-6F87E62A0FA5}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8" w:fontKey="{F874DFCE-85FB-4DB8-BE5F-26BE8DBCCF4E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9" w:fontKey="{CA527F10-9EA4-4510-A5FB-DA7BA2C8AB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9EFB25F8-6215-4BEA-BDD5-A1903C7583D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1" w:fontKey="{A153F94F-5E51-4757-AC0A-58DDBF1ED88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2" w:fontKey="{21DE614F-842F-47FD-A25E-A0CAC1CB367F}"/>
    <w:embedBold r:id="rId23" w:fontKey="{34C86597-FCA7-4BF2-AEC1-7EB1CD752AA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4" w:fontKey="{AB025C84-D493-4C07-B43E-7959454FDE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1AE1C2F1-A29C-4DA7-BA40-EED4C1530367}"/>
    <w:embedBold r:id="rId26" w:fontKey="{BA927932-8CCF-4904-95D2-CD3A1902E7B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7" w:fontKey="{4DA95198-0A69-47DD-AE42-F37551761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696AA7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696AA7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796" w:rsidRDefault="00181796">
      <w:r>
        <w:separator/>
      </w:r>
    </w:p>
  </w:footnote>
  <w:footnote w:type="continuationSeparator" w:id="0">
    <w:p w:rsidR="00181796" w:rsidRDefault="00181796">
      <w:r>
        <w:continuationSeparator/>
      </w:r>
    </w:p>
    <w:p w:rsidR="00181796" w:rsidRDefault="001817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1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3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7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8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19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0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1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4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6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29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3"/>
  </w:num>
  <w:num w:numId="5">
    <w:abstractNumId w:val="28"/>
  </w:num>
  <w:num w:numId="6">
    <w:abstractNumId w:val="16"/>
  </w:num>
  <w:num w:numId="7">
    <w:abstractNumId w:val="25"/>
  </w:num>
  <w:num w:numId="8">
    <w:abstractNumId w:val="12"/>
  </w:num>
  <w:num w:numId="9">
    <w:abstractNumId w:val="3"/>
  </w:num>
  <w:num w:numId="10">
    <w:abstractNumId w:val="29"/>
  </w:num>
  <w:num w:numId="11">
    <w:abstractNumId w:val="10"/>
  </w:num>
  <w:num w:numId="12">
    <w:abstractNumId w:val="20"/>
  </w:num>
  <w:num w:numId="13">
    <w:abstractNumId w:val="15"/>
  </w:num>
  <w:num w:numId="14">
    <w:abstractNumId w:val="26"/>
  </w:num>
  <w:num w:numId="15">
    <w:abstractNumId w:val="17"/>
  </w:num>
  <w:num w:numId="16">
    <w:abstractNumId w:val="8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9"/>
  </w:num>
  <w:num w:numId="27">
    <w:abstractNumId w:val="10"/>
  </w:num>
  <w:num w:numId="28">
    <w:abstractNumId w:val="19"/>
  </w:num>
  <w:num w:numId="29">
    <w:abstractNumId w:val="18"/>
  </w:num>
  <w:num w:numId="30">
    <w:abstractNumId w:val="14"/>
  </w:num>
  <w:num w:numId="31">
    <w:abstractNumId w:val="24"/>
  </w:num>
  <w:num w:numId="32">
    <w:abstractNumId w:val="24"/>
  </w:num>
  <w:num w:numId="33">
    <w:abstractNumId w:val="24"/>
  </w:num>
  <w:num w:numId="34">
    <w:abstractNumId w:val="21"/>
  </w:num>
  <w:num w:numId="35">
    <w:abstractNumId w:val="21"/>
  </w:num>
  <w:num w:numId="36">
    <w:abstractNumId w:val="21"/>
  </w:num>
  <w:num w:numId="37">
    <w:abstractNumId w:val="27"/>
  </w:num>
  <w:num w:numId="38">
    <w:abstractNumId w:val="3"/>
  </w:num>
  <w:num w:numId="39">
    <w:abstractNumId w:val="29"/>
  </w:num>
  <w:num w:numId="40">
    <w:abstractNumId w:val="10"/>
  </w:num>
  <w:num w:numId="41">
    <w:abstractNumId w:val="25"/>
  </w:num>
  <w:num w:numId="42">
    <w:abstractNumId w:val="12"/>
  </w:num>
  <w:num w:numId="43">
    <w:abstractNumId w:val="3"/>
  </w:num>
  <w:num w:numId="44">
    <w:abstractNumId w:val="29"/>
  </w:num>
  <w:num w:numId="45">
    <w:abstractNumId w:val="10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BC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63CE"/>
    <w:rsid w:val="00027E0E"/>
    <w:rsid w:val="00031017"/>
    <w:rsid w:val="00031506"/>
    <w:rsid w:val="000340C6"/>
    <w:rsid w:val="00034E07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93030"/>
    <w:rsid w:val="000930BE"/>
    <w:rsid w:val="0009365F"/>
    <w:rsid w:val="0009559C"/>
    <w:rsid w:val="000A5178"/>
    <w:rsid w:val="000B0271"/>
    <w:rsid w:val="000B2065"/>
    <w:rsid w:val="000B2690"/>
    <w:rsid w:val="000B3065"/>
    <w:rsid w:val="000B35E6"/>
    <w:rsid w:val="000D0747"/>
    <w:rsid w:val="000D2DF5"/>
    <w:rsid w:val="000D4F08"/>
    <w:rsid w:val="000E0775"/>
    <w:rsid w:val="000E0E27"/>
    <w:rsid w:val="000E15B7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1280"/>
    <w:rsid w:val="00107049"/>
    <w:rsid w:val="00107FB9"/>
    <w:rsid w:val="00110AB8"/>
    <w:rsid w:val="00110D3B"/>
    <w:rsid w:val="0011184E"/>
    <w:rsid w:val="0011220B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2E79"/>
    <w:rsid w:val="00172EC1"/>
    <w:rsid w:val="001801B0"/>
    <w:rsid w:val="00181796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1F4A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693F"/>
    <w:rsid w:val="003173C8"/>
    <w:rsid w:val="00317B34"/>
    <w:rsid w:val="00320C3B"/>
    <w:rsid w:val="003224C8"/>
    <w:rsid w:val="0032277A"/>
    <w:rsid w:val="003230BC"/>
    <w:rsid w:val="003231E6"/>
    <w:rsid w:val="00323F8B"/>
    <w:rsid w:val="00324067"/>
    <w:rsid w:val="00324291"/>
    <w:rsid w:val="00324E1B"/>
    <w:rsid w:val="00333DAE"/>
    <w:rsid w:val="003342CC"/>
    <w:rsid w:val="0033747B"/>
    <w:rsid w:val="0033793A"/>
    <w:rsid w:val="00350776"/>
    <w:rsid w:val="003561C6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7B56"/>
    <w:rsid w:val="00404550"/>
    <w:rsid w:val="00405BE5"/>
    <w:rsid w:val="004131CE"/>
    <w:rsid w:val="00414885"/>
    <w:rsid w:val="004205BB"/>
    <w:rsid w:val="0042173F"/>
    <w:rsid w:val="004220EF"/>
    <w:rsid w:val="0042565C"/>
    <w:rsid w:val="0042599D"/>
    <w:rsid w:val="00426FBC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5009AA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5918"/>
    <w:rsid w:val="005B6F13"/>
    <w:rsid w:val="005C2175"/>
    <w:rsid w:val="005C2578"/>
    <w:rsid w:val="005C2D8B"/>
    <w:rsid w:val="005C6B90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6AA7"/>
    <w:rsid w:val="006975CF"/>
    <w:rsid w:val="0069796C"/>
    <w:rsid w:val="006A306B"/>
    <w:rsid w:val="006A5EF4"/>
    <w:rsid w:val="006B131F"/>
    <w:rsid w:val="006B37A3"/>
    <w:rsid w:val="006B530F"/>
    <w:rsid w:val="006B5A37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DC9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FBB"/>
    <w:rsid w:val="007D70F0"/>
    <w:rsid w:val="007E18AE"/>
    <w:rsid w:val="007E40CA"/>
    <w:rsid w:val="007E6551"/>
    <w:rsid w:val="007F4AE3"/>
    <w:rsid w:val="007F6BFB"/>
    <w:rsid w:val="0080005E"/>
    <w:rsid w:val="0080083E"/>
    <w:rsid w:val="00802B9C"/>
    <w:rsid w:val="00807AA4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D15A5"/>
    <w:rsid w:val="008D329A"/>
    <w:rsid w:val="008D4F47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2046"/>
    <w:rsid w:val="0096224C"/>
    <w:rsid w:val="00962275"/>
    <w:rsid w:val="009740CB"/>
    <w:rsid w:val="0098142D"/>
    <w:rsid w:val="00981DB5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C0478"/>
    <w:rsid w:val="009C096D"/>
    <w:rsid w:val="009C0DBB"/>
    <w:rsid w:val="009C1BCE"/>
    <w:rsid w:val="009C22F9"/>
    <w:rsid w:val="009C2CDF"/>
    <w:rsid w:val="009C44B3"/>
    <w:rsid w:val="009C7ACA"/>
    <w:rsid w:val="009D672F"/>
    <w:rsid w:val="009D77F5"/>
    <w:rsid w:val="009D7ACE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408B"/>
    <w:rsid w:val="00AC4D32"/>
    <w:rsid w:val="00AC4FC4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AF8"/>
    <w:rsid w:val="00C36FA9"/>
    <w:rsid w:val="00C376AF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86ABC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4FC5"/>
    <w:rsid w:val="00DD4FEC"/>
    <w:rsid w:val="00DD6DA0"/>
    <w:rsid w:val="00DD6FB6"/>
    <w:rsid w:val="00DD7294"/>
    <w:rsid w:val="00DE077D"/>
    <w:rsid w:val="00DE23FF"/>
    <w:rsid w:val="00DE3AB5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BAB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0CF3ADEC"/>
  <w15:chartTrackingRefBased/>
  <w15:docId w15:val="{B568C713-C2F8-420F-9ED3-DB873D64A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851C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qFormat/>
    <w:rsid w:val="003608A4"/>
    <w:pPr>
      <w:keepNext/>
      <w:spacing w:before="480" w:after="480"/>
      <w:ind w:firstLine="0"/>
      <w:jc w:val="center"/>
      <w:outlineLvl w:val="0"/>
    </w:pPr>
    <w:rPr>
      <w:b/>
      <w:smallCaps/>
      <w:kern w:val="28"/>
      <w:sz w:val="26"/>
    </w:rPr>
  </w:style>
  <w:style w:type="paragraph" w:styleId="Titolo2">
    <w:name w:val="heading 2"/>
    <w:basedOn w:val="Normale"/>
    <w:next w:val="Normale"/>
    <w:qFormat/>
    <w:rsid w:val="003608A4"/>
    <w:pPr>
      <w:keepNext/>
      <w:spacing w:before="480" w:after="240"/>
      <w:ind w:left="284" w:hanging="284"/>
      <w:jc w:val="left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3608A4"/>
    <w:pPr>
      <w:keepNext/>
      <w:spacing w:before="240" w:after="180"/>
      <w:ind w:left="568" w:hanging="284"/>
      <w:jc w:val="left"/>
      <w:outlineLvl w:val="2"/>
    </w:pPr>
    <w:rPr>
      <w:b/>
      <w:i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ind w:firstLine="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ind w:firstLine="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ind w:firstLine="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ind w:firstLine="0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  <w:ind w:firstLine="0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ind w:firstLine="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ind w:firstLine="0"/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ind w:firstLine="0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ind w:firstLine="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ind w:firstLine="0"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ind w:firstLine="0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after="120" w:line="240" w:lineRule="auto"/>
      <w:ind w:firstLine="0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ind w:firstLine="0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ind w:firstLine="0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ind w:firstLine="0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ind w:firstLine="0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ind w:firstLine="0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ind w:firstLine="0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ind w:firstLine="0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before="120" w:after="120" w:line="280" w:lineRule="exact"/>
      <w:ind w:left="425" w:right="851" w:firstLine="0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ind w:firstLine="0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ind w:firstLine="0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after="12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ind w:firstLine="0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ind w:firstLine="0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ind w:firstLine="0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after="120" w:line="240" w:lineRule="auto"/>
      <w:ind w:firstLine="0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after="120" w:line="240" w:lineRule="atLeast"/>
      <w:ind w:left="-840" w:firstLine="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ind w:firstLine="0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  <w:pPr>
      <w:spacing w:after="120"/>
    </w:pPr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 w:firstLine="0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ind w:firstLine="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after="120"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after="120"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before="120" w:after="120"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pPr>
      <w:spacing w:after="120"/>
      <w:ind w:firstLine="0"/>
    </w:pPr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ind w:firstLine="0"/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spacing w:before="120"/>
      <w:ind w:left="284" w:right="284" w:firstLine="0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ind w:firstLine="0"/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spacing w:before="120"/>
      <w:ind w:left="142" w:right="140" w:firstLine="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ind w:firstLine="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 w:firstLine="0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ind w:firstLine="0"/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  <w:jc w:val="center"/>
    </w:pPr>
  </w:style>
  <w:style w:type="paragraph" w:customStyle="1" w:styleId="To">
    <w:name w:val="To"/>
    <w:basedOn w:val="Normale"/>
    <w:rsid w:val="003608A4"/>
    <w:pPr>
      <w:spacing w:line="240" w:lineRule="auto"/>
      <w:ind w:firstLine="0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pPr>
      <w:ind w:firstLine="0"/>
    </w:pPr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ind w:firstLine="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effect w:val="none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after="120"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ind w:firstLine="0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rsid w:val="003608A4"/>
    <w:pPr>
      <w:spacing w:after="120"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ind w:firstLine="0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spacing w:before="120"/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pPr>
      <w:ind w:firstLine="0"/>
    </w:pPr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ind w:firstLine="0"/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ind w:firstLine="0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before="120"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before="120" w:line="240" w:lineRule="auto"/>
      <w:ind w:firstLine="0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ind w:firstLine="0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ind w:firstLine="0"/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ind w:firstLine="0"/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ind w:firstLine="0"/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ind w:firstLine="0"/>
      <w:jc w:val="center"/>
    </w:pPr>
  </w:style>
  <w:style w:type="paragraph" w:customStyle="1" w:styleId="XV-Copertinacamera">
    <w:name w:val="XV-Copertina/camera"/>
    <w:basedOn w:val="Normale"/>
    <w:rsid w:val="003608A4"/>
    <w:pPr>
      <w:ind w:firstLine="0"/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2">
    <w:name w:val="NOWEB02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3">
    <w:name w:val="NOWEB03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4">
    <w:name w:val="NOWEB04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5">
    <w:name w:val="NOWEB05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6">
    <w:name w:val="NOWEB06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7">
    <w:name w:val="NOWEB07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8">
    <w:name w:val="NOWEB08"/>
    <w:basedOn w:val="NOWEB"/>
    <w:rsid w:val="003608A4"/>
    <w:pPr>
      <w:ind w:firstLine="0"/>
      <w:jc w:val="center"/>
    </w:pPr>
    <w:rPr>
      <w:effect w:val="none"/>
    </w:rPr>
  </w:style>
  <w:style w:type="paragraph" w:customStyle="1" w:styleId="SIWEB01">
    <w:name w:val="SIWEB01"/>
    <w:basedOn w:val="SIWEB"/>
    <w:rsid w:val="003608A4"/>
    <w:pPr>
      <w:ind w:right="0" w:firstLine="0"/>
      <w:jc w:val="center"/>
    </w:pPr>
  </w:style>
  <w:style w:type="paragraph" w:customStyle="1" w:styleId="SIWEB02">
    <w:name w:val="SIWEB02"/>
    <w:basedOn w:val="SIWEB"/>
    <w:rsid w:val="003608A4"/>
    <w:pPr>
      <w:ind w:right="0" w:firstLine="0"/>
      <w:jc w:val="center"/>
    </w:pPr>
  </w:style>
  <w:style w:type="paragraph" w:customStyle="1" w:styleId="SIWEB03">
    <w:name w:val="SIWEB03"/>
    <w:basedOn w:val="SIWEB"/>
    <w:rsid w:val="003608A4"/>
    <w:pPr>
      <w:ind w:right="0" w:firstLine="0"/>
      <w:jc w:val="center"/>
    </w:pPr>
  </w:style>
  <w:style w:type="paragraph" w:customStyle="1" w:styleId="SIWEB04">
    <w:name w:val="SIWEB04"/>
    <w:basedOn w:val="SIWEB"/>
    <w:rsid w:val="003608A4"/>
    <w:pPr>
      <w:ind w:right="0" w:firstLine="0"/>
      <w:jc w:val="center"/>
    </w:pPr>
  </w:style>
  <w:style w:type="paragraph" w:customStyle="1" w:styleId="SIWEB05">
    <w:name w:val="SIWEB05"/>
    <w:basedOn w:val="SIWEB"/>
    <w:rsid w:val="003608A4"/>
    <w:pPr>
      <w:ind w:right="0" w:firstLine="0"/>
      <w:jc w:val="center"/>
    </w:pPr>
  </w:style>
  <w:style w:type="paragraph" w:customStyle="1" w:styleId="SIWEB06">
    <w:name w:val="SIWEB06"/>
    <w:basedOn w:val="SIWEB"/>
    <w:rsid w:val="003608A4"/>
    <w:pPr>
      <w:ind w:right="0" w:firstLine="0"/>
      <w:jc w:val="center"/>
    </w:pPr>
  </w:style>
  <w:style w:type="paragraph" w:customStyle="1" w:styleId="SIWEB07">
    <w:name w:val="SIWEB07"/>
    <w:basedOn w:val="SIWEB"/>
    <w:rsid w:val="003608A4"/>
    <w:pPr>
      <w:ind w:right="0" w:firstLine="0"/>
      <w:jc w:val="center"/>
    </w:pPr>
  </w:style>
  <w:style w:type="paragraph" w:customStyle="1" w:styleId="SIWEB08">
    <w:name w:val="SIWEB08"/>
    <w:basedOn w:val="SIWEB"/>
    <w:rsid w:val="003608A4"/>
    <w:pPr>
      <w:ind w:right="0" w:firstLine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 w:firstLine="0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  <w:jc w:val="center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ind w:firstLine="0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ind w:firstLine="0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 w:firstLine="0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 w:firstLine="0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 w:firstLine="0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ind w:firstLine="0"/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ind w:firstLine="0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ind w:firstLine="0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 w:val="32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 w:val="32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  <w:ind w:firstLine="0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before="0"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ind w:firstLine="0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  <w:ind w:firstLine="0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  <w:ind w:firstLine="0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ind w:firstLine="0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rsid w:val="00E851C8"/>
    <w:rPr>
      <w:i/>
      <w:iCs/>
    </w:rPr>
  </w:style>
  <w:style w:type="character" w:styleId="Collegamentoipertestuale">
    <w:name w:val="Hyperlink"/>
    <w:basedOn w:val="Carpredefinitoparagrafo"/>
    <w:unhideWhenUsed/>
    <w:rsid w:val="00696A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9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azzettaufficiale.it/do/atto/serie_generale/caricaPdf?cdimg=21A0133102000010110001&amp;dgu=2021-03-02&amp;art.dataPubblicazioneGazzetta=2021-03-02&amp;art.codiceRedazionale=21A01331&amp;art.num=1&amp;art.tiposerie=S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NormalSegreteria</vt:lpstr>
    </vt:vector>
  </TitlesOfParts>
  <Company>Cdd</Company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NormalSegreteria</dc:title>
  <dc:subject>Modello utilizzato dalle Segreterie del Servizio Studi della Camera dei Deputati</dc:subject>
  <dc:creator>Claudia Provenzano</dc:creator>
  <cp:keywords/>
  <dc:description/>
  <cp:lastModifiedBy>Claudia Provenzano</cp:lastModifiedBy>
  <cp:revision>1</cp:revision>
  <cp:lastPrinted>2007-01-25T11:00:00Z</cp:lastPrinted>
  <dcterms:created xsi:type="dcterms:W3CDTF">2022-06-07T08:09:00Z</dcterms:created>
  <dcterms:modified xsi:type="dcterms:W3CDTF">2022-06-07T09:58:00Z</dcterms:modified>
</cp:coreProperties>
</file>