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5F" w:rsidRPr="00646CAF" w:rsidRDefault="0035355F" w:rsidP="0035355F">
      <w:pPr>
        <w:jc w:val="both"/>
        <w:rPr>
          <w:rFonts w:ascii="Arial" w:hAnsi="Arial" w:cs="Arial"/>
          <w:i/>
        </w:rPr>
      </w:pPr>
      <w:bookmarkStart w:id="0" w:name="_Toc59197832"/>
      <w:r w:rsidRPr="00646CAF">
        <w:rPr>
          <w:rFonts w:ascii="Arial" w:eastAsia="Arial" w:hAnsi="Arial" w:cs="Arial"/>
          <w:i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L’Assemblea parlamentare del Consiglio d’Europa</w:t>
      </w:r>
      <w:r>
        <w:rPr>
          <w:rFonts w:ascii="Arial" w:eastAsia="Arial" w:hAnsi="Arial" w:cs="Arial"/>
          <w:i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(APCE)</w:t>
      </w:r>
      <w:r w:rsidRPr="00646CAF">
        <w:rPr>
          <w:rFonts w:ascii="Arial" w:eastAsia="Arial" w:hAnsi="Arial" w:cs="Arial"/>
          <w:i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negli ultimi 2 anni ha dedicato molta attenzione all’impatto e alle conseguenze della pandemia, con l’approvazione di risoluzioni e raccomandazioni che hanno affrontato il tema sotto i diversi profili di competenza.</w:t>
      </w:r>
    </w:p>
    <w:p w:rsidR="00DC058E" w:rsidRPr="00646CAF" w:rsidRDefault="0035355F" w:rsidP="00646CAF">
      <w:pPr>
        <w:keepNext/>
        <w:keepLines/>
        <w:spacing w:before="200" w:after="0" w:line="240" w:lineRule="auto"/>
        <w:jc w:val="center"/>
        <w:outlineLvl w:val="1"/>
        <w:rPr>
          <w:rFonts w:ascii="Arial" w:eastAsia="Arial" w:hAnsi="Arial" w:cs="Arial"/>
          <w:b/>
          <w:bCs/>
          <w:smallCaps/>
          <w:sz w:val="24"/>
          <w:szCs w:val="26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eastAsia="Arial" w:hAnsi="Arial" w:cs="Arial"/>
          <w:b/>
          <w:bCs/>
          <w:smallCaps/>
          <w:sz w:val="24"/>
          <w:szCs w:val="26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attivita’</w:t>
      </w:r>
      <w:proofErr w:type="spellEnd"/>
      <w:r>
        <w:rPr>
          <w:rFonts w:ascii="Arial" w:eastAsia="Arial" w:hAnsi="Arial" w:cs="Arial"/>
          <w:b/>
          <w:bCs/>
          <w:smallCaps/>
          <w:sz w:val="24"/>
          <w:szCs w:val="26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dell’APCE sull’impatto e sull</w:t>
      </w:r>
      <w:r w:rsidR="00DC058E" w:rsidRPr="00646CAF">
        <w:rPr>
          <w:rFonts w:ascii="Arial" w:eastAsia="Arial" w:hAnsi="Arial" w:cs="Arial"/>
          <w:b/>
          <w:bCs/>
          <w:smallCaps/>
          <w:sz w:val="24"/>
          <w:szCs w:val="26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e conseguenze della pandemia</w:t>
      </w:r>
      <w:bookmarkEnd w:id="0"/>
    </w:p>
    <w:p w:rsidR="00C57ECF" w:rsidRDefault="00C57ECF" w:rsidP="00DC058E">
      <w:pPr>
        <w:spacing w:before="120" w:after="0" w:line="240" w:lineRule="auto"/>
        <w:jc w:val="both"/>
        <w:rPr>
          <w:rFonts w:ascii="Tahoma" w:eastAsia="Arial" w:hAnsi="Tahoma" w:cs="Tahoma"/>
          <w:b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C57ECF" w:rsidRPr="00646CAF" w:rsidRDefault="00C57ECF" w:rsidP="00C1488A">
      <w:pPr>
        <w:spacing w:before="120" w:after="0" w:line="240" w:lineRule="auto"/>
        <w:jc w:val="both"/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r w:rsidRPr="00646CAF">
        <w:rPr>
          <w:rFonts w:ascii="Arial" w:eastAsia="Arial" w:hAnsi="Arial" w:cs="Arial"/>
          <w:b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pandemia di COVID-19</w:t>
      </w:r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ha avuto pesanti riflessi anche sull’attività dell’Assemblea parlamentare del Consiglio d’Europa. L’</w:t>
      </w:r>
      <w:r w:rsidRPr="00646CAF">
        <w:rPr>
          <w:rFonts w:ascii="Arial" w:eastAsia="Arial" w:hAnsi="Arial" w:cs="Arial"/>
          <w:b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APCE</w:t>
      </w:r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ha saputo </w:t>
      </w:r>
      <w:r w:rsidRPr="00646CAF">
        <w:rPr>
          <w:rFonts w:ascii="Arial" w:eastAsia="Arial" w:hAnsi="Arial" w:cs="Arial"/>
          <w:b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reagire prontamente</w:t>
      </w:r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consentendo sin da aprile 2020 lo svolgimento di </w:t>
      </w:r>
      <w:r w:rsidRPr="00646CAF">
        <w:rPr>
          <w:rFonts w:ascii="Arial" w:eastAsia="Arial" w:hAnsi="Arial" w:cs="Arial"/>
          <w:b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riunioni da remoto</w:t>
      </w:r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e assicurando comunque continuità ai lavori</w:t>
      </w:r>
      <w:r w:rsidR="00C1488A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. I</w:t>
      </w:r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l Bureau dell’APCE ha </w:t>
      </w:r>
      <w:r w:rsidR="00C1488A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quindi </w:t>
      </w:r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deciso di dare l’avvio all’elaborazione di alcune riforme regolamentari che consent</w:t>
      </w:r>
      <w:r w:rsidR="00C1488A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isser</w:t>
      </w:r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o lo svolgimento delle Sessioni dell’Assemblea, in casi eccezionali, anche in modalità da remoto o ibrida. Tali modifiche sono contenute nel rapporto </w:t>
      </w:r>
      <w:r w:rsidRPr="00646CAF">
        <w:rPr>
          <w:rFonts w:ascii="Arial" w:eastAsia="Arial" w:hAnsi="Arial" w:cs="Arial"/>
          <w:b/>
          <w:bCs/>
          <w:i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Modifica del Regolamento dell’Assemblea relativa alle modalità alternative di organizzazione delle parti di sessione dell’Assemblea parlamentare</w:t>
      </w:r>
      <w:r w:rsidRPr="00646CAF">
        <w:rPr>
          <w:rFonts w:ascii="Arial" w:eastAsia="Arial" w:hAnsi="Arial" w:cs="Arial"/>
          <w:b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(Doc. 15178), assegnato alla </w:t>
      </w:r>
      <w:r w:rsidRPr="00646CAF">
        <w:rPr>
          <w:rFonts w:ascii="Arial" w:eastAsia="Arial" w:hAnsi="Arial" w:cs="Arial"/>
          <w:b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Commissione </w:t>
      </w:r>
      <w:r w:rsidRPr="00646CAF">
        <w:rPr>
          <w:rFonts w:ascii="Arial" w:eastAsia="Arial" w:hAnsi="Arial" w:cs="Arial"/>
          <w:b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Regolamento</w:t>
      </w:r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immunità e affari istituzionali, </w:t>
      </w:r>
      <w:r w:rsidRPr="00646CAF">
        <w:rPr>
          <w:rFonts w:ascii="Arial" w:eastAsia="Arial" w:hAnsi="Arial" w:cs="Arial"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Relatore</w:t>
      </w:r>
      <w:r w:rsidRPr="00646CAF">
        <w:rPr>
          <w:rFonts w:ascii="Arial" w:eastAsia="Arial" w:hAnsi="Arial" w:cs="Arial"/>
          <w:b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5" w:history="1">
        <w:r w:rsidRPr="00646CAF">
          <w:rPr>
            <w:rFonts w:ascii="Arial" w:eastAsia="Arial" w:hAnsi="Arial" w:cs="Arial"/>
            <w:b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t>Frank SCHWABE</w:t>
        </w:r>
      </w:hyperlink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(Germania, SOC), esaminato prima dalla Commissione (3 novembre 2020) e poi approvato dalla Commissione Permanente del 20 novembre, come </w:t>
      </w:r>
      <w:hyperlink r:id="rId6" w:history="1">
        <w:r w:rsidRPr="00646CAF">
          <w:rPr>
            <w:rFonts w:ascii="Arial" w:eastAsia="Arial" w:hAnsi="Arial" w:cs="Arial"/>
            <w:i/>
            <w:color w:val="0000FF"/>
            <w:u w:val="single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t>risoluzione 2349 (2020)</w:t>
        </w:r>
      </w:hyperlink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C058E" w:rsidRPr="00646CAF" w:rsidRDefault="00C1488A" w:rsidP="00DC058E">
      <w:pPr>
        <w:spacing w:before="120" w:after="0" w:line="240" w:lineRule="auto"/>
        <w:jc w:val="both"/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646CAF">
        <w:rPr>
          <w:rFonts w:ascii="Arial" w:eastAsia="Arial" w:hAnsi="Arial" w:cs="Arial"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Oltre che sull’aspetto regolamentare, la pandemia ha inciso sui contenuti dei dibattiti dell’Assemblea, che dall’ottobre 2020 ha approvato risoluzioni e raccomandazioni che esaminano le conseguenze del COVID nei vari settori di rilievo. In particolare, il</w:t>
      </w:r>
      <w:r w:rsidR="00DC058E" w:rsidRPr="00646CAF">
        <w:rPr>
          <w:rFonts w:ascii="Arial" w:eastAsia="Arial" w:hAnsi="Arial" w:cs="Arial"/>
          <w:b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13 ottobre</w:t>
      </w:r>
      <w:r w:rsidR="007745EF" w:rsidRPr="00646CAF">
        <w:rPr>
          <w:rFonts w:ascii="Arial" w:eastAsia="Arial" w:hAnsi="Arial" w:cs="Arial"/>
          <w:b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2020</w:t>
      </w:r>
      <w:r w:rsidR="00DC058E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si è </w:t>
      </w:r>
      <w:r w:rsidR="00DC058E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svolto un dibattito sull’impatto della pandemia di COVID-19 sui diritti umani e sullo Stato di diritto, anche con riferimento alla condizione dei migranti e alla parità di genere, esaminando e approvando i rapporti preparati dalle Commissioni Giuridica, Politica, Migrazioni ed Eguaglianza:</w:t>
      </w:r>
    </w:p>
    <w:p w:rsidR="00DC058E" w:rsidRPr="00646CAF" w:rsidRDefault="0026375A" w:rsidP="00646CA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284" w:hanging="284"/>
        <w:jc w:val="both"/>
        <w:rPr>
          <w:rFonts w:ascii="Arial" w:eastAsia="Calibri" w:hAnsi="Arial" w:cs="Arial"/>
          <w:szCs w:val="20"/>
          <w:shd w:val="clear" w:color="auto" w:fill="FFFFFF"/>
          <w:lang w:eastAsia="it-IT"/>
        </w:rPr>
      </w:pPr>
      <w:hyperlink r:id="rId7" w:history="1">
        <w:r w:rsidR="00DC058E" w:rsidRPr="00646CAF">
          <w:rPr>
            <w:rFonts w:ascii="Arial" w:eastAsia="Calibri" w:hAnsi="Arial" w:cs="Arial"/>
            <w:bCs/>
            <w:i/>
            <w:color w:val="0000FF"/>
            <w:szCs w:val="20"/>
            <w:u w:val="single"/>
            <w:shd w:val="clear" w:color="auto" w:fill="FFFFFF"/>
            <w:lang w:eastAsia="it-IT"/>
          </w:rPr>
          <w:t>Democrazie di fronte alla pandemia Covid-19</w:t>
        </w:r>
      </w:hyperlink>
      <w:r w:rsidR="00DC058E" w:rsidRPr="00646CAF">
        <w:rPr>
          <w:rFonts w:ascii="Arial" w:eastAsia="Calibri" w:hAnsi="Arial" w:cs="Arial"/>
          <w:bCs/>
          <w:i/>
          <w:szCs w:val="20"/>
          <w:shd w:val="clear" w:color="auto" w:fill="FFFFFF"/>
          <w:lang w:eastAsia="it-IT"/>
        </w:rPr>
        <w:t xml:space="preserve"> </w:t>
      </w:r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Risoluzione 2337 (2020) e Raccomandazione 2179 (2020), Commissione Politica, </w:t>
      </w:r>
      <w:proofErr w:type="spellStart"/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>rel</w:t>
      </w:r>
      <w:proofErr w:type="spellEnd"/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. </w:t>
      </w:r>
      <w:proofErr w:type="spellStart"/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>Ian</w:t>
      </w:r>
      <w:proofErr w:type="spellEnd"/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 </w:t>
      </w:r>
      <w:proofErr w:type="spellStart"/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>Liddell</w:t>
      </w:r>
      <w:proofErr w:type="spellEnd"/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 </w:t>
      </w:r>
      <w:proofErr w:type="spellStart"/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>Grainger</w:t>
      </w:r>
      <w:proofErr w:type="spellEnd"/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 (UK, Conservatori);</w:t>
      </w:r>
    </w:p>
    <w:p w:rsidR="00DC058E" w:rsidRPr="00646CAF" w:rsidRDefault="0026375A" w:rsidP="00646CA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284" w:hanging="284"/>
        <w:jc w:val="both"/>
        <w:rPr>
          <w:rFonts w:ascii="Arial" w:eastAsia="Calibri" w:hAnsi="Arial" w:cs="Arial"/>
          <w:bCs/>
          <w:szCs w:val="20"/>
          <w:shd w:val="clear" w:color="auto" w:fill="FFFFFF"/>
          <w:lang w:eastAsia="it-IT"/>
        </w:rPr>
      </w:pPr>
      <w:hyperlink r:id="rId8" w:history="1">
        <w:r w:rsidR="00DC058E" w:rsidRPr="00646CAF">
          <w:rPr>
            <w:rFonts w:ascii="Arial" w:eastAsia="Calibri" w:hAnsi="Arial" w:cs="Arial"/>
            <w:bCs/>
            <w:i/>
            <w:color w:val="0000FF"/>
            <w:szCs w:val="20"/>
            <w:u w:val="single"/>
            <w:shd w:val="clear" w:color="auto" w:fill="FFFFFF"/>
            <w:lang w:eastAsia="it-IT"/>
          </w:rPr>
          <w:t>L'impatto della pandemia Covid-19 sui diritti umani e lo Stato di diritto</w:t>
        </w:r>
      </w:hyperlink>
      <w:r w:rsidR="00DC058E" w:rsidRPr="00646CAF">
        <w:rPr>
          <w:rFonts w:ascii="Arial" w:eastAsia="Calibri" w:hAnsi="Arial" w:cs="Arial"/>
          <w:bCs/>
          <w:szCs w:val="20"/>
          <w:shd w:val="clear" w:color="auto" w:fill="FFFFFF"/>
          <w:lang w:eastAsia="it-IT"/>
        </w:rPr>
        <w:t xml:space="preserve"> </w:t>
      </w:r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Risoluzione 2338 (2020) e Raccomandazione 2180 (2020), Commissione Giuridica, </w:t>
      </w:r>
      <w:proofErr w:type="spellStart"/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>rel</w:t>
      </w:r>
      <w:proofErr w:type="spellEnd"/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. Vladimir </w:t>
      </w:r>
      <w:proofErr w:type="spellStart"/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>Vardanyan</w:t>
      </w:r>
      <w:proofErr w:type="spellEnd"/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 (Armenia); </w:t>
      </w:r>
    </w:p>
    <w:p w:rsidR="00DC058E" w:rsidRPr="00646CAF" w:rsidRDefault="0026375A" w:rsidP="00646CA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284" w:hanging="284"/>
        <w:jc w:val="both"/>
        <w:rPr>
          <w:rFonts w:ascii="Arial" w:eastAsia="Calibri" w:hAnsi="Arial" w:cs="Arial"/>
          <w:szCs w:val="20"/>
          <w:shd w:val="clear" w:color="auto" w:fill="FFFFFF"/>
          <w:lang w:eastAsia="it-IT"/>
        </w:rPr>
      </w:pPr>
      <w:hyperlink r:id="rId9" w:history="1">
        <w:r w:rsidR="00DC058E" w:rsidRPr="00646CAF">
          <w:rPr>
            <w:rFonts w:ascii="Arial" w:eastAsia="Calibri" w:hAnsi="Arial" w:cs="Arial"/>
            <w:bCs/>
            <w:i/>
            <w:color w:val="0000FF"/>
            <w:szCs w:val="20"/>
            <w:u w:val="single"/>
            <w:shd w:val="clear" w:color="auto" w:fill="FFFFFF"/>
            <w:lang w:eastAsia="it-IT"/>
          </w:rPr>
          <w:t>Difesa dei diritti umani in tempi di crisi e pandemie: genere, uguaglianza e non discriminazione</w:t>
        </w:r>
      </w:hyperlink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 Risoluzione 2339 (2020),</w:t>
      </w:r>
      <w:r w:rsidR="00DC058E" w:rsidRPr="00646CAF">
        <w:rPr>
          <w:rFonts w:ascii="Arial" w:eastAsia="Times New Roman" w:hAnsi="Arial" w:cs="Arial"/>
          <w:color w:val="161616"/>
          <w:sz w:val="20"/>
          <w:szCs w:val="20"/>
          <w:shd w:val="clear" w:color="auto" w:fill="FFFFFF"/>
          <w:lang w:eastAsia="it-IT"/>
        </w:rPr>
        <w:t xml:space="preserve"> </w:t>
      </w:r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Commissione Uguaglianza, </w:t>
      </w:r>
      <w:proofErr w:type="spellStart"/>
      <w:r w:rsidR="00DC058E" w:rsidRPr="00646CAF">
        <w:rPr>
          <w:rFonts w:ascii="Arial" w:eastAsia="Calibri" w:hAnsi="Arial" w:cs="Arial"/>
          <w:bCs/>
          <w:szCs w:val="20"/>
          <w:shd w:val="clear" w:color="auto" w:fill="FFFFFF"/>
          <w:lang w:eastAsia="it-IT"/>
        </w:rPr>
        <w:t>Rel</w:t>
      </w:r>
      <w:proofErr w:type="spellEnd"/>
      <w:r w:rsidR="00DC058E" w:rsidRPr="00646CAF">
        <w:rPr>
          <w:rFonts w:ascii="Arial" w:eastAsia="Calibri" w:hAnsi="Arial" w:cs="Arial"/>
          <w:bCs/>
          <w:szCs w:val="20"/>
          <w:shd w:val="clear" w:color="auto" w:fill="FFFFFF"/>
          <w:lang w:eastAsia="it-IT"/>
        </w:rPr>
        <w:t xml:space="preserve">. </w:t>
      </w:r>
      <w:hyperlink r:id="rId10" w:history="1">
        <w:r w:rsidR="00DC058E" w:rsidRPr="00646CAF">
          <w:rPr>
            <w:rFonts w:ascii="Arial" w:eastAsia="Calibri" w:hAnsi="Arial" w:cs="Arial"/>
            <w:szCs w:val="20"/>
            <w:shd w:val="clear" w:color="auto" w:fill="FFFFFF"/>
            <w:lang w:eastAsia="it-IT"/>
          </w:rPr>
          <w:t xml:space="preserve">Petra </w:t>
        </w:r>
        <w:proofErr w:type="spellStart"/>
        <w:r w:rsidR="00DC058E" w:rsidRPr="00646CAF">
          <w:rPr>
            <w:rFonts w:ascii="Arial" w:eastAsia="Calibri" w:hAnsi="Arial" w:cs="Arial"/>
            <w:szCs w:val="20"/>
            <w:shd w:val="clear" w:color="auto" w:fill="FFFFFF"/>
            <w:lang w:eastAsia="it-IT"/>
          </w:rPr>
          <w:t>Stienen</w:t>
        </w:r>
        <w:proofErr w:type="spellEnd"/>
      </w:hyperlink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 (Paesi Bassi, ALDE).</w:t>
      </w:r>
    </w:p>
    <w:p w:rsidR="00DC058E" w:rsidRPr="00646CAF" w:rsidRDefault="0026375A" w:rsidP="00646CA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284" w:hanging="284"/>
        <w:jc w:val="both"/>
        <w:rPr>
          <w:rFonts w:ascii="Arial" w:eastAsia="Calibri" w:hAnsi="Arial" w:cs="Arial"/>
          <w:b/>
          <w:bCs/>
          <w:szCs w:val="20"/>
          <w:shd w:val="clear" w:color="auto" w:fill="FFFFFF"/>
          <w:lang w:eastAsia="it-IT"/>
        </w:rPr>
      </w:pPr>
      <w:hyperlink r:id="rId11" w:history="1">
        <w:r w:rsidR="00DC058E" w:rsidRPr="00646CAF">
          <w:rPr>
            <w:rFonts w:ascii="Arial" w:eastAsia="Calibri" w:hAnsi="Arial" w:cs="Arial"/>
            <w:bCs/>
            <w:i/>
            <w:color w:val="0000FF"/>
            <w:szCs w:val="20"/>
            <w:u w:val="single"/>
            <w:shd w:val="clear" w:color="auto" w:fill="FFFFFF"/>
            <w:lang w:eastAsia="it-IT"/>
          </w:rPr>
          <w:t>Conseguenze umanitarie della pandemia Covid-19 per migranti e rifugiati</w:t>
        </w:r>
      </w:hyperlink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 Risoluzione 2340 (2020), Commissione Migrazioni, </w:t>
      </w:r>
      <w:proofErr w:type="spellStart"/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>rel</w:t>
      </w:r>
      <w:proofErr w:type="spellEnd"/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. Pierre-Alain </w:t>
      </w:r>
      <w:proofErr w:type="spellStart"/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>Fridez</w:t>
      </w:r>
      <w:proofErr w:type="spellEnd"/>
      <w:r w:rsidR="00DC058E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 (Svizzera, SOC).</w:t>
      </w:r>
    </w:p>
    <w:p w:rsidR="00DC058E" w:rsidRPr="00646CAF" w:rsidRDefault="00DC058E" w:rsidP="00DC058E">
      <w:pPr>
        <w:spacing w:before="12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Nel corso del dibattito, i parlamentari </w:t>
      </w:r>
      <w:r w:rsidR="00C1488A"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si sono chiesti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se gli Stati membri avessero rispettato gli standard fondamentali dei diritti umani, in conformità con la Convenzione europea dei diritti dell'uomo, nel rispondere alla crisi della sanità pubblica. I rapporti hanno evidenziato che 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di fronte alla pandemia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di Covid-19, numerosi governi hanno 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adottato misure straordinarie 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tese a bloccar</w:t>
      </w:r>
      <w:r w:rsidR="00C1488A"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e la diffusione del virus, 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sostanzialmente simili, 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limitando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- spesso in modo drastico - il godimento dei 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diritti tutelati dalla Convenzione europea dei diritti dell'uomo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. Problemi particolari sono sorti nell’ambito della privacy, in relazione al tracciamento dei contatti, ai sistemi giudiziari, alla situazione dei detenuti e alla corruzione.</w:t>
      </w:r>
    </w:p>
    <w:p w:rsidR="00DC058E" w:rsidRPr="00646CAF" w:rsidRDefault="00DC058E" w:rsidP="00DC058E">
      <w:pPr>
        <w:spacing w:before="12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Pur sostenendo la scelta fatta dagli Stati di dare priorità alla salvaguardia e alla protezione delle popolazioni dalla pandemia, viene ribadito che 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nessuna emergenza sanitaria pubblica può essere utilizzata come pretesto per distruggere l’</w:t>
      </w:r>
      <w:proofErr w:type="spellStart"/>
      <w:r w:rsidRPr="00646CAF">
        <w:rPr>
          <w:rFonts w:ascii="Arial" w:eastAsia="Arial" w:hAnsi="Arial" w:cs="Arial"/>
          <w:b/>
          <w:i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acquis</w:t>
      </w:r>
      <w:proofErr w:type="spellEnd"/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democratico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: vengono quindi 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messi in guardia i governi sull’abuso dei poteri di urgenza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utilizzati per mettere a tacere l’opposizione o limitare i diritti umani, ricordando che questi ultimi e lo stato di diritto devono restare applicabili anche in tempi di emergenza nazionale. I 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parlamenti svolgono 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in questo contesto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un ruolo fondamentale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, nel controllare e stimolare i governi al rispetto dei diritti fondamentali e nel contribuire ad individuare normative adeguate.</w:t>
      </w:r>
    </w:p>
    <w:p w:rsidR="00DC058E" w:rsidRPr="00646CAF" w:rsidRDefault="00DC058E" w:rsidP="00DC058E">
      <w:pPr>
        <w:spacing w:after="0" w:line="240" w:lineRule="auto"/>
        <w:jc w:val="both"/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In riferimento alla 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parità di genere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è stato poi evidenziato che le misure adottate hanno un 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approccio indifferenziato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e di conseguenza molte hanno 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aggravato le disuguaglianze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strutturali. </w:t>
      </w:r>
      <w:r w:rsidR="004C544F"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Tra i più penalizzati i soggetti vulnerabili, come donne, minori, LGBTQ, migranti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Occorre quindi lavorare per 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realizzare la trasformazione verso una società più inclusiva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anche per affrontare le possibili nuove ondate della pandemia e altre crisi future. A tal fine è 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necessario un approccio differenziato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, anche al fine di fornire un sostegno aggiuntivo a tutti coloro che ne hanno bisogno, garantendo la possibilità di adottare misure straordinarie, laddove necessario, per assicurare l'uguaglianza e la non discriminazione</w:t>
      </w:r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7745EF" w:rsidRPr="00646CAF" w:rsidRDefault="005250F3" w:rsidP="007745EF">
      <w:pPr>
        <w:spacing w:before="120" w:after="0" w:line="240" w:lineRule="auto"/>
        <w:jc w:val="both"/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L’Assemblea parlamentare ha continuato a monitorare gli effetti della pandemia sulle società e gli ordinamenti degli stati membri. Nel </w:t>
      </w:r>
      <w:r w:rsidRPr="00646CAF">
        <w:rPr>
          <w:rFonts w:ascii="Arial" w:eastAsia="Arial" w:hAnsi="Arial" w:cs="Arial"/>
          <w:b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giugno 2021</w:t>
      </w:r>
      <w:r w:rsidR="007745EF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sono state approvate </w:t>
      </w:r>
      <w:r w:rsidR="007745EF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tre risoluzioni sul tema: </w:t>
      </w:r>
    </w:p>
    <w:p w:rsidR="007745EF" w:rsidRPr="00646CAF" w:rsidRDefault="0026375A" w:rsidP="00646CAF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284" w:hanging="284"/>
        <w:jc w:val="both"/>
        <w:rPr>
          <w:rFonts w:ascii="Arial" w:eastAsia="Calibri" w:hAnsi="Arial" w:cs="Arial"/>
          <w:szCs w:val="20"/>
          <w:shd w:val="clear" w:color="auto" w:fill="FFFFFF"/>
          <w:lang w:eastAsia="it-IT"/>
        </w:rPr>
      </w:pPr>
      <w:hyperlink r:id="rId12" w:history="1">
        <w:r w:rsidR="007745EF" w:rsidRPr="00646CAF">
          <w:rPr>
            <w:rFonts w:ascii="Arial" w:eastAsia="Calibri" w:hAnsi="Arial" w:cs="Arial"/>
            <w:i/>
            <w:color w:val="0000FF"/>
            <w:szCs w:val="20"/>
            <w:u w:val="single"/>
            <w:shd w:val="clear" w:color="auto" w:fill="FFFFFF"/>
            <w:lang w:eastAsia="it-IT"/>
          </w:rPr>
          <w:t xml:space="preserve">Pass o certificati </w:t>
        </w:r>
        <w:proofErr w:type="spellStart"/>
        <w:r w:rsidR="007745EF" w:rsidRPr="00646CAF">
          <w:rPr>
            <w:rFonts w:ascii="Arial" w:eastAsia="Calibri" w:hAnsi="Arial" w:cs="Arial"/>
            <w:i/>
            <w:color w:val="0000FF"/>
            <w:szCs w:val="20"/>
            <w:u w:val="single"/>
            <w:shd w:val="clear" w:color="auto" w:fill="FFFFFF"/>
            <w:lang w:eastAsia="it-IT"/>
          </w:rPr>
          <w:t>Covid</w:t>
        </w:r>
        <w:proofErr w:type="spellEnd"/>
        <w:r w:rsidR="007745EF" w:rsidRPr="00646CAF">
          <w:rPr>
            <w:rFonts w:ascii="Arial" w:eastAsia="Calibri" w:hAnsi="Arial" w:cs="Arial"/>
            <w:i/>
            <w:color w:val="0000FF"/>
            <w:szCs w:val="20"/>
            <w:u w:val="single"/>
            <w:shd w:val="clear" w:color="auto" w:fill="FFFFFF"/>
            <w:lang w:eastAsia="it-IT"/>
          </w:rPr>
          <w:t>: tutela dei diritti fondamentali e implicazioni legali</w:t>
        </w:r>
      </w:hyperlink>
      <w:r w:rsidR="007745EF" w:rsidRPr="00646CAF">
        <w:rPr>
          <w:rFonts w:ascii="Arial" w:eastAsia="Calibri" w:hAnsi="Arial" w:cs="Arial"/>
          <w:i/>
          <w:szCs w:val="20"/>
          <w:shd w:val="clear" w:color="auto" w:fill="FFFFFF"/>
          <w:lang w:eastAsia="it-IT"/>
        </w:rPr>
        <w:t xml:space="preserve"> </w:t>
      </w:r>
      <w:r w:rsidR="007745EF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>Risoluzione 2383 (</w:t>
      </w:r>
      <w:proofErr w:type="spellStart"/>
      <w:r w:rsidR="007745EF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>rel</w:t>
      </w:r>
      <w:proofErr w:type="spellEnd"/>
      <w:r w:rsidR="007745EF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. </w:t>
      </w:r>
      <w:proofErr w:type="spellStart"/>
      <w:r w:rsidR="007745EF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Damien</w:t>
      </w:r>
      <w:proofErr w:type="spellEnd"/>
      <w:r w:rsidR="007745EF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745EF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Cottier</w:t>
      </w:r>
      <w:proofErr w:type="spellEnd"/>
      <w:r w:rsidR="007745EF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, Svizzera, ALDE);</w:t>
      </w:r>
    </w:p>
    <w:p w:rsidR="007745EF" w:rsidRPr="00646CAF" w:rsidRDefault="0026375A" w:rsidP="00646CAF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284" w:hanging="284"/>
        <w:jc w:val="both"/>
        <w:rPr>
          <w:rFonts w:ascii="Arial" w:eastAsia="Calibri" w:hAnsi="Arial" w:cs="Arial"/>
          <w:szCs w:val="20"/>
          <w:shd w:val="clear" w:color="auto" w:fill="FFFFFF"/>
          <w:lang w:eastAsia="it-IT"/>
        </w:rPr>
      </w:pPr>
      <w:hyperlink r:id="rId13" w:history="1">
        <w:r w:rsidR="007745EF" w:rsidRPr="00646CAF">
          <w:rPr>
            <w:rFonts w:ascii="Arial" w:eastAsia="Calibri" w:hAnsi="Arial" w:cs="Arial"/>
            <w:i/>
            <w:color w:val="0000FF"/>
            <w:szCs w:val="20"/>
            <w:u w:val="single"/>
            <w:shd w:val="clear" w:color="auto" w:fill="FFFFFF"/>
            <w:lang w:eastAsia="it-IT"/>
          </w:rPr>
          <w:t xml:space="preserve">Tutela dei minori dagli effetti del </w:t>
        </w:r>
        <w:proofErr w:type="spellStart"/>
        <w:r w:rsidR="007745EF" w:rsidRPr="00646CAF">
          <w:rPr>
            <w:rFonts w:ascii="Arial" w:eastAsia="Calibri" w:hAnsi="Arial" w:cs="Arial"/>
            <w:i/>
            <w:color w:val="0000FF"/>
            <w:szCs w:val="20"/>
            <w:u w:val="single"/>
            <w:shd w:val="clear" w:color="auto" w:fill="FFFFFF"/>
            <w:lang w:eastAsia="it-IT"/>
          </w:rPr>
          <w:t>Covid</w:t>
        </w:r>
        <w:proofErr w:type="spellEnd"/>
      </w:hyperlink>
      <w:r w:rsidR="007745EF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  Raccomandazione 2206 e Risoluzione 2385  (</w:t>
      </w:r>
      <w:proofErr w:type="spellStart"/>
      <w:r w:rsidR="007745EF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>rel</w:t>
      </w:r>
      <w:proofErr w:type="spellEnd"/>
      <w:r w:rsidR="007745EF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. </w:t>
      </w:r>
      <w:proofErr w:type="spellStart"/>
      <w:r w:rsidR="007745EF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>Doreen</w:t>
      </w:r>
      <w:proofErr w:type="spellEnd"/>
      <w:r w:rsidR="007745EF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 </w:t>
      </w:r>
      <w:proofErr w:type="spellStart"/>
      <w:r w:rsidR="007745EF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>Massey</w:t>
      </w:r>
      <w:proofErr w:type="spellEnd"/>
      <w:r w:rsidR="007745EF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>, Regno Unito, SOC);</w:t>
      </w:r>
    </w:p>
    <w:p w:rsidR="007745EF" w:rsidRPr="00646CAF" w:rsidRDefault="0026375A" w:rsidP="00646CAF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284" w:hanging="284"/>
        <w:jc w:val="both"/>
        <w:rPr>
          <w:rFonts w:ascii="Arial" w:eastAsia="Calibri" w:hAnsi="Arial" w:cs="Arial"/>
          <w:szCs w:val="20"/>
          <w:shd w:val="clear" w:color="auto" w:fill="FFFFFF"/>
          <w:lang w:eastAsia="it-IT"/>
        </w:rPr>
      </w:pPr>
      <w:hyperlink r:id="rId14" w:history="1">
        <w:r w:rsidR="007745EF" w:rsidRPr="00646CAF">
          <w:rPr>
            <w:rFonts w:ascii="Arial" w:eastAsia="Calibri" w:hAnsi="Arial" w:cs="Arial"/>
            <w:i/>
            <w:color w:val="0000FF"/>
            <w:szCs w:val="20"/>
            <w:u w:val="single"/>
            <w:shd w:val="clear" w:color="auto" w:fill="FFFFFF"/>
            <w:lang w:eastAsia="it-IT"/>
          </w:rPr>
          <w:t>Superare le crisi socio-economiche causate dalla pandemia di Covid-19</w:t>
        </w:r>
      </w:hyperlink>
      <w:r w:rsidR="007745EF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  Raccomandazione 2205 e Risoluzione 2384 (</w:t>
      </w:r>
      <w:proofErr w:type="spellStart"/>
      <w:r w:rsidR="007745EF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>rel</w:t>
      </w:r>
      <w:proofErr w:type="spellEnd"/>
      <w:r w:rsidR="007745EF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 xml:space="preserve">. Andrej </w:t>
      </w:r>
      <w:proofErr w:type="spellStart"/>
      <w:r w:rsidR="007745EF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>Hunko</w:t>
      </w:r>
      <w:proofErr w:type="spellEnd"/>
      <w:r w:rsidR="007745EF" w:rsidRPr="00646CAF">
        <w:rPr>
          <w:rFonts w:ascii="Arial" w:eastAsia="Calibri" w:hAnsi="Arial" w:cs="Arial"/>
          <w:szCs w:val="20"/>
          <w:shd w:val="clear" w:color="auto" w:fill="FFFFFF"/>
          <w:lang w:eastAsia="it-IT"/>
        </w:rPr>
        <w:t>, Germania, UEL).</w:t>
      </w:r>
    </w:p>
    <w:p w:rsidR="007745EF" w:rsidRPr="00646CAF" w:rsidRDefault="007745EF" w:rsidP="007745EF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Nella prima risoluzione si</w:t>
      </w:r>
      <w:r w:rsidR="00EA0913"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individuano gli elementi essenziali che dovrebbe rispettare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i</w:t>
      </w:r>
      <w:r w:rsidR="00EA0913"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46CAF">
        <w:rPr>
          <w:rFonts w:ascii="Arial" w:eastAsia="Arial" w:hAnsi="Arial" w:cs="Arial"/>
          <w:b/>
          <w:i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Covid</w:t>
      </w:r>
      <w:proofErr w:type="spellEnd"/>
      <w:r w:rsidRPr="00646CAF">
        <w:rPr>
          <w:rFonts w:ascii="Arial" w:eastAsia="Arial" w:hAnsi="Arial" w:cs="Arial"/>
          <w:b/>
          <w:i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pass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A0913"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(devono consentire di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distinguere tra coloro che sono stati vaccinati contro il </w:t>
      </w:r>
      <w:proofErr w:type="spellStart"/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Covid</w:t>
      </w:r>
      <w:proofErr w:type="spellEnd"/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, coloro che sono guariti e coloro che sono risultati negativi al test</w:t>
      </w:r>
      <w:r w:rsidR="00EA0913"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;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tenere conto dell'efficacia relativa dei diversi vaccini, anche contro le varianti</w:t>
      </w:r>
      <w:r w:rsidR="00EA0913"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;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avere una chiara base giuridica, rispettare pienamente gli standard di protezione dei dati ed essere pr</w:t>
      </w:r>
      <w:r w:rsidR="00EA0913"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otetto contro la contraffazione;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avere una durata strettamente legata alle esigenze dell'attuale emergenza e non dovrebbe poter essere </w:t>
      </w:r>
      <w:r w:rsidR="00EA0913"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"riutilizzato" per altri scopi), la cui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introduzione non deve "diventare coercizione e rendere obbligatoria la vaccinazione". </w:t>
      </w:r>
    </w:p>
    <w:p w:rsidR="007745EF" w:rsidRPr="00646CAF" w:rsidRDefault="007745EF" w:rsidP="007745EF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Il secondo rapporto evidenzia 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l'impatto devastante della pandemia di Covid-19 sui minori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: la "Generazione </w:t>
      </w:r>
      <w:proofErr w:type="spellStart"/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Covid</w:t>
      </w:r>
      <w:proofErr w:type="spellEnd"/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" - come a volte viene chiamata - dovrà affrontare le cons</w:t>
      </w:r>
      <w:r w:rsidR="007203A3"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eguenze per molti anni a venire.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L'Assemblea ha esortato i governi europei a 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sviluppare strategie di recupero post-pandemia</w:t>
      </w:r>
      <w:r w:rsidR="007203A3"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delinea</w:t>
      </w:r>
      <w:r w:rsidR="007203A3"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nd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o una serie di </w:t>
      </w:r>
      <w:r w:rsidR="007203A3"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linee guida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per costruire sistemi di protezione sociale resilienti e dotati di risorse adeguate per i minori e per garantire un'efficace protezione dei loro diritti nelle crisi future. </w:t>
      </w:r>
    </w:p>
    <w:p w:rsidR="007745EF" w:rsidRPr="00646CAF" w:rsidRDefault="007745EF" w:rsidP="0077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jc w:val="both"/>
        <w:rPr>
          <w:rFonts w:ascii="Arial" w:eastAsia="Times New Roman" w:hAnsi="Arial" w:cs="Arial"/>
          <w:color w:val="202124"/>
          <w:sz w:val="20"/>
          <w:szCs w:val="20"/>
          <w:lang w:eastAsia="it-IT"/>
        </w:rPr>
      </w:pPr>
      <w:r w:rsidRPr="00646CAF">
        <w:rPr>
          <w:rFonts w:ascii="Arial" w:eastAsia="Times New Roman" w:hAnsi="Arial" w:cs="Arial"/>
          <w:color w:val="202124"/>
          <w:sz w:val="20"/>
          <w:szCs w:val="20"/>
          <w:lang w:eastAsia="it-IT"/>
        </w:rPr>
        <w:t xml:space="preserve">La terza risoluzione ha evidenziato che la </w:t>
      </w:r>
      <w:r w:rsidRPr="00646CAF">
        <w:rPr>
          <w:rFonts w:ascii="Arial" w:eastAsia="Times New Roman" w:hAnsi="Arial" w:cs="Arial"/>
          <w:b/>
          <w:color w:val="202124"/>
          <w:sz w:val="20"/>
          <w:szCs w:val="20"/>
          <w:lang w:eastAsia="it-IT"/>
        </w:rPr>
        <w:t>recessione causata dal Covid-19 ha portato a profonde carenze di risorse per imprese, lavoratori e Stati</w:t>
      </w:r>
      <w:r w:rsidRPr="00646CAF">
        <w:rPr>
          <w:rFonts w:ascii="Arial" w:eastAsia="Times New Roman" w:hAnsi="Arial" w:cs="Arial"/>
          <w:color w:val="202124"/>
          <w:sz w:val="20"/>
          <w:szCs w:val="20"/>
          <w:lang w:eastAsia="it-IT"/>
        </w:rPr>
        <w:t xml:space="preserve">, nonché nei flussi di investimenti globali, con ripercussioni sui gruppi vulnerabili in termini sanitari, sociali ed economici. Per favorire la ripresa socioeconomica, garantendo nel contempo un'adeguata protezione sociale a tutti, l'APCE ha incoraggiato gli Stati ad ampliare la propria capacità fiscale e i programmi di investimento pubblico, al fine di migliorare la qualità e l'accessibilità dei servizi pubblici, stimolare l'occupazione e l'apprendimento permanente, migliorare le opportunità professionali per i giovani e garantire un reddito minimo e una protezione sociale adeguati. L'Assemblea ha inoltre sottolineato la </w:t>
      </w:r>
      <w:r w:rsidRPr="00646CAF">
        <w:rPr>
          <w:rFonts w:ascii="Arial" w:eastAsia="Times New Roman" w:hAnsi="Arial" w:cs="Arial"/>
          <w:b/>
          <w:color w:val="202124"/>
          <w:sz w:val="20"/>
          <w:szCs w:val="20"/>
          <w:lang w:eastAsia="it-IT"/>
        </w:rPr>
        <w:t>necessità di modernizzare la Carta sociale europea</w:t>
      </w:r>
      <w:r w:rsidRPr="00646CAF">
        <w:rPr>
          <w:rFonts w:ascii="Arial" w:eastAsia="Times New Roman" w:hAnsi="Arial" w:cs="Arial"/>
          <w:color w:val="202124"/>
          <w:sz w:val="20"/>
          <w:szCs w:val="20"/>
          <w:lang w:eastAsia="it-IT"/>
        </w:rPr>
        <w:t xml:space="preserve"> con il riconoscimento di nuovi diritti per far fronte alle numerose sfide poste dalla pandemia. Infine, l’Assemblea ha invitato i paesi europei a donare parte delle loro scorte di vaccini ai paesi più bisognosi in modo coordinato.</w:t>
      </w:r>
    </w:p>
    <w:p w:rsidR="009C1A2B" w:rsidRPr="00646CAF" w:rsidRDefault="00623906" w:rsidP="009C1A2B">
      <w:pPr>
        <w:spacing w:before="120" w:after="0" w:line="240" w:lineRule="auto"/>
        <w:jc w:val="both"/>
        <w:rPr>
          <w:rFonts w:ascii="Arial" w:eastAsia="Arial" w:hAnsi="Arial" w:cs="Arial"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Il </w:t>
      </w:r>
      <w:r w:rsidR="009C1A2B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27 gennaio 2022, si è svolto un dibattito d’urgenza sulle </w:t>
      </w:r>
      <w:r w:rsidR="009C1A2B" w:rsidRPr="00646CAF">
        <w:rPr>
          <w:rFonts w:ascii="Arial" w:eastAsia="Arial" w:hAnsi="Arial" w:cs="Arial"/>
          <w:b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misure adottate dagli Stati membri per affrontare la pandemia da Covid-19</w:t>
      </w:r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, che si è concluso con l’approvazione del</w:t>
      </w:r>
      <w:r w:rsidR="009C1A2B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hyperlink r:id="rId15" w:history="1">
        <w:r w:rsidR="009C1A2B" w:rsidRPr="00646CAF">
          <w:rPr>
            <w:rFonts w:ascii="Arial" w:eastAsia="Arial" w:hAnsi="Arial" w:cs="Arial"/>
            <w:i/>
            <w:color w:val="0000FF"/>
            <w:u w:val="single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t>Ris</w:t>
        </w:r>
        <w:r w:rsidR="00646CAF">
          <w:rPr>
            <w:rFonts w:ascii="Arial" w:eastAsia="Arial" w:hAnsi="Arial" w:cs="Arial"/>
            <w:i/>
            <w:color w:val="0000FF"/>
            <w:u w:val="single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t>oluzione</w:t>
        </w:r>
        <w:r w:rsidR="009C1A2B" w:rsidRPr="00646CAF">
          <w:rPr>
            <w:rFonts w:ascii="Arial" w:eastAsia="Arial" w:hAnsi="Arial" w:cs="Arial"/>
            <w:i/>
            <w:color w:val="0000FF"/>
            <w:u w:val="single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t xml:space="preserve"> 2424</w:t>
        </w:r>
      </w:hyperlink>
      <w:r w:rsidR="009C1A2B" w:rsidRPr="00646CAF">
        <w:rPr>
          <w:rFonts w:ascii="Arial" w:eastAsia="Arial" w:hAnsi="Arial" w:cs="Arial"/>
          <w:i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C1A2B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del</w:t>
      </w:r>
      <w:r w:rsidR="009C1A2B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la</w:t>
      </w:r>
      <w:r w:rsidR="009C1A2B" w:rsidRPr="00646CAF">
        <w:rPr>
          <w:rFonts w:ascii="Arial" w:eastAsia="Arial" w:hAnsi="Arial" w:cs="Arial"/>
          <w:i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16" w:history="1">
        <w:r w:rsidR="009C1A2B" w:rsidRPr="00646CAF">
          <w:rPr>
            <w:rFonts w:ascii="Arial" w:eastAsia="Arial" w:hAnsi="Arial" w:cs="Arial"/>
            <w:i/>
            <w:color w:val="0000FF"/>
            <w:u w:val="single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t>Racc</w:t>
        </w:r>
        <w:r w:rsidR="00646CAF">
          <w:rPr>
            <w:rFonts w:ascii="Arial" w:eastAsia="Arial" w:hAnsi="Arial" w:cs="Arial"/>
            <w:i/>
            <w:color w:val="0000FF"/>
            <w:u w:val="single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t>omandazione</w:t>
        </w:r>
        <w:r w:rsidR="009C1A2B" w:rsidRPr="00646CAF">
          <w:rPr>
            <w:rFonts w:ascii="Arial" w:eastAsia="Arial" w:hAnsi="Arial" w:cs="Arial"/>
            <w:i/>
            <w:color w:val="0000FF"/>
            <w:u w:val="single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t xml:space="preserve"> 2222</w:t>
        </w:r>
      </w:hyperlink>
      <w:r w:rsidR="009C1A2B" w:rsidRPr="00646CAF">
        <w:rPr>
          <w:rFonts w:ascii="Arial" w:eastAsia="Arial" w:hAnsi="Arial" w:cs="Arial"/>
          <w:i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C1A2B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 w:rsidR="009C1A2B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rel</w:t>
      </w:r>
      <w:proofErr w:type="spellEnd"/>
      <w:r w:rsidR="009C1A2B" w:rsidRPr="00646CAF">
        <w:rPr>
          <w:rFonts w:ascii="Arial" w:eastAsia="Arial" w:hAnsi="Arial" w:cs="Arial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="009C1A2B" w:rsidRPr="00646CAF">
        <w:rPr>
          <w:rFonts w:ascii="Arial" w:eastAsia="Arial" w:hAnsi="Arial" w:cs="Arial"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Schennach</w:t>
      </w:r>
      <w:proofErr w:type="spellEnd"/>
      <w:r w:rsidR="009C1A2B" w:rsidRPr="00646CAF">
        <w:rPr>
          <w:rFonts w:ascii="Arial" w:eastAsia="Arial" w:hAnsi="Arial" w:cs="Arial"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Austria, </w:t>
      </w:r>
      <w:proofErr w:type="spellStart"/>
      <w:r w:rsidR="009C1A2B" w:rsidRPr="00646CAF">
        <w:rPr>
          <w:rFonts w:ascii="Arial" w:eastAsia="Arial" w:hAnsi="Arial" w:cs="Arial"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Soc</w:t>
      </w:r>
      <w:proofErr w:type="spellEnd"/>
      <w:r w:rsidR="009C1A2B" w:rsidRPr="00646CAF">
        <w:rPr>
          <w:rFonts w:ascii="Arial" w:eastAsia="Arial" w:hAnsi="Arial" w:cs="Arial"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.).</w:t>
      </w:r>
    </w:p>
    <w:p w:rsidR="00623906" w:rsidRDefault="009C1A2B" w:rsidP="00623906">
      <w:pPr>
        <w:spacing w:before="120" w:after="0" w:line="240" w:lineRule="auto"/>
        <w:jc w:val="both"/>
        <w:rPr>
          <w:rFonts w:ascii="Arial" w:eastAsia="Arial" w:hAnsi="Arial" w:cs="Arial"/>
          <w:bCs/>
          <w:color w:val="000000"/>
          <w:sz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646CAF">
        <w:rPr>
          <w:rFonts w:ascii="Arial" w:eastAsia="Arial" w:hAnsi="Arial" w:cs="Arial"/>
          <w:bCs/>
          <w:color w:val="000000"/>
          <w:sz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La risoluzione, tra le altre cose, invita gli Stati membri: a prendere misure di contrasto al virus in modo chiaro e trasparente</w:t>
      </w:r>
      <w:r w:rsidR="00623906" w:rsidRPr="00646CAF">
        <w:rPr>
          <w:rFonts w:ascii="Arial" w:eastAsia="Arial" w:hAnsi="Arial" w:cs="Arial"/>
          <w:bCs/>
          <w:color w:val="000000"/>
          <w:sz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con specifiche </w:t>
      </w:r>
      <w:r w:rsidR="00623906" w:rsidRPr="00646CAF">
        <w:rPr>
          <w:rFonts w:ascii="Arial" w:eastAsia="Arial" w:hAnsi="Arial" w:cs="Arial"/>
          <w:b/>
          <w:bCs/>
          <w:color w:val="000000"/>
          <w:sz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campagne di informazione e combattendo la disinformazione e le </w:t>
      </w:r>
      <w:proofErr w:type="spellStart"/>
      <w:r w:rsidR="00623906" w:rsidRPr="00646CAF">
        <w:rPr>
          <w:rFonts w:ascii="Arial" w:eastAsia="Arial" w:hAnsi="Arial" w:cs="Arial"/>
          <w:b/>
          <w:bCs/>
          <w:i/>
          <w:color w:val="000000"/>
          <w:sz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fake</w:t>
      </w:r>
      <w:proofErr w:type="spellEnd"/>
      <w:r w:rsidR="00623906" w:rsidRPr="00646CAF">
        <w:rPr>
          <w:rFonts w:ascii="Arial" w:eastAsia="Arial" w:hAnsi="Arial" w:cs="Arial"/>
          <w:b/>
          <w:bCs/>
          <w:i/>
          <w:color w:val="000000"/>
          <w:sz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news</w:t>
      </w:r>
      <w:r w:rsidR="00623906" w:rsidRPr="00646CAF">
        <w:rPr>
          <w:rFonts w:ascii="Arial" w:eastAsia="Arial" w:hAnsi="Arial" w:cs="Arial"/>
          <w:bCs/>
          <w:color w:val="000000"/>
          <w:sz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. Le misure devono essere altresì</w:t>
      </w:r>
      <w:r w:rsidRPr="00646CAF">
        <w:rPr>
          <w:rFonts w:ascii="Arial" w:eastAsia="Arial" w:hAnsi="Arial" w:cs="Arial"/>
          <w:bCs/>
          <w:color w:val="000000"/>
          <w:sz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proporzionate alla gravità della situazione del momento; a prendere in considerazione l’obbligatorietà dell’utilizzo di mascherine FFP2 in determinati contesti ad alto rischio e l’utilizzo dei certificati vaccinali per l’accesso a determinati locali o servizi a rischio; a valutare l’incremento dei progetti di cooperazione per l’equa distribuzione di vaccini nel mond</w:t>
      </w:r>
      <w:r w:rsidR="00623906" w:rsidRPr="00646CAF">
        <w:rPr>
          <w:rFonts w:ascii="Arial" w:eastAsia="Arial" w:hAnsi="Arial" w:cs="Arial"/>
          <w:bCs/>
          <w:color w:val="000000"/>
          <w:sz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o, in virtù del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principio per cui 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“nessuno sarà al sicuro fino a quando tutti non saranno al sicuro”.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In particolare, si è sottolineata la necessità di implementare il 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programma di distribuzione di vaccini COVAX 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e di sostenere </w:t>
      </w:r>
      <w:r w:rsidRPr="00646CAF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l'accordo sugli aspetti commerciali dei diritti di proprietà intellettuali (TRIPS)</w:t>
      </w:r>
      <w:r w:rsidRPr="00646CAF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per i vaccini e incentivare il trasferimento di tecnologia e la costruzione di capacità di produzione locale nei Paesi meno sviluppati. </w:t>
      </w:r>
      <w:r w:rsidR="00623906" w:rsidRPr="00646CAF"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Infine, la relazione ha invitato gli Stati a dare inizio </w:t>
      </w:r>
      <w:r w:rsidR="00623906" w:rsidRPr="00646CAF">
        <w:rPr>
          <w:rFonts w:ascii="Arial" w:eastAsia="Arial" w:hAnsi="Arial" w:cs="Arial"/>
          <w:bCs/>
          <w:color w:val="000000"/>
          <w:sz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ad un dibattito pubblico sull’obbligo vaccinale. </w:t>
      </w:r>
    </w:p>
    <w:p w:rsidR="005A3FE6" w:rsidRPr="005A3FE6" w:rsidRDefault="007A4908" w:rsidP="005A3FE6">
      <w:pPr>
        <w:spacing w:before="120" w:after="0" w:line="240" w:lineRule="auto"/>
        <w:jc w:val="both"/>
        <w:rPr>
          <w:rFonts w:ascii="Arial" w:eastAsia="Arial" w:hAnsi="Arial" w:cs="Arial"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6375A">
        <w:rPr>
          <w:rFonts w:ascii="Arial" w:eastAsia="Arial" w:hAnsi="Arial" w:cs="Arial"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Infine, il </w:t>
      </w:r>
      <w:r w:rsidR="005A3FE6" w:rsidRPr="0026375A">
        <w:rPr>
          <w:rFonts w:ascii="Arial" w:eastAsia="Arial" w:hAnsi="Arial" w:cs="Arial"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14 ottobre 2022 l’Assemblea parlamentare ha approvato la </w:t>
      </w:r>
      <w:hyperlink r:id="rId17" w:anchor="trace-6" w:history="1">
        <w:r w:rsidR="005A3FE6" w:rsidRPr="0026375A">
          <w:rPr>
            <w:rStyle w:val="Collegamentoipertestuale"/>
            <w:rFonts w:ascii="Arial" w:eastAsia="Arial" w:hAnsi="Arial" w:cs="Arial"/>
            <w:bCs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t>Risoluzione 2468</w:t>
        </w:r>
      </w:hyperlink>
      <w:r w:rsidR="005A3FE6" w:rsidRPr="0026375A">
        <w:rPr>
          <w:rFonts w:ascii="Arial" w:eastAsia="Arial" w:hAnsi="Arial" w:cs="Arial"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e la </w:t>
      </w:r>
      <w:hyperlink r:id="rId18" w:anchor="trace-5" w:history="1">
        <w:r w:rsidR="005A3FE6" w:rsidRPr="0026375A">
          <w:rPr>
            <w:rStyle w:val="Collegamentoipertestuale"/>
            <w:rFonts w:ascii="Arial" w:eastAsia="Arial" w:hAnsi="Arial" w:cs="Arial"/>
            <w:bCs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t>Raccomandazione 2240</w:t>
        </w:r>
      </w:hyperlink>
      <w:r w:rsidR="005A3FE6" w:rsidRPr="0026375A">
        <w:rPr>
          <w:rFonts w:ascii="Arial" w:eastAsia="Arial" w:hAnsi="Arial" w:cs="Arial"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, contenute nel rapporto “</w:t>
      </w:r>
      <w:r w:rsidR="005A3FE6" w:rsidRPr="0026375A">
        <w:rPr>
          <w:rFonts w:ascii="Arial" w:eastAsia="Arial" w:hAnsi="Arial" w:cs="Arial"/>
          <w:bCs/>
          <w:i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Prevenire la discriminazione vaccinale</w:t>
      </w:r>
      <w:r w:rsidR="005A3FE6" w:rsidRPr="0026375A">
        <w:rPr>
          <w:rFonts w:ascii="Arial" w:eastAsia="Arial" w:hAnsi="Arial" w:cs="Arial"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” (Doc. 15608, </w:t>
      </w:r>
      <w:proofErr w:type="spellStart"/>
      <w:r w:rsidR="005A3FE6" w:rsidRPr="0026375A">
        <w:rPr>
          <w:rFonts w:ascii="Arial" w:eastAsia="Arial" w:hAnsi="Arial" w:cs="Arial"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rel</w:t>
      </w:r>
      <w:proofErr w:type="spellEnd"/>
      <w:r w:rsidR="005A3FE6" w:rsidRPr="0026375A">
        <w:rPr>
          <w:rFonts w:ascii="Arial" w:eastAsia="Arial" w:hAnsi="Arial" w:cs="Arial"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Sunna </w:t>
      </w:r>
      <w:proofErr w:type="spellStart"/>
      <w:r w:rsidR="005A3FE6" w:rsidRPr="0026375A">
        <w:rPr>
          <w:rFonts w:ascii="Arial" w:eastAsia="Arial" w:hAnsi="Arial" w:cs="Arial"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Ævarsdóttir</w:t>
      </w:r>
      <w:proofErr w:type="spellEnd"/>
      <w:r w:rsidR="005A3FE6" w:rsidRPr="0026375A">
        <w:rPr>
          <w:rFonts w:ascii="Arial" w:eastAsia="Arial" w:hAnsi="Arial" w:cs="Arial"/>
          <w:b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, Islanda, SOC).</w:t>
      </w:r>
      <w:bookmarkStart w:id="1" w:name="_GoBack"/>
      <w:bookmarkEnd w:id="1"/>
    </w:p>
    <w:p w:rsidR="00FC29DE" w:rsidRPr="00FC29DE" w:rsidRDefault="00FC29DE" w:rsidP="00FC29DE">
      <w:pPr>
        <w:spacing w:before="120"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Partendo dalla constatazione</w:t>
      </w:r>
      <w:r w:rsidR="006B064B" w:rsidRPr="006B064B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che la vaccinazione obbligatoria può dare adito a questioni alla luce delle norme internazionali sui diritti umani</w:t>
      </w:r>
      <w:r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="006B064B" w:rsidRPr="006B064B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diritto </w:t>
      </w:r>
      <w:r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al rispetto della vita privata ex </w:t>
      </w:r>
      <w:r w:rsidR="006B064B" w:rsidRPr="006B064B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art. 8 della C</w:t>
      </w:r>
      <w:r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EDU </w:t>
      </w:r>
      <w:r w:rsidR="006B064B" w:rsidRPr="006B064B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e diritto di dare un consenso libero e informato a qualsiasi intervento in campo sanitario, sancito dalla </w:t>
      </w:r>
      <w:r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"Convenzione di Oviedo"), si</w:t>
      </w:r>
      <w:r w:rsidR="006B064B" w:rsidRPr="006B064B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osserva che il punto di partenza è che l’obbligatorietà di un vaccino non dovrebbe essere automatica in generale, ma che talvolta la vaccinazione obbligatoria può essere appropriata, ad esempio per professioni specifiche come quelle esposte a popolazioni vulnerabili. </w:t>
      </w:r>
      <w:r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Il rapporto</w:t>
      </w:r>
      <w:r w:rsidRPr="00FC29DE"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invita</w:t>
      </w:r>
      <w:r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, tra l’altro,</w:t>
      </w:r>
      <w:r w:rsidRPr="00FC29DE"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gli Stati membri</w:t>
      </w:r>
      <w:r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C29DE"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a:</w:t>
      </w:r>
    </w:p>
    <w:p w:rsidR="00FC29DE" w:rsidRPr="00FC29DE" w:rsidRDefault="00FC29DE" w:rsidP="00FC29DE">
      <w:pPr>
        <w:pStyle w:val="Paragrafoelenco"/>
        <w:numPr>
          <w:ilvl w:val="0"/>
          <w:numId w:val="3"/>
        </w:numPr>
        <w:spacing w:before="120"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C29DE">
        <w:rPr>
          <w:rFonts w:ascii="Arial" w:eastAsia="Arial" w:hAnsi="Arial" w:cs="Arial"/>
          <w:b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astenersi dall'imporre ulteriori restrizioni ai diritti umani e alle libertà fondamentali</w:t>
      </w:r>
      <w:r w:rsidRPr="00FC29DE"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degli individui, a meno che ciò non sia assolutamente necessario per raggiungere lo scopo legittimo perseguito. Tutte le </w:t>
      </w:r>
      <w:r w:rsidRPr="00FC29DE">
        <w:rPr>
          <w:rFonts w:ascii="Arial" w:eastAsia="Arial" w:hAnsi="Arial" w:cs="Arial"/>
          <w:b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restrizioni</w:t>
      </w:r>
      <w:r w:rsidRPr="00FC29DE"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devono essere conformi ai requisiti derivanti dalla Convenzione e dalla giurisprudenza della Corte </w:t>
      </w:r>
      <w:r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EDU: </w:t>
      </w:r>
      <w:r w:rsidRPr="00FC29DE"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devono essere </w:t>
      </w:r>
      <w:r w:rsidRPr="00FC29DE">
        <w:rPr>
          <w:rFonts w:ascii="Arial" w:eastAsia="Arial" w:hAnsi="Arial" w:cs="Arial"/>
          <w:b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prescritte dalla legge</w:t>
      </w:r>
      <w:r w:rsidRPr="00FC29DE"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rimanere in vigore per il </w:t>
      </w:r>
      <w:r w:rsidRPr="00FC29DE">
        <w:rPr>
          <w:rFonts w:ascii="Arial" w:eastAsia="Arial" w:hAnsi="Arial" w:cs="Arial"/>
          <w:b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minor tempo possibile</w:t>
      </w:r>
      <w:r w:rsidRPr="00FC29DE"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essere </w:t>
      </w:r>
      <w:r w:rsidRPr="00FC29DE">
        <w:rPr>
          <w:rFonts w:ascii="Arial" w:eastAsia="Arial" w:hAnsi="Arial" w:cs="Arial"/>
          <w:b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commisurate allo scopo</w:t>
      </w:r>
      <w:r w:rsidRPr="00FC29DE"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perseguito ed essere </w:t>
      </w:r>
      <w:r w:rsidRPr="00FC29DE">
        <w:rPr>
          <w:rFonts w:ascii="Arial" w:eastAsia="Arial" w:hAnsi="Arial" w:cs="Arial"/>
          <w:b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efficaci</w:t>
      </w:r>
      <w:r w:rsidRPr="00FC29DE"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:rsidR="00FC29DE" w:rsidRPr="00FC29DE" w:rsidRDefault="00FC29DE" w:rsidP="00FC29DE">
      <w:pPr>
        <w:pStyle w:val="Paragrafoelenco"/>
        <w:numPr>
          <w:ilvl w:val="0"/>
          <w:numId w:val="3"/>
        </w:numPr>
        <w:spacing w:before="120"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C29DE">
        <w:rPr>
          <w:rFonts w:ascii="Arial" w:eastAsia="Arial" w:hAnsi="Arial" w:cs="Arial"/>
          <w:b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tenere</w:t>
      </w:r>
      <w:r w:rsidRPr="00FC29DE"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pienamente </w:t>
      </w:r>
      <w:r w:rsidRPr="00FC29DE">
        <w:rPr>
          <w:rFonts w:ascii="Arial" w:eastAsia="Arial" w:hAnsi="Arial" w:cs="Arial"/>
          <w:b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conto delle più recenti prove scientifiche</w:t>
      </w:r>
      <w:r w:rsidRPr="00FC29DE"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e conoscenze specialistiche, comprese quelle dell'OMS, allorché si decidono restrizioni ai diritti umani e alle libertà fondamentali o l'allentamento di tali restrizioni;</w:t>
      </w:r>
    </w:p>
    <w:p w:rsidR="00FC29DE" w:rsidRPr="00FC29DE" w:rsidRDefault="00FC29DE" w:rsidP="00FC29DE">
      <w:pPr>
        <w:pStyle w:val="Paragrafoelenco"/>
        <w:numPr>
          <w:ilvl w:val="0"/>
          <w:numId w:val="3"/>
        </w:numPr>
        <w:spacing w:before="120"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C29DE"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astenersi dall'impedire alle persone di esercitare i propri diritti umani e le proprie libertà fondamentali perché non sono state vaccinate o perché sono state vaccinate con un vaccino non approvato dall'EMA;</w:t>
      </w:r>
    </w:p>
    <w:p w:rsidR="00FC29DE" w:rsidRPr="00FC29DE" w:rsidRDefault="00FC29DE" w:rsidP="00FC29DE">
      <w:pPr>
        <w:pStyle w:val="Paragrafoelenco"/>
        <w:numPr>
          <w:ilvl w:val="0"/>
          <w:numId w:val="3"/>
        </w:numPr>
        <w:spacing w:before="120"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AC6DB5">
        <w:rPr>
          <w:rFonts w:ascii="Arial" w:eastAsia="Arial" w:hAnsi="Arial" w:cs="Arial"/>
          <w:b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evitare discriminazioni</w:t>
      </w:r>
      <w:r w:rsidRPr="00FC29DE"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tra coloro che sono stati vaccinati contro il covid-19 e coloro che non sono stati vaccinati o non possono esserlo per motivi medici o di altro tipo, </w:t>
      </w:r>
      <w:proofErr w:type="spellStart"/>
      <w:r w:rsidRPr="00FC29DE"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nonchè</w:t>
      </w:r>
      <w:proofErr w:type="spellEnd"/>
      <w:r w:rsidRPr="00FC29DE">
        <w:rPr>
          <w:rFonts w:ascii="Arial" w:eastAsia="Arial" w:hAnsi="Arial" w:cs="Arial"/>
          <w:bCs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tra persone vaccinate contro il covid-19 con vaccini diversi approvati da organizzazioni diverse;</w:t>
      </w:r>
    </w:p>
    <w:p w:rsidR="00FC29DE" w:rsidRPr="00FC29DE" w:rsidRDefault="00FC29DE" w:rsidP="00FC29DE">
      <w:pPr>
        <w:pStyle w:val="Paragrafoelenco"/>
        <w:numPr>
          <w:ilvl w:val="0"/>
          <w:numId w:val="3"/>
        </w:numPr>
        <w:spacing w:before="12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AC6DB5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porre fine all'utilizzo dei pass </w:t>
      </w:r>
      <w:proofErr w:type="spellStart"/>
      <w:r w:rsidRPr="00AC6DB5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covid</w:t>
      </w:r>
      <w:proofErr w:type="spellEnd"/>
      <w:r w:rsidRPr="00AC6DB5">
        <w:rPr>
          <w:rFonts w:ascii="Arial" w:eastAsia="Arial" w:hAnsi="Arial" w:cs="Arial"/>
          <w:b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per usi diversi da quelli strettamente necessari</w:t>
      </w:r>
      <w:r w:rsidRPr="00FC29DE">
        <w:rPr>
          <w:rFonts w:ascii="Arial" w:eastAsia="Arial" w:hAnsi="Arial" w:cs="Arial"/>
          <w:color w:val="000000"/>
          <w:sz w:val="20"/>
          <w:szCs w:val="2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al raggiungimento di uno scopo legittimo.</w:t>
      </w:r>
    </w:p>
    <w:sectPr w:rsidR="00FC29DE" w:rsidRPr="00FC2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19F"/>
    <w:multiLevelType w:val="hybridMultilevel"/>
    <w:tmpl w:val="AC245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639C9"/>
    <w:multiLevelType w:val="hybridMultilevel"/>
    <w:tmpl w:val="27902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53FB5"/>
    <w:multiLevelType w:val="hybridMultilevel"/>
    <w:tmpl w:val="70A27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8E"/>
    <w:rsid w:val="000C1D22"/>
    <w:rsid w:val="00105758"/>
    <w:rsid w:val="00117FD3"/>
    <w:rsid w:val="00122840"/>
    <w:rsid w:val="001B3812"/>
    <w:rsid w:val="0026375A"/>
    <w:rsid w:val="002A3BB8"/>
    <w:rsid w:val="003150AC"/>
    <w:rsid w:val="00340449"/>
    <w:rsid w:val="0035355F"/>
    <w:rsid w:val="004515FA"/>
    <w:rsid w:val="00461291"/>
    <w:rsid w:val="004C544F"/>
    <w:rsid w:val="004F5DE6"/>
    <w:rsid w:val="00501E4C"/>
    <w:rsid w:val="00524E62"/>
    <w:rsid w:val="005250F3"/>
    <w:rsid w:val="0054273E"/>
    <w:rsid w:val="005A3FE6"/>
    <w:rsid w:val="00623906"/>
    <w:rsid w:val="00627E5F"/>
    <w:rsid w:val="00646CAF"/>
    <w:rsid w:val="006543D0"/>
    <w:rsid w:val="006B064B"/>
    <w:rsid w:val="007203A3"/>
    <w:rsid w:val="00746A79"/>
    <w:rsid w:val="007745EF"/>
    <w:rsid w:val="007962E1"/>
    <w:rsid w:val="007A4908"/>
    <w:rsid w:val="009C1A2B"/>
    <w:rsid w:val="00A3168E"/>
    <w:rsid w:val="00A41651"/>
    <w:rsid w:val="00AC6DB5"/>
    <w:rsid w:val="00B574AF"/>
    <w:rsid w:val="00B62063"/>
    <w:rsid w:val="00C1488A"/>
    <w:rsid w:val="00C57ECF"/>
    <w:rsid w:val="00CB4ED5"/>
    <w:rsid w:val="00DA5CD2"/>
    <w:rsid w:val="00DC058E"/>
    <w:rsid w:val="00E07038"/>
    <w:rsid w:val="00E256BF"/>
    <w:rsid w:val="00E75649"/>
    <w:rsid w:val="00EA0913"/>
    <w:rsid w:val="00EE7A0E"/>
    <w:rsid w:val="00F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890FB-9B3C-4A18-8A4D-0974965F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CA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6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e.coe.int/en/files/28679" TargetMode="External"/><Relationship Id="rId13" Type="http://schemas.openxmlformats.org/officeDocument/2006/relationships/hyperlink" Target="https://pace.coe.int/en/files/29244" TargetMode="External"/><Relationship Id="rId18" Type="http://schemas.openxmlformats.org/officeDocument/2006/relationships/hyperlink" Target="https://pace.coe.int/en/files/314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ce.coe.int/en/files/28747" TargetMode="External"/><Relationship Id="rId12" Type="http://schemas.openxmlformats.org/officeDocument/2006/relationships/hyperlink" Target="https://pace.coe.int/en/files/29215" TargetMode="External"/><Relationship Id="rId17" Type="http://schemas.openxmlformats.org/officeDocument/2006/relationships/hyperlink" Target="https://pace.coe.int/en/files/314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ce.coe.int/en/files/2979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ce.coe.int/en/files/28882" TargetMode="External"/><Relationship Id="rId11" Type="http://schemas.openxmlformats.org/officeDocument/2006/relationships/hyperlink" Target="https://pace.coe.int/en/files/28719" TargetMode="External"/><Relationship Id="rId5" Type="http://schemas.openxmlformats.org/officeDocument/2006/relationships/hyperlink" Target="https://pace.coe.int/en/members/6809" TargetMode="External"/><Relationship Id="rId15" Type="http://schemas.openxmlformats.org/officeDocument/2006/relationships/hyperlink" Target="https://pace.coe.int/en/files/29796" TargetMode="External"/><Relationship Id="rId10" Type="http://schemas.openxmlformats.org/officeDocument/2006/relationships/hyperlink" Target="https://pace.coe.int/en/members/775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ce.coe.int/en/files/28678" TargetMode="External"/><Relationship Id="rId14" Type="http://schemas.openxmlformats.org/officeDocument/2006/relationships/hyperlink" Target="https://pace.coe.int/en/files/2924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D75034B9</Template>
  <TotalTime>0</TotalTime>
  <Pages>3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Cdd</Company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</dc:creator>
  <cp:keywords/>
  <dc:description/>
  <cp:lastModifiedBy>Provenzano, Claudia</cp:lastModifiedBy>
  <cp:revision>3</cp:revision>
  <dcterms:created xsi:type="dcterms:W3CDTF">2022-11-17T14:42:00Z</dcterms:created>
  <dcterms:modified xsi:type="dcterms:W3CDTF">2022-11-17T14:43:00Z</dcterms:modified>
</cp:coreProperties>
</file>