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8E" w:rsidRDefault="00D3328E">
      <w:pPr>
        <w:pStyle w:val="Default"/>
        <w:rPr>
          <w:rFonts w:hint="eastAsia"/>
        </w:rPr>
      </w:pPr>
      <w:bookmarkStart w:id="0" w:name="_GoBack"/>
      <w:bookmarkEnd w:id="0"/>
    </w:p>
    <w:p w:rsidR="00D3328E" w:rsidRDefault="00F35B29">
      <w:pPr>
        <w:pStyle w:val="Standard"/>
        <w:jc w:val="both"/>
      </w:pPr>
      <w:r>
        <w:rPr>
          <w:rStyle w:val="A7"/>
          <w:rFonts w:ascii="Verdana" w:hAnsi="Verdana"/>
          <w:b/>
          <w:sz w:val="28"/>
          <w:szCs w:val="28"/>
        </w:rPr>
        <w:t xml:space="preserve">OSSERVAZIONI SU PDL IN MATERIA DI DISCIPLINA DEGLI ORARI DI APERTURA DEGLI ESERCIZI COMMERCIALI (C.1 INZIATIVA POPOLARE, C.457 SALTAMARTINI, C. 470 BENAMATI, C526 CRIPPA, C.587 </w:t>
      </w:r>
      <w:r>
        <w:rPr>
          <w:rStyle w:val="A7"/>
          <w:rFonts w:ascii="Verdana" w:hAnsi="Verdana"/>
          <w:b/>
          <w:sz w:val="28"/>
          <w:szCs w:val="28"/>
        </w:rPr>
        <w:t>CONSIGLIO REGIONALE DELLE MARCHE</w:t>
      </w:r>
      <w:r>
        <w:rPr>
          <w:rFonts w:eastAsia="Calibri" w:cs="Times New Roman"/>
          <w:b/>
        </w:rPr>
        <w:t>)</w:t>
      </w:r>
    </w:p>
    <w:p w:rsidR="00D3328E" w:rsidRDefault="00D3328E">
      <w:pPr>
        <w:pStyle w:val="Standard"/>
        <w:jc w:val="both"/>
        <w:rPr>
          <w:b/>
        </w:rPr>
      </w:pPr>
    </w:p>
    <w:p w:rsidR="00D3328E" w:rsidRDefault="00F35B29">
      <w:pPr>
        <w:pStyle w:val="Standard"/>
        <w:jc w:val="both"/>
      </w:pPr>
      <w:r>
        <w:rPr>
          <w:rStyle w:val="A7"/>
          <w:rFonts w:ascii="Verdana" w:hAnsi="Verdana"/>
          <w:b/>
          <w:sz w:val="28"/>
          <w:szCs w:val="28"/>
        </w:rPr>
        <w:t>Premessa</w:t>
      </w:r>
    </w:p>
    <w:p w:rsidR="00D3328E" w:rsidRDefault="00F35B29">
      <w:pPr>
        <w:pStyle w:val="Standard"/>
        <w:jc w:val="both"/>
      </w:pPr>
      <w:r>
        <w:rPr>
          <w:rFonts w:ascii="Verdana" w:hAnsi="Verdana" w:cs="Baskerville"/>
          <w:sz w:val="28"/>
          <w:szCs w:val="28"/>
        </w:rPr>
        <w:t xml:space="preserve">Tutte le proposte di legge analizzate dalla Commissione attività Produttiva della Conferenza delle Regioni e Province autonome </w:t>
      </w:r>
      <w:r>
        <w:rPr>
          <w:rFonts w:ascii="Verdana" w:hAnsi="Verdana" w:cs="Baskerville"/>
          <w:strike/>
          <w:sz w:val="28"/>
          <w:szCs w:val="28"/>
        </w:rPr>
        <w:t>in oggetto</w:t>
      </w:r>
      <w:r>
        <w:rPr>
          <w:rFonts w:ascii="Verdana" w:hAnsi="Verdana" w:cs="Baskerville"/>
          <w:sz w:val="28"/>
          <w:szCs w:val="28"/>
        </w:rPr>
        <w:t xml:space="preserve"> sono accomunate dalla finalità di prevedere una nuova disciplina della mat</w:t>
      </w:r>
      <w:r>
        <w:rPr>
          <w:rFonts w:ascii="Verdana" w:hAnsi="Verdana" w:cs="Baskerville"/>
          <w:sz w:val="28"/>
          <w:szCs w:val="28"/>
        </w:rPr>
        <w:t xml:space="preserve">eria degli orari degli esercizi commerciali, andando ad incidere (prevedendone l’abrogazione o la modifica sostanziale) </w:t>
      </w:r>
      <w:r>
        <w:rPr>
          <w:rFonts w:ascii="Verdana" w:hAnsi="Verdana" w:cs="Baskerville"/>
          <w:b/>
          <w:sz w:val="28"/>
          <w:szCs w:val="28"/>
        </w:rPr>
        <w:t xml:space="preserve">sull’articolo 3, comma 1, lett. </w:t>
      </w:r>
      <w:r>
        <w:rPr>
          <w:rFonts w:ascii="Verdana" w:hAnsi="Verdana" w:cs="Baskerville"/>
          <w:b/>
          <w:i/>
          <w:sz w:val="28"/>
          <w:szCs w:val="28"/>
        </w:rPr>
        <w:t>d–bis</w:t>
      </w:r>
      <w:r>
        <w:rPr>
          <w:rFonts w:ascii="Verdana" w:hAnsi="Verdana" w:cs="Baskerville"/>
          <w:b/>
          <w:sz w:val="28"/>
          <w:szCs w:val="28"/>
        </w:rPr>
        <w:t xml:space="preserve"> del D.L. 4 luglio 2006, n. 223, convertito, con modificazioni, dalla legge 4 agosto 2006, n. 248.</w:t>
      </w:r>
    </w:p>
    <w:p w:rsidR="00D3328E" w:rsidRDefault="00F35B29">
      <w:pPr>
        <w:pStyle w:val="Standard"/>
        <w:jc w:val="both"/>
      </w:pPr>
      <w:r>
        <w:rPr>
          <w:rFonts w:ascii="Verdana" w:hAnsi="Verdana" w:cs="Baskerville"/>
          <w:sz w:val="28"/>
          <w:szCs w:val="28"/>
        </w:rPr>
        <w:t>In precedenza, la disciplina era la seguente:</w:t>
      </w:r>
    </w:p>
    <w:p w:rsidR="00D3328E" w:rsidRDefault="00F35B29">
      <w:pPr>
        <w:pStyle w:val="Paragrafoelenco"/>
        <w:numPr>
          <w:ilvl w:val="0"/>
          <w:numId w:val="11"/>
        </w:numPr>
        <w:spacing w:after="0" w:line="240" w:lineRule="auto"/>
        <w:jc w:val="both"/>
      </w:pPr>
      <w:r>
        <w:rPr>
          <w:rFonts w:ascii="Verdana" w:hAnsi="Verdana" w:cs="Baskerville"/>
          <w:sz w:val="28"/>
          <w:szCs w:val="28"/>
        </w:rPr>
        <w:t>l'apertura degli esercizi commerciali era soggetta agli obblighi di chiusura domenicale, festiva ed infrasettimanale e ad orari di apertura e chiusura, salvo due importanti deroghe:</w:t>
      </w:r>
    </w:p>
    <w:p w:rsidR="00D3328E" w:rsidRDefault="00D3328E">
      <w:pPr>
        <w:pStyle w:val="Paragrafoelenco"/>
        <w:spacing w:after="0" w:line="240" w:lineRule="auto"/>
        <w:jc w:val="both"/>
        <w:rPr>
          <w:rFonts w:ascii="Verdana" w:hAnsi="Verdana" w:cs="Baskerville"/>
          <w:sz w:val="28"/>
          <w:szCs w:val="28"/>
        </w:rPr>
      </w:pPr>
    </w:p>
    <w:p w:rsidR="00D3328E" w:rsidRDefault="00F35B29">
      <w:pPr>
        <w:pStyle w:val="Standard"/>
        <w:spacing w:after="0" w:line="240" w:lineRule="auto"/>
        <w:ind w:left="1416"/>
        <w:jc w:val="both"/>
      </w:pPr>
      <w:r>
        <w:rPr>
          <w:rFonts w:ascii="Verdana" w:hAnsi="Verdana" w:cs="Baskerville"/>
          <w:sz w:val="28"/>
          <w:szCs w:val="28"/>
        </w:rPr>
        <w:t xml:space="preserve">- per i comuni ad economia </w:t>
      </w:r>
      <w:r>
        <w:rPr>
          <w:rFonts w:ascii="Verdana" w:hAnsi="Verdana" w:cs="Baskerville"/>
          <w:sz w:val="28"/>
          <w:szCs w:val="28"/>
        </w:rPr>
        <w:t>prevalentemente turistica e le città d'arte (in cui gli esercizi commerciali erano liberi di determinare gli orari anche in deroga agli obblighi di chiusura: art. 12 del decreto legislativo 114/1998 (Riforma della disciplina relativa al settore del commerc</w:t>
      </w:r>
      <w:r>
        <w:rPr>
          <w:rFonts w:ascii="Verdana" w:hAnsi="Verdana" w:cs="Baskerville"/>
          <w:sz w:val="28"/>
          <w:szCs w:val="28"/>
        </w:rPr>
        <w:t>io);</w:t>
      </w:r>
    </w:p>
    <w:p w:rsidR="00D3328E" w:rsidRDefault="00D3328E">
      <w:pPr>
        <w:pStyle w:val="Standard"/>
        <w:spacing w:after="0" w:line="240" w:lineRule="auto"/>
        <w:ind w:left="1416"/>
        <w:jc w:val="both"/>
        <w:rPr>
          <w:rFonts w:ascii="Verdana" w:hAnsi="Verdana" w:cs="Baskerville"/>
          <w:color w:val="000000"/>
          <w:sz w:val="28"/>
          <w:szCs w:val="28"/>
        </w:rPr>
      </w:pPr>
    </w:p>
    <w:p w:rsidR="00D3328E" w:rsidRDefault="00F35B29">
      <w:pPr>
        <w:pStyle w:val="Standard"/>
        <w:spacing w:after="0" w:line="240" w:lineRule="auto"/>
        <w:ind w:left="1416"/>
        <w:jc w:val="both"/>
      </w:pPr>
      <w:r>
        <w:rPr>
          <w:rFonts w:ascii="Times New Roman" w:hAnsi="Times New Roman" w:cs="Times New Roman"/>
          <w:sz w:val="24"/>
          <w:szCs w:val="24"/>
        </w:rPr>
        <w:t xml:space="preserve">- </w:t>
      </w:r>
      <w:r>
        <w:rPr>
          <w:rFonts w:ascii="Verdana" w:hAnsi="Verdana" w:cs="Baskerville"/>
          <w:color w:val="000000"/>
          <w:sz w:val="28"/>
          <w:szCs w:val="28"/>
        </w:rPr>
        <w:t>per alcune tipologie di attività tra cui: gelaterie e gastronomie; rosticcerie e pasticcerie; esercizi specializzati nella vendita di articoli da ricordo e artigianato locale, etc.. (art. 13, comma 1 del d.lgs. 114/1998).</w:t>
      </w:r>
    </w:p>
    <w:p w:rsidR="00D3328E" w:rsidRDefault="00D3328E">
      <w:pPr>
        <w:pStyle w:val="Standard"/>
        <w:jc w:val="both"/>
        <w:rPr>
          <w:rFonts w:ascii="Verdana" w:hAnsi="Verdana" w:cs="Baskerville"/>
          <w:color w:val="000000"/>
          <w:sz w:val="28"/>
          <w:szCs w:val="28"/>
        </w:rPr>
      </w:pPr>
    </w:p>
    <w:p w:rsidR="00D3328E" w:rsidRDefault="00F35B29">
      <w:pPr>
        <w:pStyle w:val="Paragrafoelenco"/>
        <w:numPr>
          <w:ilvl w:val="0"/>
          <w:numId w:val="4"/>
        </w:numPr>
        <w:jc w:val="both"/>
      </w:pPr>
      <w:r>
        <w:rPr>
          <w:rFonts w:ascii="Verdana" w:hAnsi="Verdana" w:cs="Baskerville"/>
          <w:sz w:val="28"/>
          <w:szCs w:val="28"/>
        </w:rPr>
        <w:t>a seguito dell'entrata in</w:t>
      </w:r>
      <w:r>
        <w:rPr>
          <w:rFonts w:ascii="Verdana" w:hAnsi="Verdana" w:cs="Baskerville"/>
          <w:sz w:val="28"/>
          <w:szCs w:val="28"/>
        </w:rPr>
        <w:t xml:space="preserve"> vigore della legge costituzionale n. 3/2001 (che attribuisce alle Regioni la competenza residuale esclusiva in materia di commercio</w:t>
      </w:r>
      <w:r>
        <w:rPr>
          <w:rFonts w:ascii="Verdana" w:hAnsi="Verdana" w:cs="Baskerville"/>
          <w:strike/>
          <w:sz w:val="28"/>
          <w:szCs w:val="28"/>
        </w:rPr>
        <w:t>)</w:t>
      </w:r>
      <w:r>
        <w:rPr>
          <w:rFonts w:ascii="Verdana" w:hAnsi="Verdana" w:cs="Baskerville"/>
          <w:sz w:val="28"/>
          <w:szCs w:val="28"/>
        </w:rPr>
        <w:t xml:space="preserve"> le Regioni e Province autonome avevano previsto un certo numero di aperture </w:t>
      </w:r>
      <w:r>
        <w:rPr>
          <w:rFonts w:ascii="Verdana" w:hAnsi="Verdana" w:cs="Baskerville"/>
          <w:sz w:val="28"/>
          <w:szCs w:val="28"/>
        </w:rPr>
        <w:lastRenderedPageBreak/>
        <w:t>domenicali e festive ogni anno, nel rispetto d</w:t>
      </w:r>
      <w:r>
        <w:rPr>
          <w:rFonts w:ascii="Verdana" w:hAnsi="Verdana" w:cs="Baskerville"/>
          <w:sz w:val="28"/>
          <w:szCs w:val="28"/>
        </w:rPr>
        <w:t>elle esigenze territoriali, turistiche e delle città d’arte, con differenziazioni tra Regioni e Regioni.</w:t>
      </w:r>
    </w:p>
    <w:p w:rsidR="00D3328E" w:rsidRDefault="00F35B29">
      <w:pPr>
        <w:pStyle w:val="Standard"/>
        <w:jc w:val="both"/>
      </w:pPr>
      <w:r>
        <w:rPr>
          <w:rFonts w:ascii="Verdana" w:hAnsi="Verdana" w:cs="Baskerville"/>
          <w:sz w:val="28"/>
          <w:szCs w:val="28"/>
        </w:rPr>
        <w:t>La lettera d-bis) citata, originariamente prevedeva, solo in via sperimentale, la possibilità di derogare alle disposizioni sulla chiusura festiva e do</w:t>
      </w:r>
      <w:r>
        <w:rPr>
          <w:rFonts w:ascii="Verdana" w:hAnsi="Verdana" w:cs="Baskerville"/>
          <w:sz w:val="28"/>
          <w:szCs w:val="28"/>
        </w:rPr>
        <w:t>menicale per tutti gli esercizi commerciali ubicati nei comuni inclusi negli elenchi delle località turistiche e delle città d’arte.</w:t>
      </w:r>
    </w:p>
    <w:p w:rsidR="00D3328E" w:rsidRDefault="00F35B29">
      <w:pPr>
        <w:pStyle w:val="Standard"/>
        <w:jc w:val="both"/>
      </w:pPr>
      <w:r>
        <w:rPr>
          <w:rFonts w:ascii="Verdana" w:hAnsi="Verdana" w:cs="Baskerville"/>
          <w:sz w:val="28"/>
          <w:szCs w:val="28"/>
        </w:rPr>
        <w:t xml:space="preserve">Successivamente, l’articolo 31 del decreto-legge 6 dicembre 2011 n. 201 convertito, con modificazioni, dalla legge 22 </w:t>
      </w:r>
      <w:r>
        <w:rPr>
          <w:rFonts w:ascii="Verdana" w:hAnsi="Verdana" w:cs="Baskerville"/>
          <w:sz w:val="28"/>
          <w:szCs w:val="28"/>
        </w:rPr>
        <w:t xml:space="preserve">dicembre 2011 n. 214, è nuovamente intervenuto sulla stessa lettera d-bis) e </w:t>
      </w:r>
      <w:r>
        <w:rPr>
          <w:rFonts w:ascii="Verdana" w:hAnsi="Verdana" w:cs="Baskerville"/>
          <w:b/>
          <w:sz w:val="28"/>
          <w:szCs w:val="28"/>
        </w:rPr>
        <w:t xml:space="preserve">ha liberalizzato in tutto il territorio nazionale il regime degli orari degli esercizi commerciali e di quelli di somministrazione di alimenti e bevande, </w:t>
      </w:r>
      <w:r>
        <w:rPr>
          <w:rFonts w:ascii="Verdana" w:hAnsi="Verdana" w:cs="Baskerville"/>
          <w:sz w:val="28"/>
          <w:szCs w:val="28"/>
        </w:rPr>
        <w:t>introducendo – caso quasi</w:t>
      </w:r>
      <w:r>
        <w:rPr>
          <w:rFonts w:ascii="Verdana" w:hAnsi="Verdana" w:cs="Baskerville"/>
          <w:sz w:val="28"/>
          <w:szCs w:val="28"/>
        </w:rPr>
        <w:t xml:space="preserve"> unico in Europa – la possibilità di aprire 24 ore su 24, 7 giorni su 7.</w:t>
      </w:r>
    </w:p>
    <w:p w:rsidR="00D3328E" w:rsidRDefault="00D3328E">
      <w:pPr>
        <w:pStyle w:val="Standard"/>
        <w:jc w:val="both"/>
      </w:pPr>
    </w:p>
    <w:p w:rsidR="00D3328E" w:rsidRDefault="00F35B29">
      <w:pPr>
        <w:pStyle w:val="Standard"/>
        <w:jc w:val="both"/>
      </w:pPr>
      <w:r>
        <w:rPr>
          <w:rFonts w:ascii="Verdana" w:hAnsi="Verdana" w:cs="Baskerville"/>
          <w:color w:val="000000"/>
          <w:sz w:val="28"/>
          <w:szCs w:val="28"/>
        </w:rPr>
        <w:t>La finalità del provvedimento era di dare una spinta positiva alla crescita dei consumi, incrementando la libera concorrenza e adeguando il nostro quadro normativo a quello europeo.</w:t>
      </w:r>
    </w:p>
    <w:p w:rsidR="00D3328E" w:rsidRDefault="00F35B29">
      <w:pPr>
        <w:pStyle w:val="Standard"/>
        <w:jc w:val="both"/>
      </w:pPr>
      <w:r>
        <w:rPr>
          <w:rFonts w:ascii="Verdana" w:hAnsi="Verdana" w:cs="Baskerville"/>
          <w:color w:val="000000"/>
          <w:sz w:val="28"/>
          <w:szCs w:val="28"/>
        </w:rPr>
        <w:t>Molte Regioni italiane hanno impugnato il decreto succitato alla suprema Corte, sostenendo tra l’altro la violazione della competenza legislativa residuale in materia di commercio, ai sensi dell’art. 117, quarto comma, Cost.</w:t>
      </w:r>
    </w:p>
    <w:p w:rsidR="00D3328E" w:rsidRDefault="00F35B29">
      <w:pPr>
        <w:pStyle w:val="Standard"/>
        <w:jc w:val="both"/>
      </w:pPr>
      <w:r>
        <w:rPr>
          <w:rFonts w:ascii="Verdana" w:hAnsi="Verdana" w:cs="Baskerville"/>
          <w:color w:val="000000"/>
          <w:sz w:val="28"/>
          <w:szCs w:val="28"/>
        </w:rPr>
        <w:t>La Corte costituzionale, con un</w:t>
      </w:r>
      <w:r>
        <w:rPr>
          <w:rFonts w:ascii="Verdana" w:hAnsi="Verdana" w:cs="Baskerville"/>
          <w:color w:val="000000"/>
          <w:sz w:val="28"/>
          <w:szCs w:val="28"/>
        </w:rPr>
        <w:t xml:space="preserve">a serie di sentenze (tra le quali, la n. 299/2012 e la n. 27/2013) ha ritenuto non fondate le questioni di costituzionalità sollevate dalle Regioni ricorrenti, dovendosi inquadrare l’art. 31, comma 1, del d.l. n. 201 del 2011 </w:t>
      </w:r>
      <w:r>
        <w:rPr>
          <w:rFonts w:ascii="Verdana" w:hAnsi="Verdana" w:cs="Baskerville"/>
          <w:b/>
          <w:color w:val="000000"/>
          <w:sz w:val="28"/>
          <w:szCs w:val="28"/>
        </w:rPr>
        <w:t>nella materia «tutela della co</w:t>
      </w:r>
      <w:r>
        <w:rPr>
          <w:rFonts w:ascii="Verdana" w:hAnsi="Verdana" w:cs="Baskerville"/>
          <w:b/>
          <w:color w:val="000000"/>
          <w:sz w:val="28"/>
          <w:szCs w:val="28"/>
        </w:rPr>
        <w:t>ncorrenza»</w:t>
      </w:r>
      <w:r>
        <w:rPr>
          <w:rFonts w:ascii="Verdana" w:hAnsi="Verdana" w:cs="Baskerville"/>
          <w:color w:val="000000"/>
          <w:sz w:val="28"/>
          <w:szCs w:val="28"/>
        </w:rPr>
        <w:t>, riservata alla competenza esclusiva dello Stato ex art. 117, secondo comma, lettera e), Cost.</w:t>
      </w:r>
    </w:p>
    <w:p w:rsidR="00D3328E" w:rsidRDefault="00D3328E">
      <w:pPr>
        <w:pStyle w:val="Standard"/>
        <w:jc w:val="both"/>
        <w:rPr>
          <w:rFonts w:ascii="Verdana" w:hAnsi="Verdana" w:cs="Baskerville"/>
          <w:color w:val="000000"/>
          <w:sz w:val="28"/>
          <w:szCs w:val="28"/>
        </w:rPr>
      </w:pPr>
    </w:p>
    <w:p w:rsidR="00D3328E" w:rsidRDefault="00F35B29">
      <w:pPr>
        <w:pStyle w:val="Standard"/>
        <w:jc w:val="both"/>
      </w:pPr>
      <w:r>
        <w:rPr>
          <w:rFonts w:ascii="Verdana" w:hAnsi="Verdana" w:cs="Baskerville"/>
          <w:b/>
          <w:color w:val="000000"/>
          <w:sz w:val="28"/>
          <w:szCs w:val="28"/>
        </w:rPr>
        <w:t>Analisi delle normative</w:t>
      </w:r>
    </w:p>
    <w:p w:rsidR="00D3328E" w:rsidRDefault="00F35B29">
      <w:pPr>
        <w:pStyle w:val="Standard"/>
        <w:jc w:val="both"/>
      </w:pPr>
      <w:r>
        <w:rPr>
          <w:rFonts w:ascii="Verdana" w:hAnsi="Verdana" w:cs="Baskerville"/>
          <w:color w:val="000000"/>
          <w:sz w:val="28"/>
          <w:szCs w:val="28"/>
        </w:rPr>
        <w:t>Si evidenzia come le proposte di legge in oggetto sono accumunate dalla finalità di prevedere una nuova disciplina della mate</w:t>
      </w:r>
      <w:r>
        <w:rPr>
          <w:rFonts w:ascii="Verdana" w:hAnsi="Verdana" w:cs="Baskerville"/>
          <w:color w:val="000000"/>
          <w:sz w:val="28"/>
          <w:szCs w:val="28"/>
        </w:rPr>
        <w:t xml:space="preserve">ria degli orari degli esercizi commerciali, andando ad incidere (o prevedendone l’abrogazione o la modifica sostanziale) </w:t>
      </w:r>
      <w:r>
        <w:rPr>
          <w:rFonts w:ascii="Verdana" w:hAnsi="Verdana" w:cs="Baskerville"/>
          <w:b/>
          <w:color w:val="000000"/>
          <w:sz w:val="28"/>
          <w:szCs w:val="28"/>
        </w:rPr>
        <w:t xml:space="preserve">sull’articolo </w:t>
      </w:r>
      <w:r>
        <w:rPr>
          <w:rFonts w:ascii="Verdana" w:hAnsi="Verdana" w:cs="Baskerville"/>
          <w:b/>
          <w:color w:val="000000"/>
          <w:sz w:val="28"/>
          <w:szCs w:val="28"/>
        </w:rPr>
        <w:lastRenderedPageBreak/>
        <w:t xml:space="preserve">3 comma 1 lett. </w:t>
      </w:r>
      <w:r>
        <w:rPr>
          <w:rFonts w:ascii="Verdana" w:hAnsi="Verdana" w:cs="Baskerville"/>
          <w:b/>
          <w:i/>
          <w:color w:val="000000"/>
          <w:sz w:val="28"/>
          <w:szCs w:val="28"/>
        </w:rPr>
        <w:t>d –bis</w:t>
      </w:r>
      <w:r>
        <w:rPr>
          <w:rFonts w:ascii="Verdana" w:hAnsi="Verdana" w:cs="Baskerville"/>
          <w:b/>
          <w:color w:val="000000"/>
          <w:sz w:val="28"/>
          <w:szCs w:val="28"/>
        </w:rPr>
        <w:t xml:space="preserve"> del D.L. 4 luglio 2006 convertito, con modificazioni, dalla legge 4 agosto n. 248.</w:t>
      </w:r>
    </w:p>
    <w:p w:rsidR="00D3328E" w:rsidRDefault="00F35B29">
      <w:pPr>
        <w:pStyle w:val="Standard"/>
        <w:jc w:val="both"/>
      </w:pPr>
      <w:r>
        <w:rPr>
          <w:rFonts w:ascii="Verdana" w:hAnsi="Verdana" w:cs="Baskerville"/>
          <w:color w:val="000000"/>
          <w:sz w:val="28"/>
          <w:szCs w:val="28"/>
        </w:rPr>
        <w:t>Occorre</w:t>
      </w:r>
      <w:r>
        <w:rPr>
          <w:rFonts w:ascii="Verdana" w:hAnsi="Verdana" w:cs="Baskerville"/>
          <w:strike/>
          <w:color w:val="000000"/>
          <w:sz w:val="28"/>
          <w:szCs w:val="28"/>
        </w:rPr>
        <w:t xml:space="preserve"> </w:t>
      </w:r>
      <w:r>
        <w:rPr>
          <w:rFonts w:ascii="Verdana" w:hAnsi="Verdana" w:cs="Baskerville"/>
          <w:color w:val="000000"/>
          <w:sz w:val="28"/>
          <w:szCs w:val="28"/>
        </w:rPr>
        <w:t>delimit</w:t>
      </w:r>
      <w:r>
        <w:rPr>
          <w:rFonts w:ascii="Verdana" w:hAnsi="Verdana" w:cs="Baskerville"/>
          <w:color w:val="000000"/>
          <w:sz w:val="28"/>
          <w:szCs w:val="28"/>
        </w:rPr>
        <w:t>are, preliminarmente, il campo applicativo delle PDL chiarendo che, per esercizi commerciali, esse si intendono le attività commerciali individuate dal d. lgs. n. 114/98 e non quelle di somministrazione di alimenti e bevande.</w:t>
      </w:r>
    </w:p>
    <w:p w:rsidR="00D3328E" w:rsidRDefault="00F35B29">
      <w:pPr>
        <w:pStyle w:val="Standard"/>
        <w:jc w:val="both"/>
      </w:pPr>
      <w:r>
        <w:rPr>
          <w:rFonts w:ascii="Verdana" w:hAnsi="Verdana" w:cs="Baskerville"/>
          <w:color w:val="000000"/>
          <w:sz w:val="28"/>
          <w:szCs w:val="28"/>
        </w:rPr>
        <w:t xml:space="preserve">La Conferenza delle Regioni e </w:t>
      </w:r>
      <w:r>
        <w:rPr>
          <w:rFonts w:ascii="Verdana" w:hAnsi="Verdana" w:cs="Baskerville"/>
          <w:color w:val="000000"/>
          <w:sz w:val="28"/>
          <w:szCs w:val="28"/>
        </w:rPr>
        <w:t>delle Province autonome, nel 2014, ha già approvato un documento di posizionamento sulla questione (rif. 14/106/CR08A/C11), con riferimento ad alcune proposte di legge, tra le quali era presente anche la n. 1629, riproposta ed oggetto della presente disani</w:t>
      </w:r>
      <w:r>
        <w:rPr>
          <w:rFonts w:ascii="Verdana" w:hAnsi="Verdana" w:cs="Baskerville"/>
          <w:color w:val="000000"/>
          <w:sz w:val="28"/>
          <w:szCs w:val="28"/>
        </w:rPr>
        <w:t>ma (PDL n. 470 Benamati).</w:t>
      </w:r>
    </w:p>
    <w:p w:rsidR="00D3328E" w:rsidRDefault="00F35B29">
      <w:pPr>
        <w:pStyle w:val="Standard"/>
        <w:jc w:val="both"/>
      </w:pPr>
      <w:r>
        <w:rPr>
          <w:rFonts w:ascii="Verdana" w:hAnsi="Verdana" w:cs="Baskerville"/>
          <w:color w:val="000000"/>
          <w:sz w:val="28"/>
          <w:szCs w:val="28"/>
        </w:rPr>
        <w:t>È pertanto possibile riprendere le valutazioni espresse dalle Regioni in tale documento, estendendole anche alle attuali proposte di legge in quanto permangono elementi di validità.</w:t>
      </w:r>
    </w:p>
    <w:p w:rsidR="00D3328E" w:rsidRDefault="00F35B29">
      <w:pPr>
        <w:pStyle w:val="Standard"/>
        <w:numPr>
          <w:ilvl w:val="0"/>
          <w:numId w:val="12"/>
        </w:numPr>
        <w:jc w:val="both"/>
      </w:pPr>
      <w:r>
        <w:rPr>
          <w:rFonts w:ascii="Verdana" w:hAnsi="Verdana" w:cs="Baskerville"/>
          <w:sz w:val="28"/>
          <w:szCs w:val="28"/>
        </w:rPr>
        <w:t>Le proposte di legge prevedono l’obbligo della c</w:t>
      </w:r>
      <w:r>
        <w:rPr>
          <w:rFonts w:ascii="Verdana" w:hAnsi="Verdana" w:cs="Baskerville"/>
          <w:sz w:val="28"/>
          <w:szCs w:val="28"/>
        </w:rPr>
        <w:t xml:space="preserve">hiusura domenicale e festiva, nonché quello di chiusura infrasettimanale dell’esercizio (fatta salva la PDL C.1, che prevede la generale abrogazione della normativa attuale e la rimessione delle competenze alle regioni), con disciplina di alcune tipologie </w:t>
      </w:r>
      <w:r>
        <w:rPr>
          <w:rFonts w:ascii="Verdana" w:hAnsi="Verdana" w:cs="Baskerville"/>
          <w:sz w:val="28"/>
          <w:szCs w:val="28"/>
        </w:rPr>
        <w:t>di deroghe, per un numero massimo di giorni e per territori e settori: in particolare alcune PDL prevedono la possibilità di mantenere la liberalizzazione per la somministrazione di alimenti e bevande e per le località turistiche, per i piccoli comuni mont</w:t>
      </w:r>
      <w:r>
        <w:rPr>
          <w:rFonts w:ascii="Verdana" w:hAnsi="Verdana" w:cs="Baskerville"/>
          <w:sz w:val="28"/>
          <w:szCs w:val="28"/>
        </w:rPr>
        <w:t>ani e le attività commerciali balneari (cfr PDL 457 e PDL 526, la quale estende la deroga a tutte le attività previste dall’articolo13 del dlgs 114/1998);</w:t>
      </w:r>
    </w:p>
    <w:p w:rsidR="00D3328E" w:rsidRDefault="00F35B29">
      <w:pPr>
        <w:pStyle w:val="Standard"/>
        <w:numPr>
          <w:ilvl w:val="0"/>
          <w:numId w:val="1"/>
        </w:numPr>
        <w:jc w:val="both"/>
      </w:pPr>
      <w:r>
        <w:rPr>
          <w:rFonts w:ascii="Verdana" w:hAnsi="Verdana" w:cs="Baskerville"/>
          <w:color w:val="000000"/>
          <w:sz w:val="28"/>
          <w:szCs w:val="28"/>
        </w:rPr>
        <w:t>Le PDL n. 457, n. 526 e n. 587 prevedono che le Regioni adottino un piano per la regolamentazione deg</w:t>
      </w:r>
      <w:r>
        <w:rPr>
          <w:rFonts w:ascii="Verdana" w:hAnsi="Verdana" w:cs="Baskerville"/>
          <w:color w:val="000000"/>
          <w:sz w:val="28"/>
          <w:szCs w:val="28"/>
        </w:rPr>
        <w:t>li orari di apertura e di chiusura e per la disciplina delle deroghe;</w:t>
      </w:r>
    </w:p>
    <w:p w:rsidR="00D3328E" w:rsidRDefault="00F35B29">
      <w:pPr>
        <w:pStyle w:val="Standard"/>
        <w:numPr>
          <w:ilvl w:val="0"/>
          <w:numId w:val="1"/>
        </w:numPr>
        <w:jc w:val="both"/>
      </w:pPr>
      <w:r>
        <w:rPr>
          <w:rFonts w:ascii="Verdana" w:hAnsi="Verdana" w:cs="Baskerville"/>
          <w:color w:val="000000"/>
          <w:sz w:val="28"/>
          <w:szCs w:val="28"/>
        </w:rPr>
        <w:t xml:space="preserve"> Per quanto riguarda le ulteriori disposizioni contenute nella PDL 470 (nello specifico, articolo 3 “poteri del sindaco e sanzioni” e 4 “costituzione di un fondo per il sostegno delle mi</w:t>
      </w:r>
      <w:r>
        <w:rPr>
          <w:rFonts w:ascii="Verdana" w:hAnsi="Verdana" w:cs="Baskerville"/>
          <w:color w:val="000000"/>
          <w:sz w:val="28"/>
          <w:szCs w:val="28"/>
        </w:rPr>
        <w:t>cro-imprese attive nel settore del commercio al dettaglio”) si richiamano le osservazioni riportate nel documento del 2014 della Conferenza delle Regioni e Province autonome.</w:t>
      </w:r>
    </w:p>
    <w:p w:rsidR="00D3328E" w:rsidRDefault="00D3328E">
      <w:pPr>
        <w:pStyle w:val="Standard"/>
        <w:jc w:val="both"/>
        <w:rPr>
          <w:rFonts w:ascii="Verdana" w:hAnsi="Verdana" w:cs="Baskerville"/>
          <w:color w:val="000000"/>
          <w:sz w:val="28"/>
          <w:szCs w:val="28"/>
        </w:rPr>
      </w:pPr>
    </w:p>
    <w:p w:rsidR="00D3328E" w:rsidRDefault="00F35B29">
      <w:pPr>
        <w:pStyle w:val="Standard"/>
        <w:numPr>
          <w:ilvl w:val="0"/>
          <w:numId w:val="1"/>
        </w:numPr>
        <w:jc w:val="both"/>
      </w:pPr>
      <w:r>
        <w:rPr>
          <w:rFonts w:ascii="Verdana" w:hAnsi="Verdana" w:cs="Baskerville"/>
          <w:color w:val="000000"/>
          <w:sz w:val="28"/>
          <w:szCs w:val="28"/>
        </w:rPr>
        <w:t xml:space="preserve">La PDL n 526 prevede l’istituzione di un osservatorio sulle aperture domenicali </w:t>
      </w:r>
      <w:r>
        <w:rPr>
          <w:rFonts w:ascii="Verdana" w:hAnsi="Verdana" w:cs="Baskerville"/>
          <w:color w:val="000000"/>
          <w:sz w:val="28"/>
          <w:szCs w:val="28"/>
        </w:rPr>
        <w:t>e festive da istituire presso il ministero dello Sviluppo economico con il compito di verificare gli effetti della regolazione stabilita nella PDL.</w:t>
      </w:r>
    </w:p>
    <w:p w:rsidR="00D3328E" w:rsidRDefault="00D3328E">
      <w:pPr>
        <w:pStyle w:val="Standard"/>
        <w:jc w:val="both"/>
        <w:rPr>
          <w:rFonts w:ascii="Verdana" w:hAnsi="Verdana" w:cs="Baskerville"/>
          <w:b/>
          <w:color w:val="000000"/>
          <w:sz w:val="28"/>
          <w:szCs w:val="28"/>
        </w:rPr>
      </w:pPr>
    </w:p>
    <w:p w:rsidR="00D3328E" w:rsidRDefault="00F35B29">
      <w:pPr>
        <w:pStyle w:val="Standard"/>
        <w:numPr>
          <w:ilvl w:val="0"/>
          <w:numId w:val="1"/>
        </w:numPr>
        <w:jc w:val="both"/>
      </w:pPr>
      <w:r>
        <w:rPr>
          <w:rFonts w:ascii="Verdana" w:hAnsi="Verdana" w:cs="Baskerville"/>
          <w:color w:val="000000"/>
          <w:sz w:val="28"/>
          <w:szCs w:val="28"/>
        </w:rPr>
        <w:t>Si segnala infine, con riferimento alla PDL 526 che nella relazione illustrativa si prevede che l’ambito di</w:t>
      </w:r>
      <w:r>
        <w:rPr>
          <w:rFonts w:ascii="Verdana" w:hAnsi="Verdana" w:cs="Baskerville"/>
          <w:color w:val="000000"/>
          <w:sz w:val="28"/>
          <w:szCs w:val="28"/>
        </w:rPr>
        <w:t xml:space="preserve"> applicazione delle disposizioni proposte di estenda anche alle forme speciali di vendita al dettaglio legate all’e-commerce di cui all’articolo 4, comma 1, lett h) del dlgs 114/98. È così riportato nella PDL: “ </w:t>
      </w:r>
      <w:r>
        <w:rPr>
          <w:rFonts w:ascii="Verdana" w:hAnsi="Verdana" w:cs="Baskerville"/>
          <w:i/>
          <w:color w:val="000000"/>
          <w:sz w:val="28"/>
          <w:szCs w:val="28"/>
        </w:rPr>
        <w:t xml:space="preserve">Si intende quindi che nei giorni festivi il </w:t>
      </w:r>
      <w:r>
        <w:rPr>
          <w:rFonts w:ascii="Verdana" w:hAnsi="Verdana" w:cs="Baskerville"/>
          <w:i/>
          <w:color w:val="000000"/>
          <w:sz w:val="28"/>
          <w:szCs w:val="28"/>
        </w:rPr>
        <w:t>consumatore potrà continuare a collegarsi ai siti e-commerce, scegliere e completare l’ordine di un prodotto ma dovrà essere chiaro che l’attività commerciale in questione, se si svolge in Italia, non sarà esercitata in alcune delle sue fasi</w:t>
      </w:r>
      <w:r>
        <w:rPr>
          <w:rFonts w:ascii="Verdana" w:hAnsi="Verdana" w:cs="Baskerville"/>
          <w:color w:val="000000"/>
          <w:sz w:val="28"/>
          <w:szCs w:val="28"/>
        </w:rPr>
        <w:t>”</w:t>
      </w:r>
    </w:p>
    <w:p w:rsidR="00D3328E" w:rsidRDefault="00F35B29">
      <w:pPr>
        <w:pStyle w:val="Standard"/>
        <w:jc w:val="both"/>
      </w:pPr>
      <w:r>
        <w:rPr>
          <w:rFonts w:ascii="Verdana" w:hAnsi="Verdana" w:cs="Baskerville"/>
          <w:b/>
          <w:color w:val="000000"/>
          <w:sz w:val="28"/>
          <w:szCs w:val="28"/>
        </w:rPr>
        <w:t xml:space="preserve"> Inoltre </w:t>
      </w:r>
      <w:r>
        <w:rPr>
          <w:rFonts w:ascii="Verdana" w:hAnsi="Verdana" w:cs="Baskerville"/>
          <w:b/>
          <w:color w:val="000000"/>
          <w:sz w:val="28"/>
          <w:szCs w:val="28"/>
        </w:rPr>
        <w:t>tutte le pdl prevedono che:</w:t>
      </w:r>
    </w:p>
    <w:p w:rsidR="00D3328E" w:rsidRDefault="00F35B29">
      <w:pPr>
        <w:pStyle w:val="Paragrafoelenco"/>
        <w:numPr>
          <w:ilvl w:val="0"/>
          <w:numId w:val="13"/>
        </w:numPr>
        <w:spacing w:after="0" w:line="240" w:lineRule="auto"/>
        <w:jc w:val="both"/>
      </w:pPr>
      <w:r>
        <w:rPr>
          <w:rFonts w:ascii="Verdana" w:hAnsi="Verdana" w:cs="Baskerville"/>
          <w:sz w:val="28"/>
          <w:szCs w:val="28"/>
        </w:rPr>
        <w:t>le Regioni, d’intesa con gli enti locali, adottano appositi piani per apertura a rotazione ( C 526 );</w:t>
      </w:r>
    </w:p>
    <w:p w:rsidR="00D3328E" w:rsidRDefault="00F35B29">
      <w:pPr>
        <w:pStyle w:val="Paragrafoelenco"/>
        <w:numPr>
          <w:ilvl w:val="0"/>
          <w:numId w:val="5"/>
        </w:numPr>
        <w:spacing w:after="0" w:line="240" w:lineRule="auto"/>
        <w:jc w:val="both"/>
      </w:pPr>
      <w:r>
        <w:rPr>
          <w:rFonts w:ascii="Verdana" w:hAnsi="Verdana" w:cs="Baskerville"/>
          <w:sz w:val="28"/>
          <w:szCs w:val="28"/>
        </w:rPr>
        <w:t>le Regioni, d’intesa con gli enti locali, adottano un piano per regolare orari di apertura e chiusura, prevedendo l'obbligo di</w:t>
      </w:r>
      <w:r>
        <w:rPr>
          <w:rFonts w:ascii="Verdana" w:hAnsi="Verdana" w:cs="Baskerville"/>
          <w:sz w:val="28"/>
          <w:szCs w:val="28"/>
        </w:rPr>
        <w:t xml:space="preserve"> chiusura domenicale e festiva (C 457 )</w:t>
      </w:r>
    </w:p>
    <w:p w:rsidR="00D3328E" w:rsidRDefault="00F35B29">
      <w:pPr>
        <w:pStyle w:val="Paragrafoelenco"/>
        <w:numPr>
          <w:ilvl w:val="0"/>
          <w:numId w:val="5"/>
        </w:numPr>
        <w:spacing w:after="0" w:line="240" w:lineRule="auto"/>
        <w:jc w:val="both"/>
      </w:pPr>
      <w:r>
        <w:rPr>
          <w:rFonts w:ascii="Verdana" w:hAnsi="Verdana" w:cs="Baskerville"/>
          <w:sz w:val="28"/>
          <w:szCs w:val="28"/>
        </w:rPr>
        <w:t>le Regioni fissano criteri generali sugli orari di apertura; i Comuni predispongono accordi territoriali (anche intercomunali) non vincolanti. In casi particolari, i sindaci possono decidere d’autorità per periodi no</w:t>
      </w:r>
      <w:r>
        <w:rPr>
          <w:rFonts w:ascii="Verdana" w:hAnsi="Verdana" w:cs="Baskerville"/>
          <w:sz w:val="28"/>
          <w:szCs w:val="28"/>
        </w:rPr>
        <w:t>n superiori a 3 mesi (C 470)</w:t>
      </w:r>
    </w:p>
    <w:p w:rsidR="00D3328E" w:rsidRDefault="00F35B29">
      <w:pPr>
        <w:pStyle w:val="Paragrafoelenco"/>
        <w:numPr>
          <w:ilvl w:val="0"/>
          <w:numId w:val="5"/>
        </w:numPr>
        <w:spacing w:after="0" w:line="240" w:lineRule="auto"/>
        <w:jc w:val="both"/>
      </w:pPr>
      <w:r>
        <w:rPr>
          <w:rFonts w:ascii="Verdana" w:hAnsi="Verdana" w:cs="Baskerville"/>
          <w:sz w:val="28"/>
          <w:szCs w:val="28"/>
        </w:rPr>
        <w:t>le Regioni predispongono un piano triennale tenendo conto della vocazione turistica del territorio e delle esigenze dei consumatori. I Comuni registrano il regime delle aperture facoltative deciso dai singoli esercenti e lo tra</w:t>
      </w:r>
      <w:r>
        <w:rPr>
          <w:rFonts w:ascii="Verdana" w:hAnsi="Verdana" w:cs="Baskerville"/>
          <w:sz w:val="28"/>
          <w:szCs w:val="28"/>
        </w:rPr>
        <w:t>smettono alle Regioni</w:t>
      </w:r>
    </w:p>
    <w:p w:rsidR="00D3328E" w:rsidRDefault="00D3328E">
      <w:pPr>
        <w:pStyle w:val="Standard"/>
        <w:spacing w:after="0" w:line="240" w:lineRule="auto"/>
        <w:jc w:val="both"/>
        <w:rPr>
          <w:rFonts w:ascii="ArialMT" w:hAnsi="ArialMT" w:cs="ArialMT" w:hint="eastAsia"/>
          <w:sz w:val="20"/>
          <w:szCs w:val="20"/>
        </w:rPr>
      </w:pPr>
    </w:p>
    <w:p w:rsidR="00D3328E" w:rsidRDefault="00D3328E">
      <w:pPr>
        <w:pStyle w:val="Standard"/>
        <w:jc w:val="both"/>
        <w:rPr>
          <w:rFonts w:ascii="Verdana" w:hAnsi="Verdana" w:cs="Baskerville"/>
          <w:b/>
          <w:color w:val="000000"/>
          <w:sz w:val="28"/>
          <w:szCs w:val="28"/>
        </w:rPr>
      </w:pPr>
    </w:p>
    <w:p w:rsidR="00D3328E" w:rsidRDefault="00F35B29">
      <w:pPr>
        <w:pStyle w:val="Standard"/>
        <w:jc w:val="both"/>
      </w:pPr>
      <w:r>
        <w:rPr>
          <w:rFonts w:ascii="Verdana" w:hAnsi="Verdana" w:cs="Baskerville"/>
          <w:b/>
          <w:color w:val="000000"/>
          <w:sz w:val="28"/>
          <w:szCs w:val="28"/>
        </w:rPr>
        <w:t>Considerazioni Politiche della Commissione attività Produttive del 20 settembre 2018</w:t>
      </w:r>
    </w:p>
    <w:p w:rsidR="00D3328E" w:rsidRDefault="00F35B29">
      <w:pPr>
        <w:pStyle w:val="Paragrafoelenco"/>
        <w:numPr>
          <w:ilvl w:val="0"/>
          <w:numId w:val="14"/>
        </w:numPr>
        <w:jc w:val="both"/>
      </w:pPr>
      <w:r>
        <w:rPr>
          <w:rFonts w:ascii="Verdana" w:hAnsi="Verdana" w:cs="Baskerville"/>
          <w:sz w:val="28"/>
          <w:szCs w:val="28"/>
        </w:rPr>
        <w:t xml:space="preserve">La Commissione politica evidenzia come, in base anche alle varie sentenze della Corte Costituzionale sopra richiamate, la materia degli orari e </w:t>
      </w:r>
      <w:r>
        <w:rPr>
          <w:rFonts w:ascii="Verdana" w:hAnsi="Verdana" w:cs="Baskerville"/>
          <w:sz w:val="28"/>
          <w:szCs w:val="28"/>
        </w:rPr>
        <w:t xml:space="preserve">delle deroghe domenicali e festive delle attività commerciali è di esclusiva </w:t>
      </w:r>
      <w:r>
        <w:rPr>
          <w:rFonts w:ascii="Verdana" w:hAnsi="Verdana" w:cs="Baskerville"/>
          <w:b/>
          <w:sz w:val="28"/>
          <w:szCs w:val="28"/>
        </w:rPr>
        <w:t>competenza dello Stato,</w:t>
      </w:r>
      <w:r>
        <w:rPr>
          <w:rFonts w:ascii="Verdana" w:hAnsi="Verdana" w:cs="Baskerville"/>
          <w:sz w:val="28"/>
          <w:szCs w:val="28"/>
        </w:rPr>
        <w:t xml:space="preserve"> in quanto attiene alla materia “tutela della concorrenza” ex art. 117, secondo comma, lettera e), Cost.</w:t>
      </w:r>
      <w:r>
        <w:rPr>
          <w:rFonts w:ascii="Verdana" w:hAnsi="Verdana" w:cs="Baskerville"/>
          <w:strike/>
          <w:sz w:val="28"/>
          <w:szCs w:val="28"/>
        </w:rPr>
        <w:t>;</w:t>
      </w:r>
    </w:p>
    <w:p w:rsidR="00D3328E" w:rsidRDefault="00F35B29">
      <w:pPr>
        <w:pStyle w:val="Paragrafoelenco"/>
        <w:numPr>
          <w:ilvl w:val="0"/>
          <w:numId w:val="2"/>
        </w:numPr>
        <w:jc w:val="both"/>
      </w:pPr>
      <w:r>
        <w:rPr>
          <w:rFonts w:ascii="Verdana" w:hAnsi="Verdana" w:cs="Baskerville"/>
          <w:sz w:val="28"/>
          <w:szCs w:val="28"/>
        </w:rPr>
        <w:t xml:space="preserve">Ne consegue che le Regioni e le Province autonome </w:t>
      </w:r>
      <w:r>
        <w:rPr>
          <w:rFonts w:ascii="Verdana" w:hAnsi="Verdana" w:cs="Baskerville"/>
          <w:sz w:val="28"/>
          <w:szCs w:val="28"/>
        </w:rPr>
        <w:t xml:space="preserve">(come sembrerebbe invece risultare dall’analisi delle varie PDL in esame), non possono e non devono essere delegate ad assumersi l’onere di fare scelte che spettano direttamente allo Stato. La Conferenza delle Regioni e delle Province autonome potrà dare, </w:t>
      </w:r>
      <w:r>
        <w:rPr>
          <w:rFonts w:ascii="Verdana" w:hAnsi="Verdana" w:cs="Baskerville"/>
          <w:sz w:val="28"/>
          <w:szCs w:val="28"/>
        </w:rPr>
        <w:t>come ha sempre fatto, un contributo, e a tale proposito si ringrazia il Presidente e la Commissione tutta per l’invito all’audizione di oggi. Si sottolinea e si evidenzia fortemente che la Suprema Corte ha legittimamente sentenziato che “</w:t>
      </w:r>
      <w:r>
        <w:rPr>
          <w:rFonts w:ascii="Verdana" w:hAnsi="Verdana" w:cs="Baskerville"/>
          <w:b/>
          <w:sz w:val="28"/>
          <w:szCs w:val="28"/>
        </w:rPr>
        <w:t>la  materia «tutel</w:t>
      </w:r>
      <w:r>
        <w:rPr>
          <w:rFonts w:ascii="Verdana" w:hAnsi="Verdana" w:cs="Baskerville"/>
          <w:b/>
          <w:sz w:val="28"/>
          <w:szCs w:val="28"/>
        </w:rPr>
        <w:t>a della concorrenza»</w:t>
      </w:r>
      <w:r>
        <w:rPr>
          <w:rFonts w:ascii="Verdana" w:hAnsi="Verdana" w:cs="Baskerville"/>
          <w:sz w:val="28"/>
          <w:szCs w:val="28"/>
        </w:rPr>
        <w:t>, riservata alla competenza esclusiva dello Stato ex art. 117, secondo comma, lettera e), Cost e che la materia degli orari rientra proprio nella materia della concorrenza.</w:t>
      </w:r>
    </w:p>
    <w:p w:rsidR="00D3328E" w:rsidRDefault="00F35B29">
      <w:pPr>
        <w:pStyle w:val="Paragrafoelenco"/>
        <w:jc w:val="both"/>
      </w:pPr>
      <w:r>
        <w:rPr>
          <w:rFonts w:ascii="Verdana" w:hAnsi="Verdana" w:cs="Baskerville"/>
          <w:sz w:val="28"/>
          <w:szCs w:val="28"/>
        </w:rPr>
        <w:t>Ma nel contempo invita lo Stato a non sconfinare dalla competen</w:t>
      </w:r>
      <w:r>
        <w:rPr>
          <w:rFonts w:ascii="Verdana" w:hAnsi="Verdana" w:cs="Baskerville"/>
          <w:sz w:val="28"/>
          <w:szCs w:val="28"/>
        </w:rPr>
        <w:t>za che ha in materia di concorrenza dando alle Regioni la delega a individuare, ad esempio, le città turistiche e città d’arte, le deroghe domenicali e festive, le zone del territorio, accordi con gli enti locali e anche con le regioni confinanti onde evit</w:t>
      </w:r>
      <w:r>
        <w:rPr>
          <w:rFonts w:ascii="Verdana" w:hAnsi="Verdana" w:cs="Baskerville"/>
          <w:sz w:val="28"/>
          <w:szCs w:val="28"/>
        </w:rPr>
        <w:t>are criticità tra città di confine, ecc.</w:t>
      </w:r>
    </w:p>
    <w:p w:rsidR="00D3328E" w:rsidRDefault="00F35B29">
      <w:pPr>
        <w:pStyle w:val="Paragrafoelenco"/>
        <w:numPr>
          <w:ilvl w:val="0"/>
          <w:numId w:val="2"/>
        </w:numPr>
        <w:jc w:val="both"/>
      </w:pPr>
      <w:r>
        <w:rPr>
          <w:rFonts w:ascii="Verdana" w:hAnsi="Verdana" w:cs="Baskerville"/>
          <w:sz w:val="28"/>
          <w:szCs w:val="28"/>
        </w:rPr>
        <w:t>La Commissione Politica degli Assessori regionali condivide la preoccupazione emersa in tutte le relazioni alle PDL in esame, circa il rischio di sfruttamento del lavoro domenicale e festivo,  la mancanza di retribu</w:t>
      </w:r>
      <w:r>
        <w:rPr>
          <w:rFonts w:ascii="Verdana" w:hAnsi="Verdana" w:cs="Baskerville"/>
          <w:sz w:val="28"/>
          <w:szCs w:val="28"/>
        </w:rPr>
        <w:t>zione integrativa, le  chiusure delle piccole attività commerciali ed artigianali che di fatto evitano la desertificazione del centro storico ed il depauperamento dei piccoli comuni, soprattutto montani. Ma qui è necessario fare una riflessione importante:</w:t>
      </w:r>
      <w:r>
        <w:rPr>
          <w:rFonts w:ascii="Verdana" w:hAnsi="Verdana" w:cs="Baskerville"/>
          <w:sz w:val="28"/>
          <w:szCs w:val="28"/>
        </w:rPr>
        <w:t xml:space="preserve"> non è con la chiusura domenicale e festiva delle attività commerciali che si risolve il problema (sarebbe opportuno uno studio serio in merito). Per evitare la “morte” del piccolo commercio servono incentivi anche finanziari importanti, trovare soluzioni </w:t>
      </w:r>
      <w:r>
        <w:rPr>
          <w:rFonts w:ascii="Verdana" w:hAnsi="Verdana" w:cs="Baskerville"/>
          <w:sz w:val="28"/>
          <w:szCs w:val="28"/>
        </w:rPr>
        <w:t>alternative sinergiche, proporre nuove forme di aggregazioni soprattutto nei centri storici e nei piccoli comuni come i centri di via o i centri commerciali naturali. Analizzare le cause dello sfruttamento dei lavoratori durante la domenica, fare i control</w:t>
      </w:r>
      <w:r>
        <w:rPr>
          <w:rFonts w:ascii="Verdana" w:hAnsi="Verdana" w:cs="Baskerville"/>
          <w:sz w:val="28"/>
          <w:szCs w:val="28"/>
        </w:rPr>
        <w:t>li necessari da parte delle autorità preposte, prevedere pene pecuniarie severe, compresa la chiusura e la sospensione delle attività per chi non rispetta le norme sul lavoro.</w:t>
      </w:r>
    </w:p>
    <w:p w:rsidR="00D3328E" w:rsidRDefault="00F35B29">
      <w:pPr>
        <w:pStyle w:val="Paragrafoelenco"/>
        <w:numPr>
          <w:ilvl w:val="0"/>
          <w:numId w:val="2"/>
        </w:numPr>
        <w:jc w:val="both"/>
      </w:pPr>
      <w:r>
        <w:rPr>
          <w:rFonts w:ascii="Verdana" w:hAnsi="Verdana" w:cs="Baskerville"/>
          <w:sz w:val="28"/>
          <w:szCs w:val="28"/>
        </w:rPr>
        <w:t>La preoccupazione di molte Regioni è che un provvedimento statale che imponga un</w:t>
      </w:r>
      <w:r>
        <w:rPr>
          <w:rFonts w:ascii="Verdana" w:hAnsi="Verdana" w:cs="Baskerville"/>
          <w:sz w:val="28"/>
          <w:szCs w:val="28"/>
        </w:rPr>
        <w:t>a chiusura generalizzata per un certo numero di giorni festivi e di domeniche possa produrre una “desertificazione” dei luoghi cittadini nei giorni festivi, considerando che l’apertura dei negozi costituisce certamente un importante fattore di attrattività</w:t>
      </w:r>
      <w:r>
        <w:rPr>
          <w:rFonts w:ascii="Verdana" w:hAnsi="Verdana" w:cs="Baskerville"/>
          <w:sz w:val="28"/>
          <w:szCs w:val="28"/>
        </w:rPr>
        <w:t xml:space="preserve"> per i cittadini e i turisti, e che addirittura, al di là delle intenzioni del legislatore, possa anche avere taluni effetti negativi sui livelli occupazionali</w:t>
      </w:r>
    </w:p>
    <w:p w:rsidR="00D3328E" w:rsidRDefault="00D3328E">
      <w:pPr>
        <w:pStyle w:val="Paragrafoelenco"/>
        <w:jc w:val="both"/>
        <w:rPr>
          <w:rFonts w:ascii="Verdana" w:hAnsi="Verdana" w:cs="Baskerville"/>
          <w:sz w:val="28"/>
          <w:szCs w:val="28"/>
        </w:rPr>
      </w:pPr>
    </w:p>
    <w:p w:rsidR="00D3328E" w:rsidRDefault="00F35B29">
      <w:pPr>
        <w:pStyle w:val="Paragrafoelenco"/>
        <w:jc w:val="both"/>
      </w:pPr>
      <w:r>
        <w:rPr>
          <w:rFonts w:ascii="Verdana" w:hAnsi="Verdana" w:cs="Baskerville"/>
          <w:b/>
          <w:sz w:val="28"/>
          <w:szCs w:val="28"/>
        </w:rPr>
        <w:t>Considerazioni Tecniche della Commissione attività Produttive del 02/10/2018</w:t>
      </w:r>
    </w:p>
    <w:p w:rsidR="00D3328E" w:rsidRDefault="00D3328E">
      <w:pPr>
        <w:pStyle w:val="Standard"/>
        <w:jc w:val="both"/>
        <w:rPr>
          <w:rFonts w:ascii="Verdana" w:hAnsi="Verdana" w:cs="Baskerville"/>
          <w:sz w:val="28"/>
          <w:szCs w:val="28"/>
        </w:rPr>
      </w:pPr>
    </w:p>
    <w:p w:rsidR="00D3328E" w:rsidRDefault="00F35B29">
      <w:pPr>
        <w:pStyle w:val="Standard"/>
        <w:jc w:val="both"/>
      </w:pPr>
      <w:r>
        <w:rPr>
          <w:rFonts w:ascii="Verdana" w:hAnsi="Verdana" w:cs="Baskerville"/>
          <w:sz w:val="28"/>
          <w:szCs w:val="28"/>
        </w:rPr>
        <w:t>Premessa la compe</w:t>
      </w:r>
      <w:r>
        <w:rPr>
          <w:rFonts w:ascii="Verdana" w:hAnsi="Verdana" w:cs="Baskerville"/>
          <w:sz w:val="28"/>
          <w:szCs w:val="28"/>
        </w:rPr>
        <w:t>tenza esclusiva dello Stato in materia di orari delle attività commerciali, si formulano alcune considerazioni tecniche:</w:t>
      </w:r>
    </w:p>
    <w:p w:rsidR="00D3328E" w:rsidRDefault="00F35B29">
      <w:pPr>
        <w:pStyle w:val="Textbody"/>
        <w:numPr>
          <w:ilvl w:val="0"/>
          <w:numId w:val="15"/>
        </w:numPr>
        <w:spacing w:line="240" w:lineRule="auto"/>
        <w:jc w:val="both"/>
      </w:pPr>
      <w:r>
        <w:rPr>
          <w:rFonts w:ascii="Verdana" w:hAnsi="Verdana" w:cs="Baskerville"/>
          <w:sz w:val="28"/>
          <w:szCs w:val="28"/>
        </w:rPr>
        <w:t>la soluzione prospettata dalle Regioni è quella che lo stato eventualmente stabilisca un numero fisso di giorni festivi in cui sia obbl</w:t>
      </w:r>
      <w:r>
        <w:rPr>
          <w:rFonts w:ascii="Verdana" w:hAnsi="Verdana" w:cs="Baskerville"/>
          <w:sz w:val="28"/>
          <w:szCs w:val="28"/>
        </w:rPr>
        <w:t>igatoria la chiusura (per esempio nel precedente documento che si allega erano 12) e al contempo stabilire eventualmente che siano le Regioni a disciplinare la scelta dei giorni di chiusura in sostituzione, tenendo conto delle diverse necessità territorial</w:t>
      </w:r>
      <w:r>
        <w:rPr>
          <w:rFonts w:ascii="Verdana" w:hAnsi="Verdana" w:cs="Baskerville"/>
          <w:sz w:val="28"/>
          <w:szCs w:val="28"/>
        </w:rPr>
        <w:t xml:space="preserve">i e concordandole con i Comuni e con le rappresentanze economiche, sindacali e dei consumatori. Le giornate di chiusura dovrebbero essere le stesse in ambiti sufficientemente grandi per evitare forme improprie di concorrenza. Si propone che nell'ambito di </w:t>
      </w:r>
      <w:r>
        <w:rPr>
          <w:rFonts w:ascii="Verdana" w:hAnsi="Verdana" w:cs="Baskerville"/>
          <w:sz w:val="28"/>
          <w:szCs w:val="28"/>
        </w:rPr>
        <w:t>12 festività nazionali (1o gennaio; 6 gennaio; 25 aprile; Pasqua; lunedì dell'Angelo; 1o maggio; 2 giugno; 15 agosto; 1o novembre; 8 dicembre; 25 dicembre; 26 dicembre), individuarne alcune per le quali la chiusura sia obbligatoria in tutta la Regione oppu</w:t>
      </w:r>
      <w:r>
        <w:rPr>
          <w:rFonts w:ascii="Verdana" w:hAnsi="Verdana" w:cs="Baskerville"/>
          <w:sz w:val="28"/>
          <w:szCs w:val="28"/>
        </w:rPr>
        <w:t>re in ambiti territoriali aventi caratteristiche simili e altre per le quali sia consentita l'apertura solo nei comuni turistici, per l'individuazione dei quali le Regioni definiscono criteri e parametri;</w:t>
      </w:r>
    </w:p>
    <w:p w:rsidR="00D3328E" w:rsidRDefault="00D3328E">
      <w:pPr>
        <w:pStyle w:val="Paragrafoelenco"/>
        <w:jc w:val="both"/>
        <w:rPr>
          <w:rFonts w:ascii="Verdana" w:hAnsi="Verdana" w:cs="Baskerville"/>
          <w:sz w:val="28"/>
          <w:szCs w:val="28"/>
        </w:rPr>
      </w:pPr>
    </w:p>
    <w:p w:rsidR="00D3328E" w:rsidRDefault="00F35B29">
      <w:pPr>
        <w:pStyle w:val="Paragrafoelenco"/>
        <w:numPr>
          <w:ilvl w:val="0"/>
          <w:numId w:val="3"/>
        </w:numPr>
        <w:jc w:val="both"/>
      </w:pPr>
      <w:r>
        <w:rPr>
          <w:rFonts w:ascii="Verdana" w:hAnsi="Verdana" w:cs="Baskerville"/>
          <w:sz w:val="28"/>
          <w:szCs w:val="28"/>
        </w:rPr>
        <w:t>La soluzione di adottare strumenti di intesa e o d</w:t>
      </w:r>
      <w:r>
        <w:rPr>
          <w:rFonts w:ascii="Verdana" w:hAnsi="Verdana" w:cs="Baskerville"/>
          <w:sz w:val="28"/>
          <w:szCs w:val="28"/>
        </w:rPr>
        <w:t>i concertazione con gli enti locali e con le organizzazioni di categoria maggiormente rappresentative appare coerente con quanto già espresso dalle regioni nella posizione del 2014. Tale soluzione appare preferibile rispetto agli “accordi territoriali” pre</w:t>
      </w:r>
      <w:r>
        <w:rPr>
          <w:rFonts w:ascii="Verdana" w:hAnsi="Verdana" w:cs="Baskerville"/>
          <w:sz w:val="28"/>
          <w:szCs w:val="28"/>
        </w:rPr>
        <w:t>visti dall’articolo 2 della PDL n. 470.</w:t>
      </w:r>
    </w:p>
    <w:p w:rsidR="00D3328E" w:rsidRDefault="00D3328E">
      <w:pPr>
        <w:pStyle w:val="Paragrafoelenco"/>
        <w:rPr>
          <w:rFonts w:ascii="Verdana" w:hAnsi="Verdana" w:cs="Baskerville"/>
          <w:b/>
          <w:sz w:val="28"/>
          <w:szCs w:val="28"/>
        </w:rPr>
      </w:pPr>
    </w:p>
    <w:p w:rsidR="00D3328E" w:rsidRDefault="00F35B29">
      <w:pPr>
        <w:pStyle w:val="Paragrafoelenco"/>
        <w:numPr>
          <w:ilvl w:val="0"/>
          <w:numId w:val="3"/>
        </w:numPr>
        <w:jc w:val="both"/>
      </w:pPr>
      <w:r>
        <w:rPr>
          <w:rFonts w:ascii="Verdana" w:hAnsi="Verdana" w:cs="Baskerville"/>
          <w:sz w:val="28"/>
          <w:szCs w:val="28"/>
        </w:rPr>
        <w:t xml:space="preserve">Qualora lo Stato intenda istituire l’Osservatorio si evidenzia l’importanza della presenza dei rappresentanti delle Regioni e Province autonome nella composizione dello stesso (almeno tre membri nord sud e centro), </w:t>
      </w:r>
      <w:r>
        <w:rPr>
          <w:rFonts w:ascii="Verdana" w:hAnsi="Verdana" w:cs="Baskerville"/>
          <w:sz w:val="28"/>
          <w:szCs w:val="28"/>
        </w:rPr>
        <w:t>stante la competenza esclusiva in materia di commercio.</w:t>
      </w:r>
    </w:p>
    <w:p w:rsidR="00D3328E" w:rsidRDefault="00D3328E">
      <w:pPr>
        <w:pStyle w:val="Paragrafoelenco"/>
        <w:rPr>
          <w:rFonts w:ascii="Verdana" w:hAnsi="Verdana" w:cs="Baskerville"/>
          <w:sz w:val="28"/>
          <w:szCs w:val="28"/>
        </w:rPr>
      </w:pPr>
    </w:p>
    <w:p w:rsidR="00D3328E" w:rsidRDefault="00F35B29">
      <w:pPr>
        <w:pStyle w:val="Paragrafoelenco"/>
        <w:numPr>
          <w:ilvl w:val="0"/>
          <w:numId w:val="3"/>
        </w:numPr>
        <w:jc w:val="both"/>
      </w:pPr>
      <w:r>
        <w:rPr>
          <w:rFonts w:ascii="Verdana" w:hAnsi="Verdana" w:cs="Baskerville"/>
          <w:sz w:val="28"/>
          <w:szCs w:val="28"/>
        </w:rPr>
        <w:t xml:space="preserve">In ogni caso eliminare dalle proposte di legge </w:t>
      </w:r>
      <w:r>
        <w:rPr>
          <w:rFonts w:ascii="Verdana" w:hAnsi="Verdana" w:cs="Baskerville"/>
          <w:kern w:val="0"/>
          <w:sz w:val="28"/>
          <w:szCs w:val="28"/>
        </w:rPr>
        <w:t>i limiti alle aperture domenicali e festive per gli esercizi di somministrazione di alimenti e bevande che non sono disciplinati dal D. Lgs 114, ma rien</w:t>
      </w:r>
      <w:r>
        <w:rPr>
          <w:rFonts w:ascii="Verdana" w:hAnsi="Verdana" w:cs="Baskerville"/>
          <w:kern w:val="0"/>
          <w:sz w:val="28"/>
          <w:szCs w:val="28"/>
        </w:rPr>
        <w:t xml:space="preserve">trano nell’ambito dei “pubblici esercizi”: bar, ristoranti, trattorie ecc. potrebbero rischiare di stare chiusi la domenica. </w:t>
      </w:r>
    </w:p>
    <w:p w:rsidR="00D3328E" w:rsidRDefault="00D3328E">
      <w:pPr>
        <w:pStyle w:val="Paragrafoelenco"/>
        <w:rPr>
          <w:rFonts w:ascii="Verdana" w:hAnsi="Verdana" w:cs="Baskerville"/>
          <w:sz w:val="28"/>
          <w:szCs w:val="28"/>
        </w:rPr>
      </w:pPr>
    </w:p>
    <w:p w:rsidR="00D3328E" w:rsidRDefault="00F35B29">
      <w:pPr>
        <w:pStyle w:val="Paragrafoelenco"/>
        <w:numPr>
          <w:ilvl w:val="0"/>
          <w:numId w:val="3"/>
        </w:numPr>
        <w:jc w:val="both"/>
      </w:pPr>
      <w:r>
        <w:rPr>
          <w:rFonts w:ascii="Verdana" w:hAnsi="Verdana" w:cs="Baskerville"/>
          <w:sz w:val="28"/>
          <w:szCs w:val="28"/>
        </w:rPr>
        <w:t xml:space="preserve">confermare la possibilità di apertura domenicale e festiva per </w:t>
      </w:r>
      <w:r>
        <w:rPr>
          <w:rFonts w:ascii="Verdana" w:hAnsi="Verdana" w:cs="Baskerville"/>
          <w:iCs/>
          <w:sz w:val="28"/>
          <w:szCs w:val="28"/>
        </w:rPr>
        <w:t>le tipologie di attività commerciali individuate dall’articolo 13,</w:t>
      </w:r>
      <w:r>
        <w:rPr>
          <w:rFonts w:ascii="Verdana" w:hAnsi="Verdana" w:cs="Baskerville"/>
          <w:iCs/>
          <w:sz w:val="28"/>
          <w:szCs w:val="28"/>
        </w:rPr>
        <w:t xml:space="preserve"> comma 1, del d. lgs. 31 marzo 1998, n. 114 o comunque dalle leggi regionali che abbiano previsto identiche deroghe</w:t>
      </w:r>
    </w:p>
    <w:p w:rsidR="00D3328E" w:rsidRDefault="00D3328E">
      <w:pPr>
        <w:pStyle w:val="Paragrafoelenco"/>
        <w:rPr>
          <w:rFonts w:ascii="Verdana" w:hAnsi="Verdana" w:cs="Baskerville"/>
          <w:sz w:val="28"/>
          <w:szCs w:val="28"/>
        </w:rPr>
      </w:pPr>
    </w:p>
    <w:p w:rsidR="00D3328E" w:rsidRDefault="00F35B29">
      <w:pPr>
        <w:pStyle w:val="Paragrafoelenco"/>
        <w:numPr>
          <w:ilvl w:val="0"/>
          <w:numId w:val="3"/>
        </w:numPr>
        <w:jc w:val="both"/>
      </w:pPr>
      <w:r>
        <w:rPr>
          <w:rFonts w:ascii="Verdana" w:hAnsi="Verdana" w:cs="Baskerville"/>
          <w:sz w:val="28"/>
          <w:szCs w:val="28"/>
        </w:rPr>
        <w:t>Eliminare che l’E-commerce possa non svolgersi nei giorni festivi : previsione inattuabile e penalizzante per le aziende con sede in Italia</w:t>
      </w:r>
      <w:r>
        <w:rPr>
          <w:rFonts w:ascii="Verdana" w:hAnsi="Verdana" w:cs="Baskerville"/>
          <w:sz w:val="28"/>
          <w:szCs w:val="28"/>
        </w:rPr>
        <w:t xml:space="preserve"> rispetto a quelle estere. Inoltre sarebbe necessario porsi alcune domande: quali sono gli strumenti che lo stato intende mettere in campo?  gli eventuali controlli da effettuare? Chi fa i controlli? Quali sono le sanzioni e chi le incamera? Come ci si com</w:t>
      </w:r>
      <w:r>
        <w:rPr>
          <w:rFonts w:ascii="Verdana" w:hAnsi="Verdana" w:cs="Baskerville"/>
          <w:sz w:val="28"/>
          <w:szCs w:val="28"/>
        </w:rPr>
        <w:t>porta verso l’E-commerce che hanno sede legale all’estero?</w:t>
      </w:r>
    </w:p>
    <w:p w:rsidR="00D3328E" w:rsidRDefault="00D3328E">
      <w:pPr>
        <w:pStyle w:val="Paragrafoelenco"/>
        <w:rPr>
          <w:rFonts w:ascii="Verdana" w:hAnsi="Verdana" w:cs="Baskerville"/>
          <w:sz w:val="28"/>
          <w:szCs w:val="28"/>
        </w:rPr>
      </w:pPr>
    </w:p>
    <w:p w:rsidR="00D3328E" w:rsidRDefault="00F35B29">
      <w:pPr>
        <w:pStyle w:val="Paragrafoelenco"/>
        <w:numPr>
          <w:ilvl w:val="0"/>
          <w:numId w:val="3"/>
        </w:numPr>
        <w:jc w:val="both"/>
      </w:pPr>
      <w:r>
        <w:rPr>
          <w:rFonts w:ascii="Verdana" w:hAnsi="Verdana" w:cs="Baskerville"/>
          <w:sz w:val="28"/>
          <w:szCs w:val="28"/>
        </w:rPr>
        <w:t xml:space="preserve">Qualora lo Stato decida di legiferare le deroghe domenicali e festive è necessario prevedere forme di disincentivazione all’apertura: solo un regime sanzionatorio forte potrebbe assicurare </w:t>
      </w:r>
      <w:r>
        <w:rPr>
          <w:rFonts w:ascii="Verdana" w:hAnsi="Verdana" w:cs="Baskerville"/>
          <w:sz w:val="28"/>
          <w:szCs w:val="28"/>
        </w:rPr>
        <w:t>l’efficacia di una norma altrimenti debole e indurrebbe i grandi a “tenere aperto la domenica” in quanto l’incasso giornaliero è di gran lunga maggiore di quello che potrebbe essere una sanzione solo di tipo pecuniario</w:t>
      </w:r>
    </w:p>
    <w:p w:rsidR="00D3328E" w:rsidRDefault="00D3328E">
      <w:pPr>
        <w:pStyle w:val="Paragrafoelenco"/>
        <w:rPr>
          <w:rFonts w:ascii="Verdana" w:hAnsi="Verdana" w:cs="Baskerville"/>
          <w:sz w:val="28"/>
          <w:szCs w:val="28"/>
        </w:rPr>
      </w:pPr>
    </w:p>
    <w:p w:rsidR="00D3328E" w:rsidRDefault="00F35B29">
      <w:pPr>
        <w:pStyle w:val="Paragrafoelenco"/>
        <w:numPr>
          <w:ilvl w:val="0"/>
          <w:numId w:val="3"/>
        </w:numPr>
        <w:jc w:val="both"/>
      </w:pPr>
      <w:r>
        <w:rPr>
          <w:rFonts w:ascii="Verdana" w:hAnsi="Verdana" w:cs="Baskerville"/>
          <w:sz w:val="28"/>
          <w:szCs w:val="28"/>
        </w:rPr>
        <w:t xml:space="preserve">Una questione rilevante riguarda il </w:t>
      </w:r>
      <w:r>
        <w:rPr>
          <w:rFonts w:ascii="Verdana" w:hAnsi="Verdana" w:cs="Baskerville"/>
          <w:sz w:val="28"/>
          <w:szCs w:val="28"/>
        </w:rPr>
        <w:t xml:space="preserve">punto attinente a come si disciplina l’obbligo di chiusura. Al riguardo la legge sugli orari preveda che rispetto al numero di chiusure ivi definito le Regioni, possano, tenendo conto delle diverse necessità territoriali e concordandole con i Comuni e con </w:t>
      </w:r>
      <w:r>
        <w:rPr>
          <w:rFonts w:ascii="Verdana" w:hAnsi="Verdana" w:cs="Baskerville"/>
          <w:sz w:val="28"/>
          <w:szCs w:val="28"/>
        </w:rPr>
        <w:t>le rappresentanze economiche, sindacali e dei consumatori, non solo disciplinare la scelta dei giorni di chiusura in sostituzione (come già previsto) ma anche stabilire con proprio atto deroghe al numero di chiusure obbligatorie. Ciò perché riteniamo che p</w:t>
      </w:r>
      <w:r>
        <w:rPr>
          <w:rFonts w:ascii="Verdana" w:hAnsi="Verdana" w:cs="Baskerville"/>
          <w:sz w:val="28"/>
          <w:szCs w:val="28"/>
        </w:rPr>
        <w:t>er diversi ambiti, quali ad esempio le città d’arte, le zone turistiche costiere e le stazioni sciistiche, prevedere obbligatoriamente chiusure domenicali possa creare un serio danno all’attrattività turistica delle stesse, oltreché un elemento di detrimen</w:t>
      </w:r>
      <w:r>
        <w:rPr>
          <w:rFonts w:ascii="Verdana" w:hAnsi="Verdana" w:cs="Baskerville"/>
          <w:sz w:val="28"/>
          <w:szCs w:val="28"/>
        </w:rPr>
        <w:t>to della vivacizzazione dei centri storici, soprattutto considerando che ormai la competizione turistica non si “gioca” più solo a livello locale o nazionale, ma in un mercato internazionale.</w:t>
      </w:r>
    </w:p>
    <w:p w:rsidR="00D3328E" w:rsidRDefault="00D3328E">
      <w:pPr>
        <w:pStyle w:val="Paragrafoelenco"/>
        <w:rPr>
          <w:rFonts w:ascii="Verdana" w:hAnsi="Verdana" w:cs="Baskerville"/>
          <w:sz w:val="28"/>
          <w:szCs w:val="28"/>
          <w:u w:val="single"/>
        </w:rPr>
      </w:pPr>
    </w:p>
    <w:p w:rsidR="00D3328E" w:rsidRDefault="00F35B29">
      <w:pPr>
        <w:pStyle w:val="Textbody"/>
        <w:numPr>
          <w:ilvl w:val="0"/>
          <w:numId w:val="16"/>
        </w:numPr>
        <w:spacing w:line="240" w:lineRule="auto"/>
        <w:jc w:val="both"/>
      </w:pPr>
      <w:r>
        <w:rPr>
          <w:rFonts w:ascii="Verdana" w:hAnsi="Verdana" w:cs="Baskerville"/>
          <w:sz w:val="28"/>
          <w:szCs w:val="28"/>
          <w:u w:val="single"/>
        </w:rPr>
        <w:t>non prevedere l'obbligo di chiusura infrasettimanale</w:t>
      </w:r>
      <w:r>
        <w:rPr>
          <w:rFonts w:ascii="Verdana" w:hAnsi="Verdana" w:cs="Baskerville"/>
          <w:sz w:val="28"/>
          <w:szCs w:val="28"/>
        </w:rPr>
        <w:t xml:space="preserve"> né per i n</w:t>
      </w:r>
      <w:r>
        <w:rPr>
          <w:rFonts w:ascii="Verdana" w:hAnsi="Verdana" w:cs="Baskerville"/>
          <w:sz w:val="28"/>
          <w:szCs w:val="28"/>
        </w:rPr>
        <w:t>egozi né tantomeno per gli esercizi di somministrazione : detto comportamento è superato ormai dalla prassi e dalla realtà lavorativa ;</w:t>
      </w:r>
    </w:p>
    <w:p w:rsidR="00D3328E" w:rsidRDefault="00F35B29">
      <w:pPr>
        <w:pStyle w:val="Textbody"/>
        <w:numPr>
          <w:ilvl w:val="0"/>
          <w:numId w:val="8"/>
        </w:numPr>
        <w:spacing w:line="240" w:lineRule="auto"/>
        <w:jc w:val="both"/>
      </w:pPr>
      <w:r>
        <w:rPr>
          <w:rFonts w:ascii="Verdana" w:hAnsi="Verdana" w:cs="Baskerville"/>
          <w:sz w:val="28"/>
          <w:szCs w:val="28"/>
        </w:rPr>
        <w:t>invece delle aperture a rotazione dei negozi, la cui realizzazione sembra di difficile attuazione (la pdl n. 526 non sem</w:t>
      </w:r>
      <w:r>
        <w:rPr>
          <w:rFonts w:ascii="Verdana" w:hAnsi="Verdana" w:cs="Baskerville"/>
          <w:sz w:val="28"/>
          <w:szCs w:val="28"/>
        </w:rPr>
        <w:t>bra contenere elementi idonei a definire criteri sulla base dei quali realizzare turnazioni tra esercizi, pur appartenenti allo stesso settore merceologico, ma aventi collocazioni fisiche e dimensioni estremamente differenziate), potrebbe valutarsi l'oppor</w:t>
      </w:r>
      <w:r>
        <w:rPr>
          <w:rFonts w:ascii="Verdana" w:hAnsi="Verdana" w:cs="Baskerville"/>
          <w:sz w:val="28"/>
          <w:szCs w:val="28"/>
        </w:rPr>
        <w:t>tunità che la legge statale, nell’ambito delle competenze di cui all’articolo 117, secondo comma, lettera m) della Costituzione (determinazione dei livelli essenziali delle prestazioni concernenti i diritti civili e sociali che devono essere garantiti su t</w:t>
      </w:r>
      <w:r>
        <w:rPr>
          <w:rFonts w:ascii="Verdana" w:hAnsi="Verdana" w:cs="Baskerville"/>
          <w:sz w:val="28"/>
          <w:szCs w:val="28"/>
        </w:rPr>
        <w:t>utto il territorio nazionale), preveda, per ciascun lavoratore, un numero massimo di giornate domenicali o festive lavorabili nel corso dell’anno solare.</w:t>
      </w:r>
    </w:p>
    <w:p w:rsidR="00D3328E" w:rsidRDefault="00D3328E">
      <w:pPr>
        <w:pStyle w:val="Textbody"/>
        <w:spacing w:line="240" w:lineRule="auto"/>
        <w:ind w:left="720"/>
        <w:jc w:val="both"/>
        <w:rPr>
          <w:rFonts w:ascii="Verdana" w:hAnsi="Verdana" w:cs="Baskerville"/>
          <w:sz w:val="28"/>
          <w:szCs w:val="28"/>
        </w:rPr>
      </w:pPr>
    </w:p>
    <w:p w:rsidR="00D3328E" w:rsidRDefault="00F35B29">
      <w:pPr>
        <w:pStyle w:val="Textbody"/>
        <w:spacing w:line="240" w:lineRule="auto"/>
        <w:ind w:left="720"/>
        <w:jc w:val="both"/>
      </w:pPr>
      <w:r>
        <w:rPr>
          <w:rFonts w:ascii="Verdana" w:hAnsi="Verdana" w:cs="Baskerville"/>
          <w:b/>
          <w:sz w:val="28"/>
          <w:szCs w:val="28"/>
        </w:rPr>
        <w:t>Pareri diversi</w:t>
      </w:r>
    </w:p>
    <w:p w:rsidR="00D3328E" w:rsidRDefault="00D3328E">
      <w:pPr>
        <w:pStyle w:val="Textbody"/>
        <w:spacing w:line="240" w:lineRule="auto"/>
        <w:jc w:val="both"/>
        <w:rPr>
          <w:rFonts w:ascii="Verdana" w:hAnsi="Verdana" w:cs="Baskerville"/>
          <w:sz w:val="28"/>
          <w:szCs w:val="28"/>
        </w:rPr>
      </w:pPr>
    </w:p>
    <w:p w:rsidR="00D3328E" w:rsidRDefault="00F35B29">
      <w:pPr>
        <w:pStyle w:val="Paragrafoelenco"/>
        <w:numPr>
          <w:ilvl w:val="0"/>
          <w:numId w:val="17"/>
        </w:numPr>
        <w:spacing w:after="0" w:line="240" w:lineRule="auto"/>
        <w:jc w:val="both"/>
      </w:pPr>
      <w:r>
        <w:rPr>
          <w:rFonts w:ascii="Verdana" w:hAnsi="Verdana" w:cs="Baskerville"/>
          <w:sz w:val="28"/>
          <w:szCs w:val="28"/>
        </w:rPr>
        <w:t>Provincia Bolzano</w:t>
      </w:r>
    </w:p>
    <w:p w:rsidR="00D3328E" w:rsidRDefault="00D3328E">
      <w:pPr>
        <w:pStyle w:val="Standard"/>
        <w:spacing w:after="0" w:line="240" w:lineRule="auto"/>
        <w:jc w:val="both"/>
        <w:rPr>
          <w:rFonts w:ascii="Times New Roman" w:eastAsia="Times New Roman" w:hAnsi="Times New Roman" w:cs="Times New Roman"/>
          <w:b/>
          <w:i/>
          <w:sz w:val="24"/>
          <w:szCs w:val="24"/>
          <w:lang w:eastAsia="ar-SA"/>
        </w:rPr>
      </w:pPr>
    </w:p>
    <w:p w:rsidR="00D3328E" w:rsidRDefault="00F35B29">
      <w:pPr>
        <w:pStyle w:val="Standard"/>
        <w:spacing w:after="0" w:line="240" w:lineRule="auto"/>
        <w:jc w:val="both"/>
      </w:pPr>
      <w:r>
        <w:rPr>
          <w:rFonts w:ascii="Verdana" w:hAnsi="Verdana" w:cs="Baskerville"/>
          <w:i/>
          <w:sz w:val="24"/>
          <w:szCs w:val="24"/>
        </w:rPr>
        <w:t xml:space="preserve">“La liberalizzazione degli orari come disposta dall’art. 31, c. 1 </w:t>
      </w:r>
      <w:r>
        <w:rPr>
          <w:rFonts w:ascii="Verdana" w:hAnsi="Verdana" w:cs="Baskerville"/>
          <w:i/>
          <w:sz w:val="24"/>
          <w:szCs w:val="24"/>
        </w:rPr>
        <w:t>del d.l. n. 201/2011, anziché produrre esclusivi vantaggi a beneficio del consumatore – con la creazione di un mercato più dinamico e aperto all’ingresso di</w:t>
      </w:r>
    </w:p>
    <w:p w:rsidR="00D3328E" w:rsidRDefault="00F35B29">
      <w:pPr>
        <w:pStyle w:val="Standard"/>
        <w:spacing w:after="0" w:line="240" w:lineRule="auto"/>
        <w:jc w:val="both"/>
      </w:pPr>
      <w:r>
        <w:rPr>
          <w:rFonts w:ascii="Verdana" w:hAnsi="Verdana" w:cs="Baskerville"/>
          <w:i/>
          <w:sz w:val="24"/>
          <w:szCs w:val="24"/>
        </w:rPr>
        <w:t xml:space="preserve">nuovi operatori – e favorire l’assetto concorrenziale del settore della distribuzione commerciale, </w:t>
      </w:r>
      <w:r>
        <w:rPr>
          <w:rFonts w:ascii="Verdana" w:hAnsi="Verdana" w:cs="Baskerville"/>
          <w:i/>
          <w:sz w:val="24"/>
          <w:szCs w:val="24"/>
        </w:rPr>
        <w:t>ha prodotto anche oggettivi effetti distorsivi della concorrenza, gravi ripercussioni sul tessuto sociale/occupazionale e ha</w:t>
      </w:r>
    </w:p>
    <w:p w:rsidR="00D3328E" w:rsidRDefault="00F35B29">
      <w:pPr>
        <w:pStyle w:val="Standard"/>
        <w:spacing w:after="0" w:line="240" w:lineRule="auto"/>
        <w:jc w:val="both"/>
      </w:pPr>
      <w:r>
        <w:rPr>
          <w:rFonts w:ascii="Verdana" w:hAnsi="Verdana" w:cs="Baskerville"/>
          <w:i/>
          <w:sz w:val="24"/>
          <w:szCs w:val="24"/>
        </w:rPr>
        <w:t>favorito comportamenti lesivi dei diritti dei lavoratori. Ciò ha penalizzato fortemente le politiche provinciali tese a valorizzare</w:t>
      </w:r>
      <w:r>
        <w:rPr>
          <w:rFonts w:ascii="Verdana" w:hAnsi="Verdana" w:cs="Baskerville"/>
          <w:i/>
          <w:sz w:val="24"/>
          <w:szCs w:val="24"/>
        </w:rPr>
        <w:t xml:space="preserve"> il commercio al dettaglio di vicinato quale fattore fondamentale di contrasto allo spopolamento delle aree periferiche e montane e necessario per mantenere la vivibilità e la funzione sociale/aggregativa dei centri abitati.</w:t>
      </w:r>
    </w:p>
    <w:p w:rsidR="00D3328E" w:rsidRDefault="00F35B29">
      <w:pPr>
        <w:pStyle w:val="Standard"/>
        <w:spacing w:after="0" w:line="240" w:lineRule="auto"/>
        <w:jc w:val="both"/>
      </w:pPr>
      <w:r>
        <w:rPr>
          <w:rFonts w:ascii="Verdana" w:hAnsi="Verdana" w:cs="Baskerville"/>
          <w:i/>
          <w:sz w:val="24"/>
          <w:szCs w:val="24"/>
        </w:rPr>
        <w:t xml:space="preserve">In relazione al merito delle </w:t>
      </w:r>
      <w:r>
        <w:rPr>
          <w:rFonts w:ascii="Verdana" w:hAnsi="Verdana" w:cs="Baskerville"/>
          <w:i/>
          <w:sz w:val="24"/>
          <w:szCs w:val="24"/>
        </w:rPr>
        <w:t>PDL in esame, si specifica quanto segue:</w:t>
      </w:r>
    </w:p>
    <w:p w:rsidR="00D3328E" w:rsidRDefault="00F35B29">
      <w:pPr>
        <w:pStyle w:val="Standard"/>
        <w:spacing w:after="0" w:line="240" w:lineRule="auto"/>
        <w:jc w:val="both"/>
      </w:pPr>
      <w:r>
        <w:rPr>
          <w:rFonts w:ascii="Verdana" w:hAnsi="Verdana" w:cs="Baskerville"/>
          <w:i/>
          <w:sz w:val="24"/>
          <w:szCs w:val="24"/>
        </w:rPr>
        <w:t>• tutte le PDL si muovono nella auspicata direzione di ricondurre alle Regioni/Province autonome ed Enti territoriali la competenza a regolamentare la disciplina degli orari degli esercizi commerciali nell’ambito de</w:t>
      </w:r>
      <w:r>
        <w:rPr>
          <w:rFonts w:ascii="Verdana" w:hAnsi="Verdana" w:cs="Baskerville"/>
          <w:i/>
          <w:sz w:val="24"/>
          <w:szCs w:val="24"/>
        </w:rPr>
        <w:t>lla materia del commercio;</w:t>
      </w:r>
    </w:p>
    <w:p w:rsidR="00D3328E" w:rsidRDefault="00F35B29">
      <w:pPr>
        <w:pStyle w:val="Standard"/>
        <w:spacing w:after="0" w:line="240" w:lineRule="auto"/>
        <w:jc w:val="both"/>
      </w:pPr>
      <w:r>
        <w:rPr>
          <w:rFonts w:ascii="Verdana" w:hAnsi="Verdana" w:cs="Baskerville"/>
          <w:i/>
          <w:sz w:val="24"/>
          <w:szCs w:val="24"/>
        </w:rPr>
        <w:t xml:space="preserve">• </w:t>
      </w:r>
      <w:r>
        <w:rPr>
          <w:rFonts w:ascii="Verdana" w:hAnsi="Verdana" w:cs="Baskerville"/>
          <w:b/>
          <w:i/>
          <w:sz w:val="24"/>
          <w:szCs w:val="24"/>
          <w:u w:val="single"/>
        </w:rPr>
        <w:t>tutte le PDL – ad eccezione della n. 470 – prevedono l’obbligo della chiusura domenicale e festiva per gli esercizi commerciali (le attività di somministrazione di alimenti e bevande sono escluse). È questa la scelta di fondo a</w:t>
      </w:r>
      <w:r>
        <w:rPr>
          <w:rFonts w:ascii="Verdana" w:hAnsi="Verdana" w:cs="Baskerville"/>
          <w:b/>
          <w:i/>
          <w:sz w:val="24"/>
          <w:szCs w:val="24"/>
          <w:u w:val="single"/>
        </w:rPr>
        <w:t>uspicata e fatta propria dalla Provincia autonoma di Bolzano</w:t>
      </w:r>
      <w:r>
        <w:rPr>
          <w:rFonts w:ascii="Verdana" w:hAnsi="Verdana" w:cs="Baskerville"/>
          <w:i/>
          <w:sz w:val="24"/>
          <w:szCs w:val="24"/>
        </w:rPr>
        <w:t>.</w:t>
      </w:r>
    </w:p>
    <w:p w:rsidR="00D3328E" w:rsidRDefault="00F35B29">
      <w:pPr>
        <w:pStyle w:val="Standard"/>
        <w:spacing w:after="0" w:line="240" w:lineRule="auto"/>
        <w:jc w:val="both"/>
      </w:pPr>
      <w:r>
        <w:rPr>
          <w:rFonts w:ascii="Verdana" w:hAnsi="Verdana" w:cs="Baskerville"/>
          <w:i/>
          <w:sz w:val="24"/>
          <w:szCs w:val="24"/>
        </w:rPr>
        <w:t>Questo principio – chiusura domenicale e festiva obbligatoria – andrebbe modulato e calibrato con le specifiche peculiarità ed in relazione alle esigenze economiche/turistiche del territorio, co</w:t>
      </w:r>
      <w:r>
        <w:rPr>
          <w:rFonts w:ascii="Verdana" w:hAnsi="Verdana" w:cs="Baskerville"/>
          <w:i/>
          <w:sz w:val="24"/>
          <w:szCs w:val="24"/>
        </w:rPr>
        <w:t>me segue: o deroga generalizzata e modulabile per un numero annuo– comunque esiguo (indicazione di un</w:t>
      </w:r>
    </w:p>
    <w:p w:rsidR="00D3328E" w:rsidRDefault="00F35B29">
      <w:pPr>
        <w:pStyle w:val="Standard"/>
        <w:spacing w:after="0" w:line="240" w:lineRule="auto"/>
        <w:jc w:val="both"/>
      </w:pPr>
      <w:r>
        <w:rPr>
          <w:rFonts w:ascii="Verdana" w:hAnsi="Verdana" w:cs="Baskerville"/>
          <w:i/>
          <w:sz w:val="24"/>
          <w:szCs w:val="24"/>
        </w:rPr>
        <w:t>massimo di 8 giorni) – di domeniche e festivi; o deroga limitata agli esercizi commerciali di vicinato ubicati nelle località turistiche ed aree periferic</w:t>
      </w:r>
      <w:r>
        <w:rPr>
          <w:rFonts w:ascii="Verdana" w:hAnsi="Verdana" w:cs="Baskerville"/>
          <w:i/>
          <w:sz w:val="24"/>
          <w:szCs w:val="24"/>
        </w:rPr>
        <w:t>he/montane.</w:t>
      </w:r>
    </w:p>
    <w:p w:rsidR="00D3328E" w:rsidRDefault="00F35B29">
      <w:pPr>
        <w:pStyle w:val="Standard"/>
        <w:spacing w:after="0" w:line="240" w:lineRule="auto"/>
        <w:jc w:val="both"/>
      </w:pPr>
      <w:r>
        <w:rPr>
          <w:rFonts w:ascii="Verdana" w:hAnsi="Verdana" w:cs="Baskerville"/>
          <w:i/>
          <w:sz w:val="24"/>
          <w:szCs w:val="24"/>
        </w:rPr>
        <w:t xml:space="preserve">• in merito alla sola relazione illustrativa della PDL n. 526, essa fa riferimento a specifiche disposizioni/limitazioni per l’esercizio dell’e-commerce. Nell’attesa che venga predisposta una tale disposizione anche nell’articolato, la </w:t>
      </w:r>
      <w:r>
        <w:rPr>
          <w:rFonts w:ascii="Verdana" w:hAnsi="Verdana" w:cs="Baskerville"/>
          <w:i/>
          <w:sz w:val="24"/>
          <w:szCs w:val="24"/>
        </w:rPr>
        <w:t>Provincia autonoma di Bolzano è favorevole ad uno specifico intervento</w:t>
      </w:r>
    </w:p>
    <w:p w:rsidR="00D3328E" w:rsidRDefault="00F35B29">
      <w:pPr>
        <w:pStyle w:val="Standard"/>
        <w:spacing w:after="0" w:line="240" w:lineRule="auto"/>
        <w:jc w:val="both"/>
        <w:rPr>
          <w:rFonts w:ascii="Verdana" w:hAnsi="Verdana" w:cs="Baskerville"/>
          <w:i/>
          <w:sz w:val="24"/>
          <w:szCs w:val="24"/>
        </w:rPr>
      </w:pPr>
      <w:r>
        <w:rPr>
          <w:rFonts w:ascii="Verdana" w:hAnsi="Verdana" w:cs="Baskerville"/>
          <w:i/>
          <w:sz w:val="24"/>
          <w:szCs w:val="24"/>
        </w:rPr>
        <w:t>normativo restrittivo in merito.”</w:t>
      </w:r>
    </w:p>
    <w:p w:rsidR="00D3328E" w:rsidRDefault="00D3328E">
      <w:pPr>
        <w:pStyle w:val="Standard"/>
        <w:spacing w:after="0" w:line="240" w:lineRule="auto"/>
        <w:jc w:val="both"/>
        <w:rPr>
          <w:rFonts w:ascii="Verdana" w:hAnsi="Verdana" w:cs="Baskerville"/>
          <w:i/>
          <w:sz w:val="24"/>
          <w:szCs w:val="24"/>
        </w:rPr>
      </w:pPr>
    </w:p>
    <w:p w:rsidR="00D3328E" w:rsidRDefault="00D3328E">
      <w:pPr>
        <w:pStyle w:val="Standard"/>
        <w:spacing w:after="0" w:line="240" w:lineRule="auto"/>
        <w:jc w:val="both"/>
      </w:pPr>
    </w:p>
    <w:p w:rsidR="00D3328E" w:rsidRDefault="00D3328E">
      <w:pPr>
        <w:pStyle w:val="Standard"/>
        <w:spacing w:after="0" w:line="240" w:lineRule="auto"/>
        <w:jc w:val="both"/>
        <w:rPr>
          <w:rFonts w:ascii="Verdana" w:hAnsi="Verdana" w:cs="Baskerville"/>
          <w:sz w:val="24"/>
          <w:szCs w:val="24"/>
        </w:rPr>
      </w:pPr>
    </w:p>
    <w:p w:rsidR="00D3328E" w:rsidRDefault="00F35B29">
      <w:pPr>
        <w:pStyle w:val="Textbody"/>
        <w:numPr>
          <w:ilvl w:val="0"/>
          <w:numId w:val="10"/>
        </w:numPr>
        <w:spacing w:line="240" w:lineRule="auto"/>
        <w:jc w:val="both"/>
      </w:pPr>
      <w:r>
        <w:rPr>
          <w:rFonts w:ascii="Verdana" w:hAnsi="Verdana" w:cs="Baskerville"/>
          <w:sz w:val="28"/>
          <w:szCs w:val="28"/>
        </w:rPr>
        <w:t>Provincia di Trento</w:t>
      </w:r>
    </w:p>
    <w:p w:rsidR="00D3328E" w:rsidRDefault="00F35B29">
      <w:pPr>
        <w:pStyle w:val="Corpotesto"/>
        <w:suppressAutoHyphens/>
        <w:spacing w:line="240" w:lineRule="auto"/>
        <w:jc w:val="both"/>
      </w:pPr>
      <w:r>
        <w:rPr>
          <w:rFonts w:ascii="Verdana" w:hAnsi="Verdana" w:cs="Baskerville"/>
          <w:sz w:val="24"/>
          <w:szCs w:val="24"/>
        </w:rPr>
        <w:t xml:space="preserve"> “</w:t>
      </w:r>
      <w:r>
        <w:rPr>
          <w:rFonts w:ascii="Verdana" w:hAnsi="Verdana" w:cs="Baskerville"/>
          <w:i/>
          <w:sz w:val="24"/>
          <w:szCs w:val="24"/>
        </w:rPr>
        <w:t>Non ritengo indispensabile, almeno in questa prima fase, addentrarmi in valutazioni tecniche rispetto alle diverse PDL present</w:t>
      </w:r>
      <w:r>
        <w:rPr>
          <w:rFonts w:ascii="Verdana" w:hAnsi="Verdana" w:cs="Baskerville"/>
          <w:i/>
          <w:sz w:val="24"/>
          <w:szCs w:val="24"/>
        </w:rPr>
        <w:t>ate in Parlamento – sarebbe molto più utile e produttivo infatti confrontarsi su una proposta unificata – ma ritengo doveroso e necessario richiedere con forza, in occasione dell’audizione programmata presso la Camera dei Deputati per il prossimo 2 ottobre</w:t>
      </w:r>
      <w:r>
        <w:rPr>
          <w:rFonts w:ascii="Verdana" w:hAnsi="Verdana" w:cs="Baskerville"/>
          <w:i/>
          <w:sz w:val="24"/>
          <w:szCs w:val="24"/>
        </w:rPr>
        <w:t>, che venga ripristinato in capo alle Regioni e alle Province Autonome il diritto di interpretare, anche per la materia degli orari degli esercizi commerciali</w:t>
      </w:r>
      <w:r>
        <w:rPr>
          <w:rFonts w:ascii="Verdana" w:hAnsi="Verdana" w:cs="Baskerville"/>
          <w:i/>
          <w:color w:val="000000"/>
          <w:sz w:val="24"/>
          <w:szCs w:val="24"/>
        </w:rPr>
        <w:t>, in modo autonomo le identità e le tipicità dei propri territori, senza vincoli o imposizioni gen</w:t>
      </w:r>
      <w:r>
        <w:rPr>
          <w:rFonts w:ascii="Verdana" w:hAnsi="Verdana" w:cs="Baskerville"/>
          <w:i/>
          <w:color w:val="000000"/>
          <w:sz w:val="24"/>
          <w:szCs w:val="24"/>
        </w:rPr>
        <w:t>erali a livello nazionale.</w:t>
      </w:r>
    </w:p>
    <w:p w:rsidR="00D3328E" w:rsidRDefault="00F35B29">
      <w:pPr>
        <w:pStyle w:val="Corpotesto"/>
        <w:suppressAutoHyphens/>
        <w:spacing w:line="240" w:lineRule="auto"/>
        <w:jc w:val="both"/>
        <w:rPr>
          <w:rFonts w:ascii="Verdana" w:hAnsi="Verdana" w:cs="Baskerville"/>
          <w:i/>
          <w:color w:val="000000"/>
          <w:sz w:val="24"/>
          <w:szCs w:val="24"/>
        </w:rPr>
      </w:pPr>
      <w:r>
        <w:rPr>
          <w:rFonts w:ascii="Verdana" w:hAnsi="Verdana" w:cs="Baskerville"/>
          <w:i/>
          <w:color w:val="000000"/>
          <w:sz w:val="24"/>
          <w:szCs w:val="24"/>
        </w:rPr>
        <w:t>La Provincia Autonoma di Trento, con la legge provinciale n. 17 del 2010 ed una delibera attuativa, ha disciplinato la materia delle chiusure degli esercizi commerciali nelle giornate domenicali e festive con disposizioni che ten</w:t>
      </w:r>
      <w:r>
        <w:rPr>
          <w:rFonts w:ascii="Verdana" w:hAnsi="Verdana" w:cs="Baskerville"/>
          <w:i/>
          <w:color w:val="000000"/>
          <w:sz w:val="24"/>
          <w:szCs w:val="24"/>
        </w:rPr>
        <w:t>gono conto delle diverse vocazioni delle singole zone, siano esse turistiche – estive ed invernali – oppure con un elevato grado di attrattività commerciale; le disposizioni provinciali, che allo stato attuale risultano sospese e non abrogate – riattivabil</w:t>
      </w:r>
      <w:r>
        <w:rPr>
          <w:rFonts w:ascii="Verdana" w:hAnsi="Verdana" w:cs="Baskerville"/>
          <w:i/>
          <w:color w:val="000000"/>
          <w:sz w:val="24"/>
          <w:szCs w:val="24"/>
        </w:rPr>
        <w:t>i quindi con un semplice intervento legislativo che rimuova il regime di sospensione – sono state assunte in stretta sintonia ed accordo con i comuni ed i rappresentanti dei lavoratori, delle categorie economiche e dei consumatori ed hanno assicurato, dura</w:t>
      </w:r>
      <w:r>
        <w:rPr>
          <w:rFonts w:ascii="Verdana" w:hAnsi="Verdana" w:cs="Baskerville"/>
          <w:i/>
          <w:color w:val="000000"/>
          <w:sz w:val="24"/>
          <w:szCs w:val="24"/>
        </w:rPr>
        <w:t>nte la loro applicazione, una gestione ordinata ed equilibrata del settore, con un contemperamento degli interessi coinvolti che ha registrato un generale apprezzamento.</w:t>
      </w:r>
    </w:p>
    <w:p w:rsidR="00D3328E" w:rsidRDefault="00D3328E">
      <w:pPr>
        <w:pStyle w:val="Corpotesto"/>
        <w:suppressAutoHyphens/>
        <w:spacing w:line="240" w:lineRule="auto"/>
        <w:jc w:val="both"/>
        <w:rPr>
          <w:rFonts w:ascii="Verdana" w:hAnsi="Verdana" w:cs="Baskerville"/>
          <w:i/>
          <w:color w:val="000000"/>
          <w:sz w:val="24"/>
          <w:szCs w:val="24"/>
        </w:rPr>
      </w:pPr>
    </w:p>
    <w:p w:rsidR="00D3328E" w:rsidRDefault="00F35B29">
      <w:pPr>
        <w:pStyle w:val="Corpotesto"/>
        <w:suppressAutoHyphens/>
        <w:spacing w:line="240" w:lineRule="auto"/>
        <w:jc w:val="both"/>
        <w:rPr>
          <w:rFonts w:ascii="Verdana" w:hAnsi="Verdana" w:cs="Baskerville"/>
          <w:i/>
          <w:color w:val="000000"/>
          <w:sz w:val="24"/>
          <w:szCs w:val="24"/>
        </w:rPr>
      </w:pPr>
      <w:r>
        <w:rPr>
          <w:rFonts w:ascii="Verdana" w:hAnsi="Verdana" w:cs="Baskerville"/>
          <w:i/>
          <w:color w:val="000000"/>
          <w:sz w:val="24"/>
          <w:szCs w:val="24"/>
        </w:rPr>
        <w:t>Soltanto le Regioni e le Province Autonome infatti, in stretta collaborazione con gli</w:t>
      </w:r>
      <w:r>
        <w:rPr>
          <w:rFonts w:ascii="Verdana" w:hAnsi="Verdana" w:cs="Baskerville"/>
          <w:i/>
          <w:color w:val="000000"/>
          <w:sz w:val="24"/>
          <w:szCs w:val="24"/>
        </w:rPr>
        <w:t xml:space="preserve"> Enti locali ed i rappresentanti locali dei lavoratori, dei consumatori e di tutti gli attori del commercio, saranno in grado – come sempre nel passato – di interpretare ed assecondare le vocazioni e le esigenze che esprimono i vari territori – talvolta mo</w:t>
      </w:r>
      <w:r>
        <w:rPr>
          <w:rFonts w:ascii="Verdana" w:hAnsi="Verdana" w:cs="Baskerville"/>
          <w:i/>
          <w:color w:val="000000"/>
          <w:sz w:val="24"/>
          <w:szCs w:val="24"/>
        </w:rPr>
        <w:t>lto eterogenei – sapendone salvaguardare i caratteri e le personalità e contemperando necessità di sviluppo e competitività delle imprese con tutela e rispetto per i diritti dei lavoratori dipendenti ed i titolari di piccole/medie imprese.”</w:t>
      </w:r>
    </w:p>
    <w:p w:rsidR="00D3328E" w:rsidRDefault="00D3328E">
      <w:pPr>
        <w:pStyle w:val="Corpotesto"/>
        <w:suppressAutoHyphens/>
        <w:spacing w:line="240" w:lineRule="auto"/>
        <w:ind w:left="360"/>
        <w:jc w:val="both"/>
        <w:rPr>
          <w:rFonts w:ascii="Verdana" w:hAnsi="Verdana" w:cs="Baskerville"/>
          <w:i/>
          <w:color w:val="000000"/>
          <w:sz w:val="24"/>
          <w:szCs w:val="24"/>
        </w:rPr>
      </w:pPr>
    </w:p>
    <w:p w:rsidR="00D3328E" w:rsidRDefault="00D3328E">
      <w:pPr>
        <w:pStyle w:val="Textbody"/>
        <w:spacing w:line="240" w:lineRule="auto"/>
        <w:ind w:left="360"/>
        <w:jc w:val="both"/>
      </w:pPr>
    </w:p>
    <w:sectPr w:rsidR="00D3328E">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5B29">
      <w:pPr>
        <w:spacing w:after="0" w:line="240" w:lineRule="auto"/>
      </w:pPr>
      <w:r>
        <w:separator/>
      </w:r>
    </w:p>
  </w:endnote>
  <w:endnote w:type="continuationSeparator" w:id="0">
    <w:p w:rsidR="00000000" w:rsidRDefault="00F3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Baskerville">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MT">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5B29">
      <w:pPr>
        <w:spacing w:after="0" w:line="240" w:lineRule="auto"/>
      </w:pPr>
      <w:r>
        <w:rPr>
          <w:color w:val="000000"/>
        </w:rPr>
        <w:separator/>
      </w:r>
    </w:p>
  </w:footnote>
  <w:footnote w:type="continuationSeparator" w:id="0">
    <w:p w:rsidR="00000000" w:rsidRDefault="00F35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7EA"/>
    <w:multiLevelType w:val="multilevel"/>
    <w:tmpl w:val="5A6EC67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CCF1295"/>
    <w:multiLevelType w:val="multilevel"/>
    <w:tmpl w:val="26DE8F0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E3E0CA2"/>
    <w:multiLevelType w:val="multilevel"/>
    <w:tmpl w:val="8DBC1162"/>
    <w:styleLink w:val="WWNum7"/>
    <w:lvl w:ilvl="0">
      <w:start w:val="1"/>
      <w:numFmt w:val="decimal"/>
      <w:lvlText w:val="%1)"/>
      <w:lvlJc w:val="left"/>
      <w:pPr>
        <w:ind w:left="720" w:hanging="360"/>
      </w:pPr>
      <w:rPr>
        <w:iC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100B30E7"/>
    <w:multiLevelType w:val="multilevel"/>
    <w:tmpl w:val="85B043A0"/>
    <w:styleLink w:val="WWNum8"/>
    <w:lvl w:ilvl="0">
      <w:numFmt w:val="bullet"/>
      <w:lvlText w:val=""/>
      <w:lvlJc w:val="left"/>
      <w:pPr>
        <w:ind w:left="720" w:hanging="360"/>
      </w:pPr>
      <w:rPr>
        <w:rFonts w:ascii="Symbol" w:hAnsi="Symbol"/>
        <w:iC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2A5E0E94"/>
    <w:multiLevelType w:val="multilevel"/>
    <w:tmpl w:val="D048EBB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2EFB20B9"/>
    <w:multiLevelType w:val="multilevel"/>
    <w:tmpl w:val="2B30498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2F9E0B38"/>
    <w:multiLevelType w:val="multilevel"/>
    <w:tmpl w:val="39664B6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30BE1F91"/>
    <w:multiLevelType w:val="multilevel"/>
    <w:tmpl w:val="4504231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536B764F"/>
    <w:multiLevelType w:val="multilevel"/>
    <w:tmpl w:val="31EECF3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601F4FC9"/>
    <w:multiLevelType w:val="multilevel"/>
    <w:tmpl w:val="0F6CE35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7"/>
  </w:num>
  <w:num w:numId="2">
    <w:abstractNumId w:val="9"/>
  </w:num>
  <w:num w:numId="3">
    <w:abstractNumId w:val="1"/>
  </w:num>
  <w:num w:numId="4">
    <w:abstractNumId w:val="4"/>
  </w:num>
  <w:num w:numId="5">
    <w:abstractNumId w:val="0"/>
  </w:num>
  <w:num w:numId="6">
    <w:abstractNumId w:val="5"/>
  </w:num>
  <w:num w:numId="7">
    <w:abstractNumId w:val="2"/>
  </w:num>
  <w:num w:numId="8">
    <w:abstractNumId w:val="3"/>
  </w:num>
  <w:num w:numId="9">
    <w:abstractNumId w:val="8"/>
  </w:num>
  <w:num w:numId="10">
    <w:abstractNumId w:val="6"/>
  </w:num>
  <w:num w:numId="11">
    <w:abstractNumId w:val="4"/>
    <w:lvlOverride w:ilvl="0">
      <w:startOverride w:val="1"/>
    </w:lvlOverride>
  </w:num>
  <w:num w:numId="12">
    <w:abstractNumId w:val="7"/>
    <w:lvlOverride w:ilvl="0">
      <w:startOverride w:val="1"/>
    </w:lvlOverride>
  </w:num>
  <w:num w:numId="13">
    <w:abstractNumId w:val="0"/>
    <w:lvlOverride w:ilvl="0"/>
  </w:num>
  <w:num w:numId="14">
    <w:abstractNumId w:val="9"/>
    <w:lvlOverride w:ilvl="0">
      <w:startOverride w:val="1"/>
    </w:lvlOverride>
  </w:num>
  <w:num w:numId="15">
    <w:abstractNumId w:val="2"/>
    <w:lvlOverride w:ilvl="0">
      <w:startOverride w:val="1"/>
    </w:lvlOverride>
  </w:num>
  <w:num w:numId="16">
    <w:abstractNumId w:val="3"/>
    <w:lvlOverride w:ilvl="0"/>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328E"/>
    <w:rsid w:val="00D3328E"/>
    <w:rsid w:val="00F35B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it-IT" w:eastAsia="en-US" w:bidi="ar-SA"/>
      </w:rPr>
    </w:rPrDefault>
    <w:pPrDefault>
      <w:pPr>
        <w:widowControl w:val="0"/>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Default">
    <w:name w:val="Default"/>
    <w:pPr>
      <w:widowControl/>
      <w:suppressAutoHyphens/>
      <w:spacing w:after="0" w:line="240" w:lineRule="auto"/>
    </w:pPr>
    <w:rPr>
      <w:rFonts w:ascii="Baskerville" w:hAnsi="Baskerville" w:cs="Baskerville"/>
      <w:color w:val="000000"/>
      <w:sz w:val="24"/>
      <w:szCs w:val="24"/>
    </w:rPr>
  </w:style>
  <w:style w:type="paragraph" w:styleId="Paragrafoelenco">
    <w:name w:val="List Paragraph"/>
    <w:basedOn w:val="Standard"/>
    <w:pPr>
      <w:ind w:left="720"/>
    </w:pPr>
  </w:style>
  <w:style w:type="character" w:customStyle="1" w:styleId="A7">
    <w:name w:val="A7"/>
    <w:rPr>
      <w:rFonts w:cs="Baskerville"/>
      <w:color w:val="000000"/>
      <w:sz w:val="26"/>
      <w:szCs w:val="26"/>
    </w:rPr>
  </w:style>
  <w:style w:type="character" w:customStyle="1" w:styleId="CorpotestoCarattere">
    <w:name w:val="Corpo testo Carattere"/>
    <w:basedOn w:val="Carpredefinitoparagrafo"/>
  </w:style>
  <w:style w:type="character" w:customStyle="1" w:styleId="ListLabel1">
    <w:name w:val="ListLabel 1"/>
    <w:rPr>
      <w:rFonts w:cs="Courier New"/>
    </w:rPr>
  </w:style>
  <w:style w:type="character" w:customStyle="1" w:styleId="ListLabel2">
    <w:name w:val="ListLabel 2"/>
    <w:rPr>
      <w:iCs/>
    </w:rPr>
  </w:style>
  <w:style w:type="paragraph" w:styleId="Corpotesto">
    <w:name w:val="Body Text"/>
    <w:basedOn w:val="Normale"/>
    <w:pPr>
      <w:widowControl/>
      <w:suppressAutoHyphens w:val="0"/>
      <w:spacing w:after="120"/>
      <w:textAlignment w:val="auto"/>
    </w:pPr>
  </w:style>
  <w:style w:type="character" w:customStyle="1" w:styleId="CorpotestoCarattere1">
    <w:name w:val="Corpo testo Carattere1"/>
    <w:basedOn w:val="Carpredefinitoparagrafo"/>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it-IT" w:eastAsia="en-US" w:bidi="ar-SA"/>
      </w:rPr>
    </w:rPrDefault>
    <w:pPrDefault>
      <w:pPr>
        <w:widowControl w:val="0"/>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Default">
    <w:name w:val="Default"/>
    <w:pPr>
      <w:widowControl/>
      <w:suppressAutoHyphens/>
      <w:spacing w:after="0" w:line="240" w:lineRule="auto"/>
    </w:pPr>
    <w:rPr>
      <w:rFonts w:ascii="Baskerville" w:hAnsi="Baskerville" w:cs="Baskerville"/>
      <w:color w:val="000000"/>
      <w:sz w:val="24"/>
      <w:szCs w:val="24"/>
    </w:rPr>
  </w:style>
  <w:style w:type="paragraph" w:styleId="Paragrafoelenco">
    <w:name w:val="List Paragraph"/>
    <w:basedOn w:val="Standard"/>
    <w:pPr>
      <w:ind w:left="720"/>
    </w:pPr>
  </w:style>
  <w:style w:type="character" w:customStyle="1" w:styleId="A7">
    <w:name w:val="A7"/>
    <w:rPr>
      <w:rFonts w:cs="Baskerville"/>
      <w:color w:val="000000"/>
      <w:sz w:val="26"/>
      <w:szCs w:val="26"/>
    </w:rPr>
  </w:style>
  <w:style w:type="character" w:customStyle="1" w:styleId="CorpotestoCarattere">
    <w:name w:val="Corpo testo Carattere"/>
    <w:basedOn w:val="Carpredefinitoparagrafo"/>
  </w:style>
  <w:style w:type="character" w:customStyle="1" w:styleId="ListLabel1">
    <w:name w:val="ListLabel 1"/>
    <w:rPr>
      <w:rFonts w:cs="Courier New"/>
    </w:rPr>
  </w:style>
  <w:style w:type="character" w:customStyle="1" w:styleId="ListLabel2">
    <w:name w:val="ListLabel 2"/>
    <w:rPr>
      <w:iCs/>
    </w:rPr>
  </w:style>
  <w:style w:type="paragraph" w:styleId="Corpotesto">
    <w:name w:val="Body Text"/>
    <w:basedOn w:val="Normale"/>
    <w:pPr>
      <w:widowControl/>
      <w:suppressAutoHyphens w:val="0"/>
      <w:spacing w:after="120"/>
      <w:textAlignment w:val="auto"/>
    </w:pPr>
  </w:style>
  <w:style w:type="character" w:customStyle="1" w:styleId="CorpotestoCarattere1">
    <w:name w:val="Corpo testo Carattere1"/>
    <w:basedOn w:val="Carpredefinitoparagrafo"/>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3038</Words>
  <Characters>17322</Characters>
  <Application>Microsoft Office Word</Application>
  <DocSecurity>0</DocSecurity>
  <Lines>144</Lines>
  <Paragraphs>40</Paragraphs>
  <ScaleCrop>false</ScaleCrop>
  <Company>Hewlett-Packard Company</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Talarico</dc:creator>
  <cp:lastModifiedBy>utente_locale</cp:lastModifiedBy>
  <cp:revision>2</cp:revision>
  <dcterms:created xsi:type="dcterms:W3CDTF">2018-10-02T10:45:00Z</dcterms:created>
  <dcterms:modified xsi:type="dcterms:W3CDTF">2018-10-02T10:45:00Z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