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A4" w:rsidRPr="00F848B3" w:rsidRDefault="00B023A4" w:rsidP="00F848B3">
      <w:pPr>
        <w:spacing w:after="120"/>
        <w:rPr>
          <w:rFonts w:ascii="Bookman Old Style" w:hAnsi="Bookman Old Style"/>
          <w:color w:val="000000"/>
          <w:sz w:val="27"/>
          <w:szCs w:val="27"/>
        </w:rPr>
      </w:pPr>
      <w:bookmarkStart w:id="0" w:name="_GoBack"/>
      <w:bookmarkEnd w:id="0"/>
    </w:p>
    <w:p w:rsidR="00B7067F" w:rsidRPr="00F848B3" w:rsidRDefault="00B7067F" w:rsidP="00F848B3">
      <w:pPr>
        <w:spacing w:after="120"/>
        <w:jc w:val="center"/>
        <w:rPr>
          <w:rFonts w:ascii="Bookman Old Style" w:eastAsia="Times New Roman" w:hAnsi="Bookman Old Style" w:cs="Calibri"/>
          <w:b/>
          <w:color w:val="4F81BD" w:themeColor="accent1"/>
          <w:sz w:val="32"/>
          <w:lang w:eastAsia="it-IT"/>
        </w:rPr>
      </w:pPr>
    </w:p>
    <w:p w:rsidR="00B7067F" w:rsidRPr="00F848B3" w:rsidRDefault="00B7067F" w:rsidP="00F848B3">
      <w:pPr>
        <w:spacing w:after="120"/>
        <w:jc w:val="center"/>
        <w:rPr>
          <w:rFonts w:ascii="Bookman Old Style" w:eastAsia="Times New Roman" w:hAnsi="Bookman Old Style" w:cs="Calibri"/>
          <w:b/>
          <w:color w:val="4F81BD" w:themeColor="accent1"/>
          <w:sz w:val="32"/>
          <w:lang w:eastAsia="it-IT"/>
        </w:rPr>
      </w:pPr>
    </w:p>
    <w:p w:rsidR="00B023A4" w:rsidRPr="00F848B3" w:rsidRDefault="00B023A4" w:rsidP="00F848B3">
      <w:pPr>
        <w:spacing w:after="120"/>
        <w:jc w:val="center"/>
        <w:rPr>
          <w:rFonts w:ascii="Bookman Old Style" w:eastAsia="Times New Roman" w:hAnsi="Bookman Old Style" w:cs="Calibri"/>
          <w:b/>
          <w:color w:val="4F81BD" w:themeColor="accent1"/>
          <w:sz w:val="32"/>
          <w:lang w:eastAsia="it-IT"/>
        </w:rPr>
      </w:pPr>
      <w:r w:rsidRPr="00F848B3">
        <w:rPr>
          <w:rFonts w:ascii="Bookman Old Style" w:eastAsia="Times New Roman" w:hAnsi="Bookman Old Style" w:cs="Calibri"/>
          <w:b/>
          <w:color w:val="4F81BD" w:themeColor="accent1"/>
          <w:sz w:val="32"/>
          <w:lang w:eastAsia="it-IT"/>
        </w:rPr>
        <w:t>AUDIZIONE ANCI</w:t>
      </w:r>
    </w:p>
    <w:p w:rsidR="00B023A4" w:rsidRPr="00F848B3" w:rsidRDefault="00B023A4" w:rsidP="00F848B3">
      <w:pPr>
        <w:spacing w:after="120"/>
        <w:jc w:val="center"/>
        <w:rPr>
          <w:rFonts w:ascii="Bookman Old Style" w:eastAsia="Times New Roman" w:hAnsi="Bookman Old Style" w:cs="Calibri"/>
          <w:b/>
          <w:color w:val="4F81BD" w:themeColor="accent1"/>
          <w:sz w:val="32"/>
          <w:lang w:eastAsia="it-IT"/>
        </w:rPr>
      </w:pPr>
    </w:p>
    <w:p w:rsidR="00936F64" w:rsidRPr="00F848B3" w:rsidRDefault="00936F64" w:rsidP="00F848B3">
      <w:pPr>
        <w:spacing w:after="120"/>
        <w:jc w:val="center"/>
        <w:rPr>
          <w:rFonts w:ascii="Bookman Old Style" w:eastAsia="Times New Roman" w:hAnsi="Bookman Old Style" w:cs="Calibri"/>
          <w:b/>
          <w:color w:val="4F81BD" w:themeColor="accent1"/>
          <w:sz w:val="28"/>
          <w:szCs w:val="28"/>
          <w:lang w:eastAsia="it-IT"/>
        </w:rPr>
      </w:pPr>
      <w:r w:rsidRPr="00F848B3">
        <w:rPr>
          <w:rFonts w:ascii="Bookman Old Style" w:eastAsia="Times New Roman" w:hAnsi="Bookman Old Style" w:cs="Calibri"/>
          <w:b/>
          <w:color w:val="4F81BD" w:themeColor="accent1"/>
          <w:sz w:val="28"/>
          <w:szCs w:val="28"/>
          <w:lang w:eastAsia="it-IT"/>
        </w:rPr>
        <w:t xml:space="preserve">COMMISSIONI BILANCIO </w:t>
      </w:r>
      <w:r w:rsidR="007B1A8A" w:rsidRPr="00F848B3">
        <w:rPr>
          <w:rFonts w:ascii="Bookman Old Style" w:eastAsia="Times New Roman" w:hAnsi="Bookman Old Style" w:cs="Calibri"/>
          <w:b/>
          <w:color w:val="4F81BD" w:themeColor="accent1"/>
          <w:sz w:val="28"/>
          <w:szCs w:val="28"/>
          <w:lang w:eastAsia="it-IT"/>
        </w:rPr>
        <w:t>RIUNITE</w:t>
      </w:r>
      <w:r w:rsidRPr="00F848B3">
        <w:rPr>
          <w:rFonts w:ascii="Bookman Old Style" w:eastAsia="Times New Roman" w:hAnsi="Bookman Old Style" w:cs="Calibri"/>
          <w:b/>
          <w:color w:val="4F81BD" w:themeColor="accent1"/>
          <w:sz w:val="28"/>
          <w:szCs w:val="28"/>
          <w:lang w:eastAsia="it-IT"/>
        </w:rPr>
        <w:t xml:space="preserve"> DEL SENATO DELLA REPUBBLICA E DELLA CAMERA DEI DEPUTATI</w:t>
      </w:r>
    </w:p>
    <w:p w:rsidR="00936F64" w:rsidRPr="00F848B3" w:rsidRDefault="00936F64" w:rsidP="00F848B3">
      <w:pPr>
        <w:spacing w:after="120"/>
        <w:jc w:val="center"/>
        <w:rPr>
          <w:rFonts w:ascii="Bookman Old Style" w:eastAsia="Times New Roman" w:hAnsi="Bookman Old Style" w:cs="Calibri"/>
          <w:b/>
          <w:color w:val="4F81BD" w:themeColor="accent1"/>
          <w:sz w:val="32"/>
          <w:lang w:eastAsia="it-IT"/>
        </w:rPr>
      </w:pPr>
    </w:p>
    <w:p w:rsidR="00936F64" w:rsidRPr="00F848B3" w:rsidRDefault="00936F64" w:rsidP="00F848B3">
      <w:pPr>
        <w:spacing w:after="120"/>
        <w:jc w:val="center"/>
        <w:rPr>
          <w:rFonts w:ascii="Bookman Old Style" w:eastAsia="Times New Roman" w:hAnsi="Bookman Old Style" w:cs="Calibri"/>
          <w:b/>
          <w:color w:val="4F81BD" w:themeColor="accent1"/>
          <w:sz w:val="32"/>
          <w:lang w:eastAsia="it-IT"/>
        </w:rPr>
      </w:pPr>
    </w:p>
    <w:p w:rsidR="00936F64" w:rsidRPr="00F848B3" w:rsidRDefault="00936F64" w:rsidP="00F848B3">
      <w:pPr>
        <w:spacing w:after="120"/>
        <w:jc w:val="center"/>
        <w:rPr>
          <w:rFonts w:ascii="Bookman Old Style" w:eastAsia="Times New Roman" w:hAnsi="Bookman Old Style" w:cs="Calibri"/>
          <w:b/>
          <w:color w:val="4F81BD" w:themeColor="accent1"/>
          <w:sz w:val="32"/>
          <w:lang w:eastAsia="it-IT"/>
        </w:rPr>
      </w:pPr>
    </w:p>
    <w:p w:rsidR="00936F64" w:rsidRPr="00F848B3" w:rsidRDefault="00936F64" w:rsidP="00F848B3">
      <w:pPr>
        <w:spacing w:after="120"/>
        <w:jc w:val="center"/>
        <w:rPr>
          <w:rFonts w:ascii="Bookman Old Style" w:eastAsia="Times New Roman" w:hAnsi="Bookman Old Style" w:cs="Calibri"/>
          <w:b/>
          <w:color w:val="4F81BD" w:themeColor="accent1"/>
          <w:sz w:val="28"/>
          <w:szCs w:val="28"/>
          <w:lang w:eastAsia="it-IT"/>
        </w:rPr>
      </w:pPr>
      <w:r w:rsidRPr="00F848B3">
        <w:rPr>
          <w:rFonts w:ascii="Bookman Old Style" w:eastAsia="Times New Roman" w:hAnsi="Bookman Old Style" w:cs="Calibri"/>
          <w:b/>
          <w:color w:val="4F81BD" w:themeColor="accent1"/>
          <w:sz w:val="28"/>
          <w:szCs w:val="28"/>
          <w:lang w:eastAsia="it-IT"/>
        </w:rPr>
        <w:t>LEGGE DI BILANCIO 2018</w:t>
      </w:r>
    </w:p>
    <w:p w:rsidR="00936F64" w:rsidRPr="00F848B3" w:rsidRDefault="00936F64" w:rsidP="00F848B3">
      <w:pPr>
        <w:spacing w:after="120"/>
        <w:jc w:val="center"/>
        <w:rPr>
          <w:rFonts w:ascii="Bookman Old Style" w:eastAsia="Times New Roman" w:hAnsi="Bookman Old Style" w:cs="Calibri"/>
          <w:b/>
          <w:color w:val="4F81BD" w:themeColor="accent1"/>
          <w:sz w:val="28"/>
          <w:szCs w:val="28"/>
          <w:lang w:eastAsia="it-IT"/>
        </w:rPr>
      </w:pPr>
      <w:r w:rsidRPr="00F848B3">
        <w:rPr>
          <w:rFonts w:ascii="Bookman Old Style" w:eastAsia="Times New Roman" w:hAnsi="Bookman Old Style" w:cs="Calibri"/>
          <w:b/>
          <w:color w:val="4F81BD" w:themeColor="accent1"/>
          <w:sz w:val="32"/>
          <w:lang w:eastAsia="it-IT"/>
        </w:rPr>
        <w:t>(</w:t>
      </w:r>
      <w:r w:rsidR="007B1A8A" w:rsidRPr="00F848B3">
        <w:rPr>
          <w:rFonts w:ascii="Bookman Old Style" w:eastAsia="Times New Roman" w:hAnsi="Bookman Old Style" w:cs="Calibri"/>
          <w:b/>
          <w:color w:val="4F81BD" w:themeColor="accent1"/>
          <w:sz w:val="32"/>
          <w:lang w:eastAsia="it-IT"/>
        </w:rPr>
        <w:t>ddl C1334</w:t>
      </w:r>
      <w:r w:rsidRPr="00F848B3">
        <w:rPr>
          <w:rFonts w:ascii="Bookman Old Style" w:eastAsia="Times New Roman" w:hAnsi="Bookman Old Style" w:cs="Calibri"/>
          <w:b/>
          <w:color w:val="4F81BD" w:themeColor="accent1"/>
          <w:sz w:val="28"/>
          <w:szCs w:val="28"/>
          <w:lang w:eastAsia="it-IT"/>
        </w:rPr>
        <w:t>)</w:t>
      </w:r>
    </w:p>
    <w:p w:rsidR="00936F64" w:rsidRPr="00F848B3" w:rsidRDefault="00936F64" w:rsidP="00F848B3">
      <w:pPr>
        <w:spacing w:after="120"/>
        <w:jc w:val="center"/>
        <w:rPr>
          <w:rFonts w:ascii="Bookman Old Style" w:eastAsia="Times New Roman" w:hAnsi="Bookman Old Style" w:cs="Calibri"/>
          <w:b/>
          <w:color w:val="4F81BD" w:themeColor="accent1"/>
          <w:sz w:val="32"/>
          <w:lang w:eastAsia="it-IT"/>
        </w:rPr>
      </w:pPr>
    </w:p>
    <w:p w:rsidR="00936F64" w:rsidRPr="00F848B3" w:rsidRDefault="00936F64" w:rsidP="00F848B3">
      <w:pPr>
        <w:spacing w:after="120"/>
        <w:jc w:val="center"/>
        <w:rPr>
          <w:rFonts w:ascii="Bookman Old Style" w:eastAsia="Times New Roman" w:hAnsi="Bookman Old Style" w:cs="Calibri"/>
          <w:b/>
          <w:color w:val="4F81BD" w:themeColor="accent1"/>
          <w:sz w:val="32"/>
          <w:lang w:eastAsia="it-IT"/>
        </w:rPr>
      </w:pPr>
    </w:p>
    <w:p w:rsidR="00936F64" w:rsidRPr="00F848B3" w:rsidRDefault="00936F64" w:rsidP="00F848B3">
      <w:pPr>
        <w:spacing w:after="120"/>
        <w:jc w:val="center"/>
        <w:rPr>
          <w:rFonts w:ascii="Bookman Old Style" w:eastAsia="Times New Roman" w:hAnsi="Bookman Old Style" w:cs="Calibri"/>
          <w:b/>
          <w:color w:val="4F81BD" w:themeColor="accent1"/>
          <w:sz w:val="32"/>
          <w:lang w:eastAsia="it-IT"/>
        </w:rPr>
      </w:pPr>
    </w:p>
    <w:p w:rsidR="00936F64" w:rsidRPr="00F848B3" w:rsidRDefault="00936F64" w:rsidP="00F848B3">
      <w:pPr>
        <w:spacing w:after="120"/>
        <w:jc w:val="center"/>
        <w:rPr>
          <w:rFonts w:ascii="Bookman Old Style" w:eastAsia="Times New Roman" w:hAnsi="Bookman Old Style" w:cs="Calibri"/>
          <w:b/>
          <w:color w:val="4F81BD" w:themeColor="accent1"/>
          <w:sz w:val="32"/>
          <w:lang w:eastAsia="it-IT"/>
        </w:rPr>
      </w:pPr>
    </w:p>
    <w:p w:rsidR="00936F64" w:rsidRPr="00F848B3" w:rsidRDefault="00936F64" w:rsidP="00F848B3">
      <w:pPr>
        <w:spacing w:after="120"/>
        <w:jc w:val="center"/>
        <w:rPr>
          <w:rFonts w:ascii="Bookman Old Style" w:eastAsia="Times New Roman" w:hAnsi="Bookman Old Style" w:cs="Calibri"/>
          <w:b/>
          <w:color w:val="4F81BD" w:themeColor="accent1"/>
          <w:sz w:val="32"/>
          <w:lang w:eastAsia="it-IT"/>
        </w:rPr>
      </w:pPr>
    </w:p>
    <w:p w:rsidR="00936F64" w:rsidRPr="00F848B3" w:rsidRDefault="00936F64" w:rsidP="00F848B3">
      <w:pPr>
        <w:spacing w:after="120"/>
        <w:jc w:val="center"/>
        <w:rPr>
          <w:rFonts w:ascii="Bookman Old Style" w:eastAsia="Times New Roman" w:hAnsi="Bookman Old Style" w:cs="Calibri"/>
          <w:b/>
          <w:color w:val="4F81BD" w:themeColor="accent1"/>
          <w:sz w:val="32"/>
          <w:lang w:eastAsia="it-IT"/>
        </w:rPr>
      </w:pPr>
    </w:p>
    <w:p w:rsidR="00936F64" w:rsidRPr="00F848B3" w:rsidRDefault="00936F64" w:rsidP="00F848B3">
      <w:pPr>
        <w:spacing w:after="120"/>
        <w:jc w:val="center"/>
        <w:rPr>
          <w:rFonts w:ascii="Bookman Old Style" w:eastAsia="Times New Roman" w:hAnsi="Bookman Old Style" w:cs="Calibri"/>
          <w:b/>
          <w:color w:val="4F81BD" w:themeColor="accent1"/>
          <w:sz w:val="32"/>
          <w:lang w:eastAsia="it-IT"/>
        </w:rPr>
      </w:pPr>
    </w:p>
    <w:p w:rsidR="00936F64" w:rsidRPr="00F848B3" w:rsidRDefault="00936F64" w:rsidP="00F848B3">
      <w:pPr>
        <w:spacing w:after="120"/>
        <w:jc w:val="center"/>
        <w:rPr>
          <w:rFonts w:ascii="Bookman Old Style" w:eastAsia="Times New Roman" w:hAnsi="Bookman Old Style" w:cs="Calibri"/>
          <w:b/>
          <w:color w:val="4F81BD" w:themeColor="accent1"/>
          <w:sz w:val="32"/>
          <w:lang w:eastAsia="it-IT"/>
        </w:rPr>
      </w:pPr>
    </w:p>
    <w:p w:rsidR="00936F64" w:rsidRPr="00F848B3" w:rsidRDefault="00936F64" w:rsidP="00F848B3">
      <w:pPr>
        <w:spacing w:after="120"/>
        <w:jc w:val="center"/>
        <w:rPr>
          <w:rFonts w:ascii="Bookman Old Style" w:eastAsia="Times New Roman" w:hAnsi="Bookman Old Style" w:cs="Calibri"/>
          <w:b/>
          <w:color w:val="4F81BD" w:themeColor="accent1"/>
          <w:sz w:val="32"/>
          <w:lang w:eastAsia="it-IT"/>
        </w:rPr>
      </w:pPr>
    </w:p>
    <w:p w:rsidR="00936F64" w:rsidRPr="00F848B3" w:rsidRDefault="00936F64" w:rsidP="00F848B3">
      <w:pPr>
        <w:spacing w:after="120"/>
        <w:jc w:val="center"/>
        <w:rPr>
          <w:rFonts w:ascii="Bookman Old Style" w:eastAsia="Times New Roman" w:hAnsi="Bookman Old Style" w:cs="Calibri"/>
          <w:b/>
          <w:color w:val="4F81BD" w:themeColor="accent1"/>
          <w:sz w:val="32"/>
          <w:lang w:eastAsia="it-IT"/>
        </w:rPr>
      </w:pPr>
    </w:p>
    <w:p w:rsidR="00294974" w:rsidRPr="00F848B3" w:rsidRDefault="007B1A8A" w:rsidP="00F848B3">
      <w:pPr>
        <w:spacing w:after="120"/>
        <w:jc w:val="center"/>
        <w:rPr>
          <w:rFonts w:ascii="Bookman Old Style" w:eastAsia="Times New Roman" w:hAnsi="Bookman Old Style" w:cs="Calibri"/>
          <w:b/>
          <w:color w:val="4F81BD" w:themeColor="accent1"/>
          <w:sz w:val="24"/>
          <w:szCs w:val="24"/>
          <w:lang w:eastAsia="it-IT"/>
        </w:rPr>
      </w:pPr>
      <w:r w:rsidRPr="00F848B3">
        <w:rPr>
          <w:rFonts w:ascii="Bookman Old Style" w:eastAsia="Times New Roman" w:hAnsi="Bookman Old Style" w:cs="Calibri"/>
          <w:b/>
          <w:color w:val="4F81BD" w:themeColor="accent1"/>
          <w:sz w:val="24"/>
          <w:szCs w:val="24"/>
          <w:lang w:eastAsia="it-IT"/>
        </w:rPr>
        <w:t>lunedì</w:t>
      </w:r>
      <w:r w:rsidR="00B023A4" w:rsidRPr="00F848B3">
        <w:rPr>
          <w:rFonts w:ascii="Bookman Old Style" w:eastAsia="Times New Roman" w:hAnsi="Bookman Old Style" w:cs="Calibri"/>
          <w:b/>
          <w:color w:val="4F81BD" w:themeColor="accent1"/>
          <w:sz w:val="24"/>
          <w:szCs w:val="24"/>
          <w:lang w:eastAsia="it-IT"/>
        </w:rPr>
        <w:t xml:space="preserve"> </w:t>
      </w:r>
      <w:r w:rsidRPr="00F848B3">
        <w:rPr>
          <w:rFonts w:ascii="Bookman Old Style" w:eastAsia="Times New Roman" w:hAnsi="Bookman Old Style" w:cs="Calibri"/>
          <w:b/>
          <w:color w:val="4F81BD" w:themeColor="accent1"/>
          <w:sz w:val="24"/>
          <w:szCs w:val="24"/>
          <w:lang w:eastAsia="it-IT"/>
        </w:rPr>
        <w:t>12</w:t>
      </w:r>
      <w:r w:rsidR="00B023A4" w:rsidRPr="00F848B3">
        <w:rPr>
          <w:rFonts w:ascii="Bookman Old Style" w:eastAsia="Times New Roman" w:hAnsi="Bookman Old Style" w:cs="Calibri"/>
          <w:b/>
          <w:color w:val="4F81BD" w:themeColor="accent1"/>
          <w:sz w:val="24"/>
          <w:szCs w:val="24"/>
          <w:lang w:eastAsia="it-IT"/>
        </w:rPr>
        <w:t xml:space="preserve"> novembre 201</w:t>
      </w:r>
      <w:r w:rsidRPr="00F848B3">
        <w:rPr>
          <w:rFonts w:ascii="Bookman Old Style" w:eastAsia="Times New Roman" w:hAnsi="Bookman Old Style" w:cs="Calibri"/>
          <w:b/>
          <w:color w:val="4F81BD" w:themeColor="accent1"/>
          <w:sz w:val="24"/>
          <w:szCs w:val="24"/>
          <w:lang w:eastAsia="it-IT"/>
        </w:rPr>
        <w:t>8</w:t>
      </w:r>
    </w:p>
    <w:p w:rsidR="00936F64" w:rsidRPr="00F848B3" w:rsidRDefault="00936F64" w:rsidP="00F848B3">
      <w:pPr>
        <w:spacing w:after="120"/>
        <w:rPr>
          <w:rFonts w:ascii="Bookman Old Style" w:eastAsia="Times New Roman" w:hAnsi="Bookman Old Style" w:cs="Calibri"/>
          <w:b/>
          <w:color w:val="4F81BD" w:themeColor="accent1"/>
          <w:sz w:val="24"/>
          <w:szCs w:val="24"/>
          <w:lang w:eastAsia="it-IT"/>
        </w:rPr>
      </w:pPr>
      <w:r w:rsidRPr="00F848B3">
        <w:rPr>
          <w:rFonts w:ascii="Bookman Old Style" w:eastAsia="Times New Roman" w:hAnsi="Bookman Old Style" w:cs="Calibri"/>
          <w:b/>
          <w:color w:val="4F81BD" w:themeColor="accent1"/>
          <w:sz w:val="24"/>
          <w:szCs w:val="24"/>
          <w:lang w:eastAsia="it-IT"/>
        </w:rPr>
        <w:br w:type="page"/>
      </w:r>
    </w:p>
    <w:p w:rsidR="00936F64" w:rsidRPr="00F848B3" w:rsidRDefault="00936F64" w:rsidP="00F848B3">
      <w:pPr>
        <w:spacing w:after="120"/>
        <w:jc w:val="center"/>
        <w:rPr>
          <w:rFonts w:ascii="Bookman Old Style" w:eastAsia="Times New Roman" w:hAnsi="Bookman Old Style" w:cs="Calibri"/>
          <w:b/>
          <w:color w:val="4F81BD" w:themeColor="accent1"/>
          <w:sz w:val="24"/>
          <w:szCs w:val="24"/>
          <w:lang w:eastAsia="it-IT"/>
        </w:rPr>
      </w:pPr>
    </w:p>
    <w:sdt>
      <w:sdtPr>
        <w:rPr>
          <w:rFonts w:ascii="Bookman Old Style" w:eastAsiaTheme="minorHAnsi" w:hAnsi="Bookman Old Style" w:cstheme="minorBidi"/>
          <w:b w:val="0"/>
          <w:bCs w:val="0"/>
          <w:color w:val="auto"/>
          <w:sz w:val="22"/>
          <w:szCs w:val="22"/>
          <w:lang w:eastAsia="en-US"/>
        </w:rPr>
        <w:id w:val="-1446378355"/>
        <w:docPartObj>
          <w:docPartGallery w:val="Table of Contents"/>
          <w:docPartUnique/>
        </w:docPartObj>
      </w:sdtPr>
      <w:sdtEndPr/>
      <w:sdtContent>
        <w:p w:rsidR="00D32ECF" w:rsidRPr="00F848B3" w:rsidRDefault="00D32ECF" w:rsidP="00F848B3">
          <w:pPr>
            <w:pStyle w:val="Titolosommario"/>
            <w:spacing w:before="0" w:after="120"/>
            <w:rPr>
              <w:rFonts w:ascii="Bookman Old Style" w:hAnsi="Bookman Old Style"/>
            </w:rPr>
          </w:pPr>
          <w:r w:rsidRPr="00F848B3">
            <w:rPr>
              <w:rFonts w:ascii="Bookman Old Style" w:hAnsi="Bookman Old Style"/>
            </w:rPr>
            <w:t>Sommario</w:t>
          </w:r>
        </w:p>
        <w:p w:rsidR="00503219" w:rsidRDefault="0036089B">
          <w:pPr>
            <w:pStyle w:val="Sommario1"/>
            <w:tabs>
              <w:tab w:val="right" w:leader="dot" w:pos="9628"/>
            </w:tabs>
            <w:rPr>
              <w:rFonts w:eastAsiaTheme="minorEastAsia"/>
              <w:noProof/>
              <w:lang w:eastAsia="it-IT"/>
            </w:rPr>
          </w:pPr>
          <w:r w:rsidRPr="00F848B3">
            <w:rPr>
              <w:rFonts w:ascii="Bookman Old Style" w:hAnsi="Bookman Old Style"/>
            </w:rPr>
            <w:fldChar w:fldCharType="begin"/>
          </w:r>
          <w:r w:rsidR="00D32ECF" w:rsidRPr="00F848B3">
            <w:rPr>
              <w:rFonts w:ascii="Bookman Old Style" w:hAnsi="Bookman Old Style"/>
            </w:rPr>
            <w:instrText xml:space="preserve"> TOC \o "1-3" \h \z \u </w:instrText>
          </w:r>
          <w:r w:rsidRPr="00F848B3">
            <w:rPr>
              <w:rFonts w:ascii="Bookman Old Style" w:hAnsi="Bookman Old Style"/>
            </w:rPr>
            <w:fldChar w:fldCharType="separate"/>
          </w:r>
          <w:hyperlink w:anchor="_Toc529684992" w:history="1">
            <w:r w:rsidR="00503219" w:rsidRPr="00004499">
              <w:rPr>
                <w:rStyle w:val="Collegamentoipertestuale"/>
                <w:rFonts w:ascii="Bookman Old Style" w:eastAsia="Times New Roman" w:hAnsi="Bookman Old Style"/>
                <w:noProof/>
                <w:lang w:eastAsia="it-IT"/>
              </w:rPr>
              <w:t>Premessa e sintesi</w:t>
            </w:r>
            <w:r w:rsidR="00503219">
              <w:rPr>
                <w:noProof/>
                <w:webHidden/>
              </w:rPr>
              <w:tab/>
            </w:r>
            <w:r>
              <w:rPr>
                <w:noProof/>
                <w:webHidden/>
              </w:rPr>
              <w:fldChar w:fldCharType="begin"/>
            </w:r>
            <w:r w:rsidR="00503219">
              <w:rPr>
                <w:noProof/>
                <w:webHidden/>
              </w:rPr>
              <w:instrText xml:space="preserve"> PAGEREF _Toc529684992 \h </w:instrText>
            </w:r>
            <w:r>
              <w:rPr>
                <w:noProof/>
                <w:webHidden/>
              </w:rPr>
            </w:r>
            <w:r>
              <w:rPr>
                <w:noProof/>
                <w:webHidden/>
              </w:rPr>
              <w:fldChar w:fldCharType="separate"/>
            </w:r>
            <w:r w:rsidR="00503219">
              <w:rPr>
                <w:noProof/>
                <w:webHidden/>
              </w:rPr>
              <w:t>3</w:t>
            </w:r>
            <w:r>
              <w:rPr>
                <w:noProof/>
                <w:webHidden/>
              </w:rPr>
              <w:fldChar w:fldCharType="end"/>
            </w:r>
          </w:hyperlink>
        </w:p>
        <w:p w:rsidR="00503219" w:rsidRDefault="004D2CE7">
          <w:pPr>
            <w:pStyle w:val="Sommario1"/>
            <w:tabs>
              <w:tab w:val="right" w:leader="dot" w:pos="9628"/>
            </w:tabs>
            <w:rPr>
              <w:rFonts w:eastAsiaTheme="minorEastAsia"/>
              <w:noProof/>
              <w:lang w:eastAsia="it-IT"/>
            </w:rPr>
          </w:pPr>
          <w:hyperlink w:anchor="_Toc529684993" w:history="1">
            <w:r w:rsidR="00503219" w:rsidRPr="00004499">
              <w:rPr>
                <w:rStyle w:val="Collegamentoipertestuale"/>
                <w:rFonts w:ascii="Bookman Old Style" w:eastAsia="Times New Roman" w:hAnsi="Bookman Old Style"/>
                <w:noProof/>
                <w:lang w:eastAsia="it-IT"/>
              </w:rPr>
              <w:t>Reintegro delle risorse correnti</w:t>
            </w:r>
            <w:r w:rsidR="00503219">
              <w:rPr>
                <w:noProof/>
                <w:webHidden/>
              </w:rPr>
              <w:tab/>
            </w:r>
            <w:r w:rsidR="0036089B">
              <w:rPr>
                <w:noProof/>
                <w:webHidden/>
              </w:rPr>
              <w:fldChar w:fldCharType="begin"/>
            </w:r>
            <w:r w:rsidR="00503219">
              <w:rPr>
                <w:noProof/>
                <w:webHidden/>
              </w:rPr>
              <w:instrText xml:space="preserve"> PAGEREF _Toc529684993 \h </w:instrText>
            </w:r>
            <w:r w:rsidR="0036089B">
              <w:rPr>
                <w:noProof/>
                <w:webHidden/>
              </w:rPr>
            </w:r>
            <w:r w:rsidR="0036089B">
              <w:rPr>
                <w:noProof/>
                <w:webHidden/>
              </w:rPr>
              <w:fldChar w:fldCharType="separate"/>
            </w:r>
            <w:r w:rsidR="00503219">
              <w:rPr>
                <w:noProof/>
                <w:webHidden/>
              </w:rPr>
              <w:t>5</w:t>
            </w:r>
            <w:r w:rsidR="0036089B">
              <w:rPr>
                <w:noProof/>
                <w:webHidden/>
              </w:rPr>
              <w:fldChar w:fldCharType="end"/>
            </w:r>
          </w:hyperlink>
        </w:p>
        <w:p w:rsidR="00503219" w:rsidRDefault="004D2CE7">
          <w:pPr>
            <w:pStyle w:val="Sommario2"/>
            <w:tabs>
              <w:tab w:val="right" w:leader="dot" w:pos="9628"/>
            </w:tabs>
            <w:rPr>
              <w:rFonts w:eastAsiaTheme="minorEastAsia"/>
              <w:noProof/>
              <w:lang w:eastAsia="it-IT"/>
            </w:rPr>
          </w:pPr>
          <w:hyperlink w:anchor="_Toc529684994" w:history="1">
            <w:r w:rsidR="00503219" w:rsidRPr="00004499">
              <w:rPr>
                <w:rStyle w:val="Collegamentoipertestuale"/>
                <w:rFonts w:ascii="Bookman Old Style" w:hAnsi="Bookman Old Style"/>
                <w:noProof/>
                <w:shd w:val="clear" w:color="auto" w:fill="FFFFFF"/>
              </w:rPr>
              <w:t>Controversie e contenziosi da prevenire o risolvere</w:t>
            </w:r>
            <w:r w:rsidR="00503219">
              <w:rPr>
                <w:noProof/>
                <w:webHidden/>
              </w:rPr>
              <w:tab/>
            </w:r>
            <w:r w:rsidR="0036089B">
              <w:rPr>
                <w:noProof/>
                <w:webHidden/>
              </w:rPr>
              <w:fldChar w:fldCharType="begin"/>
            </w:r>
            <w:r w:rsidR="00503219">
              <w:rPr>
                <w:noProof/>
                <w:webHidden/>
              </w:rPr>
              <w:instrText xml:space="preserve"> PAGEREF _Toc529684994 \h </w:instrText>
            </w:r>
            <w:r w:rsidR="0036089B">
              <w:rPr>
                <w:noProof/>
                <w:webHidden/>
              </w:rPr>
            </w:r>
            <w:r w:rsidR="0036089B">
              <w:rPr>
                <w:noProof/>
                <w:webHidden/>
              </w:rPr>
              <w:fldChar w:fldCharType="separate"/>
            </w:r>
            <w:r w:rsidR="00503219">
              <w:rPr>
                <w:noProof/>
                <w:webHidden/>
              </w:rPr>
              <w:t>7</w:t>
            </w:r>
            <w:r w:rsidR="0036089B">
              <w:rPr>
                <w:noProof/>
                <w:webHidden/>
              </w:rPr>
              <w:fldChar w:fldCharType="end"/>
            </w:r>
          </w:hyperlink>
        </w:p>
        <w:p w:rsidR="00503219" w:rsidRDefault="004D2CE7">
          <w:pPr>
            <w:pStyle w:val="Sommario1"/>
            <w:tabs>
              <w:tab w:val="right" w:leader="dot" w:pos="9628"/>
            </w:tabs>
            <w:rPr>
              <w:rFonts w:eastAsiaTheme="minorEastAsia"/>
              <w:noProof/>
              <w:lang w:eastAsia="it-IT"/>
            </w:rPr>
          </w:pPr>
          <w:hyperlink w:anchor="_Toc529684995" w:history="1">
            <w:r w:rsidR="00503219" w:rsidRPr="00004499">
              <w:rPr>
                <w:rStyle w:val="Collegamentoipertestuale"/>
                <w:rFonts w:ascii="Bookman Old Style" w:eastAsia="Times New Roman" w:hAnsi="Bookman Old Style"/>
                <w:noProof/>
                <w:lang w:eastAsia="it-IT"/>
              </w:rPr>
              <w:t>I nodi irrisolti nei rapporti finanziari Stato-Comuni</w:t>
            </w:r>
            <w:r w:rsidR="00503219">
              <w:rPr>
                <w:noProof/>
                <w:webHidden/>
              </w:rPr>
              <w:tab/>
            </w:r>
            <w:r w:rsidR="0036089B">
              <w:rPr>
                <w:noProof/>
                <w:webHidden/>
              </w:rPr>
              <w:fldChar w:fldCharType="begin"/>
            </w:r>
            <w:r w:rsidR="00503219">
              <w:rPr>
                <w:noProof/>
                <w:webHidden/>
              </w:rPr>
              <w:instrText xml:space="preserve"> PAGEREF _Toc529684995 \h </w:instrText>
            </w:r>
            <w:r w:rsidR="0036089B">
              <w:rPr>
                <w:noProof/>
                <w:webHidden/>
              </w:rPr>
            </w:r>
            <w:r w:rsidR="0036089B">
              <w:rPr>
                <w:noProof/>
                <w:webHidden/>
              </w:rPr>
              <w:fldChar w:fldCharType="separate"/>
            </w:r>
            <w:r w:rsidR="00503219">
              <w:rPr>
                <w:noProof/>
                <w:webHidden/>
              </w:rPr>
              <w:t>8</w:t>
            </w:r>
            <w:r w:rsidR="0036089B">
              <w:rPr>
                <w:noProof/>
                <w:webHidden/>
              </w:rPr>
              <w:fldChar w:fldCharType="end"/>
            </w:r>
          </w:hyperlink>
        </w:p>
        <w:p w:rsidR="00503219" w:rsidRDefault="004D2CE7">
          <w:pPr>
            <w:pStyle w:val="Sommario1"/>
            <w:tabs>
              <w:tab w:val="right" w:leader="dot" w:pos="9628"/>
            </w:tabs>
            <w:rPr>
              <w:rFonts w:eastAsiaTheme="minorEastAsia"/>
              <w:noProof/>
              <w:lang w:eastAsia="it-IT"/>
            </w:rPr>
          </w:pPr>
          <w:hyperlink w:anchor="_Toc529684996" w:history="1">
            <w:r w:rsidR="00503219" w:rsidRPr="00004499">
              <w:rPr>
                <w:rStyle w:val="Collegamentoipertestuale"/>
                <w:rFonts w:ascii="Bookman Old Style" w:eastAsia="Times New Roman" w:hAnsi="Bookman Old Style"/>
                <w:noProof/>
                <w:lang w:eastAsia="it-IT"/>
              </w:rPr>
              <w:t>La riforma contabile, i vincoli finanziari e gli investimenti comunali</w:t>
            </w:r>
            <w:r w:rsidR="00503219">
              <w:rPr>
                <w:noProof/>
                <w:webHidden/>
              </w:rPr>
              <w:tab/>
            </w:r>
            <w:r w:rsidR="0036089B">
              <w:rPr>
                <w:noProof/>
                <w:webHidden/>
              </w:rPr>
              <w:fldChar w:fldCharType="begin"/>
            </w:r>
            <w:r w:rsidR="00503219">
              <w:rPr>
                <w:noProof/>
                <w:webHidden/>
              </w:rPr>
              <w:instrText xml:space="preserve"> PAGEREF _Toc529684996 \h </w:instrText>
            </w:r>
            <w:r w:rsidR="0036089B">
              <w:rPr>
                <w:noProof/>
                <w:webHidden/>
              </w:rPr>
            </w:r>
            <w:r w:rsidR="0036089B">
              <w:rPr>
                <w:noProof/>
                <w:webHidden/>
              </w:rPr>
              <w:fldChar w:fldCharType="separate"/>
            </w:r>
            <w:r w:rsidR="00503219">
              <w:rPr>
                <w:noProof/>
                <w:webHidden/>
              </w:rPr>
              <w:t>9</w:t>
            </w:r>
            <w:r w:rsidR="0036089B">
              <w:rPr>
                <w:noProof/>
                <w:webHidden/>
              </w:rPr>
              <w:fldChar w:fldCharType="end"/>
            </w:r>
          </w:hyperlink>
        </w:p>
        <w:p w:rsidR="00503219" w:rsidRDefault="004D2CE7">
          <w:pPr>
            <w:pStyle w:val="Sommario2"/>
            <w:tabs>
              <w:tab w:val="right" w:leader="dot" w:pos="9628"/>
            </w:tabs>
            <w:rPr>
              <w:rFonts w:eastAsiaTheme="minorEastAsia"/>
              <w:noProof/>
              <w:lang w:eastAsia="it-IT"/>
            </w:rPr>
          </w:pPr>
          <w:hyperlink w:anchor="_Toc529684997" w:history="1">
            <w:r w:rsidR="00503219" w:rsidRPr="00004499">
              <w:rPr>
                <w:rStyle w:val="Collegamentoipertestuale"/>
                <w:rFonts w:ascii="Bookman Old Style" w:hAnsi="Bookman Old Style"/>
                <w:noProof/>
                <w:shd w:val="clear" w:color="auto" w:fill="FFFFFF"/>
              </w:rPr>
              <w:t>Riforma contabilità e FCDE</w:t>
            </w:r>
            <w:r w:rsidR="00503219">
              <w:rPr>
                <w:noProof/>
                <w:webHidden/>
              </w:rPr>
              <w:tab/>
            </w:r>
            <w:r w:rsidR="0036089B">
              <w:rPr>
                <w:noProof/>
                <w:webHidden/>
              </w:rPr>
              <w:fldChar w:fldCharType="begin"/>
            </w:r>
            <w:r w:rsidR="00503219">
              <w:rPr>
                <w:noProof/>
                <w:webHidden/>
              </w:rPr>
              <w:instrText xml:space="preserve"> PAGEREF _Toc529684997 \h </w:instrText>
            </w:r>
            <w:r w:rsidR="0036089B">
              <w:rPr>
                <w:noProof/>
                <w:webHidden/>
              </w:rPr>
            </w:r>
            <w:r w:rsidR="0036089B">
              <w:rPr>
                <w:noProof/>
                <w:webHidden/>
              </w:rPr>
              <w:fldChar w:fldCharType="separate"/>
            </w:r>
            <w:r w:rsidR="00503219">
              <w:rPr>
                <w:noProof/>
                <w:webHidden/>
              </w:rPr>
              <w:t>9</w:t>
            </w:r>
            <w:r w:rsidR="0036089B">
              <w:rPr>
                <w:noProof/>
                <w:webHidden/>
              </w:rPr>
              <w:fldChar w:fldCharType="end"/>
            </w:r>
          </w:hyperlink>
        </w:p>
        <w:p w:rsidR="00503219" w:rsidRDefault="004D2CE7">
          <w:pPr>
            <w:pStyle w:val="Sommario2"/>
            <w:tabs>
              <w:tab w:val="right" w:leader="dot" w:pos="9628"/>
            </w:tabs>
            <w:rPr>
              <w:rFonts w:eastAsiaTheme="minorEastAsia"/>
              <w:noProof/>
              <w:lang w:eastAsia="it-IT"/>
            </w:rPr>
          </w:pPr>
          <w:hyperlink w:anchor="_Toc529684998" w:history="1">
            <w:r w:rsidR="00503219" w:rsidRPr="00004499">
              <w:rPr>
                <w:rStyle w:val="Collegamentoipertestuale"/>
                <w:rFonts w:ascii="Bookman Old Style" w:hAnsi="Bookman Old Style"/>
                <w:noProof/>
                <w:shd w:val="clear" w:color="auto" w:fill="FFFFFF"/>
              </w:rPr>
              <w:t>Lo sblocco degli avanzi e del debito</w:t>
            </w:r>
            <w:r w:rsidR="00503219">
              <w:rPr>
                <w:noProof/>
                <w:webHidden/>
              </w:rPr>
              <w:tab/>
            </w:r>
            <w:r w:rsidR="0036089B">
              <w:rPr>
                <w:noProof/>
                <w:webHidden/>
              </w:rPr>
              <w:fldChar w:fldCharType="begin"/>
            </w:r>
            <w:r w:rsidR="00503219">
              <w:rPr>
                <w:noProof/>
                <w:webHidden/>
              </w:rPr>
              <w:instrText xml:space="preserve"> PAGEREF _Toc529684998 \h </w:instrText>
            </w:r>
            <w:r w:rsidR="0036089B">
              <w:rPr>
                <w:noProof/>
                <w:webHidden/>
              </w:rPr>
            </w:r>
            <w:r w:rsidR="0036089B">
              <w:rPr>
                <w:noProof/>
                <w:webHidden/>
              </w:rPr>
              <w:fldChar w:fldCharType="separate"/>
            </w:r>
            <w:r w:rsidR="00503219">
              <w:rPr>
                <w:noProof/>
                <w:webHidden/>
              </w:rPr>
              <w:t>10</w:t>
            </w:r>
            <w:r w:rsidR="0036089B">
              <w:rPr>
                <w:noProof/>
                <w:webHidden/>
              </w:rPr>
              <w:fldChar w:fldCharType="end"/>
            </w:r>
          </w:hyperlink>
        </w:p>
        <w:p w:rsidR="00503219" w:rsidRDefault="004D2CE7">
          <w:pPr>
            <w:pStyle w:val="Sommario2"/>
            <w:tabs>
              <w:tab w:val="right" w:leader="dot" w:pos="9628"/>
            </w:tabs>
            <w:rPr>
              <w:rFonts w:eastAsiaTheme="minorEastAsia"/>
              <w:noProof/>
              <w:lang w:eastAsia="it-IT"/>
            </w:rPr>
          </w:pPr>
          <w:hyperlink w:anchor="_Toc529684999" w:history="1">
            <w:r w:rsidR="00503219" w:rsidRPr="00004499">
              <w:rPr>
                <w:rStyle w:val="Collegamentoipertestuale"/>
                <w:rFonts w:ascii="Bookman Old Style" w:hAnsi="Bookman Old Style"/>
                <w:noProof/>
                <w:shd w:val="clear" w:color="auto" w:fill="FFFFFF"/>
              </w:rPr>
              <w:t>Maggiore sostegno agli investimenti comunali</w:t>
            </w:r>
            <w:r w:rsidR="00503219">
              <w:rPr>
                <w:noProof/>
                <w:webHidden/>
              </w:rPr>
              <w:tab/>
            </w:r>
            <w:r w:rsidR="0036089B">
              <w:rPr>
                <w:noProof/>
                <w:webHidden/>
              </w:rPr>
              <w:fldChar w:fldCharType="begin"/>
            </w:r>
            <w:r w:rsidR="00503219">
              <w:rPr>
                <w:noProof/>
                <w:webHidden/>
              </w:rPr>
              <w:instrText xml:space="preserve"> PAGEREF _Toc529684999 \h </w:instrText>
            </w:r>
            <w:r w:rsidR="0036089B">
              <w:rPr>
                <w:noProof/>
                <w:webHidden/>
              </w:rPr>
            </w:r>
            <w:r w:rsidR="0036089B">
              <w:rPr>
                <w:noProof/>
                <w:webHidden/>
              </w:rPr>
              <w:fldChar w:fldCharType="separate"/>
            </w:r>
            <w:r w:rsidR="00503219">
              <w:rPr>
                <w:noProof/>
                <w:webHidden/>
              </w:rPr>
              <w:t>12</w:t>
            </w:r>
            <w:r w:rsidR="0036089B">
              <w:rPr>
                <w:noProof/>
                <w:webHidden/>
              </w:rPr>
              <w:fldChar w:fldCharType="end"/>
            </w:r>
          </w:hyperlink>
        </w:p>
        <w:p w:rsidR="00503219" w:rsidRDefault="004D2CE7">
          <w:pPr>
            <w:pStyle w:val="Sommario1"/>
            <w:tabs>
              <w:tab w:val="right" w:leader="dot" w:pos="9628"/>
            </w:tabs>
            <w:rPr>
              <w:rFonts w:eastAsiaTheme="minorEastAsia"/>
              <w:noProof/>
              <w:lang w:eastAsia="it-IT"/>
            </w:rPr>
          </w:pPr>
          <w:hyperlink w:anchor="_Toc529685000" w:history="1">
            <w:r w:rsidR="00503219" w:rsidRPr="00004499">
              <w:rPr>
                <w:rStyle w:val="Collegamentoipertestuale"/>
                <w:rFonts w:ascii="Bookman Old Style" w:eastAsia="Times New Roman" w:hAnsi="Bookman Old Style"/>
                <w:noProof/>
                <w:lang w:eastAsia="it-IT"/>
              </w:rPr>
              <w:t>Intervenire con urgenza sul debito comunale</w:t>
            </w:r>
            <w:r w:rsidR="00503219">
              <w:rPr>
                <w:noProof/>
                <w:webHidden/>
              </w:rPr>
              <w:tab/>
            </w:r>
            <w:r w:rsidR="0036089B">
              <w:rPr>
                <w:noProof/>
                <w:webHidden/>
              </w:rPr>
              <w:fldChar w:fldCharType="begin"/>
            </w:r>
            <w:r w:rsidR="00503219">
              <w:rPr>
                <w:noProof/>
                <w:webHidden/>
              </w:rPr>
              <w:instrText xml:space="preserve"> PAGEREF _Toc529685000 \h </w:instrText>
            </w:r>
            <w:r w:rsidR="0036089B">
              <w:rPr>
                <w:noProof/>
                <w:webHidden/>
              </w:rPr>
            </w:r>
            <w:r w:rsidR="0036089B">
              <w:rPr>
                <w:noProof/>
                <w:webHidden/>
              </w:rPr>
              <w:fldChar w:fldCharType="separate"/>
            </w:r>
            <w:r w:rsidR="00503219">
              <w:rPr>
                <w:noProof/>
                <w:webHidden/>
              </w:rPr>
              <w:t>13</w:t>
            </w:r>
            <w:r w:rsidR="0036089B">
              <w:rPr>
                <w:noProof/>
                <w:webHidden/>
              </w:rPr>
              <w:fldChar w:fldCharType="end"/>
            </w:r>
          </w:hyperlink>
        </w:p>
        <w:p w:rsidR="00503219" w:rsidRDefault="004D2CE7">
          <w:pPr>
            <w:pStyle w:val="Sommario1"/>
            <w:tabs>
              <w:tab w:val="right" w:leader="dot" w:pos="9628"/>
            </w:tabs>
            <w:rPr>
              <w:rFonts w:eastAsiaTheme="minorEastAsia"/>
              <w:noProof/>
              <w:lang w:eastAsia="it-IT"/>
            </w:rPr>
          </w:pPr>
          <w:hyperlink w:anchor="_Toc529685001" w:history="1">
            <w:r w:rsidR="00503219" w:rsidRPr="00004499">
              <w:rPr>
                <w:rStyle w:val="Collegamentoipertestuale"/>
                <w:rFonts w:ascii="Bookman Old Style" w:eastAsia="Times New Roman" w:hAnsi="Bookman Old Style"/>
                <w:noProof/>
                <w:lang w:eastAsia="it-IT"/>
              </w:rPr>
              <w:t>La riscossione locale: una riforma ormai ineludibile</w:t>
            </w:r>
            <w:r w:rsidR="00503219">
              <w:rPr>
                <w:noProof/>
                <w:webHidden/>
              </w:rPr>
              <w:tab/>
            </w:r>
            <w:r w:rsidR="0036089B">
              <w:rPr>
                <w:noProof/>
                <w:webHidden/>
              </w:rPr>
              <w:fldChar w:fldCharType="begin"/>
            </w:r>
            <w:r w:rsidR="00503219">
              <w:rPr>
                <w:noProof/>
                <w:webHidden/>
              </w:rPr>
              <w:instrText xml:space="preserve"> PAGEREF _Toc529685001 \h </w:instrText>
            </w:r>
            <w:r w:rsidR="0036089B">
              <w:rPr>
                <w:noProof/>
                <w:webHidden/>
              </w:rPr>
            </w:r>
            <w:r w:rsidR="0036089B">
              <w:rPr>
                <w:noProof/>
                <w:webHidden/>
              </w:rPr>
              <w:fldChar w:fldCharType="separate"/>
            </w:r>
            <w:r w:rsidR="00503219">
              <w:rPr>
                <w:noProof/>
                <w:webHidden/>
              </w:rPr>
              <w:t>15</w:t>
            </w:r>
            <w:r w:rsidR="0036089B">
              <w:rPr>
                <w:noProof/>
                <w:webHidden/>
              </w:rPr>
              <w:fldChar w:fldCharType="end"/>
            </w:r>
          </w:hyperlink>
        </w:p>
        <w:p w:rsidR="00503219" w:rsidRDefault="004D2CE7">
          <w:pPr>
            <w:pStyle w:val="Sommario1"/>
            <w:tabs>
              <w:tab w:val="right" w:leader="dot" w:pos="9628"/>
            </w:tabs>
            <w:rPr>
              <w:rFonts w:eastAsiaTheme="minorEastAsia"/>
              <w:noProof/>
              <w:lang w:eastAsia="it-IT"/>
            </w:rPr>
          </w:pPr>
          <w:hyperlink w:anchor="_Toc529685002" w:history="1">
            <w:r w:rsidR="00503219" w:rsidRPr="00004499">
              <w:rPr>
                <w:rStyle w:val="Collegamentoipertestuale"/>
                <w:rFonts w:ascii="Bookman Old Style" w:eastAsia="Times New Roman" w:hAnsi="Bookman Old Style"/>
                <w:noProof/>
                <w:lang w:eastAsia="it-IT"/>
              </w:rPr>
              <w:t>Le Città metropolitane</w:t>
            </w:r>
            <w:r w:rsidR="00503219">
              <w:rPr>
                <w:noProof/>
                <w:webHidden/>
              </w:rPr>
              <w:tab/>
            </w:r>
            <w:r w:rsidR="0036089B">
              <w:rPr>
                <w:noProof/>
                <w:webHidden/>
              </w:rPr>
              <w:fldChar w:fldCharType="begin"/>
            </w:r>
            <w:r w:rsidR="00503219">
              <w:rPr>
                <w:noProof/>
                <w:webHidden/>
              </w:rPr>
              <w:instrText xml:space="preserve"> PAGEREF _Toc529685002 \h </w:instrText>
            </w:r>
            <w:r w:rsidR="0036089B">
              <w:rPr>
                <w:noProof/>
                <w:webHidden/>
              </w:rPr>
            </w:r>
            <w:r w:rsidR="0036089B">
              <w:rPr>
                <w:noProof/>
                <w:webHidden/>
              </w:rPr>
              <w:fldChar w:fldCharType="separate"/>
            </w:r>
            <w:r w:rsidR="00503219">
              <w:rPr>
                <w:noProof/>
                <w:webHidden/>
              </w:rPr>
              <w:t>16</w:t>
            </w:r>
            <w:r w:rsidR="0036089B">
              <w:rPr>
                <w:noProof/>
                <w:webHidden/>
              </w:rPr>
              <w:fldChar w:fldCharType="end"/>
            </w:r>
          </w:hyperlink>
        </w:p>
        <w:p w:rsidR="00503219" w:rsidRDefault="00503219">
          <w:pPr>
            <w:pStyle w:val="Sommario1"/>
            <w:tabs>
              <w:tab w:val="right" w:leader="dot" w:pos="9628"/>
            </w:tabs>
            <w:rPr>
              <w:rFonts w:eastAsiaTheme="minorEastAsia"/>
              <w:noProof/>
              <w:lang w:eastAsia="it-IT"/>
            </w:rPr>
          </w:pPr>
        </w:p>
        <w:p w:rsidR="00D32ECF" w:rsidRPr="00F848B3" w:rsidRDefault="0036089B" w:rsidP="00F848B3">
          <w:pPr>
            <w:spacing w:after="120"/>
            <w:rPr>
              <w:rFonts w:ascii="Bookman Old Style" w:hAnsi="Bookman Old Style"/>
            </w:rPr>
          </w:pPr>
          <w:r w:rsidRPr="00F848B3">
            <w:rPr>
              <w:rFonts w:ascii="Bookman Old Style" w:hAnsi="Bookman Old Style"/>
              <w:b/>
              <w:bCs/>
            </w:rPr>
            <w:fldChar w:fldCharType="end"/>
          </w:r>
        </w:p>
      </w:sdtContent>
    </w:sdt>
    <w:p w:rsidR="005A3A01" w:rsidRPr="00F848B3" w:rsidRDefault="005A3A01" w:rsidP="00F848B3">
      <w:pPr>
        <w:spacing w:after="120"/>
        <w:rPr>
          <w:rFonts w:ascii="Bookman Old Style" w:eastAsia="Times New Roman" w:hAnsi="Bookman Old Style" w:cstheme="majorBidi"/>
          <w:b/>
          <w:bCs/>
          <w:color w:val="365F91" w:themeColor="accent1" w:themeShade="BF"/>
          <w:sz w:val="28"/>
          <w:szCs w:val="28"/>
          <w:lang w:eastAsia="it-IT"/>
        </w:rPr>
      </w:pPr>
      <w:r w:rsidRPr="00F848B3">
        <w:rPr>
          <w:rFonts w:ascii="Bookman Old Style" w:eastAsia="Times New Roman" w:hAnsi="Bookman Old Style"/>
          <w:lang w:eastAsia="it-IT"/>
        </w:rPr>
        <w:br w:type="page"/>
      </w:r>
    </w:p>
    <w:p w:rsidR="00936F64" w:rsidRPr="00F848B3" w:rsidRDefault="00000B72" w:rsidP="00F848B3">
      <w:pPr>
        <w:pStyle w:val="Titolo1"/>
        <w:spacing w:before="0" w:after="120"/>
        <w:rPr>
          <w:rFonts w:ascii="Bookman Old Style" w:eastAsia="Times New Roman" w:hAnsi="Bookman Old Style"/>
          <w:lang w:eastAsia="it-IT"/>
        </w:rPr>
      </w:pPr>
      <w:bookmarkStart w:id="1" w:name="_Toc529684992"/>
      <w:r w:rsidRPr="00F848B3">
        <w:rPr>
          <w:rFonts w:ascii="Bookman Old Style" w:eastAsia="Times New Roman" w:hAnsi="Bookman Old Style"/>
          <w:lang w:eastAsia="it-IT"/>
        </w:rPr>
        <w:t>Premessa</w:t>
      </w:r>
      <w:r w:rsidR="00F4624B" w:rsidRPr="00F848B3">
        <w:rPr>
          <w:rFonts w:ascii="Bookman Old Style" w:eastAsia="Times New Roman" w:hAnsi="Bookman Old Style"/>
          <w:lang w:eastAsia="it-IT"/>
        </w:rPr>
        <w:t xml:space="preserve"> e sintesi</w:t>
      </w:r>
      <w:bookmarkEnd w:id="1"/>
    </w:p>
    <w:p w:rsidR="00E12858" w:rsidRDefault="00324F57" w:rsidP="00F848B3">
      <w:pPr>
        <w:spacing w:after="120"/>
        <w:jc w:val="both"/>
        <w:rPr>
          <w:rFonts w:ascii="Bookman Old Style" w:hAnsi="Bookman Old Style"/>
        </w:rPr>
      </w:pPr>
      <w:r w:rsidRPr="00F848B3">
        <w:rPr>
          <w:rFonts w:ascii="Bookman Old Style" w:hAnsi="Bookman Old Style"/>
        </w:rPr>
        <w:t xml:space="preserve">Le politiche attuate nei confronti del comparto </w:t>
      </w:r>
      <w:r w:rsidR="00C8612E">
        <w:rPr>
          <w:rFonts w:ascii="Bookman Old Style" w:hAnsi="Bookman Old Style"/>
        </w:rPr>
        <w:t>comunale</w:t>
      </w:r>
      <w:r w:rsidR="00ED6A98">
        <w:rPr>
          <w:rFonts w:ascii="Bookman Old Style" w:hAnsi="Bookman Old Style"/>
        </w:rPr>
        <w:t>,</w:t>
      </w:r>
      <w:r w:rsidR="00C8612E">
        <w:rPr>
          <w:rFonts w:ascii="Bookman Old Style" w:hAnsi="Bookman Old Style"/>
        </w:rPr>
        <w:t xml:space="preserve"> </w:t>
      </w:r>
      <w:r w:rsidRPr="00F848B3">
        <w:rPr>
          <w:rFonts w:ascii="Bookman Old Style" w:hAnsi="Bookman Old Style"/>
        </w:rPr>
        <w:t xml:space="preserve">per fare fronte alla crisi più forte </w:t>
      </w:r>
      <w:r w:rsidR="00C8612E">
        <w:rPr>
          <w:rFonts w:ascii="Bookman Old Style" w:hAnsi="Bookman Old Style"/>
        </w:rPr>
        <w:t>degli ultimi decenni</w:t>
      </w:r>
      <w:r w:rsidRPr="00F848B3">
        <w:rPr>
          <w:rFonts w:ascii="Bookman Old Style" w:hAnsi="Bookman Old Style"/>
        </w:rPr>
        <w:t>, hanno</w:t>
      </w:r>
      <w:r w:rsidR="00ED6A98">
        <w:rPr>
          <w:rFonts w:ascii="Bookman Old Style" w:hAnsi="Bookman Old Style"/>
        </w:rPr>
        <w:t xml:space="preserve"> ridotto l’azione dei</w:t>
      </w:r>
      <w:r w:rsidR="007070A6" w:rsidRPr="00F848B3">
        <w:rPr>
          <w:rFonts w:ascii="Bookman Old Style" w:hAnsi="Bookman Old Style"/>
        </w:rPr>
        <w:t xml:space="preserve"> </w:t>
      </w:r>
      <w:r w:rsidR="00ED6A98">
        <w:rPr>
          <w:rFonts w:ascii="Bookman Old Style" w:hAnsi="Bookman Old Style"/>
        </w:rPr>
        <w:t xml:space="preserve">Comuni in un perimetro </w:t>
      </w:r>
      <w:r w:rsidRPr="00F848B3">
        <w:rPr>
          <w:rFonts w:ascii="Bookman Old Style" w:hAnsi="Bookman Old Style"/>
        </w:rPr>
        <w:t>sempre più ristretto proprio</w:t>
      </w:r>
      <w:r w:rsidR="007070A6" w:rsidRPr="00F848B3">
        <w:rPr>
          <w:rFonts w:ascii="Bookman Old Style" w:hAnsi="Bookman Old Style"/>
        </w:rPr>
        <w:t xml:space="preserve"> mentre cresceva la domanda delle comunità lo</w:t>
      </w:r>
      <w:r w:rsidR="00ED6A98">
        <w:rPr>
          <w:rFonts w:ascii="Bookman Old Style" w:hAnsi="Bookman Old Style"/>
        </w:rPr>
        <w:t>cali profondamente segnate dal bisogno</w:t>
      </w:r>
      <w:r w:rsidR="007070A6" w:rsidRPr="00F848B3">
        <w:rPr>
          <w:rFonts w:ascii="Bookman Old Style" w:hAnsi="Bookman Old Style"/>
        </w:rPr>
        <w:t>.</w:t>
      </w:r>
    </w:p>
    <w:p w:rsidR="00835155" w:rsidRDefault="00902C6F" w:rsidP="00F848B3">
      <w:pPr>
        <w:spacing w:after="120"/>
        <w:jc w:val="both"/>
        <w:rPr>
          <w:rFonts w:ascii="Bookman Old Style" w:hAnsi="Bookman Old Style" w:cs="Arial"/>
          <w:color w:val="222222"/>
          <w:shd w:val="clear" w:color="auto" w:fill="FFFFFF"/>
        </w:rPr>
      </w:pPr>
      <w:r w:rsidRPr="00F848B3">
        <w:rPr>
          <w:rFonts w:ascii="Bookman Old Style" w:hAnsi="Bookman Old Style"/>
        </w:rPr>
        <w:t>Gli effetti dell’azione combinata d</w:t>
      </w:r>
      <w:r w:rsidR="00E12858">
        <w:rPr>
          <w:rFonts w:ascii="Bookman Old Style" w:hAnsi="Bookman Old Style"/>
        </w:rPr>
        <w:t>e</w:t>
      </w:r>
      <w:r w:rsidRPr="00F848B3">
        <w:rPr>
          <w:rFonts w:ascii="Bookman Old Style" w:hAnsi="Bookman Old Style"/>
        </w:rPr>
        <w:t>i s</w:t>
      </w:r>
      <w:r w:rsidR="007070A6" w:rsidRPr="00F848B3">
        <w:rPr>
          <w:rFonts w:ascii="Bookman Old Style" w:hAnsi="Bookman Old Style"/>
        </w:rPr>
        <w:t xml:space="preserve">acrifici </w:t>
      </w:r>
      <w:r w:rsidR="00C8612E">
        <w:rPr>
          <w:rFonts w:ascii="Bookman Old Style" w:hAnsi="Bookman Old Style"/>
        </w:rPr>
        <w:t>eccessivi</w:t>
      </w:r>
      <w:r w:rsidRPr="00F848B3">
        <w:rPr>
          <w:rFonts w:ascii="Bookman Old Style" w:hAnsi="Bookman Old Style"/>
        </w:rPr>
        <w:t xml:space="preserve"> </w:t>
      </w:r>
      <w:r w:rsidR="007070A6" w:rsidRPr="00F848B3">
        <w:rPr>
          <w:rFonts w:ascii="Bookman Old Style" w:hAnsi="Bookman Old Style"/>
        </w:rPr>
        <w:t>richiesti a</w:t>
      </w:r>
      <w:r w:rsidR="00324F57" w:rsidRPr="00F848B3">
        <w:rPr>
          <w:rFonts w:ascii="Bookman Old Style" w:hAnsi="Bookman Old Style"/>
        </w:rPr>
        <w:t>i Comuni</w:t>
      </w:r>
      <w:r w:rsidR="007070A6" w:rsidRPr="00F848B3">
        <w:rPr>
          <w:rFonts w:ascii="Bookman Old Style" w:hAnsi="Bookman Old Style"/>
        </w:rPr>
        <w:t xml:space="preserve"> per il risanamento dei conti pubblici</w:t>
      </w:r>
      <w:r w:rsidR="00E12858">
        <w:rPr>
          <w:rFonts w:ascii="Bookman Old Style" w:hAnsi="Bookman Old Style"/>
        </w:rPr>
        <w:t xml:space="preserve"> e dell’avvio </w:t>
      </w:r>
      <w:r w:rsidR="00ED6A98">
        <w:rPr>
          <w:rFonts w:ascii="Bookman Old Style" w:hAnsi="Bookman Old Style"/>
        </w:rPr>
        <w:t>contestuale di</w:t>
      </w:r>
      <w:r w:rsidR="007070A6" w:rsidRPr="00F848B3">
        <w:rPr>
          <w:rFonts w:ascii="Bookman Old Style" w:hAnsi="Bookman Old Style"/>
        </w:rPr>
        <w:t xml:space="preserve"> riforme strutturali</w:t>
      </w:r>
      <w:r w:rsidRPr="00F848B3">
        <w:rPr>
          <w:rFonts w:ascii="Bookman Old Style" w:hAnsi="Bookman Old Style"/>
        </w:rPr>
        <w:t xml:space="preserve"> di portata storica</w:t>
      </w:r>
      <w:r w:rsidR="007070A6" w:rsidRPr="00F848B3">
        <w:rPr>
          <w:rFonts w:ascii="Bookman Old Style" w:hAnsi="Bookman Old Style"/>
        </w:rPr>
        <w:t xml:space="preserve"> (nuova contabilità armonizzata, perequazione delle risorse, </w:t>
      </w:r>
      <w:r w:rsidR="00C8612E">
        <w:rPr>
          <w:rFonts w:ascii="Bookman Old Style" w:hAnsi="Bookman Old Style"/>
        </w:rPr>
        <w:t>riforma</w:t>
      </w:r>
      <w:r w:rsidR="007070A6" w:rsidRPr="00F848B3">
        <w:rPr>
          <w:rFonts w:ascii="Bookman Old Style" w:hAnsi="Bookman Old Style"/>
        </w:rPr>
        <w:t xml:space="preserve"> codice degli appalti, riorganizzazione degli enti di area vasta)</w:t>
      </w:r>
      <w:r w:rsidRPr="00F848B3">
        <w:rPr>
          <w:rFonts w:ascii="Bookman Old Style" w:hAnsi="Bookman Old Style"/>
        </w:rPr>
        <w:t xml:space="preserve"> hanno contribuito a disegnare </w:t>
      </w:r>
      <w:r w:rsidR="007070A6" w:rsidRPr="00F848B3">
        <w:rPr>
          <w:rFonts w:ascii="Bookman Old Style" w:hAnsi="Bookman Old Style"/>
        </w:rPr>
        <w:t>un quadro incompatibile con l’autonomia che la Costituzione riconosce agli enti locali</w:t>
      </w:r>
      <w:r w:rsidR="00324F57" w:rsidRPr="00F848B3">
        <w:rPr>
          <w:rFonts w:ascii="Bookman Old Style" w:hAnsi="Bookman Old Style"/>
        </w:rPr>
        <w:t xml:space="preserve">, inadeguato a fornire i servizi essenziali e </w:t>
      </w:r>
      <w:r w:rsidR="00C8612E">
        <w:rPr>
          <w:rFonts w:ascii="Bookman Old Style" w:hAnsi="Bookman Old Style"/>
        </w:rPr>
        <w:t>a garantire i necessari</w:t>
      </w:r>
      <w:r w:rsidR="00324F57" w:rsidRPr="00F848B3">
        <w:rPr>
          <w:rFonts w:ascii="Bookman Old Style" w:hAnsi="Bookman Old Style"/>
        </w:rPr>
        <w:t xml:space="preserve"> investimenti</w:t>
      </w:r>
      <w:r w:rsidR="00C8612E">
        <w:rPr>
          <w:rFonts w:ascii="Bookman Old Style" w:hAnsi="Bookman Old Style"/>
        </w:rPr>
        <w:t xml:space="preserve"> sul territorio</w:t>
      </w:r>
      <w:r w:rsidR="00324F57" w:rsidRPr="00C0124E">
        <w:rPr>
          <w:rFonts w:ascii="Bookman Old Style" w:hAnsi="Bookman Old Style"/>
        </w:rPr>
        <w:t>.</w:t>
      </w:r>
      <w:r w:rsidR="00DA110F" w:rsidRPr="00C0124E">
        <w:rPr>
          <w:rFonts w:ascii="Bookman Old Style" w:hAnsi="Bookman Old Style"/>
        </w:rPr>
        <w:t xml:space="preserve"> </w:t>
      </w:r>
      <w:r w:rsidR="00835155" w:rsidRPr="00C0124E">
        <w:rPr>
          <w:rFonts w:ascii="Bookman Old Style" w:hAnsi="Bookman Old Style" w:cs="Arial"/>
          <w:color w:val="222222"/>
          <w:shd w:val="clear" w:color="auto" w:fill="FFFFFF"/>
        </w:rPr>
        <w:t xml:space="preserve">Lo sforzo </w:t>
      </w:r>
      <w:r w:rsidR="000514C3" w:rsidRPr="00C0124E">
        <w:rPr>
          <w:rFonts w:ascii="Bookman Old Style" w:hAnsi="Bookman Old Style" w:cs="Arial"/>
          <w:color w:val="222222"/>
          <w:shd w:val="clear" w:color="auto" w:fill="FFFFFF"/>
        </w:rPr>
        <w:t xml:space="preserve">imposto ai </w:t>
      </w:r>
      <w:r w:rsidR="00835155" w:rsidRPr="00C0124E">
        <w:rPr>
          <w:rFonts w:ascii="Bookman Old Style" w:hAnsi="Bookman Old Style" w:cs="Arial"/>
          <w:color w:val="222222"/>
          <w:shd w:val="clear" w:color="auto" w:fill="FFFFFF"/>
        </w:rPr>
        <w:t xml:space="preserve">Comuni e alle Città </w:t>
      </w:r>
      <w:r w:rsidR="000514C3" w:rsidRPr="00C0124E">
        <w:rPr>
          <w:rFonts w:ascii="Bookman Old Style" w:hAnsi="Bookman Old Style" w:cs="Arial"/>
          <w:color w:val="222222"/>
          <w:shd w:val="clear" w:color="auto" w:fill="FFFFFF"/>
        </w:rPr>
        <w:t xml:space="preserve">metropolitane </w:t>
      </w:r>
      <w:r w:rsidR="00835155" w:rsidRPr="00C0124E">
        <w:rPr>
          <w:rFonts w:ascii="Bookman Old Style" w:hAnsi="Bookman Old Style" w:cs="Arial"/>
          <w:color w:val="222222"/>
          <w:shd w:val="clear" w:color="auto" w:fill="FFFFFF"/>
        </w:rPr>
        <w:t xml:space="preserve">ha determinato effetti negativi </w:t>
      </w:r>
      <w:r w:rsidR="000514C3" w:rsidRPr="00C0124E">
        <w:rPr>
          <w:rFonts w:ascii="Bookman Old Style" w:hAnsi="Bookman Old Style" w:cs="Arial"/>
          <w:color w:val="222222"/>
          <w:shd w:val="clear" w:color="auto" w:fill="FFFFFF"/>
        </w:rPr>
        <w:t xml:space="preserve">sulla spesa ed anche nella contrazione </w:t>
      </w:r>
      <w:r w:rsidR="00706604" w:rsidRPr="00C0124E">
        <w:rPr>
          <w:rFonts w:ascii="Bookman Old Style" w:hAnsi="Bookman Old Style" w:cs="Arial"/>
          <w:color w:val="222222"/>
          <w:shd w:val="clear" w:color="auto" w:fill="FFFFFF"/>
        </w:rPr>
        <w:t>della struttura organizzativa e gestionale</w:t>
      </w:r>
      <w:r w:rsidR="00E63D0A" w:rsidRPr="00C0124E">
        <w:rPr>
          <w:rFonts w:ascii="Bookman Old Style" w:hAnsi="Bookman Old Style" w:cs="Arial"/>
          <w:color w:val="222222"/>
          <w:shd w:val="clear" w:color="auto" w:fill="FFFFFF"/>
        </w:rPr>
        <w:t>:</w:t>
      </w:r>
      <w:r w:rsidR="00E63D0A" w:rsidRPr="00C0124E" w:rsidDel="00E63D0A">
        <w:rPr>
          <w:rFonts w:ascii="Bookman Old Style" w:hAnsi="Bookman Old Style" w:cs="Arial"/>
          <w:color w:val="222222"/>
          <w:shd w:val="clear" w:color="auto" w:fill="FFFFFF"/>
        </w:rPr>
        <w:t xml:space="preserve"> </w:t>
      </w:r>
      <w:r w:rsidR="00E63D0A" w:rsidRPr="00C0124E">
        <w:rPr>
          <w:rFonts w:ascii="Bookman Old Style" w:hAnsi="Bookman Old Style" w:cs="Arial"/>
          <w:color w:val="222222"/>
          <w:shd w:val="clear" w:color="auto" w:fill="FFFFFF"/>
        </w:rPr>
        <w:t>oltre il 15% in meno di personale dei Comuni – molto di più nelle CM – e un indice di invecchiamento incoerente con le funzioni svolte hanno limitato la capacità di dare, di fare e di investire.</w:t>
      </w:r>
    </w:p>
    <w:p w:rsidR="00CD18F0" w:rsidRPr="00F848B3" w:rsidRDefault="00902C6F" w:rsidP="00F848B3">
      <w:pPr>
        <w:spacing w:after="120"/>
        <w:jc w:val="both"/>
        <w:rPr>
          <w:rFonts w:ascii="Bookman Old Style" w:hAnsi="Bookman Old Style" w:cs="Arial"/>
          <w:color w:val="222222"/>
          <w:shd w:val="clear" w:color="auto" w:fill="FFFFFF"/>
        </w:rPr>
      </w:pPr>
      <w:r w:rsidRPr="00F848B3">
        <w:rPr>
          <w:rFonts w:ascii="Bookman Old Style" w:hAnsi="Bookman Old Style" w:cs="Arial"/>
          <w:color w:val="222222"/>
          <w:shd w:val="clear" w:color="auto" w:fill="FFFFFF"/>
        </w:rPr>
        <w:t xml:space="preserve">In questo contesto, </w:t>
      </w:r>
      <w:r w:rsidRPr="00C15A6C">
        <w:rPr>
          <w:rFonts w:ascii="Bookman Old Style" w:hAnsi="Bookman Old Style" w:cs="Arial"/>
          <w:b/>
          <w:color w:val="222222"/>
          <w:shd w:val="clear" w:color="auto" w:fill="FFFFFF"/>
        </w:rPr>
        <w:t>l</w:t>
      </w:r>
      <w:r w:rsidR="00CD18F0" w:rsidRPr="00C15A6C">
        <w:rPr>
          <w:rFonts w:ascii="Bookman Old Style" w:hAnsi="Bookman Old Style" w:cs="Arial"/>
          <w:b/>
          <w:color w:val="222222"/>
          <w:shd w:val="clear" w:color="auto" w:fill="FFFFFF"/>
        </w:rPr>
        <w:t>a manovra</w:t>
      </w:r>
      <w:r w:rsidR="00F74F08">
        <w:rPr>
          <w:rFonts w:ascii="Bookman Old Style" w:hAnsi="Bookman Old Style" w:cs="Arial"/>
          <w:b/>
          <w:color w:val="222222"/>
          <w:shd w:val="clear" w:color="auto" w:fill="FFFFFF"/>
        </w:rPr>
        <w:t xml:space="preserve"> </w:t>
      </w:r>
      <w:r w:rsidR="00CD18F0" w:rsidRPr="00C15A6C">
        <w:rPr>
          <w:rFonts w:ascii="Bookman Old Style" w:hAnsi="Bookman Old Style" w:cs="Arial"/>
          <w:b/>
          <w:color w:val="222222"/>
          <w:shd w:val="clear" w:color="auto" w:fill="FFFFFF"/>
        </w:rPr>
        <w:t>finanziaria</w:t>
      </w:r>
      <w:r w:rsidRPr="00C15A6C">
        <w:rPr>
          <w:rFonts w:ascii="Bookman Old Style" w:hAnsi="Bookman Old Style" w:cs="Arial"/>
          <w:b/>
          <w:color w:val="222222"/>
          <w:shd w:val="clear" w:color="auto" w:fill="FFFFFF"/>
        </w:rPr>
        <w:t xml:space="preserve"> per il 2019 </w:t>
      </w:r>
      <w:r w:rsidR="00432965" w:rsidRPr="00C15A6C">
        <w:rPr>
          <w:rFonts w:ascii="Bookman Old Style" w:hAnsi="Bookman Old Style" w:cs="Arial"/>
          <w:b/>
          <w:color w:val="222222"/>
          <w:shd w:val="clear" w:color="auto" w:fill="FFFFFF"/>
        </w:rPr>
        <w:t>se</w:t>
      </w:r>
      <w:r w:rsidR="00DA110F">
        <w:rPr>
          <w:rFonts w:ascii="Bookman Old Style" w:hAnsi="Bookman Old Style" w:cs="Arial"/>
          <w:b/>
          <w:color w:val="222222"/>
          <w:shd w:val="clear" w:color="auto" w:fill="FFFFFF"/>
        </w:rPr>
        <w:t>,</w:t>
      </w:r>
      <w:r w:rsidR="00432965" w:rsidRPr="00C15A6C">
        <w:rPr>
          <w:rFonts w:ascii="Bookman Old Style" w:hAnsi="Bookman Old Style" w:cs="Arial"/>
          <w:b/>
          <w:color w:val="222222"/>
          <w:shd w:val="clear" w:color="auto" w:fill="FFFFFF"/>
        </w:rPr>
        <w:t xml:space="preserve"> per un verso</w:t>
      </w:r>
      <w:r w:rsidR="00DA110F">
        <w:rPr>
          <w:rFonts w:ascii="Bookman Old Style" w:hAnsi="Bookman Old Style" w:cs="Arial"/>
          <w:b/>
          <w:color w:val="222222"/>
          <w:shd w:val="clear" w:color="auto" w:fill="FFFFFF"/>
        </w:rPr>
        <w:t>,</w:t>
      </w:r>
      <w:r w:rsidR="00432965" w:rsidRPr="00C15A6C">
        <w:rPr>
          <w:rFonts w:ascii="Bookman Old Style" w:hAnsi="Bookman Old Style" w:cs="Arial"/>
          <w:b/>
          <w:color w:val="222222"/>
          <w:shd w:val="clear" w:color="auto" w:fill="FFFFFF"/>
        </w:rPr>
        <w:t xml:space="preserve"> </w:t>
      </w:r>
      <w:r w:rsidRPr="00C15A6C">
        <w:rPr>
          <w:rFonts w:ascii="Bookman Old Style" w:hAnsi="Bookman Old Style" w:cs="Arial"/>
          <w:b/>
          <w:color w:val="222222"/>
          <w:shd w:val="clear" w:color="auto" w:fill="FFFFFF"/>
        </w:rPr>
        <w:t>reca</w:t>
      </w:r>
      <w:r w:rsidR="00CD18F0" w:rsidRPr="00C15A6C">
        <w:rPr>
          <w:rFonts w:ascii="Bookman Old Style" w:hAnsi="Bookman Old Style" w:cs="Arial"/>
          <w:b/>
          <w:color w:val="222222"/>
          <w:shd w:val="clear" w:color="auto" w:fill="FFFFFF"/>
        </w:rPr>
        <w:t xml:space="preserve"> important</w:t>
      </w:r>
      <w:r w:rsidR="0065616E" w:rsidRPr="00C15A6C">
        <w:rPr>
          <w:rFonts w:ascii="Bookman Old Style" w:hAnsi="Bookman Old Style" w:cs="Arial"/>
          <w:b/>
          <w:color w:val="222222"/>
          <w:shd w:val="clear" w:color="auto" w:fill="FFFFFF"/>
        </w:rPr>
        <w:t>i miglioramenti in materia di</w:t>
      </w:r>
      <w:r w:rsidR="00CD18F0" w:rsidRPr="00C15A6C">
        <w:rPr>
          <w:rFonts w:ascii="Bookman Old Style" w:hAnsi="Bookman Old Style" w:cs="Arial"/>
          <w:b/>
          <w:color w:val="222222"/>
          <w:shd w:val="clear" w:color="auto" w:fill="FFFFFF"/>
        </w:rPr>
        <w:t xml:space="preserve"> regole finanziarie</w:t>
      </w:r>
      <w:r w:rsidR="0065616E" w:rsidRPr="00C15A6C">
        <w:rPr>
          <w:rFonts w:ascii="Bookman Old Style" w:hAnsi="Bookman Old Style" w:cs="Arial"/>
          <w:b/>
          <w:color w:val="222222"/>
          <w:shd w:val="clear" w:color="auto" w:fill="FFFFFF"/>
        </w:rPr>
        <w:t xml:space="preserve"> e</w:t>
      </w:r>
      <w:r w:rsidRPr="00C15A6C">
        <w:rPr>
          <w:rFonts w:ascii="Bookman Old Style" w:hAnsi="Bookman Old Style" w:cs="Arial"/>
          <w:b/>
          <w:color w:val="222222"/>
          <w:shd w:val="clear" w:color="auto" w:fill="FFFFFF"/>
        </w:rPr>
        <w:t xml:space="preserve"> </w:t>
      </w:r>
      <w:r w:rsidR="00DA110F">
        <w:rPr>
          <w:rFonts w:ascii="Bookman Old Style" w:hAnsi="Bookman Old Style" w:cs="Arial"/>
          <w:b/>
          <w:color w:val="222222"/>
          <w:shd w:val="clear" w:color="auto" w:fill="FFFFFF"/>
        </w:rPr>
        <w:t xml:space="preserve">sostegno agli </w:t>
      </w:r>
      <w:r w:rsidRPr="00C15A6C">
        <w:rPr>
          <w:rFonts w:ascii="Bookman Old Style" w:hAnsi="Bookman Old Style" w:cs="Arial"/>
          <w:b/>
          <w:color w:val="222222"/>
          <w:shd w:val="clear" w:color="auto" w:fill="FFFFFF"/>
        </w:rPr>
        <w:t xml:space="preserve">investimenti, espone </w:t>
      </w:r>
      <w:r w:rsidR="00432965" w:rsidRPr="00C15A6C">
        <w:rPr>
          <w:rFonts w:ascii="Bookman Old Style" w:hAnsi="Bookman Old Style" w:cs="Arial"/>
          <w:b/>
          <w:color w:val="222222"/>
          <w:shd w:val="clear" w:color="auto" w:fill="FFFFFF"/>
        </w:rPr>
        <w:t xml:space="preserve">tuttavia </w:t>
      </w:r>
      <w:r w:rsidRPr="00C15A6C">
        <w:rPr>
          <w:rFonts w:ascii="Bookman Old Style" w:hAnsi="Bookman Old Style" w:cs="Arial"/>
          <w:b/>
          <w:color w:val="222222"/>
          <w:shd w:val="clear" w:color="auto" w:fill="FFFFFF"/>
        </w:rPr>
        <w:t xml:space="preserve">a forti rischi </w:t>
      </w:r>
      <w:r w:rsidR="00C8612E" w:rsidRPr="00C15A6C">
        <w:rPr>
          <w:rFonts w:ascii="Bookman Old Style" w:hAnsi="Bookman Old Style" w:cs="Arial"/>
          <w:b/>
          <w:color w:val="222222"/>
          <w:shd w:val="clear" w:color="auto" w:fill="FFFFFF"/>
        </w:rPr>
        <w:t>per la tenuta degli equilibri di parte</w:t>
      </w:r>
      <w:r w:rsidR="00324F57" w:rsidRPr="00C15A6C">
        <w:rPr>
          <w:rFonts w:ascii="Bookman Old Style" w:hAnsi="Bookman Old Style" w:cs="Arial"/>
          <w:b/>
          <w:color w:val="222222"/>
          <w:shd w:val="clear" w:color="auto" w:fill="FFFFFF"/>
        </w:rPr>
        <w:t xml:space="preserve"> corrent</w:t>
      </w:r>
      <w:r w:rsidR="00C8612E" w:rsidRPr="00C15A6C">
        <w:rPr>
          <w:rFonts w:ascii="Bookman Old Style" w:hAnsi="Bookman Old Style" w:cs="Arial"/>
          <w:b/>
          <w:color w:val="222222"/>
          <w:shd w:val="clear" w:color="auto" w:fill="FFFFFF"/>
        </w:rPr>
        <w:t>e</w:t>
      </w:r>
      <w:r w:rsidR="00324F57" w:rsidRPr="00C15A6C">
        <w:rPr>
          <w:rFonts w:ascii="Bookman Old Style" w:hAnsi="Bookman Old Style" w:cs="Arial"/>
          <w:b/>
          <w:color w:val="222222"/>
          <w:shd w:val="clear" w:color="auto" w:fill="FFFFFF"/>
        </w:rPr>
        <w:t xml:space="preserve"> </w:t>
      </w:r>
      <w:r w:rsidR="00C8612E" w:rsidRPr="00C15A6C">
        <w:rPr>
          <w:rFonts w:ascii="Bookman Old Style" w:hAnsi="Bookman Old Style" w:cs="Arial"/>
          <w:b/>
          <w:color w:val="222222"/>
          <w:shd w:val="clear" w:color="auto" w:fill="FFFFFF"/>
        </w:rPr>
        <w:t>ed</w:t>
      </w:r>
      <w:r w:rsidR="00CD18F0" w:rsidRPr="00C15A6C">
        <w:rPr>
          <w:rFonts w:ascii="Bookman Old Style" w:hAnsi="Bookman Old Style" w:cs="Arial"/>
          <w:b/>
          <w:color w:val="222222"/>
          <w:shd w:val="clear" w:color="auto" w:fill="FFFFFF"/>
        </w:rPr>
        <w:t xml:space="preserve"> è</w:t>
      </w:r>
      <w:r w:rsidR="00324F57" w:rsidRPr="00C15A6C">
        <w:rPr>
          <w:rFonts w:ascii="Bookman Old Style" w:hAnsi="Bookman Old Style" w:cs="Arial"/>
          <w:b/>
          <w:color w:val="222222"/>
          <w:shd w:val="clear" w:color="auto" w:fill="FFFFFF"/>
        </w:rPr>
        <w:t xml:space="preserve"> carente nel rispondere alle sempre crescenti esigenze di una</w:t>
      </w:r>
      <w:r w:rsidR="00CD18F0" w:rsidRPr="00C15A6C">
        <w:rPr>
          <w:rFonts w:ascii="Bookman Old Style" w:hAnsi="Bookman Old Style" w:cs="Arial"/>
          <w:b/>
          <w:color w:val="222222"/>
          <w:shd w:val="clear" w:color="auto" w:fill="FFFFFF"/>
        </w:rPr>
        <w:t xml:space="preserve"> complessiva riorganizzazione della fiscalità comunale</w:t>
      </w:r>
      <w:r w:rsidRPr="00C15A6C">
        <w:rPr>
          <w:rFonts w:ascii="Bookman Old Style" w:hAnsi="Bookman Old Style" w:cs="Arial"/>
          <w:b/>
          <w:color w:val="222222"/>
          <w:shd w:val="clear" w:color="auto" w:fill="FFFFFF"/>
        </w:rPr>
        <w:t>, nonostante la presenza di due provvedimenti “collegati” al ddl bilancio appositamente destinati alle materie fiscali</w:t>
      </w:r>
      <w:r w:rsidRPr="00F848B3">
        <w:rPr>
          <w:rFonts w:ascii="Bookman Old Style" w:hAnsi="Bookman Old Style" w:cs="Arial"/>
          <w:color w:val="222222"/>
          <w:shd w:val="clear" w:color="auto" w:fill="FFFFFF"/>
        </w:rPr>
        <w:t>.</w:t>
      </w:r>
    </w:p>
    <w:p w:rsidR="00C8612E" w:rsidRPr="00F848B3" w:rsidRDefault="00183CF3" w:rsidP="00C8612E">
      <w:pPr>
        <w:spacing w:after="120"/>
        <w:jc w:val="both"/>
        <w:rPr>
          <w:rFonts w:ascii="Bookman Old Style" w:hAnsi="Bookman Old Style"/>
        </w:rPr>
      </w:pPr>
      <w:r w:rsidRPr="00F848B3">
        <w:rPr>
          <w:rFonts w:ascii="Bookman Old Style" w:hAnsi="Bookman Old Style"/>
        </w:rPr>
        <w:t xml:space="preserve">L’abbandono del vincolo relativo al saldo di competenza, </w:t>
      </w:r>
      <w:r w:rsidR="00C8612E">
        <w:rPr>
          <w:rFonts w:ascii="Bookman Old Style" w:hAnsi="Bookman Old Style"/>
        </w:rPr>
        <w:t>indotto</w:t>
      </w:r>
      <w:r w:rsidRPr="00F848B3">
        <w:rPr>
          <w:rFonts w:ascii="Bookman Old Style" w:hAnsi="Bookman Old Style"/>
        </w:rPr>
        <w:t xml:space="preserve"> </w:t>
      </w:r>
      <w:r w:rsidR="005111C3" w:rsidRPr="00F848B3">
        <w:rPr>
          <w:rFonts w:ascii="Bookman Old Style" w:hAnsi="Bookman Old Style"/>
        </w:rPr>
        <w:t xml:space="preserve">da </w:t>
      </w:r>
      <w:r w:rsidR="008A2DCF" w:rsidRPr="00F848B3">
        <w:rPr>
          <w:rFonts w:ascii="Bookman Old Style" w:hAnsi="Bookman Old Style"/>
        </w:rPr>
        <w:t>due</w:t>
      </w:r>
      <w:r w:rsidR="005111C3" w:rsidRPr="00F848B3">
        <w:rPr>
          <w:rFonts w:ascii="Bookman Old Style" w:hAnsi="Bookman Old Style"/>
        </w:rPr>
        <w:t xml:space="preserve"> fondamentali</w:t>
      </w:r>
      <w:r w:rsidR="008A2DCF" w:rsidRPr="00F848B3">
        <w:rPr>
          <w:rFonts w:ascii="Bookman Old Style" w:hAnsi="Bookman Old Style"/>
        </w:rPr>
        <w:t xml:space="preserve"> sentenze della Corte Costituzionale,</w:t>
      </w:r>
      <w:r w:rsidR="00C15A6C">
        <w:rPr>
          <w:rFonts w:ascii="Bookman Old Style" w:hAnsi="Bookman Old Style"/>
        </w:rPr>
        <w:t xml:space="preserve"> è</w:t>
      </w:r>
      <w:r w:rsidR="00144362" w:rsidRPr="00F848B3">
        <w:rPr>
          <w:rFonts w:ascii="Bookman Old Style" w:hAnsi="Bookman Old Style"/>
        </w:rPr>
        <w:t xml:space="preserve"> un cambio di paradigma importante</w:t>
      </w:r>
      <w:r w:rsidR="00C8612E">
        <w:rPr>
          <w:rFonts w:ascii="Bookman Old Style" w:hAnsi="Bookman Old Style"/>
        </w:rPr>
        <w:t xml:space="preserve"> e</w:t>
      </w:r>
      <w:r w:rsidR="00144362" w:rsidRPr="00F848B3">
        <w:rPr>
          <w:rFonts w:ascii="Bookman Old Style" w:hAnsi="Bookman Old Style"/>
        </w:rPr>
        <w:t xml:space="preserve"> consent</w:t>
      </w:r>
      <w:r w:rsidR="00C8612E">
        <w:rPr>
          <w:rFonts w:ascii="Bookman Old Style" w:hAnsi="Bookman Old Style"/>
        </w:rPr>
        <w:t>irà</w:t>
      </w:r>
      <w:r w:rsidR="00144362" w:rsidRPr="00F848B3">
        <w:rPr>
          <w:rFonts w:ascii="Bookman Old Style" w:hAnsi="Bookman Old Style"/>
        </w:rPr>
        <w:t xml:space="preserve"> di</w:t>
      </w:r>
      <w:r w:rsidRPr="00F848B3">
        <w:rPr>
          <w:rFonts w:ascii="Bookman Old Style" w:hAnsi="Bookman Old Style"/>
        </w:rPr>
        <w:t xml:space="preserve"> libera</w:t>
      </w:r>
      <w:r w:rsidR="00144362" w:rsidRPr="00F848B3">
        <w:rPr>
          <w:rFonts w:ascii="Bookman Old Style" w:hAnsi="Bookman Old Style"/>
        </w:rPr>
        <w:t>re</w:t>
      </w:r>
      <w:r w:rsidRPr="00F848B3">
        <w:rPr>
          <w:rFonts w:ascii="Bookman Old Style" w:hAnsi="Bookman Old Style"/>
        </w:rPr>
        <w:t xml:space="preserve"> risorse per gli investimenti</w:t>
      </w:r>
      <w:r w:rsidR="00DA110F">
        <w:rPr>
          <w:rFonts w:ascii="Bookman Old Style" w:hAnsi="Bookman Old Style"/>
        </w:rPr>
        <w:t xml:space="preserve"> aumentando gli effetti della </w:t>
      </w:r>
      <w:r w:rsidR="00C8612E">
        <w:rPr>
          <w:rFonts w:ascii="Bookman Old Style" w:hAnsi="Bookman Old Style"/>
        </w:rPr>
        <w:t>ripresa della contribuzione erariale a sostegno degli investimenti locali (Bando periferie e altri programmi ministeriali per scuole e strade).</w:t>
      </w:r>
      <w:r w:rsidR="005111C3" w:rsidRPr="00F848B3">
        <w:rPr>
          <w:rFonts w:ascii="Bookman Old Style" w:hAnsi="Bookman Old Style"/>
        </w:rPr>
        <w:t xml:space="preserve"> </w:t>
      </w:r>
      <w:r w:rsidR="00C8612E" w:rsidRPr="00F848B3">
        <w:rPr>
          <w:rFonts w:ascii="Bookman Old Style" w:hAnsi="Bookman Old Style"/>
        </w:rPr>
        <w:t>ll ddl bilancio recepisce</w:t>
      </w:r>
      <w:r w:rsidR="00C15A6C">
        <w:rPr>
          <w:rFonts w:ascii="Bookman Old Style" w:hAnsi="Bookman Old Style"/>
        </w:rPr>
        <w:t xml:space="preserve"> responsabilmente, inoltre</w:t>
      </w:r>
      <w:r w:rsidR="00C8612E">
        <w:rPr>
          <w:rFonts w:ascii="Bookman Old Style" w:hAnsi="Bookman Old Style"/>
        </w:rPr>
        <w:t>,</w:t>
      </w:r>
      <w:r w:rsidR="00C8612E" w:rsidRPr="00F848B3">
        <w:rPr>
          <w:rFonts w:ascii="Bookman Old Style" w:hAnsi="Bookman Old Style"/>
        </w:rPr>
        <w:t xml:space="preserve"> l’accordo sul “</w:t>
      </w:r>
      <w:r w:rsidR="00C8612E">
        <w:rPr>
          <w:rFonts w:ascii="Bookman Old Style" w:hAnsi="Bookman Old Style"/>
        </w:rPr>
        <w:t>B</w:t>
      </w:r>
      <w:r w:rsidR="00C8612E" w:rsidRPr="00F848B3">
        <w:rPr>
          <w:rFonts w:ascii="Bookman Old Style" w:hAnsi="Bookman Old Style"/>
        </w:rPr>
        <w:t>ando periferie”</w:t>
      </w:r>
      <w:r w:rsidR="00E9271A">
        <w:rPr>
          <w:rFonts w:ascii="Bookman Old Style" w:hAnsi="Bookman Old Style"/>
        </w:rPr>
        <w:t>,</w:t>
      </w:r>
      <w:r w:rsidR="00C8612E" w:rsidRPr="00F848B3">
        <w:rPr>
          <w:rFonts w:ascii="Bookman Old Style" w:hAnsi="Bookman Old Style"/>
        </w:rPr>
        <w:t xml:space="preserve"> assicurando così una maggiore tranquillità circa la prosecuzione ordinata nella realizzazione dei progetti.</w:t>
      </w:r>
    </w:p>
    <w:p w:rsidR="00183CF3" w:rsidRDefault="00C8612E" w:rsidP="00F848B3">
      <w:pPr>
        <w:spacing w:after="120"/>
        <w:jc w:val="both"/>
        <w:rPr>
          <w:rFonts w:ascii="Bookman Old Style" w:hAnsi="Bookman Old Style"/>
        </w:rPr>
      </w:pPr>
      <w:r>
        <w:rPr>
          <w:rFonts w:ascii="Bookman Old Style" w:hAnsi="Bookman Old Style"/>
        </w:rPr>
        <w:t>L</w:t>
      </w:r>
      <w:r w:rsidR="005111C3" w:rsidRPr="00F848B3">
        <w:rPr>
          <w:rFonts w:ascii="Bookman Old Style" w:hAnsi="Bookman Old Style"/>
        </w:rPr>
        <w:t xml:space="preserve">’abolizione dei vincoli di finanza pubblica </w:t>
      </w:r>
      <w:r w:rsidR="00144362" w:rsidRPr="00F848B3">
        <w:rPr>
          <w:rFonts w:ascii="Bookman Old Style" w:hAnsi="Bookman Old Style"/>
        </w:rPr>
        <w:t xml:space="preserve">ulteriori rispetto agli equilibri ordinari di bilancio porta con sé rilevanti elementi di </w:t>
      </w:r>
      <w:r w:rsidR="00183CF3" w:rsidRPr="00F848B3">
        <w:rPr>
          <w:rFonts w:ascii="Bookman Old Style" w:hAnsi="Bookman Old Style"/>
        </w:rPr>
        <w:t xml:space="preserve">semplificazione </w:t>
      </w:r>
      <w:r w:rsidR="00144362" w:rsidRPr="00F848B3">
        <w:rPr>
          <w:rFonts w:ascii="Bookman Old Style" w:hAnsi="Bookman Old Style"/>
        </w:rPr>
        <w:t xml:space="preserve">amministrativa </w:t>
      </w:r>
      <w:r w:rsidR="00183CF3" w:rsidRPr="00F848B3">
        <w:rPr>
          <w:rFonts w:ascii="Bookman Old Style" w:hAnsi="Bookman Old Style"/>
        </w:rPr>
        <w:t xml:space="preserve">(verifiche interne, calcoli e controlli ministeriali, dei revisori, della </w:t>
      </w:r>
      <w:r w:rsidR="00E9271A">
        <w:rPr>
          <w:rFonts w:ascii="Bookman Old Style" w:hAnsi="Bookman Old Style"/>
        </w:rPr>
        <w:t>C</w:t>
      </w:r>
      <w:r w:rsidR="00183CF3" w:rsidRPr="00F848B3">
        <w:rPr>
          <w:rFonts w:ascii="Bookman Old Style" w:hAnsi="Bookman Old Style"/>
        </w:rPr>
        <w:t xml:space="preserve">orte dei conti…) e una maggior concentrazione </w:t>
      </w:r>
      <w:r w:rsidR="00144362" w:rsidRPr="00F848B3">
        <w:rPr>
          <w:rFonts w:ascii="Bookman Old Style" w:hAnsi="Bookman Old Style"/>
        </w:rPr>
        <w:t xml:space="preserve">sugli aspetti operativi funzionali allo svolgimento delle funzioni </w:t>
      </w:r>
      <w:r>
        <w:rPr>
          <w:rFonts w:ascii="Bookman Old Style" w:hAnsi="Bookman Old Style"/>
        </w:rPr>
        <w:t>strategiche assegnate al comparto</w:t>
      </w:r>
      <w:r w:rsidR="00144362" w:rsidRPr="00F848B3">
        <w:rPr>
          <w:rFonts w:ascii="Bookman Old Style" w:hAnsi="Bookman Old Style"/>
        </w:rPr>
        <w:t>.</w:t>
      </w:r>
    </w:p>
    <w:p w:rsidR="00183CF3" w:rsidRPr="00F848B3" w:rsidRDefault="00144362" w:rsidP="00F848B3">
      <w:pPr>
        <w:spacing w:after="120"/>
        <w:jc w:val="both"/>
        <w:rPr>
          <w:rFonts w:ascii="Bookman Old Style" w:hAnsi="Bookman Old Style"/>
        </w:rPr>
      </w:pPr>
      <w:r w:rsidRPr="00F848B3">
        <w:rPr>
          <w:rFonts w:ascii="Bookman Old Style" w:hAnsi="Bookman Old Style"/>
        </w:rPr>
        <w:t xml:space="preserve">Sul </w:t>
      </w:r>
      <w:r w:rsidR="00BF7F2F" w:rsidRPr="00F848B3">
        <w:rPr>
          <w:rFonts w:ascii="Bookman Old Style" w:hAnsi="Bookman Old Style"/>
        </w:rPr>
        <w:t>fronte</w:t>
      </w:r>
      <w:r w:rsidRPr="00F848B3">
        <w:rPr>
          <w:rFonts w:ascii="Bookman Old Style" w:hAnsi="Bookman Old Style"/>
        </w:rPr>
        <w:t xml:space="preserve"> degli investimenti </w:t>
      </w:r>
      <w:r w:rsidR="00BF7F2F" w:rsidRPr="00F848B3">
        <w:rPr>
          <w:rFonts w:ascii="Bookman Old Style" w:hAnsi="Bookman Old Style"/>
        </w:rPr>
        <w:t xml:space="preserve">locali </w:t>
      </w:r>
      <w:r w:rsidRPr="00F848B3">
        <w:rPr>
          <w:rFonts w:ascii="Bookman Old Style" w:hAnsi="Bookman Old Style"/>
        </w:rPr>
        <w:t xml:space="preserve">si </w:t>
      </w:r>
      <w:r w:rsidR="00432965" w:rsidRPr="00F848B3">
        <w:rPr>
          <w:rFonts w:ascii="Bookman Old Style" w:hAnsi="Bookman Old Style"/>
        </w:rPr>
        <w:t>registrano</w:t>
      </w:r>
      <w:r w:rsidR="00C8612E">
        <w:rPr>
          <w:rFonts w:ascii="Bookman Old Style" w:hAnsi="Bookman Old Style"/>
        </w:rPr>
        <w:t>,</w:t>
      </w:r>
      <w:r w:rsidR="002404DA" w:rsidRPr="00F848B3">
        <w:rPr>
          <w:rFonts w:ascii="Bookman Old Style" w:hAnsi="Bookman Old Style"/>
        </w:rPr>
        <w:t xml:space="preserve"> quindi</w:t>
      </w:r>
      <w:r w:rsidR="00C8612E">
        <w:rPr>
          <w:rFonts w:ascii="Bookman Old Style" w:hAnsi="Bookman Old Style"/>
        </w:rPr>
        <w:t>,</w:t>
      </w:r>
      <w:r w:rsidR="002404DA" w:rsidRPr="00F848B3">
        <w:rPr>
          <w:rFonts w:ascii="Bookman Old Style" w:hAnsi="Bookman Old Style"/>
        </w:rPr>
        <w:t xml:space="preserve"> </w:t>
      </w:r>
      <w:r w:rsidR="00181C06" w:rsidRPr="00F848B3">
        <w:rPr>
          <w:rFonts w:ascii="Bookman Old Style" w:hAnsi="Bookman Old Style"/>
        </w:rPr>
        <w:t>alcuni</w:t>
      </w:r>
      <w:r w:rsidR="00BF7F2F" w:rsidRPr="00F848B3">
        <w:rPr>
          <w:rFonts w:ascii="Bookman Old Style" w:hAnsi="Bookman Old Style"/>
        </w:rPr>
        <w:t xml:space="preserve"> passi </w:t>
      </w:r>
      <w:r w:rsidR="00C8612E">
        <w:rPr>
          <w:rFonts w:ascii="Bookman Old Style" w:hAnsi="Bookman Old Style"/>
        </w:rPr>
        <w:t xml:space="preserve">in </w:t>
      </w:r>
      <w:r w:rsidR="00BF7F2F" w:rsidRPr="00F848B3">
        <w:rPr>
          <w:rFonts w:ascii="Bookman Old Style" w:hAnsi="Bookman Old Style"/>
        </w:rPr>
        <w:t xml:space="preserve">avanti </w:t>
      </w:r>
      <w:r w:rsidR="00181C06" w:rsidRPr="00F848B3">
        <w:rPr>
          <w:rFonts w:ascii="Bookman Old Style" w:hAnsi="Bookman Old Style"/>
        </w:rPr>
        <w:t>soprattutto</w:t>
      </w:r>
      <w:r w:rsidR="00BF7F2F" w:rsidRPr="00F848B3">
        <w:rPr>
          <w:rFonts w:ascii="Bookman Old Style" w:hAnsi="Bookman Old Style"/>
        </w:rPr>
        <w:t xml:space="preserve"> in chiave di riorganizzazione della filiera industriale dei processi di spesa in conto capitale</w:t>
      </w:r>
      <w:r w:rsidR="00DA110F">
        <w:rPr>
          <w:rFonts w:ascii="Bookman Old Style" w:hAnsi="Bookman Old Style"/>
        </w:rPr>
        <w:t>,</w:t>
      </w:r>
      <w:r w:rsidR="00BF7F2F" w:rsidRPr="00F848B3">
        <w:rPr>
          <w:rFonts w:ascii="Bookman Old Style" w:hAnsi="Bookman Old Style"/>
        </w:rPr>
        <w:t xml:space="preserve"> </w:t>
      </w:r>
      <w:r w:rsidR="00DA110F">
        <w:rPr>
          <w:rFonts w:ascii="Bookman Old Style" w:hAnsi="Bookman Old Style"/>
        </w:rPr>
        <w:t xml:space="preserve">anche attraverso </w:t>
      </w:r>
      <w:r w:rsidR="00BF7F2F" w:rsidRPr="00F848B3">
        <w:rPr>
          <w:rFonts w:ascii="Bookman Old Style" w:hAnsi="Bookman Old Style"/>
        </w:rPr>
        <w:t xml:space="preserve">l’istituzione di una </w:t>
      </w:r>
      <w:r w:rsidR="00181C06" w:rsidRPr="00F848B3">
        <w:rPr>
          <w:rFonts w:ascii="Bookman Old Style" w:hAnsi="Bookman Old Style"/>
        </w:rPr>
        <w:t>“</w:t>
      </w:r>
      <w:r w:rsidR="00BF7F2F" w:rsidRPr="00F848B3">
        <w:rPr>
          <w:rFonts w:ascii="Bookman Old Style" w:hAnsi="Bookman Old Style"/>
        </w:rPr>
        <w:t>Centrale per la progettazione delle opere pubbliche</w:t>
      </w:r>
      <w:r w:rsidR="00181C06" w:rsidRPr="00F848B3">
        <w:rPr>
          <w:rFonts w:ascii="Bookman Old Style" w:hAnsi="Bookman Old Style"/>
        </w:rPr>
        <w:t>”</w:t>
      </w:r>
      <w:r w:rsidR="0098460D">
        <w:rPr>
          <w:rFonts w:ascii="Bookman Old Style" w:hAnsi="Bookman Old Style"/>
        </w:rPr>
        <w:t xml:space="preserve"> </w:t>
      </w:r>
      <w:r w:rsidR="000F6973">
        <w:rPr>
          <w:rFonts w:ascii="Bookman Old Style" w:hAnsi="Bookman Old Style"/>
        </w:rPr>
        <w:t>e di una struttura di missione denominata Invest</w:t>
      </w:r>
      <w:r w:rsidR="0098460D">
        <w:rPr>
          <w:rFonts w:ascii="Bookman Old Style" w:hAnsi="Bookman Old Style"/>
        </w:rPr>
        <w:t>I</w:t>
      </w:r>
      <w:r w:rsidR="000F6973">
        <w:rPr>
          <w:rFonts w:ascii="Bookman Old Style" w:hAnsi="Bookman Old Style"/>
        </w:rPr>
        <w:t>talia</w:t>
      </w:r>
      <w:r w:rsidR="0098460D">
        <w:rPr>
          <w:rFonts w:ascii="Bookman Old Style" w:hAnsi="Bookman Old Style"/>
        </w:rPr>
        <w:t xml:space="preserve"> orientata a promuovere le condizioni più favorevoli per la programmazione e la realizzazione degli investimenti pubblici. Al fine di affinare le iniziative di sostegno degli investimenti nel contesto molto articolato del comparto comunale appare </w:t>
      </w:r>
      <w:r w:rsidR="000F6973">
        <w:rPr>
          <w:rFonts w:ascii="Bookman Old Style" w:hAnsi="Bookman Old Style"/>
        </w:rPr>
        <w:t>necessario un esplicito coinvolgimento dell’ANCI e delle sue strutture regionali</w:t>
      </w:r>
      <w:r w:rsidR="0098460D">
        <w:rPr>
          <w:rFonts w:ascii="Bookman Old Style" w:hAnsi="Bookman Old Style"/>
        </w:rPr>
        <w:t>.</w:t>
      </w:r>
      <w:r w:rsidR="000F6973">
        <w:rPr>
          <w:rFonts w:ascii="Bookman Old Style" w:hAnsi="Bookman Old Style"/>
        </w:rPr>
        <w:t xml:space="preserve"> </w:t>
      </w:r>
      <w:r w:rsidR="0098460D">
        <w:rPr>
          <w:rFonts w:ascii="Bookman Old Style" w:hAnsi="Bookman Old Style"/>
        </w:rPr>
        <w:t xml:space="preserve">Questi passi </w:t>
      </w:r>
      <w:r w:rsidR="00181C06" w:rsidRPr="00F848B3">
        <w:rPr>
          <w:rFonts w:ascii="Bookman Old Style" w:hAnsi="Bookman Old Style"/>
        </w:rPr>
        <w:t>dovranno tuttavia essere accompagnati</w:t>
      </w:r>
      <w:r w:rsidR="00BF7F2F" w:rsidRPr="00F848B3">
        <w:rPr>
          <w:rFonts w:ascii="Bookman Old Style" w:hAnsi="Bookman Old Style"/>
        </w:rPr>
        <w:t xml:space="preserve"> da</w:t>
      </w:r>
      <w:r w:rsidR="00181C06" w:rsidRPr="00F848B3">
        <w:rPr>
          <w:rFonts w:ascii="Bookman Old Style" w:hAnsi="Bookman Old Style"/>
        </w:rPr>
        <w:t xml:space="preserve"> robuste</w:t>
      </w:r>
      <w:r w:rsidR="00BF7F2F" w:rsidRPr="00F848B3">
        <w:rPr>
          <w:rFonts w:ascii="Bookman Old Style" w:hAnsi="Bookman Old Style"/>
        </w:rPr>
        <w:t xml:space="preserve"> misure di semplificazione</w:t>
      </w:r>
      <w:r w:rsidR="00181C06" w:rsidRPr="00F848B3">
        <w:rPr>
          <w:rFonts w:ascii="Bookman Old Style" w:hAnsi="Bookman Old Style"/>
        </w:rPr>
        <w:t xml:space="preserve"> delle regole del codice dei contratti pubblici, </w:t>
      </w:r>
      <w:r w:rsidR="002404DA" w:rsidRPr="00F848B3">
        <w:rPr>
          <w:rFonts w:ascii="Bookman Old Style" w:hAnsi="Bookman Old Style"/>
        </w:rPr>
        <w:t>che riteniamo necessarie</w:t>
      </w:r>
      <w:r w:rsidR="00181C06" w:rsidRPr="00F848B3">
        <w:rPr>
          <w:rFonts w:ascii="Bookman Old Style" w:hAnsi="Bookman Old Style"/>
        </w:rPr>
        <w:t xml:space="preserve"> per agevolare soprattutto gli enti di minori dimensioni</w:t>
      </w:r>
      <w:r w:rsidR="002404DA" w:rsidRPr="00F848B3">
        <w:rPr>
          <w:rFonts w:ascii="Bookman Old Style" w:hAnsi="Bookman Old Style"/>
        </w:rPr>
        <w:t xml:space="preserve">: </w:t>
      </w:r>
      <w:r w:rsidR="007C157E">
        <w:rPr>
          <w:rFonts w:ascii="Bookman Old Style" w:hAnsi="Bookman Old Style"/>
        </w:rPr>
        <w:t>semplificazione delle procedure di gara sotto soglia</w:t>
      </w:r>
      <w:r w:rsidR="00EF4ED1">
        <w:rPr>
          <w:rFonts w:ascii="Bookman Old Style" w:hAnsi="Bookman Old Style"/>
        </w:rPr>
        <w:t>;</w:t>
      </w:r>
      <w:r w:rsidR="00181C06" w:rsidRPr="00F848B3">
        <w:rPr>
          <w:rFonts w:ascii="Bookman Old Style" w:hAnsi="Bookman Old Style"/>
        </w:rPr>
        <w:t xml:space="preserve"> </w:t>
      </w:r>
      <w:r w:rsidR="002404DA" w:rsidRPr="00F848B3">
        <w:rPr>
          <w:rFonts w:ascii="Bookman Old Style" w:hAnsi="Bookman Old Style"/>
        </w:rPr>
        <w:t>ripristino</w:t>
      </w:r>
      <w:r w:rsidR="00183CF3" w:rsidRPr="00F848B3">
        <w:rPr>
          <w:rFonts w:ascii="Bookman Old Style" w:hAnsi="Bookman Old Style"/>
        </w:rPr>
        <w:t xml:space="preserve"> </w:t>
      </w:r>
      <w:r w:rsidR="007C157E">
        <w:rPr>
          <w:rFonts w:ascii="Bookman Old Style" w:hAnsi="Bookman Old Style"/>
        </w:rPr>
        <w:t>della possibilità di procedere con l’appalto integrato</w:t>
      </w:r>
      <w:r w:rsidR="00EF4ED1">
        <w:rPr>
          <w:rFonts w:ascii="Bookman Old Style" w:hAnsi="Bookman Old Style"/>
        </w:rPr>
        <w:t xml:space="preserve"> ponendo a base di gara il progetto definitivo;</w:t>
      </w:r>
      <w:r w:rsidR="00181C06" w:rsidRPr="00F848B3">
        <w:rPr>
          <w:rFonts w:ascii="Bookman Old Style" w:hAnsi="Bookman Old Style"/>
        </w:rPr>
        <w:t xml:space="preserve"> </w:t>
      </w:r>
      <w:r w:rsidR="00EF4ED1">
        <w:rPr>
          <w:rFonts w:ascii="Bookman Old Style" w:hAnsi="Bookman Old Style"/>
        </w:rPr>
        <w:t>accelerazione del contenzioso.</w:t>
      </w:r>
      <w:r w:rsidR="000F6973">
        <w:rPr>
          <w:rFonts w:ascii="Bookman Old Style" w:hAnsi="Bookman Old Style"/>
        </w:rPr>
        <w:t xml:space="preserve"> </w:t>
      </w:r>
    </w:p>
    <w:p w:rsidR="002404DA" w:rsidRPr="00F848B3" w:rsidRDefault="002404DA" w:rsidP="00F848B3">
      <w:pPr>
        <w:spacing w:after="120"/>
        <w:jc w:val="both"/>
        <w:rPr>
          <w:rFonts w:ascii="Bookman Old Style" w:hAnsi="Bookman Old Style"/>
        </w:rPr>
      </w:pPr>
      <w:r w:rsidRPr="00F848B3">
        <w:rPr>
          <w:rFonts w:ascii="Bookman Old Style" w:hAnsi="Bookman Old Style"/>
        </w:rPr>
        <w:t xml:space="preserve">Le risorse per gli investimenti destinate direttamente ai Comuni </w:t>
      </w:r>
      <w:r w:rsidR="00DA110F">
        <w:rPr>
          <w:rFonts w:ascii="Bookman Old Style" w:hAnsi="Bookman Old Style"/>
        </w:rPr>
        <w:t xml:space="preserve">e alle Città metropolitane </w:t>
      </w:r>
      <w:r w:rsidRPr="00F848B3">
        <w:rPr>
          <w:rFonts w:ascii="Bookman Old Style" w:hAnsi="Bookman Old Style"/>
        </w:rPr>
        <w:t>sono però di ammontare piuttosto esiguo</w:t>
      </w:r>
      <w:r w:rsidR="0030069C">
        <w:rPr>
          <w:rFonts w:ascii="Bookman Old Style" w:hAnsi="Bookman Old Style"/>
        </w:rPr>
        <w:t xml:space="preserve">: dei 3 mld. </w:t>
      </w:r>
      <w:r w:rsidRPr="00F848B3">
        <w:rPr>
          <w:rFonts w:ascii="Bookman Old Style" w:hAnsi="Bookman Old Style"/>
        </w:rPr>
        <w:t>del Fondo investimenti territoriali ne rimangono di fatto disponibili appena 250 mln. annui nel</w:t>
      </w:r>
      <w:r w:rsidR="0030069C">
        <w:rPr>
          <w:rFonts w:ascii="Bookman Old Style" w:hAnsi="Bookman Old Style"/>
        </w:rPr>
        <w:t xml:space="preserve"> biennio</w:t>
      </w:r>
      <w:r w:rsidRPr="00F848B3">
        <w:rPr>
          <w:rFonts w:ascii="Bookman Old Style" w:hAnsi="Bookman Old Style"/>
        </w:rPr>
        <w:t xml:space="preserve"> 2019-20. La </w:t>
      </w:r>
      <w:r w:rsidR="0030069C">
        <w:rPr>
          <w:rFonts w:ascii="Bookman Old Style" w:hAnsi="Bookman Old Style"/>
        </w:rPr>
        <w:t>quota</w:t>
      </w:r>
      <w:r w:rsidRPr="00F848B3">
        <w:rPr>
          <w:rFonts w:ascii="Bookman Old Style" w:hAnsi="Bookman Old Style"/>
        </w:rPr>
        <w:t xml:space="preserve"> maggiore passa</w:t>
      </w:r>
      <w:r w:rsidR="0030069C">
        <w:rPr>
          <w:rFonts w:ascii="Bookman Old Style" w:hAnsi="Bookman Old Style"/>
        </w:rPr>
        <w:t xml:space="preserve"> formalmente</w:t>
      </w:r>
      <w:r w:rsidRPr="00F848B3">
        <w:rPr>
          <w:rFonts w:ascii="Bookman Old Style" w:hAnsi="Bookman Old Style"/>
        </w:rPr>
        <w:t xml:space="preserve"> per le Regioni (oltre 4 mld in due anni)</w:t>
      </w:r>
      <w:r w:rsidR="00DA110F">
        <w:rPr>
          <w:rFonts w:ascii="Bookman Old Style" w:hAnsi="Bookman Old Style"/>
        </w:rPr>
        <w:t xml:space="preserve">, che potranno – sulla base </w:t>
      </w:r>
      <w:r w:rsidR="00F74F08" w:rsidRPr="000F6973">
        <w:rPr>
          <w:rFonts w:ascii="Bookman Old Style" w:hAnsi="Bookman Old Style"/>
        </w:rPr>
        <w:t>però</w:t>
      </w:r>
      <w:r w:rsidR="00F74F08">
        <w:rPr>
          <w:rFonts w:ascii="Bookman Old Style" w:hAnsi="Bookman Old Style"/>
        </w:rPr>
        <w:t xml:space="preserve"> </w:t>
      </w:r>
      <w:r w:rsidR="00DA110F">
        <w:rPr>
          <w:rFonts w:ascii="Bookman Old Style" w:hAnsi="Bookman Old Style"/>
        </w:rPr>
        <w:t>di un riparto correlato più alla propria situazione finanziaria che al fabbisogno territoriale – riversarne una parte (“investimenti indiretti”) a favore dei rispettivi enti locali</w:t>
      </w:r>
      <w:r w:rsidRPr="00F848B3">
        <w:rPr>
          <w:rFonts w:ascii="Bookman Old Style" w:hAnsi="Bookman Old Style"/>
        </w:rPr>
        <w:t xml:space="preserve">. </w:t>
      </w:r>
      <w:r w:rsidR="00324F57" w:rsidRPr="00F848B3">
        <w:rPr>
          <w:rFonts w:ascii="Bookman Old Style" w:hAnsi="Bookman Old Style"/>
        </w:rPr>
        <w:t xml:space="preserve">Si deve </w:t>
      </w:r>
      <w:r w:rsidR="00DA110F">
        <w:rPr>
          <w:rFonts w:ascii="Bookman Old Style" w:hAnsi="Bookman Old Style"/>
        </w:rPr>
        <w:t xml:space="preserve">qui </w:t>
      </w:r>
      <w:r w:rsidR="00324F57" w:rsidRPr="00F848B3">
        <w:rPr>
          <w:rFonts w:ascii="Bookman Old Style" w:hAnsi="Bookman Old Style"/>
        </w:rPr>
        <w:t>osservare</w:t>
      </w:r>
      <w:r w:rsidRPr="00F848B3">
        <w:rPr>
          <w:rFonts w:ascii="Bookman Old Style" w:hAnsi="Bookman Old Style"/>
        </w:rPr>
        <w:t xml:space="preserve"> </w:t>
      </w:r>
      <w:r w:rsidR="00432965" w:rsidRPr="00F848B3">
        <w:rPr>
          <w:rFonts w:ascii="Bookman Old Style" w:hAnsi="Bookman Old Style"/>
        </w:rPr>
        <w:t>come</w:t>
      </w:r>
      <w:r w:rsidRPr="00F848B3">
        <w:rPr>
          <w:rFonts w:ascii="Bookman Old Style" w:hAnsi="Bookman Old Style"/>
        </w:rPr>
        <w:t xml:space="preserve"> il ripristino </w:t>
      </w:r>
      <w:r w:rsidR="006136C4" w:rsidRPr="00F848B3">
        <w:rPr>
          <w:rFonts w:ascii="Bookman Old Style" w:hAnsi="Bookman Old Style"/>
        </w:rPr>
        <w:t>della</w:t>
      </w:r>
      <w:r w:rsidRPr="00F848B3">
        <w:rPr>
          <w:rFonts w:ascii="Bookman Old Style" w:hAnsi="Bookman Old Style"/>
        </w:rPr>
        <w:t xml:space="preserve"> piena </w:t>
      </w:r>
      <w:r w:rsidR="00432965" w:rsidRPr="00F848B3">
        <w:rPr>
          <w:rFonts w:ascii="Bookman Old Style" w:hAnsi="Bookman Old Style"/>
        </w:rPr>
        <w:t>utilizzabilità</w:t>
      </w:r>
      <w:r w:rsidRPr="00F848B3">
        <w:rPr>
          <w:rFonts w:ascii="Bookman Old Style" w:hAnsi="Bookman Old Style"/>
        </w:rPr>
        <w:t xml:space="preserve"> degli avanzi di amministrazione non si traduce</w:t>
      </w:r>
      <w:r w:rsidR="00432965" w:rsidRPr="00F848B3">
        <w:rPr>
          <w:rFonts w:ascii="Bookman Old Style" w:hAnsi="Bookman Old Style"/>
        </w:rPr>
        <w:t xml:space="preserve"> necessariamente</w:t>
      </w:r>
      <w:r w:rsidR="0030069C">
        <w:rPr>
          <w:rFonts w:ascii="Bookman Old Style" w:hAnsi="Bookman Old Style"/>
        </w:rPr>
        <w:t xml:space="preserve"> per molti enti</w:t>
      </w:r>
      <w:r w:rsidR="00DA110F">
        <w:rPr>
          <w:rFonts w:ascii="Bookman Old Style" w:hAnsi="Bookman Old Style"/>
        </w:rPr>
        <w:t xml:space="preserve"> </w:t>
      </w:r>
      <w:r w:rsidRPr="00F848B3">
        <w:rPr>
          <w:rFonts w:ascii="Bookman Old Style" w:hAnsi="Bookman Old Style"/>
        </w:rPr>
        <w:t>in una dote finanziaria sufficiente</w:t>
      </w:r>
      <w:r w:rsidR="00DA110F">
        <w:rPr>
          <w:rFonts w:ascii="Bookman Old Style" w:hAnsi="Bookman Old Style"/>
        </w:rPr>
        <w:t xml:space="preserve"> </w:t>
      </w:r>
      <w:r w:rsidR="00432965" w:rsidRPr="00F848B3">
        <w:rPr>
          <w:rFonts w:ascii="Bookman Old Style" w:hAnsi="Bookman Old Style"/>
        </w:rPr>
        <w:t xml:space="preserve">al recupero </w:t>
      </w:r>
      <w:r w:rsidR="00DA110F">
        <w:rPr>
          <w:rFonts w:ascii="Bookman Old Style" w:hAnsi="Bookman Old Style"/>
        </w:rPr>
        <w:t xml:space="preserve">di una </w:t>
      </w:r>
      <w:r w:rsidR="00F74F08" w:rsidRPr="00BE3EA4">
        <w:rPr>
          <w:rFonts w:ascii="Bookman Old Style" w:hAnsi="Bookman Old Style"/>
        </w:rPr>
        <w:t>adeguata</w:t>
      </w:r>
      <w:r w:rsidR="00DA110F">
        <w:rPr>
          <w:rFonts w:ascii="Bookman Old Style" w:hAnsi="Bookman Old Style"/>
        </w:rPr>
        <w:t xml:space="preserve"> </w:t>
      </w:r>
      <w:r w:rsidR="00432965" w:rsidRPr="00F848B3">
        <w:rPr>
          <w:rFonts w:ascii="Bookman Old Style" w:hAnsi="Bookman Old Style"/>
        </w:rPr>
        <w:t>capacità di spesa</w:t>
      </w:r>
      <w:r w:rsidR="006136C4" w:rsidRPr="00F848B3">
        <w:rPr>
          <w:rFonts w:ascii="Bookman Old Style" w:hAnsi="Bookman Old Style"/>
        </w:rPr>
        <w:t xml:space="preserve">, </w:t>
      </w:r>
      <w:r w:rsidR="00DA110F">
        <w:rPr>
          <w:rFonts w:ascii="Bookman Old Style" w:hAnsi="Bookman Old Style"/>
        </w:rPr>
        <w:t xml:space="preserve">ma </w:t>
      </w:r>
      <w:r w:rsidR="00DA110F" w:rsidRPr="00F848B3">
        <w:rPr>
          <w:rFonts w:ascii="Bookman Old Style" w:hAnsi="Bookman Old Style"/>
        </w:rPr>
        <w:t>produce</w:t>
      </w:r>
      <w:r w:rsidR="00DA110F">
        <w:rPr>
          <w:rFonts w:ascii="Bookman Old Style" w:hAnsi="Bookman Old Style"/>
        </w:rPr>
        <w:t xml:space="preserve"> </w:t>
      </w:r>
      <w:r w:rsidR="006136C4" w:rsidRPr="00F848B3">
        <w:rPr>
          <w:rFonts w:ascii="Bookman Old Style" w:hAnsi="Bookman Old Style"/>
        </w:rPr>
        <w:t>effetti diversificati in ragione delle specifiche vicende amministrative</w:t>
      </w:r>
      <w:r w:rsidR="00DA110F">
        <w:rPr>
          <w:rFonts w:ascii="Bookman Old Style" w:hAnsi="Bookman Old Style"/>
        </w:rPr>
        <w:t>.</w:t>
      </w:r>
    </w:p>
    <w:p w:rsidR="000B41CD" w:rsidRDefault="00DA110F" w:rsidP="00F848B3">
      <w:pPr>
        <w:spacing w:after="120"/>
        <w:jc w:val="both"/>
        <w:rPr>
          <w:rFonts w:ascii="Bookman Old Style" w:hAnsi="Bookman Old Style"/>
          <w:b/>
        </w:rPr>
      </w:pPr>
      <w:r>
        <w:rPr>
          <w:rFonts w:ascii="Bookman Old Style" w:hAnsi="Bookman Old Style"/>
        </w:rPr>
        <w:t>S</w:t>
      </w:r>
      <w:r w:rsidR="000B41CD">
        <w:rPr>
          <w:rFonts w:ascii="Bookman Old Style" w:hAnsi="Bookman Old Style"/>
        </w:rPr>
        <w:t xml:space="preserve">ul versante della disponibilità di risorse per investimenti ANCI chiede: </w:t>
      </w:r>
      <w:r w:rsidR="000B41CD" w:rsidRPr="000B41CD">
        <w:rPr>
          <w:rFonts w:ascii="Bookman Old Style" w:hAnsi="Bookman Old Style"/>
          <w:b/>
        </w:rPr>
        <w:t xml:space="preserve">un riequilibrio degli stanziamenti con un aumento della quota assegnata a Comuni e Città metropolitane; la possibilità di vincolare le risorse </w:t>
      </w:r>
      <w:r w:rsidR="00F74F08" w:rsidRPr="000F6973">
        <w:rPr>
          <w:rFonts w:ascii="Bookman Old Style" w:hAnsi="Bookman Old Style"/>
          <w:b/>
        </w:rPr>
        <w:t>attribuite</w:t>
      </w:r>
      <w:r w:rsidR="00F74F08" w:rsidRPr="000B41CD">
        <w:rPr>
          <w:rFonts w:ascii="Bookman Old Style" w:hAnsi="Bookman Old Style"/>
          <w:b/>
        </w:rPr>
        <w:t xml:space="preserve"> </w:t>
      </w:r>
      <w:r w:rsidR="000B41CD" w:rsidRPr="000B41CD">
        <w:rPr>
          <w:rFonts w:ascii="Bookman Old Style" w:hAnsi="Bookman Old Style"/>
          <w:b/>
        </w:rPr>
        <w:t>alle regioni con una quota significativa da assegnare agli enti locali e</w:t>
      </w:r>
      <w:r>
        <w:rPr>
          <w:rFonts w:ascii="Bookman Old Style" w:hAnsi="Bookman Old Style"/>
          <w:b/>
        </w:rPr>
        <w:t>,</w:t>
      </w:r>
      <w:r w:rsidR="000B41CD" w:rsidRPr="000B41CD">
        <w:rPr>
          <w:rFonts w:ascii="Bookman Old Style" w:hAnsi="Bookman Old Style"/>
          <w:b/>
        </w:rPr>
        <w:t xml:space="preserve"> aspetto assai rilevante</w:t>
      </w:r>
      <w:r>
        <w:rPr>
          <w:rFonts w:ascii="Bookman Old Style" w:hAnsi="Bookman Old Style"/>
          <w:b/>
        </w:rPr>
        <w:t>,</w:t>
      </w:r>
      <w:r w:rsidR="000B41CD" w:rsidRPr="000B41CD">
        <w:rPr>
          <w:rFonts w:ascii="Bookman Old Style" w:hAnsi="Bookman Old Style"/>
          <w:b/>
        </w:rPr>
        <w:t xml:space="preserve"> una periodica ed efficace verifica e rendicontazione della spesa assegnata ed effettuata</w:t>
      </w:r>
      <w:r w:rsidR="000B41CD">
        <w:rPr>
          <w:rFonts w:ascii="Bookman Old Style" w:hAnsi="Bookman Old Style"/>
          <w:b/>
        </w:rPr>
        <w:t>, delle procedure applicate, degli obiettivi individuati e dei tempi necessari.</w:t>
      </w:r>
    </w:p>
    <w:p w:rsidR="000B41CD" w:rsidRPr="000B41CD" w:rsidRDefault="00DA110F" w:rsidP="00F848B3">
      <w:pPr>
        <w:spacing w:after="120"/>
        <w:jc w:val="both"/>
        <w:rPr>
          <w:rFonts w:ascii="Bookman Old Style" w:hAnsi="Bookman Old Style"/>
          <w:b/>
        </w:rPr>
      </w:pPr>
      <w:r>
        <w:rPr>
          <w:rFonts w:ascii="Bookman Old Style" w:hAnsi="Bookman Old Style"/>
          <w:b/>
        </w:rPr>
        <w:t xml:space="preserve">Sono </w:t>
      </w:r>
      <w:r w:rsidR="000B41CD">
        <w:rPr>
          <w:rFonts w:ascii="Bookman Old Style" w:hAnsi="Bookman Old Style"/>
          <w:b/>
        </w:rPr>
        <w:t xml:space="preserve">innumerevoli </w:t>
      </w:r>
      <w:r w:rsidR="000F6973">
        <w:rPr>
          <w:rFonts w:ascii="Bookman Old Style" w:hAnsi="Bookman Old Style"/>
          <w:b/>
        </w:rPr>
        <w:t xml:space="preserve">gli </w:t>
      </w:r>
      <w:r w:rsidR="000B41CD">
        <w:rPr>
          <w:rFonts w:ascii="Bookman Old Style" w:hAnsi="Bookman Old Style"/>
          <w:b/>
        </w:rPr>
        <w:t>ambiti di interesse dei Comuni, dalle infrastrutture, alla manutenzione del territorio, al miglioramento dei servizi</w:t>
      </w:r>
      <w:r>
        <w:rPr>
          <w:rFonts w:ascii="Bookman Old Style" w:hAnsi="Bookman Old Style"/>
          <w:b/>
        </w:rPr>
        <w:t xml:space="preserve">, al contrasto delle emergenze. I sindaci sono stanchi </w:t>
      </w:r>
      <w:r w:rsidR="000B41CD">
        <w:rPr>
          <w:rFonts w:ascii="Bookman Old Style" w:hAnsi="Bookman Old Style"/>
          <w:b/>
        </w:rPr>
        <w:t xml:space="preserve">di essere sempre </w:t>
      </w:r>
      <w:r>
        <w:rPr>
          <w:rFonts w:ascii="Bookman Old Style" w:hAnsi="Bookman Old Style"/>
          <w:b/>
        </w:rPr>
        <w:t xml:space="preserve">individuati </w:t>
      </w:r>
      <w:r w:rsidR="000B41CD">
        <w:rPr>
          <w:rFonts w:ascii="Bookman Old Style" w:hAnsi="Bookman Old Style"/>
          <w:b/>
        </w:rPr>
        <w:t>come i responsabili, non essendo nella maggioranza dei casi i titolari diretti dei fin</w:t>
      </w:r>
      <w:r w:rsidR="00BC47C6">
        <w:rPr>
          <w:rFonts w:ascii="Bookman Old Style" w:hAnsi="Bookman Old Style"/>
          <w:b/>
        </w:rPr>
        <w:t>anziamenti che attendono da altri livelli di governo. Riteniamo indispensabile avere chiarezza e coincidenza fra compiti, poteri e risorse per assicurare ai cittadini la massima trasparenza e applicare un sano principio di responsabilità. Sono troppi gli ambiti sensibili in cui i sindaci risultano sovraesposti senza risorse e regole chiare.</w:t>
      </w:r>
    </w:p>
    <w:p w:rsidR="004232AB" w:rsidRDefault="00DE23FE" w:rsidP="00F848B3">
      <w:pPr>
        <w:spacing w:after="120"/>
        <w:jc w:val="both"/>
        <w:rPr>
          <w:rFonts w:ascii="Bookman Old Style" w:hAnsi="Bookman Old Style"/>
        </w:rPr>
      </w:pPr>
      <w:r w:rsidRPr="00885501">
        <w:rPr>
          <w:rFonts w:ascii="Bookman Old Style" w:hAnsi="Bookman Old Style"/>
          <w:b/>
        </w:rPr>
        <w:t>Sul versante delle entrate</w:t>
      </w:r>
      <w:r w:rsidR="004232AB" w:rsidRPr="00885501">
        <w:rPr>
          <w:rFonts w:ascii="Bookman Old Style" w:hAnsi="Bookman Old Style"/>
          <w:b/>
        </w:rPr>
        <w:t xml:space="preserve"> correnti, il ddl Bilancio non contiene alcune fondamentali risposte</w:t>
      </w:r>
      <w:r w:rsidR="004232AB">
        <w:rPr>
          <w:rFonts w:ascii="Bookman Old Style" w:hAnsi="Bookman Old Style"/>
          <w:b/>
        </w:rPr>
        <w:t>,</w:t>
      </w:r>
      <w:r w:rsidR="004232AB">
        <w:rPr>
          <w:rFonts w:ascii="Bookman Old Style" w:hAnsi="Bookman Old Style"/>
        </w:rPr>
        <w:t xml:space="preserve"> che devono essere considerate nell’esame parlamentare del provvedimento per assicurare l’ordinata definizione degli equilibri di bilancio: dal ripristino del fondo IMU-Tasi, </w:t>
      </w:r>
      <w:r w:rsidR="008F5354">
        <w:rPr>
          <w:rFonts w:ascii="Bookman Old Style" w:hAnsi="Bookman Old Style"/>
        </w:rPr>
        <w:t xml:space="preserve">al ripristino delle risorse tagliate con il dl 66/2014, la cui applicabilità scade con il 2018, </w:t>
      </w:r>
      <w:r w:rsidR="004232AB">
        <w:rPr>
          <w:rFonts w:ascii="Bookman Old Style" w:hAnsi="Bookman Old Style"/>
        </w:rPr>
        <w:t>all’inserzione di una robusta quota di finanziamento statale nella perequazione delle risorse, che in queste condizioni non può andare avanti</w:t>
      </w:r>
      <w:r w:rsidR="008F5354">
        <w:rPr>
          <w:rFonts w:ascii="Bookman Old Style" w:hAnsi="Bookman Old Style"/>
        </w:rPr>
        <w:t>.</w:t>
      </w:r>
    </w:p>
    <w:p w:rsidR="003141D1" w:rsidRDefault="004232AB" w:rsidP="00F848B3">
      <w:pPr>
        <w:spacing w:after="120"/>
        <w:jc w:val="both"/>
        <w:rPr>
          <w:rFonts w:ascii="Bookman Old Style" w:hAnsi="Bookman Old Style"/>
        </w:rPr>
      </w:pPr>
      <w:r>
        <w:rPr>
          <w:rFonts w:ascii="Bookman Old Style" w:hAnsi="Bookman Old Style"/>
        </w:rPr>
        <w:t>R</w:t>
      </w:r>
      <w:r w:rsidR="00DA110F">
        <w:rPr>
          <w:rFonts w:ascii="Bookman Old Style" w:hAnsi="Bookman Old Style"/>
        </w:rPr>
        <w:t xml:space="preserve">esta </w:t>
      </w:r>
      <w:r>
        <w:rPr>
          <w:rFonts w:ascii="Bookman Old Style" w:hAnsi="Bookman Old Style"/>
        </w:rPr>
        <w:t xml:space="preserve">poi </w:t>
      </w:r>
      <w:r w:rsidR="00DA110F">
        <w:rPr>
          <w:rFonts w:ascii="Bookman Old Style" w:hAnsi="Bookman Old Style"/>
        </w:rPr>
        <w:t xml:space="preserve">in ombra </w:t>
      </w:r>
      <w:r w:rsidR="00020E0C" w:rsidRPr="00F848B3">
        <w:rPr>
          <w:rFonts w:ascii="Bookman Old Style" w:hAnsi="Bookman Old Style"/>
        </w:rPr>
        <w:t>l’esigenza</w:t>
      </w:r>
      <w:r w:rsidR="008E5786" w:rsidRPr="00F848B3">
        <w:rPr>
          <w:rFonts w:ascii="Bookman Old Style" w:hAnsi="Bookman Old Style"/>
        </w:rPr>
        <w:t xml:space="preserve"> </w:t>
      </w:r>
      <w:r w:rsidR="00DA110F">
        <w:rPr>
          <w:rFonts w:ascii="Bookman Old Style" w:hAnsi="Bookman Old Style"/>
        </w:rPr>
        <w:t xml:space="preserve">di </w:t>
      </w:r>
      <w:r w:rsidR="008E5786" w:rsidRPr="00F848B3">
        <w:rPr>
          <w:rFonts w:ascii="Bookman Old Style" w:hAnsi="Bookman Old Style"/>
        </w:rPr>
        <w:t xml:space="preserve">un </w:t>
      </w:r>
      <w:r w:rsidR="008E5786" w:rsidRPr="00DE23FE">
        <w:rPr>
          <w:rFonts w:ascii="Bookman Old Style" w:hAnsi="Bookman Old Style"/>
          <w:b/>
        </w:rPr>
        <w:t>generale ripensamento della fiscalità comunale</w:t>
      </w:r>
      <w:r w:rsidR="008E5786" w:rsidRPr="00F848B3">
        <w:rPr>
          <w:rFonts w:ascii="Bookman Old Style" w:hAnsi="Bookman Old Style"/>
        </w:rPr>
        <w:t>, oggetto</w:t>
      </w:r>
      <w:r w:rsidR="00A41CBB">
        <w:rPr>
          <w:rFonts w:ascii="Bookman Old Style" w:hAnsi="Bookman Old Style"/>
        </w:rPr>
        <w:t xml:space="preserve"> </w:t>
      </w:r>
      <w:r w:rsidR="008E5786" w:rsidRPr="00F848B3">
        <w:rPr>
          <w:rFonts w:ascii="Bookman Old Style" w:hAnsi="Bookman Old Style"/>
        </w:rPr>
        <w:t>negli</w:t>
      </w:r>
      <w:r w:rsidR="00A41CBB">
        <w:rPr>
          <w:rFonts w:ascii="Bookman Old Style" w:hAnsi="Bookman Old Style"/>
        </w:rPr>
        <w:t xml:space="preserve"> </w:t>
      </w:r>
      <w:r w:rsidR="008E5786" w:rsidRPr="00F848B3">
        <w:rPr>
          <w:rFonts w:ascii="Bookman Old Style" w:hAnsi="Bookman Old Style"/>
        </w:rPr>
        <w:t>ultimi</w:t>
      </w:r>
      <w:r w:rsidR="00A41CBB">
        <w:rPr>
          <w:rFonts w:ascii="Bookman Old Style" w:hAnsi="Bookman Old Style"/>
        </w:rPr>
        <w:t xml:space="preserve"> </w:t>
      </w:r>
      <w:r w:rsidR="008E5786" w:rsidRPr="00F848B3">
        <w:rPr>
          <w:rFonts w:ascii="Bookman Old Style" w:hAnsi="Bookman Old Style"/>
        </w:rPr>
        <w:t>anni</w:t>
      </w:r>
      <w:r w:rsidR="00A41CBB">
        <w:rPr>
          <w:rFonts w:ascii="Bookman Old Style" w:hAnsi="Bookman Old Style"/>
        </w:rPr>
        <w:t xml:space="preserve"> </w:t>
      </w:r>
      <w:r w:rsidR="008E5786" w:rsidRPr="00F848B3">
        <w:rPr>
          <w:rFonts w:ascii="Bookman Old Style" w:hAnsi="Bookman Old Style"/>
        </w:rPr>
        <w:t>di</w:t>
      </w:r>
      <w:r w:rsidR="00A41CBB">
        <w:rPr>
          <w:rFonts w:ascii="Bookman Old Style" w:hAnsi="Bookman Old Style"/>
        </w:rPr>
        <w:t xml:space="preserve"> </w:t>
      </w:r>
      <w:r w:rsidR="008E5786" w:rsidRPr="00F848B3">
        <w:rPr>
          <w:rFonts w:ascii="Bookman Old Style" w:hAnsi="Bookman Old Style"/>
        </w:rPr>
        <w:t>numerosi</w:t>
      </w:r>
      <w:r w:rsidR="00A41CBB">
        <w:rPr>
          <w:rFonts w:ascii="Bookman Old Style" w:hAnsi="Bookman Old Style"/>
        </w:rPr>
        <w:t xml:space="preserve"> </w:t>
      </w:r>
      <w:r w:rsidR="008E5786" w:rsidRPr="00F848B3">
        <w:rPr>
          <w:rFonts w:ascii="Bookman Old Style" w:hAnsi="Bookman Old Style"/>
        </w:rPr>
        <w:t>e</w:t>
      </w:r>
      <w:r w:rsidR="00A41CBB">
        <w:rPr>
          <w:rFonts w:ascii="Bookman Old Style" w:hAnsi="Bookman Old Style"/>
        </w:rPr>
        <w:t xml:space="preserve"> </w:t>
      </w:r>
      <w:r w:rsidR="008E5786" w:rsidRPr="00F848B3">
        <w:rPr>
          <w:rFonts w:ascii="Bookman Old Style" w:hAnsi="Bookman Old Style"/>
        </w:rPr>
        <w:t>talvolta</w:t>
      </w:r>
      <w:r w:rsidR="00A41CBB">
        <w:rPr>
          <w:rFonts w:ascii="Bookman Old Style" w:hAnsi="Bookman Old Style"/>
        </w:rPr>
        <w:t xml:space="preserve"> </w:t>
      </w:r>
      <w:r w:rsidR="008E5786" w:rsidRPr="00F848B3">
        <w:rPr>
          <w:rFonts w:ascii="Bookman Old Style" w:hAnsi="Bookman Old Style"/>
        </w:rPr>
        <w:t>scoordinati</w:t>
      </w:r>
      <w:r w:rsidR="00A41CBB">
        <w:rPr>
          <w:rFonts w:ascii="Bookman Old Style" w:hAnsi="Bookman Old Style"/>
        </w:rPr>
        <w:t xml:space="preserve"> </w:t>
      </w:r>
      <w:r w:rsidR="008E5786" w:rsidRPr="00F848B3">
        <w:rPr>
          <w:rFonts w:ascii="Bookman Old Style" w:hAnsi="Bookman Old Style"/>
        </w:rPr>
        <w:t>interventi,</w:t>
      </w:r>
      <w:r w:rsidR="00A41CBB">
        <w:rPr>
          <w:rFonts w:ascii="Bookman Old Style" w:hAnsi="Bookman Old Style"/>
        </w:rPr>
        <w:t xml:space="preserve"> </w:t>
      </w:r>
      <w:r w:rsidR="008E5786" w:rsidRPr="00F848B3">
        <w:rPr>
          <w:rFonts w:ascii="Bookman Old Style" w:hAnsi="Bookman Old Style"/>
        </w:rPr>
        <w:t>sia</w:t>
      </w:r>
      <w:r w:rsidR="00A41CBB">
        <w:rPr>
          <w:rFonts w:ascii="Bookman Old Style" w:hAnsi="Bookman Old Style"/>
        </w:rPr>
        <w:t xml:space="preserve"> </w:t>
      </w:r>
      <w:r w:rsidR="008E5786" w:rsidRPr="00F848B3">
        <w:rPr>
          <w:rFonts w:ascii="Bookman Old Style" w:hAnsi="Bookman Old Style"/>
        </w:rPr>
        <w:t>per</w:t>
      </w:r>
      <w:r w:rsidR="00A41CBB">
        <w:rPr>
          <w:rFonts w:ascii="Bookman Old Style" w:hAnsi="Bookman Old Style"/>
        </w:rPr>
        <w:t xml:space="preserve"> </w:t>
      </w:r>
      <w:r w:rsidR="008E5786" w:rsidRPr="00F848B3">
        <w:rPr>
          <w:rFonts w:ascii="Bookman Old Style" w:hAnsi="Bookman Old Style"/>
        </w:rPr>
        <w:t>ciò</w:t>
      </w:r>
      <w:r w:rsidR="00A41CBB">
        <w:rPr>
          <w:rFonts w:ascii="Bookman Old Style" w:hAnsi="Bookman Old Style"/>
        </w:rPr>
        <w:t xml:space="preserve"> </w:t>
      </w:r>
      <w:r w:rsidR="008E5786" w:rsidRPr="00F848B3">
        <w:rPr>
          <w:rFonts w:ascii="Bookman Old Style" w:hAnsi="Bookman Old Style"/>
        </w:rPr>
        <w:t>che concerne</w:t>
      </w:r>
      <w:r w:rsidR="00A41CBB">
        <w:rPr>
          <w:rFonts w:ascii="Bookman Old Style" w:hAnsi="Bookman Old Style"/>
        </w:rPr>
        <w:t xml:space="preserve"> </w:t>
      </w:r>
      <w:r w:rsidR="008E5786" w:rsidRPr="00F848B3">
        <w:rPr>
          <w:rFonts w:ascii="Bookman Old Style" w:hAnsi="Bookman Old Style"/>
        </w:rPr>
        <w:t>gli</w:t>
      </w:r>
      <w:r w:rsidR="00A41CBB">
        <w:rPr>
          <w:rFonts w:ascii="Bookman Old Style" w:hAnsi="Bookman Old Style"/>
        </w:rPr>
        <w:t xml:space="preserve"> </w:t>
      </w:r>
      <w:r w:rsidR="008E5786" w:rsidRPr="00F848B3">
        <w:rPr>
          <w:rFonts w:ascii="Bookman Old Style" w:hAnsi="Bookman Old Style"/>
        </w:rPr>
        <w:t>aspetti</w:t>
      </w:r>
      <w:r w:rsidR="00A41CBB">
        <w:rPr>
          <w:rFonts w:ascii="Bookman Old Style" w:hAnsi="Bookman Old Style"/>
        </w:rPr>
        <w:t xml:space="preserve"> </w:t>
      </w:r>
      <w:r w:rsidR="008E5786" w:rsidRPr="00F848B3">
        <w:rPr>
          <w:rFonts w:ascii="Bookman Old Style" w:hAnsi="Bookman Old Style"/>
        </w:rPr>
        <w:t>disciplinari,</w:t>
      </w:r>
      <w:r w:rsidR="00A41CBB">
        <w:rPr>
          <w:rFonts w:ascii="Bookman Old Style" w:hAnsi="Bookman Old Style"/>
        </w:rPr>
        <w:t xml:space="preserve"> </w:t>
      </w:r>
      <w:r w:rsidR="008E5786" w:rsidRPr="00F848B3">
        <w:rPr>
          <w:rFonts w:ascii="Bookman Old Style" w:hAnsi="Bookman Old Style"/>
        </w:rPr>
        <w:t>sia</w:t>
      </w:r>
      <w:r w:rsidR="00A41CBB">
        <w:rPr>
          <w:rFonts w:ascii="Bookman Old Style" w:hAnsi="Bookman Old Style"/>
        </w:rPr>
        <w:t xml:space="preserve"> </w:t>
      </w:r>
      <w:r w:rsidR="008E5786" w:rsidRPr="00F848B3">
        <w:rPr>
          <w:rFonts w:ascii="Bookman Old Style" w:hAnsi="Bookman Old Style"/>
        </w:rPr>
        <w:t>con</w:t>
      </w:r>
      <w:r w:rsidR="00A41CBB">
        <w:rPr>
          <w:rFonts w:ascii="Bookman Old Style" w:hAnsi="Bookman Old Style"/>
        </w:rPr>
        <w:t xml:space="preserve"> </w:t>
      </w:r>
      <w:r w:rsidR="008E5786" w:rsidRPr="00F848B3">
        <w:rPr>
          <w:rFonts w:ascii="Bookman Old Style" w:hAnsi="Bookman Old Style"/>
        </w:rPr>
        <w:t>riferimento</w:t>
      </w:r>
      <w:r w:rsidR="00A41CBB">
        <w:rPr>
          <w:rFonts w:ascii="Bookman Old Style" w:hAnsi="Bookman Old Style"/>
        </w:rPr>
        <w:t xml:space="preserve"> </w:t>
      </w:r>
      <w:r w:rsidR="008E5786" w:rsidRPr="00F848B3">
        <w:rPr>
          <w:rFonts w:ascii="Bookman Old Style" w:hAnsi="Bookman Old Style"/>
        </w:rPr>
        <w:t>ai</w:t>
      </w:r>
      <w:r w:rsidR="00A41CBB">
        <w:rPr>
          <w:rFonts w:ascii="Bookman Old Style" w:hAnsi="Bookman Old Style"/>
        </w:rPr>
        <w:t xml:space="preserve"> </w:t>
      </w:r>
      <w:r w:rsidR="008E5786" w:rsidRPr="00F848B3">
        <w:rPr>
          <w:rFonts w:ascii="Bookman Old Style" w:hAnsi="Bookman Old Style"/>
        </w:rPr>
        <w:t>flussi</w:t>
      </w:r>
      <w:r w:rsidR="00A41CBB">
        <w:rPr>
          <w:rFonts w:ascii="Bookman Old Style" w:hAnsi="Bookman Old Style"/>
        </w:rPr>
        <w:t xml:space="preserve"> </w:t>
      </w:r>
      <w:r w:rsidR="008E5786" w:rsidRPr="00F848B3">
        <w:rPr>
          <w:rFonts w:ascii="Bookman Old Style" w:hAnsi="Bookman Old Style"/>
        </w:rPr>
        <w:t>finanziari,</w:t>
      </w:r>
      <w:r w:rsidR="00A41CBB">
        <w:rPr>
          <w:rFonts w:ascii="Bookman Old Style" w:hAnsi="Bookman Old Style"/>
        </w:rPr>
        <w:t xml:space="preserve"> </w:t>
      </w:r>
      <w:r w:rsidR="008E5786" w:rsidRPr="00F848B3">
        <w:rPr>
          <w:rFonts w:ascii="Bookman Old Style" w:hAnsi="Bookman Old Style"/>
        </w:rPr>
        <w:t>in</w:t>
      </w:r>
      <w:r w:rsidR="00A41CBB">
        <w:rPr>
          <w:rFonts w:ascii="Bookman Old Style" w:hAnsi="Bookman Old Style"/>
        </w:rPr>
        <w:t xml:space="preserve"> </w:t>
      </w:r>
      <w:r w:rsidR="008E5786" w:rsidRPr="00F848B3">
        <w:rPr>
          <w:rFonts w:ascii="Bookman Old Style" w:hAnsi="Bookman Old Style"/>
        </w:rPr>
        <w:t>prevalenza</w:t>
      </w:r>
    </w:p>
    <w:p w:rsidR="003141D1" w:rsidRDefault="003141D1" w:rsidP="00F848B3">
      <w:pPr>
        <w:spacing w:after="120"/>
        <w:jc w:val="both"/>
        <w:rPr>
          <w:rFonts w:ascii="Bookman Old Style" w:hAnsi="Bookman Old Style"/>
        </w:rPr>
      </w:pPr>
    </w:p>
    <w:p w:rsidR="00592D7B" w:rsidRDefault="008E5786" w:rsidP="00F848B3">
      <w:pPr>
        <w:spacing w:after="120"/>
        <w:jc w:val="both"/>
        <w:rPr>
          <w:rFonts w:ascii="Bookman Old Style" w:hAnsi="Bookman Old Style"/>
        </w:rPr>
      </w:pPr>
      <w:r w:rsidRPr="00F848B3">
        <w:rPr>
          <w:rFonts w:ascii="Bookman Old Style" w:hAnsi="Bookman Old Style"/>
        </w:rPr>
        <w:t xml:space="preserve"> funzionali</w:t>
      </w:r>
      <w:r w:rsidR="00A41CBB">
        <w:rPr>
          <w:rFonts w:ascii="Bookman Old Style" w:hAnsi="Bookman Old Style"/>
        </w:rPr>
        <w:t xml:space="preserve"> </w:t>
      </w:r>
      <w:r w:rsidRPr="00F848B3">
        <w:rPr>
          <w:rFonts w:ascii="Bookman Old Style" w:hAnsi="Bookman Old Style"/>
        </w:rPr>
        <w:t>al</w:t>
      </w:r>
      <w:r w:rsidR="00A41CBB">
        <w:rPr>
          <w:rFonts w:ascii="Bookman Old Style" w:hAnsi="Bookman Old Style"/>
        </w:rPr>
        <w:t xml:space="preserve"> </w:t>
      </w:r>
      <w:r w:rsidRPr="00F848B3">
        <w:rPr>
          <w:rFonts w:ascii="Bookman Old Style" w:hAnsi="Bookman Old Style"/>
        </w:rPr>
        <w:t>recupero</w:t>
      </w:r>
      <w:r w:rsidR="00A41CBB">
        <w:rPr>
          <w:rFonts w:ascii="Bookman Old Style" w:hAnsi="Bookman Old Style"/>
        </w:rPr>
        <w:t xml:space="preserve"> </w:t>
      </w:r>
      <w:r w:rsidRPr="00F848B3">
        <w:rPr>
          <w:rFonts w:ascii="Bookman Old Style" w:hAnsi="Bookman Old Style"/>
        </w:rPr>
        <w:t>di</w:t>
      </w:r>
      <w:r w:rsidR="00A41CBB">
        <w:rPr>
          <w:rFonts w:ascii="Bookman Old Style" w:hAnsi="Bookman Old Style"/>
        </w:rPr>
        <w:t xml:space="preserve"> </w:t>
      </w:r>
      <w:r w:rsidRPr="00F848B3">
        <w:rPr>
          <w:rFonts w:ascii="Bookman Old Style" w:hAnsi="Bookman Old Style"/>
        </w:rPr>
        <w:t>risorse</w:t>
      </w:r>
      <w:r w:rsidR="00A41CBB">
        <w:rPr>
          <w:rFonts w:ascii="Bookman Old Style" w:hAnsi="Bookman Old Style"/>
        </w:rPr>
        <w:t xml:space="preserve"> </w:t>
      </w:r>
      <w:r w:rsidRPr="00F848B3">
        <w:rPr>
          <w:rFonts w:ascii="Bookman Old Style" w:hAnsi="Bookman Old Style"/>
        </w:rPr>
        <w:t>per</w:t>
      </w:r>
      <w:r w:rsidR="00A41CBB">
        <w:rPr>
          <w:rFonts w:ascii="Bookman Old Style" w:hAnsi="Bookman Old Style"/>
        </w:rPr>
        <w:t xml:space="preserve"> </w:t>
      </w:r>
      <w:r w:rsidRPr="00F848B3">
        <w:rPr>
          <w:rFonts w:ascii="Bookman Old Style" w:hAnsi="Bookman Old Style"/>
        </w:rPr>
        <w:t>la</w:t>
      </w:r>
      <w:r w:rsidR="00A41CBB">
        <w:rPr>
          <w:rFonts w:ascii="Bookman Old Style" w:hAnsi="Bookman Old Style"/>
        </w:rPr>
        <w:t xml:space="preserve"> </w:t>
      </w:r>
      <w:r w:rsidRPr="00F848B3">
        <w:rPr>
          <w:rFonts w:ascii="Bookman Old Style" w:hAnsi="Bookman Old Style"/>
        </w:rPr>
        <w:t>tenuta</w:t>
      </w:r>
      <w:r w:rsidR="00A41CBB">
        <w:rPr>
          <w:rFonts w:ascii="Bookman Old Style" w:hAnsi="Bookman Old Style"/>
        </w:rPr>
        <w:t xml:space="preserve"> </w:t>
      </w:r>
      <w:r w:rsidRPr="00F848B3">
        <w:rPr>
          <w:rFonts w:ascii="Bookman Old Style" w:hAnsi="Bookman Old Style"/>
        </w:rPr>
        <w:t>dei</w:t>
      </w:r>
      <w:r w:rsidR="00A41CBB">
        <w:rPr>
          <w:rFonts w:ascii="Bookman Old Style" w:hAnsi="Bookman Old Style"/>
        </w:rPr>
        <w:t xml:space="preserve"> </w:t>
      </w:r>
      <w:r w:rsidRPr="00F848B3">
        <w:rPr>
          <w:rFonts w:ascii="Bookman Old Style" w:hAnsi="Bookman Old Style"/>
        </w:rPr>
        <w:t>conti</w:t>
      </w:r>
      <w:r w:rsidR="00A41CBB">
        <w:rPr>
          <w:rFonts w:ascii="Bookman Old Style" w:hAnsi="Bookman Old Style"/>
        </w:rPr>
        <w:t xml:space="preserve"> </w:t>
      </w:r>
      <w:r w:rsidRPr="00F848B3">
        <w:rPr>
          <w:rFonts w:ascii="Bookman Old Style" w:hAnsi="Bookman Old Style"/>
        </w:rPr>
        <w:t>pubblici</w:t>
      </w:r>
      <w:r w:rsidR="00A41CBB">
        <w:rPr>
          <w:rFonts w:ascii="Bookman Old Style" w:hAnsi="Bookman Old Style"/>
        </w:rPr>
        <w:t xml:space="preserve"> </w:t>
      </w:r>
      <w:r w:rsidRPr="00F848B3">
        <w:rPr>
          <w:rFonts w:ascii="Bookman Old Style" w:hAnsi="Bookman Old Style"/>
        </w:rPr>
        <w:t>e</w:t>
      </w:r>
      <w:r w:rsidR="00A41CBB">
        <w:rPr>
          <w:rFonts w:ascii="Bookman Old Style" w:hAnsi="Bookman Old Style"/>
        </w:rPr>
        <w:t xml:space="preserve"> </w:t>
      </w:r>
      <w:r w:rsidRPr="00F848B3">
        <w:rPr>
          <w:rFonts w:ascii="Bookman Old Style" w:hAnsi="Bookman Old Style"/>
        </w:rPr>
        <w:t>per</w:t>
      </w:r>
      <w:r w:rsidR="00A41CBB">
        <w:rPr>
          <w:rFonts w:ascii="Bookman Old Style" w:hAnsi="Bookman Old Style"/>
        </w:rPr>
        <w:t xml:space="preserve"> </w:t>
      </w:r>
      <w:r w:rsidRPr="00F848B3">
        <w:rPr>
          <w:rFonts w:ascii="Bookman Old Style" w:hAnsi="Bookman Old Style"/>
        </w:rPr>
        <w:t>il</w:t>
      </w:r>
      <w:r w:rsidR="00A41CBB">
        <w:rPr>
          <w:rFonts w:ascii="Bookman Old Style" w:hAnsi="Bookman Old Style"/>
        </w:rPr>
        <w:t xml:space="preserve"> </w:t>
      </w:r>
      <w:r w:rsidRPr="00F848B3">
        <w:rPr>
          <w:rFonts w:ascii="Bookman Old Style" w:hAnsi="Bookman Old Style"/>
        </w:rPr>
        <w:t>rispetto</w:t>
      </w:r>
      <w:r w:rsidR="00A41CBB">
        <w:rPr>
          <w:rFonts w:ascii="Bookman Old Style" w:hAnsi="Bookman Old Style"/>
        </w:rPr>
        <w:t xml:space="preserve"> </w:t>
      </w:r>
      <w:r w:rsidRPr="00F848B3">
        <w:rPr>
          <w:rFonts w:ascii="Bookman Old Style" w:hAnsi="Bookman Old Style"/>
        </w:rPr>
        <w:t>degli obblighi assunti in sede UE.</w:t>
      </w:r>
    </w:p>
    <w:p w:rsidR="009B7B77" w:rsidRDefault="00592D7B" w:rsidP="00592D7B">
      <w:pPr>
        <w:spacing w:after="120"/>
        <w:jc w:val="both"/>
        <w:rPr>
          <w:rFonts w:ascii="Bookman Old Style" w:hAnsi="Bookman Old Style"/>
        </w:rPr>
      </w:pPr>
      <w:r w:rsidRPr="00592D7B">
        <w:rPr>
          <w:rFonts w:ascii="Bookman Old Style" w:hAnsi="Bookman Old Style"/>
        </w:rPr>
        <w:t>Un</w:t>
      </w:r>
      <w:r w:rsidR="00A41CBB">
        <w:rPr>
          <w:rFonts w:ascii="Bookman Old Style" w:hAnsi="Bookman Old Style"/>
        </w:rPr>
        <w:t xml:space="preserve"> </w:t>
      </w:r>
      <w:r w:rsidRPr="00592D7B">
        <w:rPr>
          <w:rFonts w:ascii="Bookman Old Style" w:hAnsi="Bookman Old Style"/>
        </w:rPr>
        <w:t>intervento</w:t>
      </w:r>
      <w:r w:rsidR="00A41CBB">
        <w:rPr>
          <w:rFonts w:ascii="Bookman Old Style" w:hAnsi="Bookman Old Style"/>
        </w:rPr>
        <w:t xml:space="preserve"> </w:t>
      </w:r>
      <w:r w:rsidRPr="00592D7B">
        <w:rPr>
          <w:rFonts w:ascii="Bookman Old Style" w:hAnsi="Bookman Old Style"/>
        </w:rPr>
        <w:t>di</w:t>
      </w:r>
      <w:r w:rsidR="00A41CBB">
        <w:rPr>
          <w:rFonts w:ascii="Bookman Old Style" w:hAnsi="Bookman Old Style"/>
        </w:rPr>
        <w:t xml:space="preserve"> </w:t>
      </w:r>
      <w:r w:rsidRPr="00592D7B">
        <w:rPr>
          <w:rFonts w:ascii="Bookman Old Style" w:hAnsi="Bookman Old Style"/>
        </w:rPr>
        <w:t>complessiva</w:t>
      </w:r>
      <w:r w:rsidR="00A41CBB">
        <w:rPr>
          <w:rFonts w:ascii="Bookman Old Style" w:hAnsi="Bookman Old Style"/>
        </w:rPr>
        <w:t xml:space="preserve"> </w:t>
      </w:r>
      <w:r w:rsidRPr="00592D7B">
        <w:rPr>
          <w:rFonts w:ascii="Bookman Old Style" w:hAnsi="Bookman Old Style"/>
        </w:rPr>
        <w:t>riorganizzazione</w:t>
      </w:r>
      <w:r w:rsidR="00A41CBB">
        <w:rPr>
          <w:rFonts w:ascii="Bookman Old Style" w:hAnsi="Bookman Old Style"/>
        </w:rPr>
        <w:t xml:space="preserve"> </w:t>
      </w:r>
      <w:r w:rsidRPr="00592D7B">
        <w:rPr>
          <w:rFonts w:ascii="Bookman Old Style" w:hAnsi="Bookman Old Style"/>
        </w:rPr>
        <w:t>del</w:t>
      </w:r>
      <w:r w:rsidR="00A41CBB">
        <w:rPr>
          <w:rFonts w:ascii="Bookman Old Style" w:hAnsi="Bookman Old Style"/>
        </w:rPr>
        <w:t xml:space="preserve"> </w:t>
      </w:r>
      <w:r w:rsidRPr="00592D7B">
        <w:rPr>
          <w:rFonts w:ascii="Bookman Old Style" w:hAnsi="Bookman Old Style"/>
        </w:rPr>
        <w:t>sistema</w:t>
      </w:r>
      <w:r w:rsidR="00A41CBB">
        <w:rPr>
          <w:rFonts w:ascii="Bookman Old Style" w:hAnsi="Bookman Old Style"/>
        </w:rPr>
        <w:t xml:space="preserve"> </w:t>
      </w:r>
      <w:r w:rsidRPr="00592D7B">
        <w:rPr>
          <w:rFonts w:ascii="Bookman Old Style" w:hAnsi="Bookman Old Style"/>
        </w:rPr>
        <w:t>fiscale</w:t>
      </w:r>
      <w:r w:rsidR="00A41CBB">
        <w:rPr>
          <w:rFonts w:ascii="Bookman Old Style" w:hAnsi="Bookman Old Style"/>
        </w:rPr>
        <w:t xml:space="preserve"> </w:t>
      </w:r>
      <w:r w:rsidRPr="00592D7B">
        <w:rPr>
          <w:rFonts w:ascii="Bookman Old Style" w:hAnsi="Bookman Old Style"/>
        </w:rPr>
        <w:t>locale</w:t>
      </w:r>
      <w:r w:rsidR="00A41CBB">
        <w:rPr>
          <w:rFonts w:ascii="Bookman Old Style" w:hAnsi="Bookman Old Style"/>
        </w:rPr>
        <w:t xml:space="preserve"> </w:t>
      </w:r>
      <w:r w:rsidRPr="00592D7B">
        <w:rPr>
          <w:rFonts w:ascii="Bookman Old Style" w:hAnsi="Bookman Old Style"/>
        </w:rPr>
        <w:t>è</w:t>
      </w:r>
      <w:r w:rsidR="00A41CBB">
        <w:rPr>
          <w:rFonts w:ascii="Bookman Old Style" w:hAnsi="Bookman Old Style"/>
        </w:rPr>
        <w:t xml:space="preserve"> </w:t>
      </w:r>
      <w:r w:rsidRPr="00592D7B">
        <w:rPr>
          <w:rFonts w:ascii="Bookman Old Style" w:hAnsi="Bookman Old Style"/>
        </w:rPr>
        <w:t>certo</w:t>
      </w:r>
      <w:r w:rsidR="00A41CBB">
        <w:rPr>
          <w:rFonts w:ascii="Bookman Old Style" w:hAnsi="Bookman Old Style"/>
        </w:rPr>
        <w:t xml:space="preserve"> </w:t>
      </w:r>
      <w:r w:rsidRPr="00592D7B">
        <w:rPr>
          <w:rFonts w:ascii="Bookman Old Style" w:hAnsi="Bookman Old Style"/>
        </w:rPr>
        <w:t>difficile,</w:t>
      </w:r>
      <w:r>
        <w:rPr>
          <w:rFonts w:ascii="Bookman Old Style" w:hAnsi="Bookman Old Style"/>
        </w:rPr>
        <w:t xml:space="preserve"> </w:t>
      </w:r>
      <w:r w:rsidRPr="00592D7B">
        <w:rPr>
          <w:rFonts w:ascii="Bookman Old Style" w:hAnsi="Bookman Old Style"/>
        </w:rPr>
        <w:t>ma</w:t>
      </w:r>
      <w:r w:rsidR="00A41CBB">
        <w:rPr>
          <w:rFonts w:ascii="Bookman Old Style" w:hAnsi="Bookman Old Style"/>
        </w:rPr>
        <w:t xml:space="preserve"> </w:t>
      </w:r>
      <w:r w:rsidRPr="00592D7B">
        <w:rPr>
          <w:rFonts w:ascii="Bookman Old Style" w:hAnsi="Bookman Old Style"/>
        </w:rPr>
        <w:t>quanto</w:t>
      </w:r>
      <w:r w:rsidR="00A41CBB">
        <w:rPr>
          <w:rFonts w:ascii="Bookman Old Style" w:hAnsi="Bookman Old Style"/>
        </w:rPr>
        <w:t xml:space="preserve"> </w:t>
      </w:r>
      <w:r w:rsidRPr="00592D7B">
        <w:rPr>
          <w:rFonts w:ascii="Bookman Old Style" w:hAnsi="Bookman Old Style"/>
        </w:rPr>
        <w:t>mai</w:t>
      </w:r>
      <w:r w:rsidR="00A41CBB">
        <w:rPr>
          <w:rFonts w:ascii="Bookman Old Style" w:hAnsi="Bookman Old Style"/>
        </w:rPr>
        <w:t xml:space="preserve"> </w:t>
      </w:r>
      <w:r w:rsidRPr="00592D7B">
        <w:rPr>
          <w:rFonts w:ascii="Bookman Old Style" w:hAnsi="Bookman Old Style"/>
        </w:rPr>
        <w:t>necessario.</w:t>
      </w:r>
      <w:r w:rsidR="00A41CBB">
        <w:rPr>
          <w:rFonts w:ascii="Bookman Old Style" w:hAnsi="Bookman Old Style"/>
        </w:rPr>
        <w:t xml:space="preserve"> </w:t>
      </w:r>
      <w:r w:rsidRPr="00592D7B">
        <w:rPr>
          <w:rFonts w:ascii="Bookman Old Style" w:hAnsi="Bookman Old Style"/>
        </w:rPr>
        <w:t>Tra</w:t>
      </w:r>
      <w:r w:rsidR="00A41CBB">
        <w:rPr>
          <w:rFonts w:ascii="Bookman Old Style" w:hAnsi="Bookman Old Style"/>
        </w:rPr>
        <w:t xml:space="preserve"> </w:t>
      </w:r>
      <w:r w:rsidRPr="00592D7B">
        <w:rPr>
          <w:rFonts w:ascii="Bookman Old Style" w:hAnsi="Bookman Old Style"/>
        </w:rPr>
        <w:t>le</w:t>
      </w:r>
      <w:r w:rsidR="00A41CBB">
        <w:rPr>
          <w:rFonts w:ascii="Bookman Old Style" w:hAnsi="Bookman Old Style"/>
        </w:rPr>
        <w:t xml:space="preserve"> </w:t>
      </w:r>
      <w:r w:rsidRPr="00592D7B">
        <w:rPr>
          <w:rFonts w:ascii="Bookman Old Style" w:hAnsi="Bookman Old Style"/>
        </w:rPr>
        <w:t>riforme</w:t>
      </w:r>
      <w:r w:rsidR="00A41CBB">
        <w:rPr>
          <w:rFonts w:ascii="Bookman Old Style" w:hAnsi="Bookman Old Style"/>
        </w:rPr>
        <w:t xml:space="preserve"> </w:t>
      </w:r>
      <w:r w:rsidRPr="00592D7B">
        <w:rPr>
          <w:rFonts w:ascii="Bookman Old Style" w:hAnsi="Bookman Old Style"/>
        </w:rPr>
        <w:t>inattuate,</w:t>
      </w:r>
      <w:r w:rsidR="00A41CBB">
        <w:rPr>
          <w:rFonts w:ascii="Bookman Old Style" w:hAnsi="Bookman Old Style"/>
        </w:rPr>
        <w:t xml:space="preserve"> </w:t>
      </w:r>
      <w:r w:rsidRPr="00592D7B">
        <w:rPr>
          <w:rFonts w:ascii="Bookman Old Style" w:hAnsi="Bookman Old Style"/>
        </w:rPr>
        <w:t>ancorché</w:t>
      </w:r>
      <w:r w:rsidR="00A41CBB">
        <w:rPr>
          <w:rFonts w:ascii="Bookman Old Style" w:hAnsi="Bookman Old Style"/>
        </w:rPr>
        <w:t xml:space="preserve"> </w:t>
      </w:r>
      <w:r w:rsidRPr="00592D7B">
        <w:rPr>
          <w:rFonts w:ascii="Bookman Old Style" w:hAnsi="Bookman Old Style"/>
        </w:rPr>
        <w:t>sollecitate</w:t>
      </w:r>
      <w:r w:rsidR="00A41CBB">
        <w:rPr>
          <w:rFonts w:ascii="Bookman Old Style" w:hAnsi="Bookman Old Style"/>
        </w:rPr>
        <w:t xml:space="preserve"> </w:t>
      </w:r>
      <w:r w:rsidRPr="00592D7B">
        <w:rPr>
          <w:rFonts w:ascii="Bookman Old Style" w:hAnsi="Bookman Old Style"/>
        </w:rPr>
        <w:t>anche</w:t>
      </w:r>
      <w:r w:rsidR="00A41CBB">
        <w:rPr>
          <w:rFonts w:ascii="Bookman Old Style" w:hAnsi="Bookman Old Style"/>
        </w:rPr>
        <w:t xml:space="preserve"> </w:t>
      </w:r>
      <w:r w:rsidRPr="00592D7B">
        <w:rPr>
          <w:rFonts w:ascii="Bookman Old Style" w:hAnsi="Bookman Old Style"/>
        </w:rPr>
        <w:t>in</w:t>
      </w:r>
      <w:r w:rsidR="00A41CBB">
        <w:rPr>
          <w:rFonts w:ascii="Bookman Old Style" w:hAnsi="Bookman Old Style"/>
        </w:rPr>
        <w:t xml:space="preserve"> </w:t>
      </w:r>
      <w:r w:rsidRPr="00592D7B">
        <w:rPr>
          <w:rFonts w:ascii="Bookman Old Style" w:hAnsi="Bookman Old Style"/>
        </w:rPr>
        <w:t>sede comunitaria,</w:t>
      </w:r>
      <w:r w:rsidR="00A41CBB">
        <w:rPr>
          <w:rFonts w:ascii="Bookman Old Style" w:hAnsi="Bookman Old Style"/>
        </w:rPr>
        <w:t xml:space="preserve"> </w:t>
      </w:r>
      <w:r w:rsidRPr="00592D7B">
        <w:rPr>
          <w:rFonts w:ascii="Bookman Old Style" w:hAnsi="Bookman Old Style"/>
        </w:rPr>
        <w:t>va</w:t>
      </w:r>
      <w:r w:rsidR="00A41CBB">
        <w:rPr>
          <w:rFonts w:ascii="Bookman Old Style" w:hAnsi="Bookman Old Style"/>
        </w:rPr>
        <w:t xml:space="preserve"> </w:t>
      </w:r>
      <w:r w:rsidRPr="00592D7B">
        <w:rPr>
          <w:rFonts w:ascii="Bookman Old Style" w:hAnsi="Bookman Old Style"/>
        </w:rPr>
        <w:t>ricordata</w:t>
      </w:r>
      <w:r w:rsidR="00A41CBB">
        <w:rPr>
          <w:rFonts w:ascii="Bookman Old Style" w:hAnsi="Bookman Old Style"/>
        </w:rPr>
        <w:t xml:space="preserve"> </w:t>
      </w:r>
      <w:r w:rsidRPr="00592D7B">
        <w:rPr>
          <w:rFonts w:ascii="Bookman Old Style" w:hAnsi="Bookman Old Style"/>
        </w:rPr>
        <w:t>quella</w:t>
      </w:r>
      <w:r w:rsidR="00A41CBB">
        <w:rPr>
          <w:rFonts w:ascii="Bookman Old Style" w:hAnsi="Bookman Old Style"/>
        </w:rPr>
        <w:t xml:space="preserve"> </w:t>
      </w:r>
      <w:r w:rsidRPr="00592D7B">
        <w:rPr>
          <w:rFonts w:ascii="Bookman Old Style" w:hAnsi="Bookman Old Style"/>
        </w:rPr>
        <w:t>relativa</w:t>
      </w:r>
      <w:r w:rsidR="00A41CBB">
        <w:rPr>
          <w:rFonts w:ascii="Bookman Old Style" w:hAnsi="Bookman Old Style"/>
        </w:rPr>
        <w:t xml:space="preserve"> </w:t>
      </w:r>
      <w:r w:rsidRPr="00592D7B">
        <w:rPr>
          <w:rFonts w:ascii="Bookman Old Style" w:hAnsi="Bookman Old Style"/>
        </w:rPr>
        <w:t>al</w:t>
      </w:r>
      <w:r w:rsidR="00A41CBB">
        <w:rPr>
          <w:rFonts w:ascii="Bookman Old Style" w:hAnsi="Bookman Old Style"/>
        </w:rPr>
        <w:t xml:space="preserve"> </w:t>
      </w:r>
      <w:r w:rsidRPr="00592D7B">
        <w:rPr>
          <w:rFonts w:ascii="Bookman Old Style" w:hAnsi="Bookman Old Style"/>
        </w:rPr>
        <w:t>catasto,</w:t>
      </w:r>
      <w:r w:rsidR="00A41CBB">
        <w:rPr>
          <w:rFonts w:ascii="Bookman Old Style" w:hAnsi="Bookman Old Style"/>
        </w:rPr>
        <w:t xml:space="preserve"> </w:t>
      </w:r>
      <w:r w:rsidRPr="00592D7B">
        <w:rPr>
          <w:rFonts w:ascii="Bookman Old Style" w:hAnsi="Bookman Old Style"/>
        </w:rPr>
        <w:t>i</w:t>
      </w:r>
      <w:r w:rsidR="00A41CBB">
        <w:rPr>
          <w:rFonts w:ascii="Bookman Old Style" w:hAnsi="Bookman Old Style"/>
        </w:rPr>
        <w:t xml:space="preserve"> </w:t>
      </w:r>
      <w:r w:rsidRPr="00592D7B">
        <w:rPr>
          <w:rFonts w:ascii="Bookman Old Style" w:hAnsi="Bookman Old Style"/>
        </w:rPr>
        <w:t>cui</w:t>
      </w:r>
      <w:r w:rsidR="00A41CBB">
        <w:rPr>
          <w:rFonts w:ascii="Bookman Old Style" w:hAnsi="Bookman Old Style"/>
        </w:rPr>
        <w:t xml:space="preserve"> </w:t>
      </w:r>
      <w:r w:rsidRPr="00592D7B">
        <w:rPr>
          <w:rFonts w:ascii="Bookman Old Style" w:hAnsi="Bookman Old Style"/>
        </w:rPr>
        <w:t>valori</w:t>
      </w:r>
      <w:r w:rsidR="00A41CBB">
        <w:rPr>
          <w:rFonts w:ascii="Bookman Old Style" w:hAnsi="Bookman Old Style"/>
        </w:rPr>
        <w:t xml:space="preserve"> </w:t>
      </w:r>
      <w:r w:rsidRPr="00592D7B">
        <w:rPr>
          <w:rFonts w:ascii="Bookman Old Style" w:hAnsi="Bookman Old Style"/>
        </w:rPr>
        <w:t>obsoleti</w:t>
      </w:r>
      <w:r w:rsidR="00A41CBB">
        <w:rPr>
          <w:rFonts w:ascii="Bookman Old Style" w:hAnsi="Bookman Old Style"/>
        </w:rPr>
        <w:t xml:space="preserve"> </w:t>
      </w:r>
      <w:r w:rsidRPr="00592D7B">
        <w:rPr>
          <w:rFonts w:ascii="Bookman Old Style" w:hAnsi="Bookman Old Style"/>
        </w:rPr>
        <w:t>incidono direttamente</w:t>
      </w:r>
      <w:r w:rsidR="00A41CBB">
        <w:rPr>
          <w:rFonts w:ascii="Bookman Old Style" w:hAnsi="Bookman Old Style"/>
        </w:rPr>
        <w:t xml:space="preserve"> </w:t>
      </w:r>
      <w:r w:rsidRPr="00592D7B">
        <w:rPr>
          <w:rFonts w:ascii="Bookman Old Style" w:hAnsi="Bookman Old Style"/>
        </w:rPr>
        <w:t>sulla</w:t>
      </w:r>
      <w:r w:rsidR="00A41CBB">
        <w:rPr>
          <w:rFonts w:ascii="Bookman Old Style" w:hAnsi="Bookman Old Style"/>
        </w:rPr>
        <w:t xml:space="preserve"> </w:t>
      </w:r>
      <w:r w:rsidRPr="00592D7B">
        <w:rPr>
          <w:rFonts w:ascii="Bookman Old Style" w:hAnsi="Bookman Old Style"/>
        </w:rPr>
        <w:t>ripartizione</w:t>
      </w:r>
      <w:r w:rsidR="00A41CBB">
        <w:rPr>
          <w:rFonts w:ascii="Bookman Old Style" w:hAnsi="Bookman Old Style"/>
        </w:rPr>
        <w:t xml:space="preserve"> </w:t>
      </w:r>
      <w:r w:rsidRPr="00592D7B">
        <w:rPr>
          <w:rFonts w:ascii="Bookman Old Style" w:hAnsi="Bookman Old Style"/>
        </w:rPr>
        <w:t>dei</w:t>
      </w:r>
      <w:r w:rsidR="00A41CBB">
        <w:rPr>
          <w:rFonts w:ascii="Bookman Old Style" w:hAnsi="Bookman Old Style"/>
        </w:rPr>
        <w:t xml:space="preserve"> </w:t>
      </w:r>
      <w:r w:rsidRPr="00592D7B">
        <w:rPr>
          <w:rFonts w:ascii="Bookman Old Style" w:hAnsi="Bookman Old Style"/>
        </w:rPr>
        <w:t>carichi</w:t>
      </w:r>
      <w:r w:rsidR="00A41CBB">
        <w:rPr>
          <w:rFonts w:ascii="Bookman Old Style" w:hAnsi="Bookman Old Style"/>
        </w:rPr>
        <w:t xml:space="preserve"> </w:t>
      </w:r>
      <w:r w:rsidRPr="00592D7B">
        <w:rPr>
          <w:rFonts w:ascii="Bookman Old Style" w:hAnsi="Bookman Old Style"/>
        </w:rPr>
        <w:t>fiscali</w:t>
      </w:r>
      <w:r w:rsidR="00A41CBB">
        <w:rPr>
          <w:rFonts w:ascii="Bookman Old Style" w:hAnsi="Bookman Old Style"/>
        </w:rPr>
        <w:t xml:space="preserve"> </w:t>
      </w:r>
      <w:r w:rsidRPr="00592D7B">
        <w:rPr>
          <w:rFonts w:ascii="Bookman Old Style" w:hAnsi="Bookman Old Style"/>
        </w:rPr>
        <w:t>tra</w:t>
      </w:r>
      <w:r w:rsidR="00A41CBB">
        <w:rPr>
          <w:rFonts w:ascii="Bookman Old Style" w:hAnsi="Bookman Old Style"/>
        </w:rPr>
        <w:t xml:space="preserve"> </w:t>
      </w:r>
      <w:r w:rsidRPr="00592D7B">
        <w:rPr>
          <w:rFonts w:ascii="Bookman Old Style" w:hAnsi="Bookman Old Style"/>
        </w:rPr>
        <w:t>i</w:t>
      </w:r>
      <w:r w:rsidR="00A41CBB">
        <w:rPr>
          <w:rFonts w:ascii="Bookman Old Style" w:hAnsi="Bookman Old Style"/>
        </w:rPr>
        <w:t xml:space="preserve"> </w:t>
      </w:r>
      <w:r w:rsidRPr="00592D7B">
        <w:rPr>
          <w:rFonts w:ascii="Bookman Old Style" w:hAnsi="Bookman Old Style"/>
        </w:rPr>
        <w:t>contribuenti</w:t>
      </w:r>
      <w:r w:rsidR="00A41CBB">
        <w:rPr>
          <w:rFonts w:ascii="Bookman Old Style" w:hAnsi="Bookman Old Style"/>
        </w:rPr>
        <w:t xml:space="preserve"> </w:t>
      </w:r>
      <w:r w:rsidRPr="00592D7B">
        <w:rPr>
          <w:rFonts w:ascii="Bookman Old Style" w:hAnsi="Bookman Old Style"/>
        </w:rPr>
        <w:t>e</w:t>
      </w:r>
      <w:r w:rsidR="00A41CBB">
        <w:rPr>
          <w:rFonts w:ascii="Bookman Old Style" w:hAnsi="Bookman Old Style"/>
        </w:rPr>
        <w:t xml:space="preserve"> </w:t>
      </w:r>
      <w:r w:rsidRPr="00592D7B">
        <w:rPr>
          <w:rFonts w:ascii="Bookman Old Style" w:hAnsi="Bookman Old Style"/>
        </w:rPr>
        <w:t>delle</w:t>
      </w:r>
      <w:r w:rsidR="00A41CBB">
        <w:rPr>
          <w:rFonts w:ascii="Bookman Old Style" w:hAnsi="Bookman Old Style"/>
        </w:rPr>
        <w:t xml:space="preserve"> </w:t>
      </w:r>
      <w:r w:rsidRPr="00592D7B">
        <w:rPr>
          <w:rFonts w:ascii="Bookman Old Style" w:hAnsi="Bookman Old Style"/>
        </w:rPr>
        <w:t>risorse</w:t>
      </w:r>
      <w:r w:rsidR="00A41CBB">
        <w:rPr>
          <w:rFonts w:ascii="Bookman Old Style" w:hAnsi="Bookman Old Style"/>
        </w:rPr>
        <w:t xml:space="preserve"> </w:t>
      </w:r>
      <w:r w:rsidRPr="00592D7B">
        <w:rPr>
          <w:rFonts w:ascii="Bookman Old Style" w:hAnsi="Bookman Old Style"/>
        </w:rPr>
        <w:t>tra</w:t>
      </w:r>
      <w:r w:rsidR="00A41CBB">
        <w:rPr>
          <w:rFonts w:ascii="Bookman Old Style" w:hAnsi="Bookman Old Style"/>
        </w:rPr>
        <w:t xml:space="preserve"> </w:t>
      </w:r>
      <w:r w:rsidRPr="00592D7B">
        <w:rPr>
          <w:rFonts w:ascii="Bookman Old Style" w:hAnsi="Bookman Old Style"/>
        </w:rPr>
        <w:t>i comuni.</w:t>
      </w:r>
      <w:r>
        <w:rPr>
          <w:rFonts w:ascii="Bookman Old Style" w:hAnsi="Bookman Old Style"/>
        </w:rPr>
        <w:t xml:space="preserve"> </w:t>
      </w:r>
      <w:r w:rsidRPr="00592D7B">
        <w:rPr>
          <w:rFonts w:ascii="Bookman Old Style" w:hAnsi="Bookman Old Style"/>
        </w:rPr>
        <w:t xml:space="preserve">Qualche prospettiva di intervento si è </w:t>
      </w:r>
      <w:r w:rsidR="00B41908">
        <w:rPr>
          <w:rFonts w:ascii="Bookman Old Style" w:hAnsi="Bookman Old Style"/>
        </w:rPr>
        <w:t xml:space="preserve">invece </w:t>
      </w:r>
      <w:r w:rsidRPr="00592D7B">
        <w:rPr>
          <w:rFonts w:ascii="Bookman Old Style" w:hAnsi="Bookman Old Style"/>
        </w:rPr>
        <w:t xml:space="preserve">aperta nei mesi scorsi in tema di </w:t>
      </w:r>
      <w:r w:rsidRPr="00BE3EA4">
        <w:rPr>
          <w:rFonts w:ascii="Bookman Old Style" w:hAnsi="Bookman Old Style"/>
          <w:b/>
        </w:rPr>
        <w:t>riscossione locale</w:t>
      </w:r>
      <w:r w:rsidRPr="00592D7B">
        <w:rPr>
          <w:rFonts w:ascii="Bookman Old Style" w:hAnsi="Bookman Old Style"/>
        </w:rPr>
        <w:t>, come</w:t>
      </w:r>
      <w:r w:rsidR="00A41CBB">
        <w:rPr>
          <w:rFonts w:ascii="Bookman Old Style" w:hAnsi="Bookman Old Style"/>
        </w:rPr>
        <w:t xml:space="preserve"> </w:t>
      </w:r>
      <w:r w:rsidRPr="00592D7B">
        <w:rPr>
          <w:rFonts w:ascii="Bookman Old Style" w:hAnsi="Bookman Old Style"/>
        </w:rPr>
        <w:t>riportiamo</w:t>
      </w:r>
      <w:r w:rsidR="00A41CBB">
        <w:rPr>
          <w:rFonts w:ascii="Bookman Old Style" w:hAnsi="Bookman Old Style"/>
        </w:rPr>
        <w:t xml:space="preserve"> </w:t>
      </w:r>
      <w:r w:rsidRPr="00592D7B">
        <w:rPr>
          <w:rFonts w:ascii="Bookman Old Style" w:hAnsi="Bookman Old Style"/>
        </w:rPr>
        <w:t>nel</w:t>
      </w:r>
      <w:r w:rsidR="00A41CBB">
        <w:rPr>
          <w:rFonts w:ascii="Bookman Old Style" w:hAnsi="Bookman Old Style"/>
        </w:rPr>
        <w:t xml:space="preserve"> </w:t>
      </w:r>
      <w:r w:rsidRPr="00592D7B">
        <w:rPr>
          <w:rFonts w:ascii="Bookman Old Style" w:hAnsi="Bookman Old Style"/>
        </w:rPr>
        <w:t>seguito</w:t>
      </w:r>
      <w:r>
        <w:rPr>
          <w:rFonts w:ascii="Bookman Old Style" w:hAnsi="Bookman Old Style"/>
        </w:rPr>
        <w:t xml:space="preserve">, che </w:t>
      </w:r>
      <w:r w:rsidR="00AD7C20" w:rsidRPr="0098460D">
        <w:rPr>
          <w:rFonts w:ascii="Bookman Old Style" w:hAnsi="Bookman Old Style"/>
        </w:rPr>
        <w:t>è</w:t>
      </w:r>
      <w:r w:rsidR="00AD7C20">
        <w:rPr>
          <w:rFonts w:ascii="Bookman Old Style" w:hAnsi="Bookman Old Style"/>
        </w:rPr>
        <w:t xml:space="preserve"> </w:t>
      </w:r>
      <w:r w:rsidR="004232AB">
        <w:rPr>
          <w:rFonts w:ascii="Bookman Old Style" w:hAnsi="Bookman Old Style"/>
        </w:rPr>
        <w:t xml:space="preserve">divenuta un fronte di intervento ineludibile </w:t>
      </w:r>
      <w:r>
        <w:rPr>
          <w:rFonts w:ascii="Bookman Old Style" w:hAnsi="Bookman Old Style"/>
        </w:rPr>
        <w:t>anche a</w:t>
      </w:r>
      <w:r w:rsidR="009B7B77">
        <w:rPr>
          <w:rFonts w:ascii="Bookman Old Style" w:hAnsi="Bookman Old Style"/>
        </w:rPr>
        <w:t>l</w:t>
      </w:r>
      <w:r>
        <w:rPr>
          <w:rFonts w:ascii="Bookman Old Style" w:hAnsi="Bookman Old Style"/>
        </w:rPr>
        <w:t>la luce</w:t>
      </w:r>
      <w:r w:rsidR="009B7B77">
        <w:rPr>
          <w:rFonts w:ascii="Bookman Old Style" w:hAnsi="Bookman Old Style"/>
        </w:rPr>
        <w:t xml:space="preserve"> dei riflessi che i nuovi dispositivi della contabilità armonizzata producono su</w:t>
      </w:r>
      <w:r w:rsidR="00B41908">
        <w:rPr>
          <w:rFonts w:ascii="Bookman Old Style" w:hAnsi="Bookman Old Style"/>
        </w:rPr>
        <w:t>l bilancio</w:t>
      </w:r>
      <w:r w:rsidR="0098460D">
        <w:rPr>
          <w:rFonts w:ascii="Bookman Old Style" w:hAnsi="Bookman Old Style"/>
        </w:rPr>
        <w:t>.</w:t>
      </w:r>
    </w:p>
    <w:p w:rsidR="00592D7B" w:rsidRDefault="009B7B77" w:rsidP="009B7B77">
      <w:pPr>
        <w:spacing w:after="120"/>
        <w:jc w:val="both"/>
        <w:rPr>
          <w:rFonts w:ascii="Bookman Old Style" w:hAnsi="Bookman Old Style"/>
        </w:rPr>
      </w:pPr>
      <w:r>
        <w:rPr>
          <w:rFonts w:ascii="Bookman Old Style" w:hAnsi="Bookman Old Style"/>
        </w:rPr>
        <w:t>Tra le principali misure</w:t>
      </w:r>
      <w:r w:rsidRPr="009B7B77">
        <w:rPr>
          <w:rFonts w:ascii="Bookman Old Style" w:hAnsi="Bookman Old Style"/>
        </w:rPr>
        <w:t xml:space="preserve"> di razionalizzazione</w:t>
      </w:r>
      <w:r w:rsidR="004232AB">
        <w:rPr>
          <w:rFonts w:ascii="Bookman Old Style" w:hAnsi="Bookman Old Style"/>
        </w:rPr>
        <w:t xml:space="preserve"> fiscale</w:t>
      </w:r>
      <w:r w:rsidRPr="009B7B77">
        <w:rPr>
          <w:rFonts w:ascii="Bookman Old Style" w:hAnsi="Bookman Old Style"/>
        </w:rPr>
        <w:t xml:space="preserve">, l’ANCI propone </w:t>
      </w:r>
      <w:r w:rsidRPr="00BE3EA4">
        <w:rPr>
          <w:rFonts w:ascii="Bookman Old Style" w:hAnsi="Bookman Old Style"/>
          <w:b/>
        </w:rPr>
        <w:t>di riunire IMU</w:t>
      </w:r>
      <w:r w:rsidR="00A41CBB" w:rsidRPr="00BE3EA4">
        <w:rPr>
          <w:rFonts w:ascii="Bookman Old Style" w:hAnsi="Bookman Old Style"/>
          <w:b/>
        </w:rPr>
        <w:t xml:space="preserve"> </w:t>
      </w:r>
      <w:r w:rsidRPr="00BE3EA4">
        <w:rPr>
          <w:rFonts w:ascii="Bookman Old Style" w:hAnsi="Bookman Old Style"/>
          <w:b/>
        </w:rPr>
        <w:t>e</w:t>
      </w:r>
      <w:r w:rsidR="00A41CBB" w:rsidRPr="00BE3EA4">
        <w:rPr>
          <w:rFonts w:ascii="Bookman Old Style" w:hAnsi="Bookman Old Style"/>
          <w:b/>
        </w:rPr>
        <w:t xml:space="preserve"> </w:t>
      </w:r>
      <w:r w:rsidRPr="00BE3EA4">
        <w:rPr>
          <w:rFonts w:ascii="Bookman Old Style" w:hAnsi="Bookman Old Style"/>
          <w:b/>
        </w:rPr>
        <w:t>Tasi</w:t>
      </w:r>
      <w:r w:rsidR="00A41CBB" w:rsidRPr="00BE3EA4">
        <w:rPr>
          <w:rFonts w:ascii="Bookman Old Style" w:hAnsi="Bookman Old Style"/>
          <w:b/>
        </w:rPr>
        <w:t xml:space="preserve"> </w:t>
      </w:r>
      <w:r w:rsidRPr="00BE3EA4">
        <w:rPr>
          <w:rFonts w:ascii="Bookman Old Style" w:hAnsi="Bookman Old Style"/>
          <w:b/>
        </w:rPr>
        <w:t>in</w:t>
      </w:r>
      <w:r w:rsidR="00A41CBB" w:rsidRPr="00BE3EA4">
        <w:rPr>
          <w:rFonts w:ascii="Bookman Old Style" w:hAnsi="Bookman Old Style"/>
          <w:b/>
        </w:rPr>
        <w:t xml:space="preserve"> </w:t>
      </w:r>
      <w:r w:rsidRPr="00BE3EA4">
        <w:rPr>
          <w:rFonts w:ascii="Bookman Old Style" w:hAnsi="Bookman Old Style"/>
          <w:b/>
        </w:rPr>
        <w:t>un</w:t>
      </w:r>
      <w:r w:rsidR="00A41CBB" w:rsidRPr="00BE3EA4">
        <w:rPr>
          <w:rFonts w:ascii="Bookman Old Style" w:hAnsi="Bookman Old Style"/>
          <w:b/>
        </w:rPr>
        <w:t xml:space="preserve"> </w:t>
      </w:r>
      <w:r w:rsidRPr="00BE3EA4">
        <w:rPr>
          <w:rFonts w:ascii="Bookman Old Style" w:hAnsi="Bookman Old Style"/>
          <w:b/>
        </w:rPr>
        <w:t>unico</w:t>
      </w:r>
      <w:r w:rsidR="00A41CBB" w:rsidRPr="00BE3EA4">
        <w:rPr>
          <w:rFonts w:ascii="Bookman Old Style" w:hAnsi="Bookman Old Style"/>
          <w:b/>
        </w:rPr>
        <w:t xml:space="preserve"> </w:t>
      </w:r>
      <w:r w:rsidRPr="00BE3EA4">
        <w:rPr>
          <w:rFonts w:ascii="Bookman Old Style" w:hAnsi="Bookman Old Style"/>
          <w:b/>
        </w:rPr>
        <w:t>prelievo</w:t>
      </w:r>
      <w:r w:rsidRPr="009B7B77">
        <w:rPr>
          <w:rFonts w:ascii="Bookman Old Style" w:hAnsi="Bookman Old Style"/>
        </w:rPr>
        <w:t>,</w:t>
      </w:r>
      <w:r w:rsidR="00A41CBB">
        <w:rPr>
          <w:rFonts w:ascii="Bookman Old Style" w:hAnsi="Bookman Old Style"/>
        </w:rPr>
        <w:t xml:space="preserve"> </w:t>
      </w:r>
      <w:r w:rsidRPr="009B7B77">
        <w:rPr>
          <w:rFonts w:ascii="Bookman Old Style" w:hAnsi="Bookman Old Style"/>
        </w:rPr>
        <w:t>abolendo</w:t>
      </w:r>
      <w:r w:rsidR="00A41CBB">
        <w:rPr>
          <w:rFonts w:ascii="Bookman Old Style" w:hAnsi="Bookman Old Style"/>
        </w:rPr>
        <w:t xml:space="preserve"> </w:t>
      </w:r>
      <w:r w:rsidRPr="009B7B77">
        <w:rPr>
          <w:rFonts w:ascii="Bookman Old Style" w:hAnsi="Bookman Old Style"/>
        </w:rPr>
        <w:t>la</w:t>
      </w:r>
      <w:r w:rsidR="00A41CBB">
        <w:rPr>
          <w:rFonts w:ascii="Bookman Old Style" w:hAnsi="Bookman Old Style"/>
        </w:rPr>
        <w:t xml:space="preserve"> </w:t>
      </w:r>
      <w:r w:rsidRPr="009B7B77">
        <w:rPr>
          <w:rFonts w:ascii="Bookman Old Style" w:hAnsi="Bookman Old Style"/>
        </w:rPr>
        <w:t>Tasi</w:t>
      </w:r>
      <w:r w:rsidR="00A41CBB">
        <w:rPr>
          <w:rFonts w:ascii="Bookman Old Style" w:hAnsi="Bookman Old Style"/>
        </w:rPr>
        <w:t xml:space="preserve"> </w:t>
      </w:r>
      <w:r w:rsidRPr="009B7B77">
        <w:rPr>
          <w:rFonts w:ascii="Bookman Old Style" w:hAnsi="Bookman Old Style"/>
        </w:rPr>
        <w:t>e</w:t>
      </w:r>
      <w:r w:rsidR="00A41CBB">
        <w:rPr>
          <w:rFonts w:ascii="Bookman Old Style" w:hAnsi="Bookman Old Style"/>
        </w:rPr>
        <w:t xml:space="preserve"> </w:t>
      </w:r>
      <w:r w:rsidRPr="009B7B77">
        <w:rPr>
          <w:rFonts w:ascii="Bookman Old Style" w:hAnsi="Bookman Old Style"/>
        </w:rPr>
        <w:t>superando</w:t>
      </w:r>
      <w:r w:rsidR="00A41CBB">
        <w:rPr>
          <w:rFonts w:ascii="Bookman Old Style" w:hAnsi="Bookman Old Style"/>
        </w:rPr>
        <w:t xml:space="preserve"> </w:t>
      </w:r>
      <w:r w:rsidRPr="009B7B77">
        <w:rPr>
          <w:rFonts w:ascii="Bookman Old Style" w:hAnsi="Bookman Old Style"/>
        </w:rPr>
        <w:t>così</w:t>
      </w:r>
      <w:r w:rsidR="00A41CBB">
        <w:rPr>
          <w:rFonts w:ascii="Bookman Old Style" w:hAnsi="Bookman Old Style"/>
        </w:rPr>
        <w:t xml:space="preserve"> </w:t>
      </w:r>
      <w:r w:rsidRPr="009B7B77">
        <w:rPr>
          <w:rFonts w:ascii="Bookman Old Style" w:hAnsi="Bookman Old Style"/>
        </w:rPr>
        <w:t>un</w:t>
      </w:r>
      <w:r w:rsidR="00A41CBB">
        <w:rPr>
          <w:rFonts w:ascii="Bookman Old Style" w:hAnsi="Bookman Old Style"/>
        </w:rPr>
        <w:t xml:space="preserve"> </w:t>
      </w:r>
      <w:r w:rsidRPr="009B7B77">
        <w:rPr>
          <w:rFonts w:ascii="Bookman Old Style" w:hAnsi="Bookman Old Style"/>
        </w:rPr>
        <w:t>sistema</w:t>
      </w:r>
      <w:r w:rsidR="00A41CBB">
        <w:rPr>
          <w:rFonts w:ascii="Bookman Old Style" w:hAnsi="Bookman Old Style"/>
        </w:rPr>
        <w:t xml:space="preserve"> </w:t>
      </w:r>
      <w:r w:rsidRPr="009B7B77">
        <w:rPr>
          <w:rFonts w:ascii="Bookman Old Style" w:hAnsi="Bookman Old Style"/>
        </w:rPr>
        <w:t>inutilmente</w:t>
      </w:r>
      <w:r w:rsidR="00A41CBB">
        <w:rPr>
          <w:rFonts w:ascii="Bookman Old Style" w:hAnsi="Bookman Old Style"/>
        </w:rPr>
        <w:t xml:space="preserve"> </w:t>
      </w:r>
      <w:r w:rsidRPr="009B7B77">
        <w:rPr>
          <w:rFonts w:ascii="Bookman Old Style" w:hAnsi="Bookman Old Style"/>
        </w:rPr>
        <w:t>articolato</w:t>
      </w:r>
      <w:r w:rsidR="00A41CBB">
        <w:rPr>
          <w:rFonts w:ascii="Bookman Old Style" w:hAnsi="Bookman Old Style"/>
        </w:rPr>
        <w:t xml:space="preserve"> </w:t>
      </w:r>
      <w:r w:rsidRPr="009B7B77">
        <w:rPr>
          <w:rFonts w:ascii="Bookman Old Style" w:hAnsi="Bookman Old Style"/>
        </w:rPr>
        <w:t>in</w:t>
      </w:r>
      <w:r w:rsidR="00A41CBB">
        <w:rPr>
          <w:rFonts w:ascii="Bookman Old Style" w:hAnsi="Bookman Old Style"/>
        </w:rPr>
        <w:t xml:space="preserve"> </w:t>
      </w:r>
      <w:r w:rsidR="00DE23FE">
        <w:rPr>
          <w:rFonts w:ascii="Bookman Old Style" w:hAnsi="Bookman Old Style"/>
        </w:rPr>
        <w:t>più</w:t>
      </w:r>
      <w:r w:rsidR="00A41CBB">
        <w:rPr>
          <w:rFonts w:ascii="Bookman Old Style" w:hAnsi="Bookman Old Style"/>
        </w:rPr>
        <w:t xml:space="preserve"> </w:t>
      </w:r>
      <w:r w:rsidRPr="009B7B77">
        <w:rPr>
          <w:rFonts w:ascii="Bookman Old Style" w:hAnsi="Bookman Old Style"/>
        </w:rPr>
        <w:t>aliquote</w:t>
      </w:r>
      <w:r w:rsidR="00A41CBB">
        <w:rPr>
          <w:rFonts w:ascii="Bookman Old Style" w:hAnsi="Bookman Old Style"/>
        </w:rPr>
        <w:t xml:space="preserve"> </w:t>
      </w:r>
      <w:r w:rsidRPr="009B7B77">
        <w:rPr>
          <w:rFonts w:ascii="Bookman Old Style" w:hAnsi="Bookman Old Style"/>
        </w:rPr>
        <w:t>sulle</w:t>
      </w:r>
      <w:r w:rsidR="00A41CBB">
        <w:rPr>
          <w:rFonts w:ascii="Bookman Old Style" w:hAnsi="Bookman Old Style"/>
        </w:rPr>
        <w:t xml:space="preserve"> </w:t>
      </w:r>
      <w:r w:rsidRPr="009B7B77">
        <w:rPr>
          <w:rFonts w:ascii="Bookman Old Style" w:hAnsi="Bookman Old Style"/>
        </w:rPr>
        <w:t>medesime</w:t>
      </w:r>
      <w:r w:rsidR="00A41CBB">
        <w:rPr>
          <w:rFonts w:ascii="Bookman Old Style" w:hAnsi="Bookman Old Style"/>
        </w:rPr>
        <w:t xml:space="preserve"> </w:t>
      </w:r>
      <w:r w:rsidRPr="009B7B77">
        <w:rPr>
          <w:rFonts w:ascii="Bookman Old Style" w:hAnsi="Bookman Old Style"/>
        </w:rPr>
        <w:t>basi imponibili,</w:t>
      </w:r>
      <w:r w:rsidR="00A41CBB">
        <w:rPr>
          <w:rFonts w:ascii="Bookman Old Style" w:hAnsi="Bookman Old Style"/>
        </w:rPr>
        <w:t xml:space="preserve"> </w:t>
      </w:r>
      <w:r w:rsidRPr="009B7B77">
        <w:rPr>
          <w:rFonts w:ascii="Bookman Old Style" w:hAnsi="Bookman Old Style"/>
        </w:rPr>
        <w:t>in</w:t>
      </w:r>
      <w:r w:rsidR="00A41CBB">
        <w:rPr>
          <w:rFonts w:ascii="Bookman Old Style" w:hAnsi="Bookman Old Style"/>
        </w:rPr>
        <w:t xml:space="preserve"> </w:t>
      </w:r>
      <w:r w:rsidRPr="009B7B77">
        <w:rPr>
          <w:rFonts w:ascii="Bookman Old Style" w:hAnsi="Bookman Old Style"/>
        </w:rPr>
        <w:t>un</w:t>
      </w:r>
      <w:r w:rsidR="00A41CBB">
        <w:rPr>
          <w:rFonts w:ascii="Bookman Old Style" w:hAnsi="Bookman Old Style"/>
        </w:rPr>
        <w:t xml:space="preserve"> </w:t>
      </w:r>
      <w:r w:rsidRPr="009B7B77">
        <w:rPr>
          <w:rFonts w:ascii="Bookman Old Style" w:hAnsi="Bookman Old Style"/>
        </w:rPr>
        <w:t>quadro</w:t>
      </w:r>
      <w:r w:rsidR="00A41CBB">
        <w:rPr>
          <w:rFonts w:ascii="Bookman Old Style" w:hAnsi="Bookman Old Style"/>
        </w:rPr>
        <w:t xml:space="preserve"> </w:t>
      </w:r>
      <w:r w:rsidRPr="009B7B77">
        <w:rPr>
          <w:rFonts w:ascii="Bookman Old Style" w:hAnsi="Bookman Old Style"/>
        </w:rPr>
        <w:t>di</w:t>
      </w:r>
      <w:r w:rsidR="00A41CBB">
        <w:rPr>
          <w:rFonts w:ascii="Bookman Old Style" w:hAnsi="Bookman Old Style"/>
        </w:rPr>
        <w:t xml:space="preserve"> </w:t>
      </w:r>
      <w:r w:rsidRPr="009B7B77">
        <w:rPr>
          <w:rFonts w:ascii="Bookman Old Style" w:hAnsi="Bookman Old Style"/>
        </w:rPr>
        <w:t>maggiore</w:t>
      </w:r>
      <w:r w:rsidR="00A41CBB">
        <w:rPr>
          <w:rFonts w:ascii="Bookman Old Style" w:hAnsi="Bookman Old Style"/>
        </w:rPr>
        <w:t xml:space="preserve"> </w:t>
      </w:r>
      <w:r w:rsidRPr="009B7B77">
        <w:rPr>
          <w:rFonts w:ascii="Bookman Old Style" w:hAnsi="Bookman Old Style"/>
        </w:rPr>
        <w:t>semplificazione</w:t>
      </w:r>
      <w:r w:rsidR="00A41CBB">
        <w:rPr>
          <w:rFonts w:ascii="Bookman Old Style" w:hAnsi="Bookman Old Style"/>
        </w:rPr>
        <w:t xml:space="preserve"> </w:t>
      </w:r>
      <w:r w:rsidRPr="009B7B77">
        <w:rPr>
          <w:rFonts w:ascii="Bookman Old Style" w:hAnsi="Bookman Old Style"/>
        </w:rPr>
        <w:t>per</w:t>
      </w:r>
      <w:r w:rsidR="00A41CBB">
        <w:rPr>
          <w:rFonts w:ascii="Bookman Old Style" w:hAnsi="Bookman Old Style"/>
        </w:rPr>
        <w:t xml:space="preserve"> </w:t>
      </w:r>
      <w:r w:rsidRPr="009B7B77">
        <w:rPr>
          <w:rFonts w:ascii="Bookman Old Style" w:hAnsi="Bookman Old Style"/>
        </w:rPr>
        <w:t>i</w:t>
      </w:r>
      <w:r w:rsidR="00A41CBB">
        <w:rPr>
          <w:rFonts w:ascii="Bookman Old Style" w:hAnsi="Bookman Old Style"/>
        </w:rPr>
        <w:t xml:space="preserve"> </w:t>
      </w:r>
      <w:r w:rsidRPr="009B7B77">
        <w:rPr>
          <w:rFonts w:ascii="Bookman Old Style" w:hAnsi="Bookman Old Style"/>
        </w:rPr>
        <w:t>contribuenti</w:t>
      </w:r>
      <w:r w:rsidR="00A41CBB">
        <w:rPr>
          <w:rFonts w:ascii="Bookman Old Style" w:hAnsi="Bookman Old Style"/>
        </w:rPr>
        <w:t xml:space="preserve"> </w:t>
      </w:r>
      <w:r w:rsidRPr="009B7B77">
        <w:rPr>
          <w:rFonts w:ascii="Bookman Old Style" w:hAnsi="Bookman Old Style"/>
        </w:rPr>
        <w:t>e</w:t>
      </w:r>
      <w:r w:rsidR="00A41CBB">
        <w:rPr>
          <w:rFonts w:ascii="Bookman Old Style" w:hAnsi="Bookman Old Style"/>
        </w:rPr>
        <w:t xml:space="preserve"> </w:t>
      </w:r>
      <w:r w:rsidRPr="009B7B77">
        <w:rPr>
          <w:rFonts w:ascii="Bookman Old Style" w:hAnsi="Bookman Old Style"/>
        </w:rPr>
        <w:t>per</w:t>
      </w:r>
      <w:r w:rsidR="00A41CBB">
        <w:rPr>
          <w:rFonts w:ascii="Bookman Old Style" w:hAnsi="Bookman Old Style"/>
        </w:rPr>
        <w:t xml:space="preserve"> </w:t>
      </w:r>
      <w:r w:rsidRPr="009B7B77">
        <w:rPr>
          <w:rFonts w:ascii="Bookman Old Style" w:hAnsi="Bookman Old Style"/>
        </w:rPr>
        <w:t>gli</w:t>
      </w:r>
      <w:r w:rsidR="00A41CBB">
        <w:rPr>
          <w:rFonts w:ascii="Bookman Old Style" w:hAnsi="Bookman Old Style"/>
        </w:rPr>
        <w:t xml:space="preserve"> </w:t>
      </w:r>
      <w:r w:rsidRPr="009B7B77">
        <w:rPr>
          <w:rFonts w:ascii="Bookman Old Style" w:hAnsi="Bookman Old Style"/>
        </w:rPr>
        <w:t>uffici comunali, nonché di equivalenza dei</w:t>
      </w:r>
      <w:r w:rsidR="00A41CBB">
        <w:rPr>
          <w:rFonts w:ascii="Bookman Old Style" w:hAnsi="Bookman Old Style"/>
        </w:rPr>
        <w:t xml:space="preserve"> </w:t>
      </w:r>
      <w:r w:rsidRPr="009B7B77">
        <w:rPr>
          <w:rFonts w:ascii="Bookman Old Style" w:hAnsi="Bookman Old Style"/>
        </w:rPr>
        <w:t>gettiti standard,</w:t>
      </w:r>
      <w:r w:rsidR="00A41CBB">
        <w:rPr>
          <w:rFonts w:ascii="Bookman Old Style" w:hAnsi="Bookman Old Style"/>
        </w:rPr>
        <w:t xml:space="preserve"> </w:t>
      </w:r>
      <w:r w:rsidRPr="009B7B77">
        <w:rPr>
          <w:rFonts w:ascii="Bookman Old Style" w:hAnsi="Bookman Old Style"/>
        </w:rPr>
        <w:t xml:space="preserve">coerenti con quelli </w:t>
      </w:r>
      <w:r w:rsidR="004232AB">
        <w:rPr>
          <w:rFonts w:ascii="Bookman Old Style" w:hAnsi="Bookman Old Style"/>
        </w:rPr>
        <w:t xml:space="preserve">definiti </w:t>
      </w:r>
      <w:r w:rsidRPr="009B7B77">
        <w:rPr>
          <w:rFonts w:ascii="Bookman Old Style" w:hAnsi="Bookman Old Style"/>
        </w:rPr>
        <w:t>in regime IMU-TASI.</w:t>
      </w:r>
    </w:p>
    <w:p w:rsidR="008E5786" w:rsidRDefault="009B7B77" w:rsidP="009B7B77">
      <w:pPr>
        <w:spacing w:after="120"/>
        <w:jc w:val="both"/>
        <w:rPr>
          <w:rFonts w:ascii="Bookman Old Style" w:hAnsi="Bookman Old Style"/>
        </w:rPr>
      </w:pPr>
      <w:r>
        <w:rPr>
          <w:rFonts w:ascii="Bookman Old Style" w:hAnsi="Bookman Old Style"/>
        </w:rPr>
        <w:t>I dispositivi fiscali</w:t>
      </w:r>
      <w:r w:rsidR="00592D7B">
        <w:rPr>
          <w:rFonts w:ascii="Bookman Old Style" w:hAnsi="Bookman Old Style"/>
        </w:rPr>
        <w:t xml:space="preserve"> di maggior </w:t>
      </w:r>
      <w:r>
        <w:rPr>
          <w:rFonts w:ascii="Bookman Old Style" w:hAnsi="Bookman Old Style"/>
        </w:rPr>
        <w:t>impatto sui Comuni</w:t>
      </w:r>
      <w:r w:rsidR="00592D7B">
        <w:rPr>
          <w:rFonts w:ascii="Bookman Old Style" w:hAnsi="Bookman Old Style"/>
        </w:rPr>
        <w:t xml:space="preserve"> sono contenut</w:t>
      </w:r>
      <w:r>
        <w:rPr>
          <w:rFonts w:ascii="Bookman Old Style" w:hAnsi="Bookman Old Style"/>
        </w:rPr>
        <w:t>i ne</w:t>
      </w:r>
      <w:r w:rsidR="00C8612E">
        <w:rPr>
          <w:rFonts w:ascii="Bookman Old Style" w:hAnsi="Bookman Old Style"/>
        </w:rPr>
        <w:t>l decreto</w:t>
      </w:r>
      <w:r>
        <w:rPr>
          <w:rFonts w:ascii="Bookman Old Style" w:hAnsi="Bookman Old Style"/>
        </w:rPr>
        <w:t xml:space="preserve"> collegat</w:t>
      </w:r>
      <w:r w:rsidR="00C8612E">
        <w:rPr>
          <w:rFonts w:ascii="Bookman Old Style" w:hAnsi="Bookman Old Style"/>
        </w:rPr>
        <w:t>o</w:t>
      </w:r>
      <w:r>
        <w:rPr>
          <w:rFonts w:ascii="Bookman Old Style" w:hAnsi="Bookman Old Style"/>
        </w:rPr>
        <w:t xml:space="preserve"> al</w:t>
      </w:r>
      <w:r w:rsidR="00592D7B">
        <w:rPr>
          <w:rFonts w:ascii="Bookman Old Style" w:hAnsi="Bookman Old Style"/>
        </w:rPr>
        <w:t xml:space="preserve"> ddl bilancio e riguardano la normativa di favore finalizzata ad alleggerire i carichi </w:t>
      </w:r>
      <w:r>
        <w:rPr>
          <w:rFonts w:ascii="Bookman Old Style" w:hAnsi="Bookman Old Style"/>
        </w:rPr>
        <w:t>in capo ai</w:t>
      </w:r>
      <w:r w:rsidR="00592D7B">
        <w:rPr>
          <w:rFonts w:ascii="Bookman Old Style" w:hAnsi="Bookman Old Style"/>
        </w:rPr>
        <w:t xml:space="preserve"> contribuenti</w:t>
      </w:r>
      <w:r>
        <w:rPr>
          <w:rFonts w:ascii="Bookman Old Style" w:hAnsi="Bookman Old Style"/>
        </w:rPr>
        <w:t>,</w:t>
      </w:r>
      <w:r w:rsidR="00592D7B">
        <w:rPr>
          <w:rFonts w:ascii="Bookman Old Style" w:hAnsi="Bookman Old Style"/>
        </w:rPr>
        <w:t xml:space="preserve"> comunemente definita “pace fiscale”. In particolare</w:t>
      </w:r>
      <w:r w:rsidR="00A41CBB">
        <w:rPr>
          <w:rFonts w:ascii="Bookman Old Style" w:hAnsi="Bookman Old Style"/>
        </w:rPr>
        <w:t>,</w:t>
      </w:r>
      <w:r w:rsidR="00592D7B">
        <w:rPr>
          <w:rFonts w:ascii="Bookman Old Style" w:hAnsi="Bookman Old Style"/>
        </w:rPr>
        <w:t xml:space="preserve"> deve essere sottolineato </w:t>
      </w:r>
      <w:r w:rsidR="004232AB">
        <w:rPr>
          <w:rFonts w:ascii="Bookman Old Style" w:hAnsi="Bookman Old Style"/>
        </w:rPr>
        <w:t xml:space="preserve">che </w:t>
      </w:r>
      <w:r w:rsidR="00B41908">
        <w:rPr>
          <w:rFonts w:ascii="Bookman Old Style" w:hAnsi="Bookman Old Style"/>
        </w:rPr>
        <w:t xml:space="preserve">la cancellazione </w:t>
      </w:r>
      <w:r w:rsidR="00B41908" w:rsidRPr="00B41908">
        <w:rPr>
          <w:rFonts w:ascii="Bookman Old Style" w:hAnsi="Bookman Old Style"/>
          <w:i/>
        </w:rPr>
        <w:t>ope legis</w:t>
      </w:r>
      <w:r w:rsidR="00B41908">
        <w:rPr>
          <w:rFonts w:ascii="Bookman Old Style" w:hAnsi="Bookman Old Style"/>
        </w:rPr>
        <w:t xml:space="preserve"> </w:t>
      </w:r>
      <w:r w:rsidR="00592D7B">
        <w:rPr>
          <w:rFonts w:ascii="Bookman Old Style" w:hAnsi="Bookman Old Style"/>
        </w:rPr>
        <w:t xml:space="preserve">dei carichi iscritti a ruolo inferiori a 1.000 euro </w:t>
      </w:r>
      <w:r w:rsidR="004232AB">
        <w:rPr>
          <w:rFonts w:ascii="Bookman Old Style" w:hAnsi="Bookman Old Style"/>
        </w:rPr>
        <w:t xml:space="preserve">è </w:t>
      </w:r>
      <w:r w:rsidR="00592D7B">
        <w:rPr>
          <w:rFonts w:ascii="Bookman Old Style" w:hAnsi="Bookman Old Style"/>
        </w:rPr>
        <w:t xml:space="preserve">riferibile per la gran parte ad entrate comunali, </w:t>
      </w:r>
      <w:r>
        <w:rPr>
          <w:rFonts w:ascii="Bookman Old Style" w:hAnsi="Bookman Old Style"/>
        </w:rPr>
        <w:t xml:space="preserve">con ricadute sia sul piano finanziario sia ordinamentale. </w:t>
      </w:r>
      <w:r w:rsidR="00A41CBB">
        <w:rPr>
          <w:rFonts w:ascii="Bookman Old Style" w:hAnsi="Bookman Old Style"/>
        </w:rPr>
        <w:t>V</w:t>
      </w:r>
      <w:r>
        <w:rPr>
          <w:rFonts w:ascii="Bookman Old Style" w:hAnsi="Bookman Old Style"/>
        </w:rPr>
        <w:t xml:space="preserve">a </w:t>
      </w:r>
      <w:r w:rsidR="00A41CBB">
        <w:rPr>
          <w:rFonts w:ascii="Bookman Old Style" w:hAnsi="Bookman Old Style"/>
        </w:rPr>
        <w:t xml:space="preserve">infatti </w:t>
      </w:r>
      <w:r>
        <w:rPr>
          <w:rFonts w:ascii="Bookman Old Style" w:hAnsi="Bookman Old Style"/>
        </w:rPr>
        <w:t xml:space="preserve">osservato </w:t>
      </w:r>
      <w:r w:rsidR="00B41908">
        <w:rPr>
          <w:rFonts w:ascii="Bookman Old Style" w:hAnsi="Bookman Old Style"/>
        </w:rPr>
        <w:t>che, sebbene</w:t>
      </w:r>
      <w:r>
        <w:rPr>
          <w:rFonts w:ascii="Bookman Old Style" w:hAnsi="Bookman Old Style"/>
        </w:rPr>
        <w:t xml:space="preserve"> non tutti i carichi stralciati </w:t>
      </w:r>
      <w:r w:rsidR="00A41CBB">
        <w:rPr>
          <w:rFonts w:ascii="Bookman Old Style" w:hAnsi="Bookman Old Style"/>
        </w:rPr>
        <w:t>incidano</w:t>
      </w:r>
      <w:r>
        <w:rPr>
          <w:rFonts w:ascii="Bookman Old Style" w:hAnsi="Bookman Old Style"/>
        </w:rPr>
        <w:t xml:space="preserve"> sui bilanci comunali</w:t>
      </w:r>
      <w:r w:rsidR="004232AB">
        <w:rPr>
          <w:rFonts w:ascii="Bookman Old Style" w:hAnsi="Bookman Old Style"/>
        </w:rPr>
        <w:t>,</w:t>
      </w:r>
      <w:r>
        <w:rPr>
          <w:rFonts w:ascii="Bookman Old Style" w:hAnsi="Bookman Old Style"/>
        </w:rPr>
        <w:t xml:space="preserve"> </w:t>
      </w:r>
      <w:r w:rsidR="004232AB">
        <w:rPr>
          <w:rFonts w:ascii="Bookman Old Style" w:hAnsi="Bookman Old Style"/>
        </w:rPr>
        <w:t xml:space="preserve">per effetto della </w:t>
      </w:r>
      <w:r>
        <w:rPr>
          <w:rFonts w:ascii="Bookman Old Style" w:hAnsi="Bookman Old Style"/>
        </w:rPr>
        <w:t xml:space="preserve">ripulitura effettuata </w:t>
      </w:r>
      <w:r w:rsidR="00A41CBB">
        <w:rPr>
          <w:rFonts w:ascii="Bookman Old Style" w:hAnsi="Bookman Old Style"/>
        </w:rPr>
        <w:t>con il</w:t>
      </w:r>
      <w:r>
        <w:rPr>
          <w:rFonts w:ascii="Bookman Old Style" w:hAnsi="Bookman Old Style"/>
        </w:rPr>
        <w:t xml:space="preserve"> riaccertamento straordinario del 2015, t</w:t>
      </w:r>
      <w:r w:rsidR="00A41CBB">
        <w:rPr>
          <w:rFonts w:ascii="Bookman Old Style" w:hAnsi="Bookman Old Style"/>
        </w:rPr>
        <w:t>uttavia</w:t>
      </w:r>
      <w:r w:rsidRPr="009B7B77">
        <w:rPr>
          <w:rFonts w:ascii="Bookman Old Style" w:hAnsi="Bookman Old Style"/>
        </w:rPr>
        <w:t xml:space="preserve"> una parte </w:t>
      </w:r>
      <w:r w:rsidR="00A41CBB">
        <w:rPr>
          <w:rFonts w:ascii="Bookman Old Style" w:hAnsi="Bookman Old Style"/>
        </w:rPr>
        <w:t xml:space="preserve">non </w:t>
      </w:r>
      <w:r w:rsidRPr="009B7B77">
        <w:rPr>
          <w:rFonts w:ascii="Bookman Old Style" w:hAnsi="Bookman Old Style"/>
        </w:rPr>
        <w:t xml:space="preserve">trascurabile </w:t>
      </w:r>
      <w:r w:rsidR="00A41CBB">
        <w:rPr>
          <w:rFonts w:ascii="Bookman Old Style" w:hAnsi="Bookman Old Style"/>
        </w:rPr>
        <w:t>di e</w:t>
      </w:r>
      <w:r w:rsidRPr="009B7B77">
        <w:rPr>
          <w:rFonts w:ascii="Bookman Old Style" w:hAnsi="Bookman Old Style"/>
        </w:rPr>
        <w:t xml:space="preserve">nti </w:t>
      </w:r>
      <w:r w:rsidR="00A41CBB">
        <w:rPr>
          <w:rFonts w:ascii="Bookman Old Style" w:hAnsi="Bookman Old Style"/>
        </w:rPr>
        <w:t xml:space="preserve">ha correttamente </w:t>
      </w:r>
      <w:r w:rsidRPr="009B7B77">
        <w:rPr>
          <w:rFonts w:ascii="Bookman Old Style" w:hAnsi="Bookman Old Style"/>
        </w:rPr>
        <w:t>mantenuto</w:t>
      </w:r>
      <w:r w:rsidR="00A41CBB">
        <w:rPr>
          <w:rFonts w:ascii="Bookman Old Style" w:hAnsi="Bookman Old Style"/>
        </w:rPr>
        <w:t xml:space="preserve"> </w:t>
      </w:r>
      <w:r w:rsidRPr="009B7B77">
        <w:rPr>
          <w:rFonts w:ascii="Bookman Old Style" w:hAnsi="Bookman Old Style"/>
        </w:rPr>
        <w:t>a</w:t>
      </w:r>
      <w:r w:rsidR="00A41CBB">
        <w:rPr>
          <w:rFonts w:ascii="Bookman Old Style" w:hAnsi="Bookman Old Style"/>
        </w:rPr>
        <w:t xml:space="preserve"> </w:t>
      </w:r>
      <w:r w:rsidRPr="009B7B77">
        <w:rPr>
          <w:rFonts w:ascii="Bookman Old Style" w:hAnsi="Bookman Old Style"/>
        </w:rPr>
        <w:t>residuo</w:t>
      </w:r>
      <w:r w:rsidR="00A41CBB">
        <w:rPr>
          <w:rFonts w:ascii="Bookman Old Style" w:hAnsi="Bookman Old Style"/>
        </w:rPr>
        <w:t xml:space="preserve"> </w:t>
      </w:r>
      <w:r w:rsidRPr="009B7B77">
        <w:rPr>
          <w:rFonts w:ascii="Bookman Old Style" w:hAnsi="Bookman Old Style"/>
        </w:rPr>
        <w:t>i</w:t>
      </w:r>
      <w:r w:rsidR="00A41CBB">
        <w:rPr>
          <w:rFonts w:ascii="Bookman Old Style" w:hAnsi="Bookman Old Style"/>
        </w:rPr>
        <w:t xml:space="preserve"> </w:t>
      </w:r>
      <w:r w:rsidRPr="009B7B77">
        <w:rPr>
          <w:rFonts w:ascii="Bookman Old Style" w:hAnsi="Bookman Old Style"/>
        </w:rPr>
        <w:t>carichi</w:t>
      </w:r>
      <w:r w:rsidR="00A41CBB">
        <w:rPr>
          <w:rFonts w:ascii="Bookman Old Style" w:hAnsi="Bookman Old Style"/>
        </w:rPr>
        <w:t xml:space="preserve"> iscritti a ruolo. Il passaggio, pertanto, </w:t>
      </w:r>
      <w:r>
        <w:rPr>
          <w:rFonts w:ascii="Bookman Old Style" w:hAnsi="Bookman Old Style"/>
        </w:rPr>
        <w:t xml:space="preserve">richiede una attenta valutazione </w:t>
      </w:r>
      <w:r w:rsidR="00A41CBB">
        <w:rPr>
          <w:rFonts w:ascii="Bookman Old Style" w:hAnsi="Bookman Old Style"/>
        </w:rPr>
        <w:t>circa l’</w:t>
      </w:r>
      <w:r>
        <w:rPr>
          <w:rFonts w:ascii="Bookman Old Style" w:hAnsi="Bookman Old Style"/>
        </w:rPr>
        <w:t>effettivo impatto sui bilanci comunali</w:t>
      </w:r>
      <w:r w:rsidR="004232AB">
        <w:rPr>
          <w:rFonts w:ascii="Bookman Old Style" w:hAnsi="Bookman Old Style"/>
        </w:rPr>
        <w:t xml:space="preserve"> e</w:t>
      </w:r>
      <w:r w:rsidR="00A41CBB">
        <w:rPr>
          <w:rFonts w:ascii="Bookman Old Style" w:hAnsi="Bookman Old Style"/>
        </w:rPr>
        <w:t>, in ogni caso</w:t>
      </w:r>
      <w:r w:rsidR="004232AB">
        <w:rPr>
          <w:rFonts w:ascii="Bookman Old Style" w:hAnsi="Bookman Old Style"/>
        </w:rPr>
        <w:t>,</w:t>
      </w:r>
      <w:r w:rsidR="00A41CBB">
        <w:rPr>
          <w:rFonts w:ascii="Bookman Old Style" w:hAnsi="Bookman Old Style"/>
        </w:rPr>
        <w:t xml:space="preserve"> la soluzione adottata dovrà investire l’autonoma discrezionalità dell’ente.</w:t>
      </w:r>
    </w:p>
    <w:p w:rsidR="000F6973" w:rsidRDefault="000F6973" w:rsidP="009B7B77">
      <w:pPr>
        <w:spacing w:after="120"/>
        <w:jc w:val="both"/>
        <w:rPr>
          <w:rFonts w:ascii="Bookman Old Style" w:hAnsi="Bookman Old Style"/>
        </w:rPr>
      </w:pPr>
      <w:r w:rsidRPr="00C0124E">
        <w:rPr>
          <w:rFonts w:ascii="Bookman Old Style" w:hAnsi="Bookman Old Style"/>
        </w:rPr>
        <w:t xml:space="preserve">Nella prima parte dell’allegato normativo vengono riportati gli emendamenti </w:t>
      </w:r>
      <w:r w:rsidR="0098460D" w:rsidRPr="00C0124E">
        <w:rPr>
          <w:rFonts w:ascii="Bookman Old Style" w:hAnsi="Bookman Old Style"/>
        </w:rPr>
        <w:t xml:space="preserve">che l’ANCI considera fondamentali per pervenire ad un quadro di condivisione delle iniziative e di rasserenamento dei rapporti tra con i Comuni e le città metropolitane e, in definitiva, di tangibile superamento della stagione dei tagli e dei sacrifici senza contropartita </w:t>
      </w:r>
      <w:r w:rsidR="001C6782" w:rsidRPr="00C0124E">
        <w:rPr>
          <w:rFonts w:ascii="Bookman Old Style" w:hAnsi="Bookman Old Style"/>
        </w:rPr>
        <w:t>che ha pesantemente segnato la distorta attuazione del federalismo fiscale negli scorsi anni.</w:t>
      </w:r>
    </w:p>
    <w:p w:rsidR="004232AB" w:rsidRPr="00F848B3" w:rsidRDefault="004232AB" w:rsidP="009B7B77">
      <w:pPr>
        <w:spacing w:after="120"/>
        <w:jc w:val="both"/>
        <w:rPr>
          <w:rFonts w:ascii="Bookman Old Style" w:hAnsi="Bookman Old Style"/>
        </w:rPr>
      </w:pPr>
    </w:p>
    <w:p w:rsidR="005A3A01" w:rsidRPr="00F848B3" w:rsidRDefault="00183CF3" w:rsidP="00F848B3">
      <w:pPr>
        <w:pStyle w:val="Titolo1"/>
        <w:spacing w:before="0" w:after="120"/>
        <w:rPr>
          <w:rFonts w:ascii="Bookman Old Style" w:eastAsia="Times New Roman" w:hAnsi="Bookman Old Style"/>
          <w:lang w:eastAsia="it-IT"/>
        </w:rPr>
      </w:pPr>
      <w:bookmarkStart w:id="2" w:name="_Toc529684993"/>
      <w:bookmarkStart w:id="3" w:name="_Toc524978896"/>
      <w:r w:rsidRPr="00F848B3">
        <w:rPr>
          <w:rFonts w:ascii="Bookman Old Style" w:eastAsia="Times New Roman" w:hAnsi="Bookman Old Style"/>
          <w:lang w:eastAsia="it-IT"/>
        </w:rPr>
        <w:t>Reintegro delle risorse</w:t>
      </w:r>
      <w:r w:rsidR="005A3A01" w:rsidRPr="00F848B3">
        <w:rPr>
          <w:rFonts w:ascii="Bookman Old Style" w:eastAsia="Times New Roman" w:hAnsi="Bookman Old Style"/>
          <w:lang w:eastAsia="it-IT"/>
        </w:rPr>
        <w:t xml:space="preserve"> correnti</w:t>
      </w:r>
      <w:bookmarkEnd w:id="2"/>
      <w:bookmarkEnd w:id="3"/>
    </w:p>
    <w:p w:rsidR="005A3A01" w:rsidRPr="00F848B3" w:rsidRDefault="005A3A01" w:rsidP="00F848B3">
      <w:pPr>
        <w:spacing w:after="120"/>
        <w:jc w:val="both"/>
        <w:rPr>
          <w:rFonts w:ascii="Bookman Old Style" w:eastAsia="Times New Roman" w:hAnsi="Bookman Old Style" w:cs="Arial"/>
          <w:iCs/>
          <w:shd w:val="clear" w:color="auto" w:fill="FFFFFF"/>
          <w:lang w:eastAsia="it-IT"/>
        </w:rPr>
      </w:pPr>
      <w:r w:rsidRPr="00F848B3">
        <w:rPr>
          <w:rFonts w:ascii="Bookman Old Style" w:eastAsia="Times New Roman" w:hAnsi="Bookman Old Style" w:cs="Arial"/>
          <w:iCs/>
          <w:shd w:val="clear" w:color="auto" w:fill="FFFFFF"/>
          <w:lang w:eastAsia="it-IT"/>
        </w:rPr>
        <w:t xml:space="preserve">Il </w:t>
      </w:r>
      <w:r w:rsidRPr="00F848B3">
        <w:rPr>
          <w:rFonts w:ascii="Bookman Old Style" w:eastAsia="Times New Roman" w:hAnsi="Bookman Old Style" w:cs="Arial"/>
          <w:b/>
          <w:iCs/>
          <w:shd w:val="clear" w:color="auto" w:fill="FFFFFF"/>
          <w:lang w:eastAsia="it-IT"/>
        </w:rPr>
        <w:t xml:space="preserve">contributo dei Comuni al risanamento della finanza pubblica, </w:t>
      </w:r>
      <w:r w:rsidRPr="00F848B3">
        <w:rPr>
          <w:rFonts w:ascii="Bookman Old Style" w:eastAsia="Times New Roman" w:hAnsi="Bookman Old Style" w:cs="Arial"/>
          <w:iCs/>
          <w:shd w:val="clear" w:color="auto" w:fill="FFFFFF"/>
          <w:lang w:eastAsia="it-IT"/>
        </w:rPr>
        <w:t>come ampiamente attestato, ha comportato un ammontare di tagli ed effetti restrittivi da nuova contabilità sproporzionato rispetto alla dimensione del comparto (</w:t>
      </w:r>
      <w:r w:rsidR="001938DE">
        <w:rPr>
          <w:rFonts w:ascii="Bookman Old Style" w:eastAsia="Times New Roman" w:hAnsi="Bookman Old Style" w:cs="Arial"/>
          <w:iCs/>
          <w:shd w:val="clear" w:color="auto" w:fill="FFFFFF"/>
          <w:lang w:eastAsia="it-IT"/>
        </w:rPr>
        <w:t xml:space="preserve">12 </w:t>
      </w:r>
      <w:r w:rsidRPr="00F848B3">
        <w:rPr>
          <w:rFonts w:ascii="Bookman Old Style" w:eastAsia="Times New Roman" w:hAnsi="Bookman Old Style" w:cs="Arial"/>
          <w:iCs/>
          <w:shd w:val="clear" w:color="auto" w:fill="FFFFFF"/>
          <w:lang w:eastAsia="it-IT"/>
        </w:rPr>
        <w:t>miliardi di euro dal 2011, quasi la metà della manovra fatta sull’intera PA) e ha scompaginato l’assetto fiscale con la scomparsa dei trasferimenti dello Stato e l’incremento del gettito immobiliare. I Comuni incassano l’IMU e la Tasi</w:t>
      </w:r>
      <w:r w:rsidR="004E6A80">
        <w:rPr>
          <w:rFonts w:ascii="Bookman Old Style" w:eastAsia="Times New Roman" w:hAnsi="Bookman Old Style" w:cs="Arial"/>
          <w:iCs/>
          <w:shd w:val="clear" w:color="auto" w:fill="FFFFFF"/>
          <w:lang w:eastAsia="it-IT"/>
        </w:rPr>
        <w:t>,</w:t>
      </w:r>
      <w:r w:rsidRPr="00F848B3">
        <w:rPr>
          <w:rFonts w:ascii="Bookman Old Style" w:eastAsia="Times New Roman" w:hAnsi="Bookman Old Style" w:cs="Arial"/>
          <w:iCs/>
          <w:shd w:val="clear" w:color="auto" w:fill="FFFFFF"/>
          <w:lang w:eastAsia="it-IT"/>
        </w:rPr>
        <w:t xml:space="preserve"> che devono poi essere redistribuite con un complicato meccanismo di riequilibrio delle risorse che è tutto il contrario della responsabilizzazione fiscale richiesta dalla Costituzione e dal federalismo fiscale </w:t>
      </w:r>
      <w:r w:rsidR="001938DE">
        <w:rPr>
          <w:rFonts w:ascii="Bookman Old Style" w:eastAsia="Times New Roman" w:hAnsi="Bookman Old Style" w:cs="Arial"/>
          <w:iCs/>
          <w:shd w:val="clear" w:color="auto" w:fill="FFFFFF"/>
          <w:lang w:eastAsia="it-IT"/>
        </w:rPr>
        <w:t>indicato da</w:t>
      </w:r>
      <w:r w:rsidR="001938DE" w:rsidRPr="00F848B3">
        <w:rPr>
          <w:rFonts w:ascii="Bookman Old Style" w:eastAsia="Times New Roman" w:hAnsi="Bookman Old Style" w:cs="Arial"/>
          <w:iCs/>
          <w:shd w:val="clear" w:color="auto" w:fill="FFFFFF"/>
          <w:lang w:eastAsia="it-IT"/>
        </w:rPr>
        <w:t xml:space="preserve">ll’articolo </w:t>
      </w:r>
      <w:r w:rsidRPr="00F848B3">
        <w:rPr>
          <w:rFonts w:ascii="Bookman Old Style" w:eastAsia="Times New Roman" w:hAnsi="Bookman Old Style" w:cs="Arial"/>
          <w:iCs/>
          <w:shd w:val="clear" w:color="auto" w:fill="FFFFFF"/>
          <w:lang w:eastAsia="it-IT"/>
        </w:rPr>
        <w:t>119. Un contesto ulteriormente aggravato da tre anni di blocco delle aliquote.</w:t>
      </w:r>
    </w:p>
    <w:p w:rsidR="005A3A01" w:rsidRPr="00F848B3" w:rsidRDefault="005A3A01" w:rsidP="000B7FE3">
      <w:pPr>
        <w:spacing w:after="0"/>
        <w:jc w:val="both"/>
        <w:rPr>
          <w:rFonts w:ascii="Bookman Old Style" w:eastAsia="Times New Roman" w:hAnsi="Bookman Old Style" w:cs="Arial"/>
          <w:iCs/>
          <w:shd w:val="clear" w:color="auto" w:fill="FFFFFF"/>
          <w:lang w:eastAsia="it-IT"/>
        </w:rPr>
      </w:pPr>
      <w:r w:rsidRPr="00F848B3">
        <w:rPr>
          <w:rFonts w:ascii="Bookman Old Style" w:eastAsia="Times New Roman" w:hAnsi="Bookman Old Style" w:cs="Arial"/>
          <w:iCs/>
          <w:shd w:val="clear" w:color="auto" w:fill="FFFFFF"/>
          <w:lang w:eastAsia="it-IT"/>
        </w:rPr>
        <w:t>Nell’ultimo triennio non sono stati effettuati tagli alle entrate dei Comuni, ma si sono fatti sentire gli effetti restrittivi dovuti a nuovi dispositivi e interventi (o mancati interventi) che si sono succeduti</w:t>
      </w:r>
      <w:r w:rsidR="001938DE">
        <w:rPr>
          <w:rFonts w:ascii="Bookman Old Style" w:eastAsia="Times New Roman" w:hAnsi="Bookman Old Style" w:cs="Arial"/>
          <w:iCs/>
          <w:shd w:val="clear" w:color="auto" w:fill="FFFFFF"/>
          <w:lang w:eastAsia="it-IT"/>
        </w:rPr>
        <w:t xml:space="preserve">: </w:t>
      </w:r>
      <w:r w:rsidRPr="00F848B3">
        <w:rPr>
          <w:rFonts w:ascii="Bookman Old Style" w:eastAsia="Times New Roman" w:hAnsi="Bookman Old Style" w:cs="Arial"/>
          <w:iCs/>
          <w:shd w:val="clear" w:color="auto" w:fill="FFFFFF"/>
          <w:lang w:eastAsia="it-IT"/>
        </w:rPr>
        <w:t xml:space="preserve">la riforma contabile, </w:t>
      </w:r>
      <w:r w:rsidR="001938DE">
        <w:rPr>
          <w:rFonts w:ascii="Bookman Old Style" w:eastAsia="Times New Roman" w:hAnsi="Bookman Old Style" w:cs="Arial"/>
          <w:iCs/>
          <w:shd w:val="clear" w:color="auto" w:fill="FFFFFF"/>
          <w:lang w:eastAsia="it-IT"/>
        </w:rPr>
        <w:t xml:space="preserve">che ha in primo luogo comportato la costituzione del </w:t>
      </w:r>
      <w:r w:rsidRPr="00F848B3">
        <w:rPr>
          <w:rFonts w:ascii="Bookman Old Style" w:eastAsia="Times New Roman" w:hAnsi="Bookman Old Style" w:cs="Arial"/>
          <w:iCs/>
          <w:shd w:val="clear" w:color="auto" w:fill="FFFFFF"/>
          <w:lang w:eastAsia="it-IT"/>
        </w:rPr>
        <w:t>Fondo crediti di dubbia esigibilità (FCDE), ma anche il rinnovo dei contratti del pubblico impiego e la crescita di oneri per le più diverse funzioni (alimentazione di sistemi informatici nazionali, protezione civile, ecc.).</w:t>
      </w:r>
    </w:p>
    <w:p w:rsidR="00B67974" w:rsidRPr="00F848B3" w:rsidRDefault="00B67974" w:rsidP="000B7FE3">
      <w:pPr>
        <w:spacing w:after="0" w:line="240" w:lineRule="auto"/>
        <w:jc w:val="center"/>
        <w:rPr>
          <w:rFonts w:ascii="Bookman Old Style" w:eastAsia="Times New Roman" w:hAnsi="Bookman Old Style" w:cs="Arial"/>
          <w:iCs/>
          <w:shd w:val="clear" w:color="auto" w:fill="FFFFFF"/>
          <w:lang w:eastAsia="it-IT"/>
        </w:rPr>
      </w:pPr>
    </w:p>
    <w:p w:rsidR="00C360B5" w:rsidRDefault="00C360B5" w:rsidP="00777147">
      <w:pPr>
        <w:spacing w:after="0" w:line="240" w:lineRule="auto"/>
        <w:jc w:val="both"/>
        <w:rPr>
          <w:rFonts w:ascii="Bookman Old Style" w:eastAsia="Times New Roman" w:hAnsi="Bookman Old Style" w:cs="Arial"/>
          <w:iCs/>
          <w:shd w:val="clear" w:color="auto" w:fill="FFFFFF"/>
          <w:lang w:eastAsia="it-IT"/>
        </w:rPr>
      </w:pPr>
      <w:r w:rsidRPr="00C360B5">
        <w:rPr>
          <w:noProof/>
          <w:lang w:eastAsia="it-IT"/>
        </w:rPr>
        <w:drawing>
          <wp:inline distT="0" distB="0" distL="0" distR="0">
            <wp:extent cx="6120130" cy="2678430"/>
            <wp:effectExtent l="0" t="0" r="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678430"/>
                    </a:xfrm>
                    <a:prstGeom prst="rect">
                      <a:avLst/>
                    </a:prstGeom>
                    <a:noFill/>
                    <a:ln>
                      <a:noFill/>
                    </a:ln>
                  </pic:spPr>
                </pic:pic>
              </a:graphicData>
            </a:graphic>
          </wp:inline>
        </w:drawing>
      </w:r>
    </w:p>
    <w:p w:rsidR="00C360B5" w:rsidRPr="00F848B3" w:rsidRDefault="00C360B5" w:rsidP="00BE3EA4">
      <w:pPr>
        <w:spacing w:after="0" w:line="240" w:lineRule="auto"/>
        <w:jc w:val="center"/>
        <w:rPr>
          <w:rFonts w:ascii="Bookman Old Style" w:eastAsia="Times New Roman" w:hAnsi="Bookman Old Style" w:cs="Arial"/>
          <w:iCs/>
          <w:shd w:val="clear" w:color="auto" w:fill="FFFFFF"/>
          <w:lang w:eastAsia="it-IT"/>
        </w:rPr>
      </w:pPr>
    </w:p>
    <w:p w:rsidR="00C0124E" w:rsidRDefault="00E63D0A" w:rsidP="00F848B3">
      <w:pPr>
        <w:spacing w:after="120"/>
        <w:jc w:val="both"/>
        <w:rPr>
          <w:rFonts w:ascii="Bookman Old Style" w:eastAsia="Times New Roman" w:hAnsi="Bookman Old Style" w:cs="Arial"/>
          <w:iCs/>
          <w:strike/>
          <w:shd w:val="clear" w:color="auto" w:fill="FFFFFF"/>
          <w:lang w:eastAsia="it-IT"/>
        </w:rPr>
      </w:pPr>
      <w:r w:rsidRPr="00C0124E">
        <w:rPr>
          <w:rFonts w:ascii="Bookman Old Style" w:eastAsia="Times New Roman" w:hAnsi="Bookman Old Style" w:cs="Arial"/>
          <w:iCs/>
          <w:shd w:val="clear" w:color="auto" w:fill="FFFFFF"/>
          <w:lang w:eastAsia="it-IT"/>
        </w:rPr>
        <w:t xml:space="preserve">Il taglio intervenuto è senza precedenti: </w:t>
      </w:r>
      <w:r w:rsidR="00DE23FE" w:rsidRPr="00C0124E">
        <w:rPr>
          <w:rFonts w:ascii="Bookman Old Style" w:eastAsia="Times New Roman" w:hAnsi="Bookman Old Style" w:cs="Arial"/>
          <w:iCs/>
          <w:shd w:val="clear" w:color="auto" w:fill="FFFFFF"/>
          <w:lang w:eastAsia="it-IT"/>
        </w:rPr>
        <w:t xml:space="preserve">12 mld su un monte risorse </w:t>
      </w:r>
      <w:r w:rsidRPr="00C0124E">
        <w:rPr>
          <w:rFonts w:ascii="Bookman Old Style" w:eastAsia="Times New Roman" w:hAnsi="Bookman Old Style" w:cs="Arial"/>
          <w:iCs/>
          <w:shd w:val="clear" w:color="auto" w:fill="FFFFFF"/>
          <w:lang w:eastAsia="it-IT"/>
        </w:rPr>
        <w:t xml:space="preserve">complessivo di </w:t>
      </w:r>
      <w:r w:rsidR="00DE23FE" w:rsidRPr="00C0124E">
        <w:rPr>
          <w:rFonts w:ascii="Bookman Old Style" w:eastAsia="Times New Roman" w:hAnsi="Bookman Old Style" w:cs="Arial"/>
          <w:iCs/>
          <w:shd w:val="clear" w:color="auto" w:fill="FFFFFF"/>
          <w:lang w:eastAsia="it-IT"/>
        </w:rPr>
        <w:t>circa 60 mld</w:t>
      </w:r>
      <w:r w:rsidRPr="00C0124E">
        <w:rPr>
          <w:rFonts w:ascii="Bookman Old Style" w:eastAsia="Times New Roman" w:hAnsi="Bookman Old Style" w:cs="Arial"/>
          <w:iCs/>
          <w:shd w:val="clear" w:color="auto" w:fill="FFFFFF"/>
          <w:lang w:eastAsia="it-IT"/>
        </w:rPr>
        <w:t xml:space="preserve">, </w:t>
      </w:r>
      <w:r w:rsidR="00DE23FE" w:rsidRPr="00C0124E">
        <w:rPr>
          <w:rFonts w:ascii="Bookman Old Style" w:eastAsia="Times New Roman" w:hAnsi="Bookman Old Style" w:cs="Arial"/>
          <w:iCs/>
          <w:shd w:val="clear" w:color="auto" w:fill="FFFFFF"/>
          <w:lang w:eastAsia="it-IT"/>
        </w:rPr>
        <w:t>il 20</w:t>
      </w:r>
      <w:r w:rsidRPr="00C0124E">
        <w:rPr>
          <w:rFonts w:ascii="Bookman Old Style" w:eastAsia="Times New Roman" w:hAnsi="Bookman Old Style" w:cs="Arial"/>
          <w:iCs/>
          <w:shd w:val="clear" w:color="auto" w:fill="FFFFFF"/>
          <w:lang w:eastAsia="it-IT"/>
        </w:rPr>
        <w:t xml:space="preserve"> </w:t>
      </w:r>
      <w:r w:rsidR="00DE23FE" w:rsidRPr="00C0124E">
        <w:rPr>
          <w:rFonts w:ascii="Bookman Old Style" w:eastAsia="Times New Roman" w:hAnsi="Bookman Old Style" w:cs="Arial"/>
          <w:iCs/>
          <w:shd w:val="clear" w:color="auto" w:fill="FFFFFF"/>
          <w:lang w:eastAsia="it-IT"/>
        </w:rPr>
        <w:t>per cento in meno in un contesto di funzioni crescenti anche per effetto di un</w:t>
      </w:r>
      <w:r w:rsidRPr="00C0124E">
        <w:rPr>
          <w:rFonts w:ascii="Bookman Old Style" w:eastAsia="Times New Roman" w:hAnsi="Bookman Old Style" w:cs="Arial"/>
          <w:iCs/>
          <w:shd w:val="clear" w:color="auto" w:fill="FFFFFF"/>
          <w:lang w:eastAsia="it-IT"/>
        </w:rPr>
        <w:t>a sorta di</w:t>
      </w:r>
      <w:r w:rsidR="00DE23FE" w:rsidRPr="00C0124E">
        <w:rPr>
          <w:rFonts w:ascii="Bookman Old Style" w:eastAsia="Times New Roman" w:hAnsi="Bookman Old Style" w:cs="Arial"/>
          <w:iCs/>
          <w:shd w:val="clear" w:color="auto" w:fill="FFFFFF"/>
          <w:lang w:eastAsia="it-IT"/>
        </w:rPr>
        <w:t xml:space="preserve"> </w:t>
      </w:r>
      <w:r w:rsidRPr="00C0124E">
        <w:rPr>
          <w:rFonts w:ascii="Bookman Old Style" w:eastAsia="Times New Roman" w:hAnsi="Bookman Old Style" w:cs="Arial"/>
          <w:iCs/>
          <w:shd w:val="clear" w:color="auto" w:fill="FFFFFF"/>
          <w:lang w:eastAsia="it-IT"/>
        </w:rPr>
        <w:t>“</w:t>
      </w:r>
      <w:r w:rsidR="00DE23FE" w:rsidRPr="00C0124E">
        <w:rPr>
          <w:rFonts w:ascii="Bookman Old Style" w:eastAsia="Times New Roman" w:hAnsi="Bookman Old Style" w:cs="Arial"/>
          <w:iCs/>
          <w:shd w:val="clear" w:color="auto" w:fill="FFFFFF"/>
          <w:lang w:eastAsia="it-IT"/>
        </w:rPr>
        <w:t>federalismo per abbandono</w:t>
      </w:r>
      <w:r w:rsidRPr="00C0124E">
        <w:rPr>
          <w:rFonts w:ascii="Bookman Old Style" w:eastAsia="Times New Roman" w:hAnsi="Bookman Old Style" w:cs="Arial"/>
          <w:iCs/>
          <w:shd w:val="clear" w:color="auto" w:fill="FFFFFF"/>
          <w:lang w:eastAsia="it-IT"/>
        </w:rPr>
        <w:t>”, minori risorse centrali e regionali e servizi locali lasciati in balia della maggiore domanda e della capacità di adattamento delle amministrazioni</w:t>
      </w:r>
      <w:r w:rsidR="00DE23FE" w:rsidRPr="00C0124E">
        <w:rPr>
          <w:rFonts w:ascii="Bookman Old Style" w:eastAsia="Times New Roman" w:hAnsi="Bookman Old Style" w:cs="Arial"/>
          <w:iCs/>
          <w:shd w:val="clear" w:color="auto" w:fill="FFFFFF"/>
          <w:lang w:eastAsia="it-IT"/>
        </w:rPr>
        <w:t xml:space="preserve">. </w:t>
      </w:r>
    </w:p>
    <w:p w:rsidR="005A3A01" w:rsidRPr="00F848B3" w:rsidRDefault="005A3A01" w:rsidP="00F848B3">
      <w:pPr>
        <w:spacing w:after="120"/>
        <w:jc w:val="both"/>
        <w:rPr>
          <w:rFonts w:ascii="Bookman Old Style" w:eastAsia="Times New Roman" w:hAnsi="Bookman Old Style" w:cs="Arial"/>
          <w:iCs/>
          <w:shd w:val="clear" w:color="auto" w:fill="FFFFFF"/>
          <w:lang w:eastAsia="it-IT"/>
        </w:rPr>
      </w:pPr>
      <w:r w:rsidRPr="00F848B3">
        <w:rPr>
          <w:rFonts w:ascii="Bookman Old Style" w:eastAsia="Times New Roman" w:hAnsi="Bookman Old Style" w:cs="Arial"/>
          <w:iCs/>
          <w:shd w:val="clear" w:color="auto" w:fill="FFFFFF"/>
          <w:lang w:eastAsia="it-IT"/>
        </w:rPr>
        <w:t>Nel complesso,</w:t>
      </w:r>
      <w:r w:rsidR="00A41CBB">
        <w:rPr>
          <w:rFonts w:ascii="Bookman Old Style" w:eastAsia="Times New Roman" w:hAnsi="Bookman Old Style" w:cs="Arial"/>
          <w:iCs/>
          <w:shd w:val="clear" w:color="auto" w:fill="FFFFFF"/>
          <w:lang w:eastAsia="it-IT"/>
        </w:rPr>
        <w:t xml:space="preserve"> </w:t>
      </w:r>
      <w:r w:rsidRPr="00F848B3">
        <w:rPr>
          <w:rFonts w:ascii="Bookman Old Style" w:eastAsia="Times New Roman" w:hAnsi="Bookman Old Style" w:cs="Arial"/>
          <w:iCs/>
          <w:shd w:val="clear" w:color="auto" w:fill="FFFFFF"/>
          <w:lang w:eastAsia="it-IT"/>
        </w:rPr>
        <w:t xml:space="preserve">il perimetro delle entrate dei Comuni è stato fortemente ridotto, senza peraltro allentare in modo significativo i vincoli contabili ed ordinamentali. </w:t>
      </w:r>
      <w:r w:rsidR="00DB0F61" w:rsidRPr="00F848B3">
        <w:rPr>
          <w:rFonts w:ascii="Bookman Old Style" w:eastAsia="Times New Roman" w:hAnsi="Bookman Old Style" w:cs="Arial"/>
          <w:iCs/>
          <w:shd w:val="clear" w:color="auto" w:fill="FFFFFF"/>
          <w:lang w:eastAsia="it-IT"/>
        </w:rPr>
        <w:t xml:space="preserve">Ne consegue che il comparto vive tuttora una situazione di </w:t>
      </w:r>
      <w:r w:rsidR="00DB0F61" w:rsidRPr="00F848B3">
        <w:rPr>
          <w:rFonts w:ascii="Bookman Old Style" w:eastAsia="Times New Roman" w:hAnsi="Bookman Old Style" w:cs="Arial"/>
          <w:b/>
          <w:iCs/>
          <w:shd w:val="clear" w:color="auto" w:fill="FFFFFF"/>
          <w:lang w:eastAsia="it-IT"/>
        </w:rPr>
        <w:t>difficoltà finanziaria per quanto concerne gli equilibri di parte corrente</w:t>
      </w:r>
      <w:r w:rsidR="00DB0F61" w:rsidRPr="00F848B3">
        <w:rPr>
          <w:rFonts w:ascii="Bookman Old Style" w:eastAsia="Times New Roman" w:hAnsi="Bookman Old Style" w:cs="Arial"/>
          <w:iCs/>
          <w:shd w:val="clear" w:color="auto" w:fill="FFFFFF"/>
          <w:lang w:eastAsia="it-IT"/>
        </w:rPr>
        <w:t>.</w:t>
      </w:r>
    </w:p>
    <w:p w:rsidR="005A3A01" w:rsidRPr="00F848B3" w:rsidRDefault="00DB0F61" w:rsidP="00F848B3">
      <w:pPr>
        <w:spacing w:after="120"/>
        <w:jc w:val="both"/>
        <w:rPr>
          <w:rFonts w:ascii="Bookman Old Style" w:hAnsi="Bookman Old Style"/>
        </w:rPr>
      </w:pPr>
      <w:r w:rsidRPr="00F848B3">
        <w:rPr>
          <w:rFonts w:ascii="Bookman Old Style" w:hAnsi="Bookman Old Style"/>
        </w:rPr>
        <w:t>Alla luce di ciò, le</w:t>
      </w:r>
      <w:r w:rsidR="005A3A01" w:rsidRPr="00F848B3">
        <w:rPr>
          <w:rFonts w:ascii="Bookman Old Style" w:hAnsi="Bookman Old Style"/>
        </w:rPr>
        <w:t xml:space="preserve"> questioni irrisolte che</w:t>
      </w:r>
      <w:r w:rsidRPr="00F848B3">
        <w:rPr>
          <w:rFonts w:ascii="Bookman Old Style" w:hAnsi="Bookman Old Style"/>
        </w:rPr>
        <w:t xml:space="preserve"> </w:t>
      </w:r>
      <w:r w:rsidR="005A3A01" w:rsidRPr="00F848B3">
        <w:rPr>
          <w:rFonts w:ascii="Bookman Old Style" w:hAnsi="Bookman Old Style"/>
        </w:rPr>
        <w:t>condizionano</w:t>
      </w:r>
      <w:r w:rsidRPr="00F848B3">
        <w:rPr>
          <w:rFonts w:ascii="Bookman Old Style" w:hAnsi="Bookman Old Style"/>
        </w:rPr>
        <w:t xml:space="preserve"> il giudizio dei Comuni sulla manovra </w:t>
      </w:r>
      <w:r w:rsidR="005A3A01" w:rsidRPr="00F848B3">
        <w:rPr>
          <w:rFonts w:ascii="Bookman Old Style" w:hAnsi="Bookman Old Style"/>
        </w:rPr>
        <w:t>2019</w:t>
      </w:r>
      <w:r w:rsidRPr="00F848B3">
        <w:rPr>
          <w:rFonts w:ascii="Bookman Old Style" w:hAnsi="Bookman Old Style"/>
        </w:rPr>
        <w:t>, per la loro dimensione finanziaria e per l’impatto positivo sui bilanci che la tempestiva soluzione ne determinerebbe, sono principalmente le seguenti</w:t>
      </w:r>
      <w:r w:rsidR="005A3A01" w:rsidRPr="00F848B3">
        <w:rPr>
          <w:rFonts w:ascii="Bookman Old Style" w:hAnsi="Bookman Old Style"/>
        </w:rPr>
        <w:t>:</w:t>
      </w:r>
    </w:p>
    <w:p w:rsidR="005A3A01" w:rsidRPr="00F848B3" w:rsidRDefault="005A3A01" w:rsidP="00F848B3">
      <w:pPr>
        <w:pStyle w:val="Paragrafoelenco"/>
        <w:numPr>
          <w:ilvl w:val="0"/>
          <w:numId w:val="9"/>
        </w:numPr>
        <w:spacing w:after="120" w:line="276" w:lineRule="auto"/>
        <w:ind w:left="425" w:hanging="425"/>
        <w:contextualSpacing w:val="0"/>
        <w:jc w:val="both"/>
        <w:rPr>
          <w:rFonts w:ascii="Bookman Old Style" w:hAnsi="Bookman Old Style"/>
          <w:b/>
        </w:rPr>
      </w:pPr>
      <w:r w:rsidRPr="00F848B3">
        <w:rPr>
          <w:rFonts w:ascii="Bookman Old Style" w:hAnsi="Bookman Old Style"/>
          <w:b/>
        </w:rPr>
        <w:t>l’abolizione del taglio ex dl 66/2014</w:t>
      </w:r>
      <w:r w:rsidRPr="00F848B3">
        <w:rPr>
          <w:rFonts w:ascii="Bookman Old Style" w:hAnsi="Bookman Old Style"/>
        </w:rPr>
        <w:t xml:space="preserve">, la cui applicazione viene a scadere </w:t>
      </w:r>
      <w:r w:rsidR="00DB0F61" w:rsidRPr="00F848B3">
        <w:rPr>
          <w:rFonts w:ascii="Bookman Old Style" w:hAnsi="Bookman Old Style"/>
        </w:rPr>
        <w:t>nel</w:t>
      </w:r>
      <w:r w:rsidRPr="00F848B3">
        <w:rPr>
          <w:rFonts w:ascii="Bookman Old Style" w:hAnsi="Bookman Old Style"/>
        </w:rPr>
        <w:t xml:space="preserve"> 2018 e ammonta per i Comuni a </w:t>
      </w:r>
      <w:r w:rsidRPr="00F848B3">
        <w:rPr>
          <w:rFonts w:ascii="Bookman Old Style" w:hAnsi="Bookman Old Style"/>
          <w:b/>
        </w:rPr>
        <w:t>560 mln.</w:t>
      </w:r>
      <w:r w:rsidRPr="00F848B3">
        <w:rPr>
          <w:rFonts w:ascii="Bookman Old Style" w:hAnsi="Bookman Old Style"/>
        </w:rPr>
        <w:t xml:space="preserve"> annui. Nonostante la previsione di legge (co. 8 dell’art. 47), il ristoro del taglio </w:t>
      </w:r>
      <w:r w:rsidR="004F4A85" w:rsidRPr="00F848B3">
        <w:rPr>
          <w:rFonts w:ascii="Bookman Old Style" w:hAnsi="Bookman Old Style"/>
        </w:rPr>
        <w:t xml:space="preserve">a partire dal 2019 </w:t>
      </w:r>
      <w:r w:rsidRPr="00F848B3">
        <w:rPr>
          <w:rFonts w:ascii="Bookman Old Style" w:hAnsi="Bookman Old Style"/>
        </w:rPr>
        <w:t>non risulta attualmente finanziato, come invece sembra previsto per le Città metropolitane e le Province.</w:t>
      </w:r>
    </w:p>
    <w:p w:rsidR="008F5354" w:rsidRPr="001C6782" w:rsidRDefault="004F4A85" w:rsidP="00F848B3">
      <w:pPr>
        <w:pStyle w:val="Paragrafoelenco"/>
        <w:spacing w:after="120" w:line="276" w:lineRule="auto"/>
        <w:ind w:left="425"/>
        <w:contextualSpacing w:val="0"/>
        <w:jc w:val="both"/>
        <w:rPr>
          <w:rFonts w:ascii="Bookman Old Style" w:hAnsi="Bookman Old Style"/>
        </w:rPr>
      </w:pPr>
      <w:r w:rsidRPr="00F848B3">
        <w:rPr>
          <w:rFonts w:ascii="Bookman Old Style" w:hAnsi="Bookman Old Style"/>
        </w:rPr>
        <w:t>La mancata considerazione del reintegro è ingiustificata anche alla luce del dettato normativo vigente</w:t>
      </w:r>
      <w:r w:rsidR="008F5354">
        <w:rPr>
          <w:rFonts w:ascii="Bookman Old Style" w:hAnsi="Bookman Old Style"/>
        </w:rPr>
        <w:t xml:space="preserve">. Non </w:t>
      </w:r>
      <w:r w:rsidRPr="00F848B3">
        <w:rPr>
          <w:rFonts w:ascii="Bookman Old Style" w:hAnsi="Bookman Old Style"/>
        </w:rPr>
        <w:t>sussiste alcuna motivazione che giustifica il mancato reintegro solo per i Comuni</w:t>
      </w:r>
      <w:r w:rsidRPr="00C0124E">
        <w:rPr>
          <w:rFonts w:ascii="Bookman Old Style" w:hAnsi="Bookman Old Style"/>
        </w:rPr>
        <w:t>.</w:t>
      </w:r>
      <w:r w:rsidRPr="00C0124E">
        <w:rPr>
          <w:rFonts w:ascii="Bookman Old Style" w:hAnsi="Bookman Old Style"/>
          <w:b/>
        </w:rPr>
        <w:t xml:space="preserve"> </w:t>
      </w:r>
      <w:r w:rsidR="008F5354" w:rsidRPr="00C0124E">
        <w:rPr>
          <w:rFonts w:ascii="Bookman Old Style" w:hAnsi="Bookman Old Style"/>
        </w:rPr>
        <w:t>Il “patto” – implicito nella limitata durata temporale del tag</w:t>
      </w:r>
      <w:r w:rsidR="001C6782" w:rsidRPr="00C0124E">
        <w:rPr>
          <w:rFonts w:ascii="Bookman Old Style" w:hAnsi="Bookman Old Style"/>
        </w:rPr>
        <w:t xml:space="preserve">lio </w:t>
      </w:r>
      <w:r w:rsidR="008F5354" w:rsidRPr="00C0124E">
        <w:rPr>
          <w:rFonts w:ascii="Bookman Old Style" w:hAnsi="Bookman Old Style"/>
        </w:rPr>
        <w:t>– che ha costituito di fatto un elemento di maggior sostenibilità di quell’ulteriore riduzione di risorse verrebbe violato, fornendo ulteriori argomenti per contenziosi che già negli ultimi anni hanno caratterizzato la determinazione del fondo di solidarietà, proprio per effetto dell’incapacità dei governi di porre mano a un sistema sempre meno sostenibile non solo in termini finanziari, ma anche quanto a difendibilità nel quadro dell’ordinamento delle autonomie locali.</w:t>
      </w:r>
    </w:p>
    <w:p w:rsidR="005A3A01" w:rsidRPr="00F848B3" w:rsidRDefault="004F4A85" w:rsidP="00F848B3">
      <w:pPr>
        <w:pStyle w:val="Paragrafoelenco"/>
        <w:spacing w:after="120" w:line="276" w:lineRule="auto"/>
        <w:ind w:left="425"/>
        <w:contextualSpacing w:val="0"/>
        <w:jc w:val="both"/>
        <w:rPr>
          <w:rFonts w:ascii="Bookman Old Style" w:hAnsi="Bookman Old Style"/>
          <w:b/>
        </w:rPr>
      </w:pPr>
      <w:r w:rsidRPr="00F848B3">
        <w:rPr>
          <w:rFonts w:ascii="Bookman Old Style" w:hAnsi="Bookman Old Style"/>
        </w:rPr>
        <w:t xml:space="preserve">L’ANCI chiede pertanto che nell’iter di approvazione del provvedimento si provveda al </w:t>
      </w:r>
      <w:r w:rsidRPr="00F848B3">
        <w:rPr>
          <w:rFonts w:ascii="Bookman Old Style" w:hAnsi="Bookman Old Style"/>
          <w:b/>
        </w:rPr>
        <w:t>finanziamento del ristoro in questione</w:t>
      </w:r>
      <w:r w:rsidR="00E03E68" w:rsidRPr="00F848B3">
        <w:rPr>
          <w:rFonts w:ascii="Bookman Old Style" w:hAnsi="Bookman Old Style"/>
        </w:rPr>
        <w:t>,</w:t>
      </w:r>
      <w:r w:rsidRPr="00F848B3">
        <w:rPr>
          <w:rFonts w:ascii="Bookman Old Style" w:hAnsi="Bookman Old Style"/>
        </w:rPr>
        <w:t xml:space="preserve"> con riferimento al quale chiede altresì di valutare</w:t>
      </w:r>
      <w:r w:rsidR="00E03E68" w:rsidRPr="00F848B3">
        <w:rPr>
          <w:rFonts w:ascii="Bookman Old Style" w:hAnsi="Bookman Old Style"/>
        </w:rPr>
        <w:t xml:space="preserve"> l’opportunità di </w:t>
      </w:r>
      <w:r w:rsidR="00E03E68" w:rsidRPr="00F848B3">
        <w:rPr>
          <w:rFonts w:ascii="Bookman Old Style" w:hAnsi="Bookman Old Style"/>
          <w:b/>
        </w:rPr>
        <w:t>configurarlo quale fondo di “perequazione verticale” in sede di determinazione del Fondo di solidarietà comunale</w:t>
      </w:r>
      <w:r w:rsidR="009F4C20" w:rsidRPr="001C6782">
        <w:rPr>
          <w:rFonts w:ascii="Bookman Old Style" w:hAnsi="Bookman Old Style"/>
          <w:highlight w:val="green"/>
        </w:rPr>
        <w:t>;</w:t>
      </w:r>
    </w:p>
    <w:p w:rsidR="005A3A01" w:rsidRPr="00F848B3" w:rsidRDefault="005A3A01" w:rsidP="00F848B3">
      <w:pPr>
        <w:pStyle w:val="Paragrafoelenco"/>
        <w:numPr>
          <w:ilvl w:val="0"/>
          <w:numId w:val="9"/>
        </w:numPr>
        <w:spacing w:after="120" w:line="276" w:lineRule="auto"/>
        <w:ind w:left="426" w:hanging="426"/>
        <w:contextualSpacing w:val="0"/>
        <w:jc w:val="both"/>
        <w:rPr>
          <w:rFonts w:ascii="Bookman Old Style" w:hAnsi="Bookman Old Style"/>
        </w:rPr>
      </w:pPr>
      <w:r w:rsidRPr="00F848B3">
        <w:rPr>
          <w:rFonts w:ascii="Bookman Old Style" w:hAnsi="Bookman Old Style"/>
          <w:b/>
        </w:rPr>
        <w:t>contributo compensativo</w:t>
      </w:r>
      <w:r w:rsidRPr="00F848B3">
        <w:rPr>
          <w:rFonts w:ascii="Bookman Old Style" w:hAnsi="Bookman Old Style"/>
        </w:rPr>
        <w:t xml:space="preserve"> </w:t>
      </w:r>
      <w:r w:rsidRPr="00F848B3">
        <w:rPr>
          <w:rFonts w:ascii="Bookman Old Style" w:hAnsi="Bookman Old Style"/>
          <w:b/>
        </w:rPr>
        <w:t>del passaggio IMU-Tasi</w:t>
      </w:r>
      <w:r w:rsidRPr="00F848B3">
        <w:rPr>
          <w:rFonts w:ascii="Bookman Old Style" w:hAnsi="Bookman Old Style"/>
        </w:rPr>
        <w:t>, a ristoro del maggior gettito IMU che dal 2014 non è più acquisibile da circa 1.800 Comuni, per effetto delle più restrittive regole di determinazione delle aliquote massime IMU-Tasi. Il contributo è stato finora asse</w:t>
      </w:r>
      <w:r w:rsidR="00E03E68" w:rsidRPr="00F848B3">
        <w:rPr>
          <w:rFonts w:ascii="Bookman Old Style" w:hAnsi="Bookman Old Style"/>
        </w:rPr>
        <w:t>gnato con provvedimenti annuali, che ne hanno progressivamente ridotto l’ammontare, fino ai</w:t>
      </w:r>
      <w:r w:rsidRPr="00F848B3">
        <w:rPr>
          <w:rFonts w:ascii="Bookman Old Style" w:hAnsi="Bookman Old Style"/>
        </w:rPr>
        <w:t xml:space="preserve"> </w:t>
      </w:r>
      <w:r w:rsidRPr="00F848B3">
        <w:rPr>
          <w:rFonts w:ascii="Bookman Old Style" w:hAnsi="Bookman Old Style"/>
          <w:b/>
        </w:rPr>
        <w:t>300 mln. annui nel 2017-18</w:t>
      </w:r>
      <w:r w:rsidRPr="00F848B3">
        <w:rPr>
          <w:rFonts w:ascii="Bookman Old Style" w:hAnsi="Bookman Old Style"/>
        </w:rPr>
        <w:t>, a fronte di una perdita di gettito a suo tempo certificata dal Mef per circa 490 mln. di euro.</w:t>
      </w:r>
    </w:p>
    <w:p w:rsidR="005A3A01" w:rsidRPr="00F848B3" w:rsidRDefault="005A3A01" w:rsidP="00F848B3">
      <w:pPr>
        <w:pStyle w:val="Paragrafoelenco"/>
        <w:spacing w:after="120" w:line="276" w:lineRule="auto"/>
        <w:ind w:left="426"/>
        <w:contextualSpacing w:val="0"/>
        <w:jc w:val="both"/>
        <w:rPr>
          <w:rFonts w:ascii="Bookman Old Style" w:hAnsi="Bookman Old Style"/>
          <w:b/>
        </w:rPr>
      </w:pPr>
      <w:r w:rsidRPr="00F848B3">
        <w:rPr>
          <w:rFonts w:ascii="Bookman Old Style" w:hAnsi="Bookman Old Style"/>
          <w:b/>
        </w:rPr>
        <w:t xml:space="preserve">Gli importi assegnati, per un ammontare complessivo di almeno 300 milioni di euro, </w:t>
      </w:r>
      <w:r w:rsidR="001938DE">
        <w:rPr>
          <w:rFonts w:ascii="Bookman Old Style" w:hAnsi="Bookman Old Style"/>
          <w:b/>
        </w:rPr>
        <w:t>devono</w:t>
      </w:r>
      <w:r w:rsidR="001938DE" w:rsidRPr="00F848B3">
        <w:rPr>
          <w:rFonts w:ascii="Bookman Old Style" w:hAnsi="Bookman Old Style"/>
          <w:b/>
        </w:rPr>
        <w:t xml:space="preserve"> </w:t>
      </w:r>
      <w:r w:rsidRPr="00F848B3">
        <w:rPr>
          <w:rFonts w:ascii="Bookman Old Style" w:hAnsi="Bookman Old Style"/>
          <w:b/>
        </w:rPr>
        <w:t>essere confermati poiché concorrono alla formazione degli equilibri correnti della maggior parte dei Comuni coinvolti;</w:t>
      </w:r>
    </w:p>
    <w:p w:rsidR="005A3A01" w:rsidRPr="00F848B3" w:rsidRDefault="005A3A01" w:rsidP="00F848B3">
      <w:pPr>
        <w:pStyle w:val="Paragrafoelenco"/>
        <w:numPr>
          <w:ilvl w:val="0"/>
          <w:numId w:val="9"/>
        </w:numPr>
        <w:spacing w:after="120" w:line="276" w:lineRule="auto"/>
        <w:ind w:left="425" w:hanging="425"/>
        <w:contextualSpacing w:val="0"/>
        <w:jc w:val="both"/>
        <w:rPr>
          <w:rFonts w:ascii="Bookman Old Style" w:hAnsi="Bookman Old Style"/>
        </w:rPr>
      </w:pPr>
      <w:r w:rsidRPr="00F848B3">
        <w:rPr>
          <w:rFonts w:ascii="Bookman Old Style" w:hAnsi="Bookman Old Style"/>
        </w:rPr>
        <w:t xml:space="preserve">la sentenza della Corte costituzionale n.15/2018 ha di fatto dichiarato illegittimo il mantenimento delle </w:t>
      </w:r>
      <w:r w:rsidRPr="00F848B3">
        <w:rPr>
          <w:rFonts w:ascii="Bookman Old Style" w:hAnsi="Bookman Old Style"/>
          <w:b/>
        </w:rPr>
        <w:t xml:space="preserve">maggiorazioni sull’imposta pubblicità </w:t>
      </w:r>
      <w:r w:rsidRPr="00F848B3">
        <w:rPr>
          <w:rFonts w:ascii="Bookman Old Style" w:hAnsi="Bookman Old Style"/>
        </w:rPr>
        <w:t>applicate dai Comuni dal 2013 in poi. Non sono disponibili dati precisi, ma stime preliminari portano il valore della perdita di gettito annua</w:t>
      </w:r>
      <w:r w:rsidRPr="00F848B3">
        <w:rPr>
          <w:rFonts w:ascii="Bookman Old Style" w:hAnsi="Bookman Old Style"/>
          <w:b/>
        </w:rPr>
        <w:t xml:space="preserve"> tra i 400 e i 500 mln. di euro.</w:t>
      </w:r>
    </w:p>
    <w:p w:rsidR="005A3A01" w:rsidRPr="00F848B3" w:rsidRDefault="005A3A01" w:rsidP="00F848B3">
      <w:pPr>
        <w:pStyle w:val="Paragrafoelenco"/>
        <w:spacing w:after="120" w:line="276" w:lineRule="auto"/>
        <w:ind w:left="426"/>
        <w:contextualSpacing w:val="0"/>
        <w:jc w:val="both"/>
        <w:rPr>
          <w:rFonts w:ascii="Bookman Old Style" w:hAnsi="Bookman Old Style"/>
          <w:b/>
        </w:rPr>
      </w:pPr>
      <w:r w:rsidRPr="00F848B3">
        <w:rPr>
          <w:rFonts w:ascii="Bookman Old Style" w:hAnsi="Bookman Old Style"/>
          <w:b/>
        </w:rPr>
        <w:t xml:space="preserve">L’Anci chiede un intervento normativo </w:t>
      </w:r>
      <w:r w:rsidR="001D1BC2" w:rsidRPr="00F848B3">
        <w:rPr>
          <w:rFonts w:ascii="Bookman Old Style" w:hAnsi="Bookman Old Style"/>
          <w:b/>
        </w:rPr>
        <w:t>volto a</w:t>
      </w:r>
      <w:r w:rsidRPr="00F848B3">
        <w:rPr>
          <w:rFonts w:ascii="Bookman Old Style" w:hAnsi="Bookman Old Style"/>
          <w:b/>
        </w:rPr>
        <w:t xml:space="preserve"> ripristinare l’applicabilità della maggiorazione, modulare </w:t>
      </w:r>
      <w:r w:rsidR="001D1BC2" w:rsidRPr="00F848B3">
        <w:rPr>
          <w:rFonts w:ascii="Bookman Old Style" w:hAnsi="Bookman Old Style"/>
          <w:b/>
        </w:rPr>
        <w:t xml:space="preserve">in un arco di tempo pluriennale </w:t>
      </w:r>
      <w:r w:rsidRPr="00F848B3">
        <w:rPr>
          <w:rFonts w:ascii="Bookman Old Style" w:hAnsi="Bookman Old Style"/>
          <w:b/>
        </w:rPr>
        <w:t xml:space="preserve">i rimborsi che i concessionari di pubblicità stanno richiedendo e per </w:t>
      </w:r>
      <w:r w:rsidR="001938DE">
        <w:rPr>
          <w:rFonts w:ascii="Bookman Old Style" w:hAnsi="Bookman Old Style"/>
          <w:b/>
        </w:rPr>
        <w:t>valutare la necessità di</w:t>
      </w:r>
      <w:r w:rsidR="001938DE" w:rsidRPr="00F848B3">
        <w:rPr>
          <w:rFonts w:ascii="Bookman Old Style" w:hAnsi="Bookman Old Style"/>
          <w:b/>
        </w:rPr>
        <w:t xml:space="preserve"> </w:t>
      </w:r>
      <w:r w:rsidRPr="00F848B3">
        <w:rPr>
          <w:rFonts w:ascii="Bookman Old Style" w:hAnsi="Bookman Old Style"/>
          <w:b/>
        </w:rPr>
        <w:t>un contributo statale compensativo</w:t>
      </w:r>
      <w:r w:rsidR="001D1BC2" w:rsidRPr="00F848B3">
        <w:rPr>
          <w:rFonts w:ascii="Bookman Old Style" w:hAnsi="Bookman Old Style"/>
          <w:b/>
        </w:rPr>
        <w:t>.</w:t>
      </w:r>
    </w:p>
    <w:p w:rsidR="005A3A01" w:rsidRPr="00F848B3" w:rsidRDefault="005A3A01" w:rsidP="00F848B3">
      <w:pPr>
        <w:pStyle w:val="Paragrafoelenco"/>
        <w:spacing w:after="120" w:line="276" w:lineRule="auto"/>
        <w:ind w:left="426"/>
        <w:jc w:val="both"/>
        <w:rPr>
          <w:rFonts w:ascii="Bookman Old Style" w:eastAsia="Times New Roman" w:hAnsi="Bookman Old Style" w:cs="Arial"/>
          <w:b/>
          <w:iCs/>
          <w:shd w:val="clear" w:color="auto" w:fill="FFFFFF"/>
          <w:lang w:eastAsia="it-IT"/>
        </w:rPr>
      </w:pPr>
    </w:p>
    <w:p w:rsidR="005A3A01" w:rsidRPr="00F848B3" w:rsidRDefault="005A3A01" w:rsidP="00F848B3">
      <w:pPr>
        <w:pStyle w:val="Titolo2"/>
        <w:spacing w:before="0" w:after="120"/>
        <w:rPr>
          <w:rFonts w:ascii="Bookman Old Style" w:hAnsi="Bookman Old Style"/>
          <w:shd w:val="clear" w:color="auto" w:fill="FFFFFF"/>
        </w:rPr>
      </w:pPr>
      <w:bookmarkStart w:id="4" w:name="_Toc524978897"/>
      <w:bookmarkStart w:id="5" w:name="_Toc529684994"/>
      <w:r w:rsidRPr="00F848B3">
        <w:rPr>
          <w:rFonts w:ascii="Bookman Old Style" w:hAnsi="Bookman Old Style"/>
          <w:shd w:val="clear" w:color="auto" w:fill="FFFFFF"/>
        </w:rPr>
        <w:t>Controversie e contenziosi da prevenire o risolvere</w:t>
      </w:r>
      <w:bookmarkEnd w:id="4"/>
      <w:bookmarkEnd w:id="5"/>
    </w:p>
    <w:p w:rsidR="005A3A01" w:rsidRPr="00F848B3" w:rsidRDefault="005A3A01" w:rsidP="00F848B3">
      <w:pPr>
        <w:spacing w:after="120"/>
        <w:jc w:val="both"/>
        <w:rPr>
          <w:rFonts w:ascii="Bookman Old Style" w:eastAsia="Times New Roman" w:hAnsi="Bookman Old Style" w:cs="Arial"/>
          <w:b/>
          <w:iCs/>
          <w:shd w:val="clear" w:color="auto" w:fill="FFFFFF"/>
          <w:lang w:eastAsia="it-IT"/>
        </w:rPr>
      </w:pPr>
      <w:r w:rsidRPr="00F848B3">
        <w:rPr>
          <w:rFonts w:ascii="Bookman Old Style" w:eastAsia="Times New Roman" w:hAnsi="Bookman Old Style" w:cs="Arial"/>
          <w:iCs/>
          <w:shd w:val="clear" w:color="auto" w:fill="FFFFFF"/>
          <w:lang w:eastAsia="it-IT"/>
        </w:rPr>
        <w:t>A seguito delle restrizioni degli ultimi anni,</w:t>
      </w:r>
      <w:r w:rsidRPr="00F848B3">
        <w:rPr>
          <w:rFonts w:ascii="Bookman Old Style" w:eastAsia="Times New Roman" w:hAnsi="Bookman Old Style" w:cs="Arial"/>
          <w:b/>
          <w:iCs/>
          <w:shd w:val="clear" w:color="auto" w:fill="FFFFFF"/>
          <w:lang w:eastAsia="it-IT"/>
        </w:rPr>
        <w:t xml:space="preserve"> sono aperte diverse questioni che sono oggetto di controversie </w:t>
      </w:r>
      <w:r w:rsidRPr="00F848B3">
        <w:rPr>
          <w:rFonts w:ascii="Bookman Old Style" w:eastAsia="Times New Roman" w:hAnsi="Bookman Old Style" w:cs="Arial"/>
          <w:iCs/>
          <w:shd w:val="clear" w:color="auto" w:fill="FFFFFF"/>
          <w:lang w:eastAsia="it-IT"/>
        </w:rPr>
        <w:t>presso la giustizia amministrativa o ordinaria:</w:t>
      </w:r>
    </w:p>
    <w:p w:rsidR="005A3A01" w:rsidRPr="00F848B3" w:rsidRDefault="005A3A01" w:rsidP="00F848B3">
      <w:pPr>
        <w:pStyle w:val="Paragrafoelenco"/>
        <w:numPr>
          <w:ilvl w:val="0"/>
          <w:numId w:val="9"/>
        </w:numPr>
        <w:spacing w:after="120" w:line="276" w:lineRule="auto"/>
        <w:ind w:left="426"/>
        <w:jc w:val="both"/>
        <w:rPr>
          <w:rFonts w:ascii="Bookman Old Style" w:hAnsi="Bookman Old Style"/>
          <w:b/>
        </w:rPr>
      </w:pPr>
      <w:r w:rsidRPr="00F848B3">
        <w:rPr>
          <w:rFonts w:ascii="Bookman Old Style" w:hAnsi="Bookman Old Style"/>
          <w:b/>
        </w:rPr>
        <w:t>le spese per gli uffici giudiziari</w:t>
      </w:r>
      <w:r w:rsidRPr="00F848B3">
        <w:rPr>
          <w:rFonts w:ascii="Bookman Old Style" w:hAnsi="Bookman Old Style"/>
        </w:rPr>
        <w:t xml:space="preserve">, che con la legge di bilancio 2017 (DPCM 10 marzo 2017) hanno trovato una soluzione del tutto insoddisfacente. Il ristoro delle spese sostenute dai Comuni per il funzionamento degli uffici giudiziari tra il 2011 e il 2014 </w:t>
      </w:r>
      <w:r w:rsidRPr="00F848B3">
        <w:rPr>
          <w:rFonts w:ascii="Bookman Old Style" w:hAnsi="Bookman Old Style"/>
          <w:b/>
        </w:rPr>
        <w:t>è stato fortemente sottostimato</w:t>
      </w:r>
      <w:r w:rsidRPr="00F848B3">
        <w:rPr>
          <w:rFonts w:ascii="Bookman Old Style" w:hAnsi="Bookman Old Style"/>
        </w:rPr>
        <w:t>, anche attraverso l’esclusione delle spese sostenute nel periodo gennaio-agosto 2015, mentre l’erogazione rateizzata in 30 anni</w:t>
      </w:r>
      <w:r w:rsidR="00B67974" w:rsidRPr="00F848B3">
        <w:rPr>
          <w:rFonts w:ascii="Bookman Old Style" w:hAnsi="Bookman Old Style"/>
        </w:rPr>
        <w:t xml:space="preserve"> è destinata a produrre effetti del tutto marginali sui bilanci.</w:t>
      </w:r>
      <w:r w:rsidRPr="00F848B3">
        <w:rPr>
          <w:rFonts w:ascii="Bookman Old Style" w:hAnsi="Bookman Old Style"/>
        </w:rPr>
        <w:t xml:space="preserve"> Gli enti coinvolti sono circa 800, per uno scostamento complessivo tra spese sostenute e rimborsi riconosciuti di oltre 500 mln. di euro.</w:t>
      </w:r>
    </w:p>
    <w:p w:rsidR="005A3A01" w:rsidRPr="00F848B3" w:rsidRDefault="00B67974" w:rsidP="00F848B3">
      <w:pPr>
        <w:spacing w:after="120"/>
        <w:ind w:left="426"/>
        <w:jc w:val="both"/>
        <w:rPr>
          <w:rFonts w:ascii="Bookman Old Style" w:hAnsi="Bookman Old Style"/>
          <w:b/>
        </w:rPr>
      </w:pPr>
      <w:r w:rsidRPr="00F848B3">
        <w:rPr>
          <w:rFonts w:ascii="Bookman Old Style" w:hAnsi="Bookman Old Style"/>
        </w:rPr>
        <w:t>Anche al fine di prevenire i contenziosi, molti dei quali già in essere,</w:t>
      </w:r>
      <w:r w:rsidRPr="00F848B3">
        <w:rPr>
          <w:rFonts w:ascii="Bookman Old Style" w:hAnsi="Bookman Old Style"/>
          <w:b/>
        </w:rPr>
        <w:t xml:space="preserve"> a</w:t>
      </w:r>
      <w:r w:rsidR="005A3A01" w:rsidRPr="00F848B3">
        <w:rPr>
          <w:rFonts w:ascii="Bookman Old Style" w:hAnsi="Bookman Old Style"/>
          <w:b/>
        </w:rPr>
        <w:t xml:space="preserve">ppare opportuna una composizione negoziale congrua della questione, sulla base di un aumento delle risorse e del computo delle spese sostenute nel 2015. </w:t>
      </w:r>
      <w:r w:rsidRPr="00F848B3">
        <w:rPr>
          <w:rFonts w:ascii="Bookman Old Style" w:hAnsi="Bookman Old Style"/>
          <w:b/>
        </w:rPr>
        <w:t xml:space="preserve">Si chiede pertanto di ridurre </w:t>
      </w:r>
      <w:r w:rsidR="005A3A01" w:rsidRPr="00F848B3">
        <w:rPr>
          <w:rFonts w:ascii="Bookman Old Style" w:hAnsi="Bookman Old Style"/>
          <w:b/>
        </w:rPr>
        <w:t xml:space="preserve">da 30 anni a 5 anni </w:t>
      </w:r>
      <w:r w:rsidRPr="00F848B3">
        <w:rPr>
          <w:rFonts w:ascii="Bookman Old Style" w:hAnsi="Bookman Old Style"/>
          <w:b/>
        </w:rPr>
        <w:t xml:space="preserve">il periodo di restituzione e di integrare </w:t>
      </w:r>
      <w:r w:rsidR="005A3A01" w:rsidRPr="00F848B3">
        <w:rPr>
          <w:rFonts w:ascii="Bookman Old Style" w:hAnsi="Bookman Old Style"/>
          <w:b/>
        </w:rPr>
        <w:t xml:space="preserve">la posta </w:t>
      </w:r>
      <w:r w:rsidRPr="00F848B3">
        <w:rPr>
          <w:rFonts w:ascii="Bookman Old Style" w:hAnsi="Bookman Old Style"/>
          <w:b/>
        </w:rPr>
        <w:t xml:space="preserve">ad oggi </w:t>
      </w:r>
      <w:r w:rsidR="005A3A01" w:rsidRPr="00F848B3">
        <w:rPr>
          <w:rFonts w:ascii="Bookman Old Style" w:hAnsi="Bookman Old Style"/>
          <w:b/>
        </w:rPr>
        <w:t>disponibile</w:t>
      </w:r>
      <w:r w:rsidRPr="00F848B3">
        <w:rPr>
          <w:rFonts w:ascii="Bookman Old Style" w:hAnsi="Bookman Old Style"/>
          <w:b/>
        </w:rPr>
        <w:t>, pari a</w:t>
      </w:r>
      <w:r w:rsidR="005A3A01" w:rsidRPr="00F848B3">
        <w:rPr>
          <w:rFonts w:ascii="Bookman Old Style" w:hAnsi="Bookman Old Style"/>
          <w:b/>
        </w:rPr>
        <w:t xml:space="preserve"> 300 ml</w:t>
      </w:r>
      <w:r w:rsidRPr="00F848B3">
        <w:rPr>
          <w:rFonts w:ascii="Bookman Old Style" w:hAnsi="Bookman Old Style"/>
          <w:b/>
        </w:rPr>
        <w:t>n. di euro, con ulteriori 200 mln. di euro</w:t>
      </w:r>
      <w:r w:rsidR="009B7E9E" w:rsidRPr="00BE3EA4">
        <w:rPr>
          <w:rFonts w:ascii="Bookman Old Style" w:hAnsi="Bookman Old Style"/>
          <w:b/>
          <w:highlight w:val="green"/>
        </w:rPr>
        <w:t>;</w:t>
      </w:r>
    </w:p>
    <w:p w:rsidR="005A3A01" w:rsidRPr="00F848B3" w:rsidRDefault="005A3A01" w:rsidP="00F848B3">
      <w:pPr>
        <w:pStyle w:val="Paragrafoelenco"/>
        <w:numPr>
          <w:ilvl w:val="0"/>
          <w:numId w:val="9"/>
        </w:numPr>
        <w:spacing w:after="120" w:line="276" w:lineRule="auto"/>
        <w:ind w:left="357" w:hanging="357"/>
        <w:contextualSpacing w:val="0"/>
        <w:jc w:val="both"/>
        <w:rPr>
          <w:rFonts w:ascii="Bookman Old Style" w:hAnsi="Bookman Old Style"/>
        </w:rPr>
      </w:pPr>
      <w:r w:rsidRPr="00F848B3">
        <w:rPr>
          <w:rFonts w:ascii="Bookman Old Style" w:hAnsi="Bookman Old Style"/>
          <w:b/>
        </w:rPr>
        <w:t>il ristoro delle modifiche di imponibile dei fabbricati D</w:t>
      </w:r>
      <w:r w:rsidRPr="00F848B3">
        <w:rPr>
          <w:rFonts w:ascii="Bookman Old Style" w:hAnsi="Bookman Old Style"/>
        </w:rPr>
        <w:t xml:space="preserve">, sul quale diversi tribunali civili (Bologna, Venezia, Milano, Genova, Torino…) si sono espressi anche in secondo grado, ordinando l’attribuzione di maggiori risorse compensative del minor gettito ICI ridefinite unilateralmente dal </w:t>
      </w:r>
      <w:r w:rsidR="00B67974" w:rsidRPr="00F848B3">
        <w:rPr>
          <w:rFonts w:ascii="Bookman Old Style" w:hAnsi="Bookman Old Style"/>
        </w:rPr>
        <w:t>Ministero dell’economia e delle finanze</w:t>
      </w:r>
      <w:r w:rsidRPr="00F848B3">
        <w:rPr>
          <w:rFonts w:ascii="Bookman Old Style" w:hAnsi="Bookman Old Style"/>
        </w:rPr>
        <w:t xml:space="preserve"> e dal Ministero dell’Interno, a decorrere dal 2009</w:t>
      </w:r>
      <w:r w:rsidR="007B705F" w:rsidRPr="00F848B3">
        <w:rPr>
          <w:rFonts w:ascii="Bookman Old Style" w:hAnsi="Bookman Old Style"/>
        </w:rPr>
        <w:t>,</w:t>
      </w:r>
      <w:r w:rsidRPr="00F848B3">
        <w:rPr>
          <w:rFonts w:ascii="Bookman Old Style" w:hAnsi="Bookman Old Style"/>
        </w:rPr>
        <w:t xml:space="preserve"> sulla base di criteri più restrittivi e fatti valere retroattivamente dal 2001, anno di avvio del ristoro. I tribunali hanno quindi riconosciuto che una parte cospicua del minor gettito riscontrato è stata indebitamente negata ai Comuni.</w:t>
      </w:r>
    </w:p>
    <w:p w:rsidR="005A3A01" w:rsidRPr="00F848B3" w:rsidRDefault="005A3A01" w:rsidP="00F848B3">
      <w:pPr>
        <w:pStyle w:val="Paragrafoelenco"/>
        <w:spacing w:after="120" w:line="276" w:lineRule="auto"/>
        <w:ind w:left="357"/>
        <w:contextualSpacing w:val="0"/>
        <w:jc w:val="both"/>
        <w:rPr>
          <w:rFonts w:ascii="Bookman Old Style" w:hAnsi="Bookman Old Style"/>
          <w:b/>
        </w:rPr>
      </w:pPr>
      <w:r w:rsidRPr="00F848B3">
        <w:rPr>
          <w:rFonts w:ascii="Bookman Old Style" w:hAnsi="Bookman Old Style"/>
          <w:b/>
        </w:rPr>
        <w:t>Appare opportuna</w:t>
      </w:r>
      <w:r w:rsidR="007B705F" w:rsidRPr="00F848B3">
        <w:rPr>
          <w:rFonts w:ascii="Bookman Old Style" w:hAnsi="Bookman Old Style"/>
          <w:b/>
        </w:rPr>
        <w:t>, anche in questo caso,</w:t>
      </w:r>
      <w:r w:rsidRPr="00F848B3">
        <w:rPr>
          <w:rFonts w:ascii="Bookman Old Style" w:hAnsi="Bookman Old Style"/>
          <w:b/>
        </w:rPr>
        <w:t xml:space="preserve"> una sistemazione negoziale che determini un congruo ammontare di risorse una tantum (il dispositivo di ristoro non è più applicabile dal 2011) a favore dei Comuni penalizzati dai più restrittivi criteri imposti dai ministeri. Nel complesso, la perdita subita ammonta a circa 300 milioni di eu</w:t>
      </w:r>
      <w:r w:rsidR="007B705F" w:rsidRPr="00F848B3">
        <w:rPr>
          <w:rFonts w:ascii="Bookman Old Style" w:hAnsi="Bookman Old Style"/>
          <w:b/>
        </w:rPr>
        <w:t>ro e coinvolge circa 650 Comuni.</w:t>
      </w:r>
    </w:p>
    <w:p w:rsidR="005A3A01" w:rsidRPr="00F848B3" w:rsidRDefault="007B705F" w:rsidP="00F848B3">
      <w:pPr>
        <w:spacing w:after="120"/>
        <w:jc w:val="both"/>
        <w:rPr>
          <w:rFonts w:ascii="Bookman Old Style" w:hAnsi="Bookman Old Style"/>
        </w:rPr>
      </w:pPr>
      <w:r w:rsidRPr="00F848B3">
        <w:rPr>
          <w:rFonts w:ascii="Bookman Old Style" w:hAnsi="Bookman Old Style"/>
          <w:bCs/>
          <w:iCs/>
        </w:rPr>
        <w:t>A</w:t>
      </w:r>
      <w:r w:rsidR="005A3A01" w:rsidRPr="00F848B3">
        <w:rPr>
          <w:rFonts w:ascii="Bookman Old Style" w:hAnsi="Bookman Old Style"/>
          <w:bCs/>
          <w:iCs/>
        </w:rPr>
        <w:t xml:space="preserve">ltre questioni </w:t>
      </w:r>
      <w:r w:rsidRPr="00F848B3">
        <w:rPr>
          <w:rFonts w:ascii="Bookman Old Style" w:hAnsi="Bookman Old Style"/>
          <w:bCs/>
          <w:iCs/>
        </w:rPr>
        <w:t xml:space="preserve">apparentemente </w:t>
      </w:r>
      <w:r w:rsidR="005A3A01" w:rsidRPr="00F848B3">
        <w:rPr>
          <w:rFonts w:ascii="Bookman Old Style" w:hAnsi="Bookman Old Style"/>
          <w:bCs/>
          <w:iCs/>
        </w:rPr>
        <w:t>di minor</w:t>
      </w:r>
      <w:r w:rsidRPr="00F848B3">
        <w:rPr>
          <w:rFonts w:ascii="Bookman Old Style" w:hAnsi="Bookman Old Style"/>
          <w:bCs/>
          <w:iCs/>
        </w:rPr>
        <w:t>e</w:t>
      </w:r>
      <w:r w:rsidR="005A3A01" w:rsidRPr="00F848B3">
        <w:rPr>
          <w:rFonts w:ascii="Bookman Old Style" w:hAnsi="Bookman Old Style"/>
          <w:bCs/>
          <w:iCs/>
        </w:rPr>
        <w:t xml:space="preserve"> rilevanza generale, ma con forte incidenza sui Comuni coinvolti, riguardano il</w:t>
      </w:r>
      <w:r w:rsidR="005A3A01" w:rsidRPr="00F848B3">
        <w:rPr>
          <w:rFonts w:ascii="Bookman Old Style" w:hAnsi="Bookman Old Style"/>
          <w:b/>
          <w:bCs/>
          <w:iCs/>
        </w:rPr>
        <w:t xml:space="preserve"> </w:t>
      </w:r>
      <w:r w:rsidR="005A3A01" w:rsidRPr="00F848B3">
        <w:rPr>
          <w:rFonts w:ascii="Bookman Old Style" w:hAnsi="Bookman Old Style"/>
          <w:b/>
        </w:rPr>
        <w:t>riparto dell’addizionale comunale aeroportuale</w:t>
      </w:r>
      <w:r w:rsidR="005A3A01" w:rsidRPr="00F848B3">
        <w:rPr>
          <w:rFonts w:ascii="Bookman Old Style" w:hAnsi="Bookman Old Style"/>
          <w:b/>
          <w:bCs/>
          <w:iCs/>
        </w:rPr>
        <w:t xml:space="preserve">, </w:t>
      </w:r>
      <w:r w:rsidR="005A3A01" w:rsidRPr="00F848B3">
        <w:rPr>
          <w:rFonts w:ascii="Bookman Old Style" w:hAnsi="Bookman Old Style"/>
          <w:bCs/>
          <w:iCs/>
        </w:rPr>
        <w:t>arbitrariamente</w:t>
      </w:r>
      <w:r w:rsidR="005A3A01" w:rsidRPr="00F848B3">
        <w:rPr>
          <w:rFonts w:ascii="Bookman Old Style" w:hAnsi="Bookman Old Style"/>
          <w:b/>
          <w:bCs/>
          <w:iCs/>
        </w:rPr>
        <w:t xml:space="preserve"> </w:t>
      </w:r>
      <w:r w:rsidR="005A3A01" w:rsidRPr="00F848B3">
        <w:rPr>
          <w:rFonts w:ascii="Bookman Old Style" w:hAnsi="Bookman Old Style"/>
          <w:bCs/>
          <w:iCs/>
        </w:rPr>
        <w:t>decurtata sulla base di una norma del 2017 (</w:t>
      </w:r>
      <w:r w:rsidR="005A3A01" w:rsidRPr="00F848B3">
        <w:rPr>
          <w:rFonts w:ascii="Bookman Old Style" w:hAnsi="Bookman Old Style"/>
          <w:bCs/>
        </w:rPr>
        <w:t>72 Comuni interessati da mancati ristori stimabili in oltre 100 milioni di euro dal 2007</w:t>
      </w:r>
      <w:r w:rsidR="005A3A01" w:rsidRPr="00F848B3">
        <w:rPr>
          <w:rFonts w:ascii="Bookman Old Style" w:hAnsi="Bookman Old Style"/>
        </w:rPr>
        <w:t xml:space="preserve">), le incertezze riguardanti i </w:t>
      </w:r>
      <w:r w:rsidR="005A3A01" w:rsidRPr="00F848B3">
        <w:rPr>
          <w:rFonts w:ascii="Bookman Old Style" w:hAnsi="Bookman Old Style"/>
          <w:b/>
        </w:rPr>
        <w:t>contributi dovuti ai Comuni che ospitano siti nucleari</w:t>
      </w:r>
      <w:r w:rsidR="005A3A01" w:rsidRPr="00F848B3">
        <w:rPr>
          <w:rFonts w:ascii="Bookman Old Style" w:hAnsi="Bookman Old Style"/>
        </w:rPr>
        <w:t>, l’assenza di una uniforme attuazione delle sentenze della Cassazione sull’</w:t>
      </w:r>
      <w:r w:rsidR="005A3A01" w:rsidRPr="00F848B3">
        <w:rPr>
          <w:rFonts w:ascii="Bookman Old Style" w:hAnsi="Bookman Old Style"/>
          <w:b/>
        </w:rPr>
        <w:t>imponibilità delle piattaforme petrolifere</w:t>
      </w:r>
      <w:r w:rsidR="005A3A01" w:rsidRPr="00F848B3">
        <w:rPr>
          <w:rFonts w:ascii="Bookman Old Style" w:hAnsi="Bookman Old Style"/>
        </w:rPr>
        <w:t>.</w:t>
      </w:r>
    </w:p>
    <w:p w:rsidR="005A3A01" w:rsidRPr="00F848B3" w:rsidRDefault="005A3A01" w:rsidP="00F848B3">
      <w:pPr>
        <w:spacing w:after="120"/>
        <w:jc w:val="both"/>
        <w:rPr>
          <w:rFonts w:ascii="Bookman Old Style" w:eastAsia="Times New Roman" w:hAnsi="Bookman Old Style" w:cs="Arial"/>
          <w:iCs/>
          <w:shd w:val="clear" w:color="auto" w:fill="FFFFFF"/>
          <w:lang w:eastAsia="it-IT"/>
        </w:rPr>
      </w:pPr>
    </w:p>
    <w:p w:rsidR="005A3A01" w:rsidRPr="00F848B3" w:rsidRDefault="00293EAE" w:rsidP="00F848B3">
      <w:pPr>
        <w:pStyle w:val="Titolo1"/>
        <w:spacing w:before="0" w:after="120"/>
        <w:rPr>
          <w:rFonts w:ascii="Bookman Old Style" w:eastAsia="Times New Roman" w:hAnsi="Bookman Old Style"/>
          <w:lang w:eastAsia="it-IT"/>
        </w:rPr>
      </w:pPr>
      <w:bookmarkStart w:id="6" w:name="_Toc529684995"/>
      <w:r w:rsidRPr="00F848B3">
        <w:rPr>
          <w:rFonts w:ascii="Bookman Old Style" w:eastAsia="Times New Roman" w:hAnsi="Bookman Old Style"/>
          <w:lang w:eastAsia="it-IT"/>
        </w:rPr>
        <w:t>I nodi irrisolti nei rapporti finanziari Stato-Comuni</w:t>
      </w:r>
      <w:bookmarkEnd w:id="6"/>
    </w:p>
    <w:p w:rsidR="00293EAE" w:rsidRPr="00F848B3" w:rsidRDefault="005A3A01" w:rsidP="00F848B3">
      <w:pPr>
        <w:spacing w:after="120"/>
        <w:jc w:val="both"/>
        <w:rPr>
          <w:rFonts w:ascii="Bookman Old Style" w:hAnsi="Bookman Old Style"/>
        </w:rPr>
      </w:pPr>
      <w:r w:rsidRPr="00F848B3">
        <w:rPr>
          <w:rFonts w:ascii="Bookman Old Style" w:hAnsi="Bookman Old Style"/>
        </w:rPr>
        <w:t>La criticità che sta sempre più emergendo</w:t>
      </w:r>
      <w:r w:rsidR="007B705F" w:rsidRPr="00F848B3">
        <w:rPr>
          <w:rFonts w:ascii="Bookman Old Style" w:hAnsi="Bookman Old Style"/>
        </w:rPr>
        <w:t xml:space="preserve"> nella fase</w:t>
      </w:r>
      <w:r w:rsidR="00293EAE" w:rsidRPr="00F848B3">
        <w:rPr>
          <w:rFonts w:ascii="Bookman Old Style" w:hAnsi="Bookman Old Style"/>
        </w:rPr>
        <w:t xml:space="preserve"> di assegnazione delle risorse del Fondo di solidarietà comunale, amplificata a partire dal 2015 con la</w:t>
      </w:r>
      <w:r w:rsidR="007B705F" w:rsidRPr="00F848B3">
        <w:rPr>
          <w:rFonts w:ascii="Bookman Old Style" w:hAnsi="Bookman Old Style"/>
        </w:rPr>
        <w:t xml:space="preserve"> graduale implementazione del sistema perequativo</w:t>
      </w:r>
      <w:r w:rsidR="00293EAE" w:rsidRPr="00F848B3">
        <w:rPr>
          <w:rFonts w:ascii="Bookman Old Style" w:hAnsi="Bookman Old Style"/>
        </w:rPr>
        <w:t xml:space="preserve">, </w:t>
      </w:r>
      <w:r w:rsidRPr="00F848B3">
        <w:rPr>
          <w:rFonts w:ascii="Bookman Old Style" w:hAnsi="Bookman Old Style"/>
        </w:rPr>
        <w:t>risiede</w:t>
      </w:r>
      <w:r w:rsidRPr="00F848B3">
        <w:rPr>
          <w:rFonts w:ascii="Bookman Old Style" w:hAnsi="Bookman Old Style"/>
          <w:b/>
        </w:rPr>
        <w:t xml:space="preserve"> </w:t>
      </w:r>
      <w:r w:rsidR="00293EAE" w:rsidRPr="00F848B3">
        <w:rPr>
          <w:rFonts w:ascii="Bookman Old Style" w:hAnsi="Bookman Old Style"/>
        </w:rPr>
        <w:t>innanzitutto</w:t>
      </w:r>
      <w:r w:rsidR="00293EAE" w:rsidRPr="00F848B3">
        <w:rPr>
          <w:rFonts w:ascii="Bookman Old Style" w:hAnsi="Bookman Old Style"/>
          <w:b/>
        </w:rPr>
        <w:t xml:space="preserve"> </w:t>
      </w:r>
      <w:r w:rsidRPr="00F848B3">
        <w:rPr>
          <w:rFonts w:ascii="Bookman Old Style" w:hAnsi="Bookman Old Style"/>
        </w:rPr>
        <w:t>nel</w:t>
      </w:r>
      <w:r w:rsidR="00293EAE" w:rsidRPr="00F848B3">
        <w:rPr>
          <w:rFonts w:ascii="Bookman Old Style" w:hAnsi="Bookman Old Style"/>
        </w:rPr>
        <w:t>l’</w:t>
      </w:r>
      <w:r w:rsidR="00293EAE" w:rsidRPr="00F848B3">
        <w:rPr>
          <w:rFonts w:ascii="Bookman Old Style" w:hAnsi="Bookman Old Style"/>
          <w:b/>
        </w:rPr>
        <w:t>assoluta assenza di contributi erariali di parte corrente.</w:t>
      </w:r>
    </w:p>
    <w:p w:rsidR="00293EAE" w:rsidRPr="00F848B3" w:rsidRDefault="005A3A01" w:rsidP="00F848B3">
      <w:pPr>
        <w:spacing w:after="120"/>
        <w:jc w:val="both"/>
        <w:rPr>
          <w:rFonts w:ascii="Bookman Old Style" w:hAnsi="Bookman Old Style"/>
        </w:rPr>
      </w:pPr>
      <w:r w:rsidRPr="00F848B3">
        <w:rPr>
          <w:rFonts w:ascii="Bookman Old Style" w:hAnsi="Bookman Old Style"/>
        </w:rPr>
        <w:t>La crescita della base imponibile e del gettito im</w:t>
      </w:r>
      <w:r w:rsidR="007B705F" w:rsidRPr="00F848B3">
        <w:rPr>
          <w:rFonts w:ascii="Bookman Old Style" w:hAnsi="Bookman Old Style"/>
        </w:rPr>
        <w:t>mobiliare “a parità di risorse” per i Comuni, ulteriormente ridotte per effetto dei tagli strutturali nel frattempo intervenuti</w:t>
      </w:r>
      <w:r w:rsidR="001E6EE6" w:rsidRPr="00F848B3">
        <w:rPr>
          <w:rFonts w:ascii="Bookman Old Style" w:hAnsi="Bookman Old Style"/>
        </w:rPr>
        <w:t xml:space="preserve"> (circa 9 mld.)</w:t>
      </w:r>
      <w:r w:rsidR="007B705F" w:rsidRPr="00F848B3">
        <w:rPr>
          <w:rFonts w:ascii="Bookman Old Style" w:hAnsi="Bookman Old Style"/>
        </w:rPr>
        <w:t>,</w:t>
      </w:r>
      <w:r w:rsidRPr="00F848B3">
        <w:rPr>
          <w:rFonts w:ascii="Bookman Old Style" w:hAnsi="Bookman Old Style"/>
        </w:rPr>
        <w:t xml:space="preserve"> </w:t>
      </w:r>
      <w:r w:rsidR="00293EAE" w:rsidRPr="00F848B3">
        <w:rPr>
          <w:rFonts w:ascii="Bookman Old Style" w:hAnsi="Bookman Old Style"/>
        </w:rPr>
        <w:t>ha reso necessaria l’adozione di</w:t>
      </w:r>
      <w:r w:rsidR="001E6EE6" w:rsidRPr="00F848B3">
        <w:rPr>
          <w:rFonts w:ascii="Bookman Old Style" w:hAnsi="Bookman Old Style"/>
        </w:rPr>
        <w:t xml:space="preserve"> </w:t>
      </w:r>
      <w:r w:rsidRPr="00F848B3">
        <w:rPr>
          <w:rFonts w:ascii="Bookman Old Style" w:hAnsi="Bookman Old Style"/>
        </w:rPr>
        <w:t xml:space="preserve">uno schema di riequilibrio che, con l’abbattimento progressivo del contributo statale (azzerato nel 2015), è interamente basato su </w:t>
      </w:r>
      <w:r w:rsidR="001E6EE6" w:rsidRPr="00F848B3">
        <w:rPr>
          <w:rFonts w:ascii="Bookman Old Style" w:hAnsi="Bookman Old Style"/>
        </w:rPr>
        <w:t>“</w:t>
      </w:r>
      <w:r w:rsidRPr="00F848B3">
        <w:rPr>
          <w:rFonts w:ascii="Bookman Old Style" w:hAnsi="Bookman Old Style"/>
        </w:rPr>
        <w:t>travasi</w:t>
      </w:r>
      <w:r w:rsidR="001E6EE6" w:rsidRPr="00F848B3">
        <w:rPr>
          <w:rFonts w:ascii="Bookman Old Style" w:hAnsi="Bookman Old Style"/>
        </w:rPr>
        <w:t xml:space="preserve"> orizzontali”</w:t>
      </w:r>
      <w:r w:rsidRPr="00F848B3">
        <w:rPr>
          <w:rFonts w:ascii="Bookman Old Style" w:hAnsi="Bookman Old Style"/>
        </w:rPr>
        <w:t xml:space="preserve"> di quote di gettito dai Comuni ad alta base imponibile a quelli meno dotati (cioè</w:t>
      </w:r>
      <w:r w:rsidR="001E6EE6" w:rsidRPr="00F848B3">
        <w:rPr>
          <w:rFonts w:ascii="Bookman Old Style" w:hAnsi="Bookman Old Style"/>
        </w:rPr>
        <w:t xml:space="preserve"> la c.d.</w:t>
      </w:r>
      <w:r w:rsidRPr="00F848B3">
        <w:rPr>
          <w:rFonts w:ascii="Bookman Old Style" w:hAnsi="Bookman Old Style"/>
        </w:rPr>
        <w:t xml:space="preserve"> </w:t>
      </w:r>
      <w:r w:rsidR="001E6EE6" w:rsidRPr="00F848B3">
        <w:rPr>
          <w:rFonts w:ascii="Bookman Old Style" w:hAnsi="Bookman Old Style"/>
        </w:rPr>
        <w:t>perequazione</w:t>
      </w:r>
      <w:r w:rsidRPr="00F848B3">
        <w:rPr>
          <w:rFonts w:ascii="Bookman Old Style" w:hAnsi="Bookman Old Style"/>
        </w:rPr>
        <w:t xml:space="preserve"> orizzontale</w:t>
      </w:r>
      <w:r w:rsidR="001E6EE6" w:rsidRPr="00F848B3">
        <w:rPr>
          <w:rFonts w:ascii="Bookman Old Style" w:hAnsi="Bookman Old Style"/>
        </w:rPr>
        <w:t>, ovvero senza alcun contributo erariale</w:t>
      </w:r>
      <w:r w:rsidRPr="00F848B3">
        <w:rPr>
          <w:rFonts w:ascii="Bookman Old Style" w:hAnsi="Bookman Old Style"/>
        </w:rPr>
        <w:t>)</w:t>
      </w:r>
      <w:r w:rsidR="00817B59" w:rsidRPr="00F848B3">
        <w:rPr>
          <w:rFonts w:ascii="Bookman Old Style" w:hAnsi="Bookman Old Style"/>
        </w:rPr>
        <w:t>, in manifesta contraddizione con le prescrizioni della Costituzione e della legge 42/2009.</w:t>
      </w:r>
    </w:p>
    <w:p w:rsidR="005A3A01" w:rsidRPr="00F848B3" w:rsidRDefault="005A3A01" w:rsidP="00F848B3">
      <w:pPr>
        <w:spacing w:after="120"/>
        <w:jc w:val="both"/>
        <w:rPr>
          <w:rFonts w:ascii="Bookman Old Style" w:hAnsi="Bookman Old Style"/>
        </w:rPr>
      </w:pPr>
      <w:r w:rsidRPr="00F848B3">
        <w:rPr>
          <w:rFonts w:ascii="Bookman Old Style" w:hAnsi="Bookman Old Style"/>
        </w:rPr>
        <w:t>A questa redistribuzione si è aggiunta dal 2015 la perequazione basata sui fabbisogni e sulle capacità fiscali standard, che ha l’obiettivo di ancorare una cospicua parte delle risorse comunali a criteri razionali in sostituzione del “criterio della spesa storica”. Nel quadriennio 2015-18 sono state progressivamente redistribuite, per via della sola perequazione, risorse pari a circa un miliardo complessivo.</w:t>
      </w:r>
    </w:p>
    <w:p w:rsidR="005A3A01" w:rsidRPr="00F848B3" w:rsidRDefault="005A3A01" w:rsidP="00F848B3">
      <w:pPr>
        <w:spacing w:after="120"/>
        <w:jc w:val="both"/>
        <w:rPr>
          <w:rFonts w:ascii="Bookman Old Style" w:hAnsi="Bookman Old Style"/>
        </w:rPr>
      </w:pPr>
      <w:r w:rsidRPr="00F848B3">
        <w:rPr>
          <w:rFonts w:ascii="Bookman Old Style" w:hAnsi="Bookman Old Style"/>
        </w:rPr>
        <w:t xml:space="preserve">In questo contesto, </w:t>
      </w:r>
      <w:r w:rsidRPr="00F848B3">
        <w:rPr>
          <w:rFonts w:ascii="Bookman Old Style" w:hAnsi="Bookman Old Style"/>
          <w:b/>
        </w:rPr>
        <w:t>il progressivo aumento della quota di risorse perequata</w:t>
      </w:r>
      <w:r w:rsidRPr="00F848B3">
        <w:rPr>
          <w:rFonts w:ascii="Bookman Old Style" w:hAnsi="Bookman Old Style"/>
        </w:rPr>
        <w:t xml:space="preserve"> (40% del 2017, 45% nel 2018, 60% previsto nel 2019, fino al 100% del 2021) </w:t>
      </w:r>
      <w:r w:rsidRPr="00885501">
        <w:rPr>
          <w:rFonts w:ascii="Bookman Old Style" w:hAnsi="Bookman Old Style"/>
          <w:b/>
        </w:rPr>
        <w:t>costituisce un fattore di crisi per molti enti, soprattutto quelli di dimensioni minori</w:t>
      </w:r>
      <w:r w:rsidRPr="00F848B3">
        <w:rPr>
          <w:rFonts w:ascii="Bookman Old Style" w:hAnsi="Bookman Old Style"/>
        </w:rPr>
        <w:t>.</w:t>
      </w:r>
    </w:p>
    <w:p w:rsidR="005A3A01" w:rsidRPr="00F848B3" w:rsidRDefault="005A3A01" w:rsidP="00F848B3">
      <w:pPr>
        <w:spacing w:after="120"/>
        <w:jc w:val="both"/>
        <w:rPr>
          <w:rFonts w:ascii="Bookman Old Style" w:hAnsi="Bookman Old Style"/>
        </w:rPr>
      </w:pPr>
      <w:r w:rsidRPr="00F848B3">
        <w:rPr>
          <w:rFonts w:ascii="Bookman Old Style" w:hAnsi="Bookman Old Style"/>
          <w:b/>
        </w:rPr>
        <w:t>Il modello di perequazione adottato</w:t>
      </w:r>
      <w:r w:rsidRPr="00F848B3">
        <w:rPr>
          <w:rFonts w:ascii="Bookman Old Style" w:hAnsi="Bookman Old Style"/>
        </w:rPr>
        <w:t xml:space="preserve"> si limita a definire le posizioni relative di ciascun Comune rispetto agli altri, ma</w:t>
      </w:r>
      <w:r w:rsidRPr="00F848B3">
        <w:rPr>
          <w:rFonts w:ascii="Bookman Old Style" w:hAnsi="Bookman Old Style"/>
          <w:b/>
        </w:rPr>
        <w:t xml:space="preserve"> non garantisce affatto l’integrale copertura finanziaria delle funzioni fondamentali</w:t>
      </w:r>
      <w:r w:rsidRPr="00F848B3">
        <w:rPr>
          <w:rFonts w:ascii="Bookman Old Style" w:hAnsi="Bookman Old Style"/>
        </w:rPr>
        <w:t xml:space="preserve"> dei Comuni. Le risorse complessive di riferimento sono fissate esternamente al sistema perequativo e non sono messe in discussione, pur disponendo di un apparato informativo di base molto ricco e di metodologie applicative fin troppo complesse. In questo contesto non è possibile applicare le prescrizioni – pur previste dall’ordinamento – relative alla determinazione di livelli minimi o essenziali delle prestazioni (LEP) che i Comuni dovrebbero assicurare obbligatoriamente per ciascuna delle funzioni esercitate.</w:t>
      </w:r>
    </w:p>
    <w:p w:rsidR="005A3A01" w:rsidRPr="00F848B3" w:rsidRDefault="005A3A01" w:rsidP="00F848B3">
      <w:pPr>
        <w:spacing w:after="120"/>
        <w:jc w:val="both"/>
        <w:rPr>
          <w:rFonts w:ascii="Bookman Old Style" w:hAnsi="Bookman Old Style"/>
        </w:rPr>
      </w:pPr>
      <w:r w:rsidRPr="00F848B3">
        <w:rPr>
          <w:rFonts w:ascii="Bookman Old Style" w:hAnsi="Bookman Old Style"/>
          <w:b/>
        </w:rPr>
        <w:t>La revisione delle capacità fiscali standard attivata nel 2017 ha portato a risultati paradossali</w:t>
      </w:r>
      <w:r w:rsidRPr="00F848B3">
        <w:rPr>
          <w:rFonts w:ascii="Bookman Old Style" w:hAnsi="Bookman Old Style"/>
        </w:rPr>
        <w:t xml:space="preserve"> e poco spiegabili per diverse aree territoriali. La notevole complessità tecnica con la quale è stato applicato il sistema basato sui fabbisogni e sulle capacità fiscali standard rischia di offuscare il senso e i risultati della perequazione, che invece, per le implicazioni sociali ed istituzionali che ne derivano, devono essere disponibili per un dibattito pubblico ben più ampio della ristretta cerchia degli addetti ai lavori.</w:t>
      </w:r>
    </w:p>
    <w:p w:rsidR="005A3A01" w:rsidRPr="00F848B3" w:rsidRDefault="005A3A01" w:rsidP="00F848B3">
      <w:pPr>
        <w:spacing w:after="120"/>
        <w:jc w:val="both"/>
        <w:rPr>
          <w:rFonts w:ascii="Bookman Old Style" w:hAnsi="Bookman Old Style"/>
        </w:rPr>
      </w:pPr>
      <w:r w:rsidRPr="00F848B3">
        <w:rPr>
          <w:rFonts w:ascii="Bookman Old Style" w:hAnsi="Bookman Old Style"/>
          <w:b/>
        </w:rPr>
        <w:t>La previsione di una relazione della CTFS</w:t>
      </w:r>
      <w:r w:rsidRPr="00F848B3">
        <w:rPr>
          <w:rFonts w:ascii="Bookman Old Style" w:hAnsi="Bookman Old Style"/>
        </w:rPr>
        <w:t xml:space="preserve"> (Commissione tecnica per i fabbisogni standard) sullo stato di attuazione della perequazione (co. 883 della legge di bilancio 2018, frutto di un accordo in Conferenza Stato-città) </w:t>
      </w:r>
      <w:r w:rsidRPr="00F848B3">
        <w:rPr>
          <w:rFonts w:ascii="Bookman Old Style" w:hAnsi="Bookman Old Style"/>
          <w:b/>
        </w:rPr>
        <w:t>è stata disattesa</w:t>
      </w:r>
      <w:r w:rsidRPr="00F848B3">
        <w:rPr>
          <w:rFonts w:ascii="Bookman Old Style" w:hAnsi="Bookman Old Style"/>
        </w:rPr>
        <w:t xml:space="preserve">, anche per effetto dell’assenza di un presidente della </w:t>
      </w:r>
      <w:r w:rsidR="0087104D">
        <w:rPr>
          <w:rFonts w:ascii="Bookman Old Style" w:hAnsi="Bookman Old Style"/>
        </w:rPr>
        <w:t>Commissione</w:t>
      </w:r>
      <w:r w:rsidR="0087104D" w:rsidRPr="00F848B3">
        <w:rPr>
          <w:rFonts w:ascii="Bookman Old Style" w:hAnsi="Bookman Old Style"/>
        </w:rPr>
        <w:t xml:space="preserve"> </w:t>
      </w:r>
      <w:r w:rsidRPr="00F848B3">
        <w:rPr>
          <w:rFonts w:ascii="Bookman Old Style" w:hAnsi="Bookman Old Style"/>
        </w:rPr>
        <w:t>nella pienezza delle sue funzioni. Si è persa così un’occasione fondamentale per fare il punto sulla situazione e definire gli interventi necessari per una transizione più equa e sostenibile.</w:t>
      </w:r>
    </w:p>
    <w:p w:rsidR="00817B59" w:rsidRDefault="005A3A01" w:rsidP="00F848B3">
      <w:pPr>
        <w:spacing w:after="120"/>
        <w:jc w:val="both"/>
        <w:rPr>
          <w:rFonts w:ascii="Bookman Old Style" w:hAnsi="Bookman Old Style"/>
          <w:b/>
        </w:rPr>
      </w:pPr>
      <w:r w:rsidRPr="00F848B3">
        <w:rPr>
          <w:rFonts w:ascii="Bookman Old Style" w:hAnsi="Bookman Old Style"/>
          <w:b/>
        </w:rPr>
        <w:t>L’assenza di un quadro chiaro e condiviso sugli effetti dell’attuale modello di perequazione porta a ritenere essenziale un rallentamento del processo, mantenendo</w:t>
      </w:r>
      <w:r w:rsidR="00664736" w:rsidRPr="00F848B3">
        <w:rPr>
          <w:rFonts w:ascii="Bookman Old Style" w:hAnsi="Bookman Old Style"/>
          <w:b/>
        </w:rPr>
        <w:t xml:space="preserve"> al 45%, anche nel 2019,</w:t>
      </w:r>
      <w:r w:rsidRPr="00F848B3">
        <w:rPr>
          <w:rFonts w:ascii="Bookman Old Style" w:hAnsi="Bookman Old Style"/>
          <w:b/>
        </w:rPr>
        <w:t xml:space="preserve"> la quota delle risorse perequate</w:t>
      </w:r>
      <w:r w:rsidR="00664736" w:rsidRPr="00F848B3">
        <w:rPr>
          <w:rFonts w:ascii="Bookman Old Style" w:hAnsi="Bookman Old Style"/>
          <w:b/>
        </w:rPr>
        <w:t xml:space="preserve">. </w:t>
      </w:r>
      <w:r w:rsidRPr="00F848B3">
        <w:rPr>
          <w:rFonts w:ascii="Bookman Old Style" w:hAnsi="Bookman Old Style"/>
        </w:rPr>
        <w:t>Si permetterebbe così</w:t>
      </w:r>
      <w:r w:rsidR="00664736" w:rsidRPr="00F848B3">
        <w:rPr>
          <w:rFonts w:ascii="Bookman Old Style" w:hAnsi="Bookman Old Style"/>
        </w:rPr>
        <w:t>,</w:t>
      </w:r>
      <w:r w:rsidRPr="00F848B3">
        <w:rPr>
          <w:rFonts w:ascii="Bookman Old Style" w:hAnsi="Bookman Old Style"/>
        </w:rPr>
        <w:t xml:space="preserve"> anche alla luce del nuovo quadro politico</w:t>
      </w:r>
      <w:r w:rsidR="00293EAE" w:rsidRPr="00F848B3">
        <w:rPr>
          <w:rFonts w:ascii="Bookman Old Style" w:hAnsi="Bookman Old Style"/>
        </w:rPr>
        <w:t>,</w:t>
      </w:r>
      <w:r w:rsidRPr="00F848B3">
        <w:rPr>
          <w:rFonts w:ascii="Bookman Old Style" w:hAnsi="Bookman Old Style"/>
        </w:rPr>
        <w:t xml:space="preserve"> di riflettere sull’insieme delle misure necessarie per riportare l’assetto delle risorse comunali su binari più coerenti con l’ordinamento, evitando di produrre ulteriori effetti non controllati e condivisi.</w:t>
      </w:r>
      <w:r w:rsidR="00664736" w:rsidRPr="00F848B3">
        <w:rPr>
          <w:rFonts w:ascii="Bookman Old Style" w:hAnsi="Bookman Old Style"/>
        </w:rPr>
        <w:t xml:space="preserve"> </w:t>
      </w:r>
      <w:r w:rsidR="00817B59" w:rsidRPr="00F848B3">
        <w:rPr>
          <w:rFonts w:ascii="Bookman Old Style" w:hAnsi="Bookman Old Style"/>
          <w:b/>
        </w:rPr>
        <w:t>Tali criticità,</w:t>
      </w:r>
      <w:r w:rsidR="00664736" w:rsidRPr="00F848B3">
        <w:rPr>
          <w:rFonts w:ascii="Bookman Old Style" w:hAnsi="Bookman Old Style"/>
          <w:b/>
        </w:rPr>
        <w:t xml:space="preserve"> unitamente alla condizione di </w:t>
      </w:r>
      <w:r w:rsidR="00817B59" w:rsidRPr="00F848B3">
        <w:rPr>
          <w:rFonts w:ascii="Bookman Old Style" w:hAnsi="Bookman Old Style"/>
          <w:b/>
        </w:rPr>
        <w:t>sofferenz</w:t>
      </w:r>
      <w:r w:rsidR="00664736" w:rsidRPr="00F848B3">
        <w:rPr>
          <w:rFonts w:ascii="Bookman Old Style" w:hAnsi="Bookman Old Style"/>
          <w:b/>
        </w:rPr>
        <w:t>a</w:t>
      </w:r>
      <w:r w:rsidR="00817B59" w:rsidRPr="00F848B3">
        <w:rPr>
          <w:rFonts w:ascii="Bookman Old Style" w:hAnsi="Bookman Old Style"/>
          <w:b/>
        </w:rPr>
        <w:t xml:space="preserve"> </w:t>
      </w:r>
      <w:r w:rsidR="00664736" w:rsidRPr="00F848B3">
        <w:rPr>
          <w:rFonts w:ascii="Bookman Old Style" w:hAnsi="Bookman Old Style"/>
          <w:b/>
        </w:rPr>
        <w:t>finanziaria sopra sinteticamente esposta</w:t>
      </w:r>
      <w:r w:rsidR="00817B59" w:rsidRPr="00F848B3">
        <w:rPr>
          <w:rFonts w:ascii="Bookman Old Style" w:hAnsi="Bookman Old Style"/>
          <w:b/>
        </w:rPr>
        <w:t>, hanno ancora una volta</w:t>
      </w:r>
      <w:r w:rsidR="00664736" w:rsidRPr="00F848B3">
        <w:rPr>
          <w:rFonts w:ascii="Bookman Old Style" w:hAnsi="Bookman Old Style"/>
          <w:b/>
        </w:rPr>
        <w:t xml:space="preserve"> condotto</w:t>
      </w:r>
      <w:r w:rsidR="00817B59" w:rsidRPr="00F848B3">
        <w:rPr>
          <w:rFonts w:ascii="Bookman Old Style" w:hAnsi="Bookman Old Style"/>
          <w:b/>
        </w:rPr>
        <w:t xml:space="preserve"> l’Associazione a condizionare</w:t>
      </w:r>
      <w:r w:rsidR="00664736" w:rsidRPr="00F848B3">
        <w:rPr>
          <w:rFonts w:ascii="Bookman Old Style" w:hAnsi="Bookman Old Style"/>
          <w:b/>
        </w:rPr>
        <w:t xml:space="preserve"> il proprio</w:t>
      </w:r>
      <w:r w:rsidR="00817B59" w:rsidRPr="00F848B3">
        <w:rPr>
          <w:rFonts w:ascii="Bookman Old Style" w:hAnsi="Bookman Old Style"/>
          <w:b/>
        </w:rPr>
        <w:t xml:space="preserve"> parere</w:t>
      </w:r>
      <w:r w:rsidR="00664736" w:rsidRPr="00F848B3">
        <w:rPr>
          <w:rFonts w:ascii="Bookman Old Style" w:hAnsi="Bookman Old Style"/>
          <w:b/>
        </w:rPr>
        <w:t xml:space="preserve"> favorevole</w:t>
      </w:r>
      <w:r w:rsidR="00817B59" w:rsidRPr="00F848B3">
        <w:rPr>
          <w:rFonts w:ascii="Bookman Old Style" w:hAnsi="Bookman Old Style"/>
          <w:b/>
        </w:rPr>
        <w:t xml:space="preserve"> sui provvedimenti attuativi del Fondo di solidarietà comunale per l’anno 2019</w:t>
      </w:r>
      <w:r w:rsidR="0087253A" w:rsidRPr="001C6782">
        <w:rPr>
          <w:rFonts w:ascii="Bookman Old Style" w:hAnsi="Bookman Old Style"/>
          <w:b/>
        </w:rPr>
        <w:t>,</w:t>
      </w:r>
      <w:r w:rsidR="00293EAE" w:rsidRPr="00F848B3">
        <w:rPr>
          <w:rFonts w:ascii="Bookman Old Style" w:hAnsi="Bookman Old Style"/>
          <w:b/>
        </w:rPr>
        <w:t xml:space="preserve"> nel recente passaggio in Conferenza Stato-Città</w:t>
      </w:r>
      <w:r w:rsidR="00817B59" w:rsidRPr="00F848B3">
        <w:rPr>
          <w:rFonts w:ascii="Bookman Old Style" w:hAnsi="Bookman Old Style"/>
          <w:b/>
        </w:rPr>
        <w:t>, all’accoglimento delle proposte specifiche in materia di risto</w:t>
      </w:r>
      <w:r w:rsidR="00664736" w:rsidRPr="00F848B3">
        <w:rPr>
          <w:rFonts w:ascii="Bookman Old Style" w:hAnsi="Bookman Old Style"/>
          <w:b/>
        </w:rPr>
        <w:t xml:space="preserve">ro delle risorse sottratte ai Comuni </w:t>
      </w:r>
      <w:r w:rsidR="00817B59" w:rsidRPr="00F848B3">
        <w:rPr>
          <w:rFonts w:ascii="Bookman Old Style" w:hAnsi="Bookman Old Style"/>
          <w:b/>
        </w:rPr>
        <w:t xml:space="preserve">e </w:t>
      </w:r>
      <w:r w:rsidR="00664736" w:rsidRPr="00F848B3">
        <w:rPr>
          <w:rFonts w:ascii="Bookman Old Style" w:hAnsi="Bookman Old Style"/>
          <w:b/>
        </w:rPr>
        <w:t>al</w:t>
      </w:r>
      <w:r w:rsidR="00817B59" w:rsidRPr="00F848B3">
        <w:rPr>
          <w:rFonts w:ascii="Bookman Old Style" w:hAnsi="Bookman Old Style"/>
          <w:b/>
        </w:rPr>
        <w:t xml:space="preserve"> riavvio di un più ampio </w:t>
      </w:r>
      <w:r w:rsidR="00664736" w:rsidRPr="00F848B3">
        <w:rPr>
          <w:rFonts w:ascii="Bookman Old Style" w:hAnsi="Bookman Old Style"/>
          <w:b/>
        </w:rPr>
        <w:t xml:space="preserve">ed incisivo </w:t>
      </w:r>
      <w:r w:rsidR="00817B59" w:rsidRPr="00F848B3">
        <w:rPr>
          <w:rFonts w:ascii="Bookman Old Style" w:hAnsi="Bookman Old Style"/>
          <w:b/>
        </w:rPr>
        <w:t>dibattito tecnico-politico sulle criti</w:t>
      </w:r>
      <w:r w:rsidR="00664736" w:rsidRPr="00F848B3">
        <w:rPr>
          <w:rFonts w:ascii="Bookman Old Style" w:hAnsi="Bookman Old Style"/>
          <w:b/>
        </w:rPr>
        <w:t>cità del meccanismo perequativo.</w:t>
      </w:r>
    </w:p>
    <w:p w:rsidR="0087104D" w:rsidRPr="00F848B3" w:rsidRDefault="0087104D" w:rsidP="00F848B3">
      <w:pPr>
        <w:spacing w:after="120"/>
        <w:jc w:val="both"/>
        <w:rPr>
          <w:rFonts w:ascii="Bookman Old Style" w:hAnsi="Bookman Old Style"/>
          <w:b/>
        </w:rPr>
      </w:pPr>
    </w:p>
    <w:p w:rsidR="005A3A01" w:rsidRPr="00F848B3" w:rsidRDefault="005A3A01" w:rsidP="00F848B3">
      <w:pPr>
        <w:pStyle w:val="Titolo1"/>
        <w:spacing w:before="0" w:after="120"/>
        <w:rPr>
          <w:rFonts w:ascii="Bookman Old Style" w:eastAsia="Times New Roman" w:hAnsi="Bookman Old Style"/>
          <w:lang w:eastAsia="it-IT"/>
        </w:rPr>
      </w:pPr>
      <w:bookmarkStart w:id="7" w:name="_Toc524978901"/>
      <w:bookmarkStart w:id="8" w:name="_Toc529684996"/>
      <w:r w:rsidRPr="00F848B3">
        <w:rPr>
          <w:rFonts w:ascii="Bookman Old Style" w:eastAsia="Times New Roman" w:hAnsi="Bookman Old Style"/>
          <w:lang w:eastAsia="it-IT"/>
        </w:rPr>
        <w:t>La riforma contabile, i vincoli finanziari e gli investimenti comunali</w:t>
      </w:r>
      <w:bookmarkEnd w:id="7"/>
      <w:bookmarkEnd w:id="8"/>
    </w:p>
    <w:p w:rsidR="005A3A01" w:rsidRPr="00F848B3" w:rsidRDefault="005A3A01" w:rsidP="00F848B3">
      <w:pPr>
        <w:pStyle w:val="Titolo2"/>
        <w:spacing w:before="0" w:after="120"/>
        <w:rPr>
          <w:rFonts w:ascii="Bookman Old Style" w:hAnsi="Bookman Old Style"/>
          <w:shd w:val="clear" w:color="auto" w:fill="FFFFFF"/>
        </w:rPr>
      </w:pPr>
      <w:bookmarkStart w:id="9" w:name="_Toc524978902"/>
      <w:bookmarkStart w:id="10" w:name="_Toc529684997"/>
      <w:r w:rsidRPr="00F848B3">
        <w:rPr>
          <w:rFonts w:ascii="Bookman Old Style" w:hAnsi="Bookman Old Style"/>
          <w:shd w:val="clear" w:color="auto" w:fill="FFFFFF"/>
        </w:rPr>
        <w:t>Riforma contabilità e FCDE</w:t>
      </w:r>
      <w:bookmarkEnd w:id="9"/>
      <w:bookmarkEnd w:id="10"/>
    </w:p>
    <w:p w:rsidR="005A3A01" w:rsidRPr="00F848B3" w:rsidRDefault="005A3A01" w:rsidP="00F848B3">
      <w:pPr>
        <w:spacing w:after="120"/>
        <w:jc w:val="both"/>
        <w:rPr>
          <w:rFonts w:ascii="Bookman Old Style" w:hAnsi="Bookman Old Style"/>
        </w:rPr>
      </w:pPr>
      <w:r w:rsidRPr="00F848B3">
        <w:rPr>
          <w:rFonts w:ascii="Bookman Old Style" w:eastAsia="Times New Roman" w:hAnsi="Bookman Old Style" w:cs="Arial"/>
          <w:b/>
          <w:iCs/>
          <w:shd w:val="clear" w:color="auto" w:fill="FFFFFF"/>
          <w:lang w:eastAsia="it-IT"/>
        </w:rPr>
        <w:t xml:space="preserve">La riforma contabile produce rilevanti effetti restrittivi, </w:t>
      </w:r>
      <w:r w:rsidRPr="00F848B3">
        <w:rPr>
          <w:rFonts w:ascii="Bookman Old Style" w:eastAsia="Times New Roman" w:hAnsi="Bookman Old Style" w:cs="Arial"/>
          <w:iCs/>
          <w:shd w:val="clear" w:color="auto" w:fill="FFFFFF"/>
          <w:lang w:eastAsia="it-IT"/>
        </w:rPr>
        <w:t xml:space="preserve">in particolare per via dell’istituzione del </w:t>
      </w:r>
      <w:r w:rsidRPr="00F848B3">
        <w:rPr>
          <w:rFonts w:ascii="Bookman Old Style" w:eastAsia="Times New Roman" w:hAnsi="Bookman Old Style" w:cs="Arial"/>
          <w:b/>
          <w:iCs/>
          <w:shd w:val="clear" w:color="auto" w:fill="FFFFFF"/>
          <w:lang w:eastAsia="it-IT"/>
        </w:rPr>
        <w:t>FCDE</w:t>
      </w:r>
      <w:r w:rsidRPr="00F848B3">
        <w:rPr>
          <w:rFonts w:ascii="Bookman Old Style" w:eastAsia="Times New Roman" w:hAnsi="Bookman Old Style" w:cs="Arial"/>
          <w:iCs/>
          <w:shd w:val="clear" w:color="auto" w:fill="FFFFFF"/>
          <w:lang w:eastAsia="it-IT"/>
        </w:rPr>
        <w:t xml:space="preserve"> (Fondo crediti di dubbia esigibilità) che congela l’effetto della quota di entrate proprie storicamente poco realizzabili sulle autorizzazioni di spesa, ma anche attraverso istituti di accantonamento obbligatorio che aumentano gli avanzi di bilancio difficili da utilizzare.</w:t>
      </w:r>
      <w:r w:rsidR="00A41CBB">
        <w:rPr>
          <w:rFonts w:ascii="Bookman Old Style" w:eastAsia="Times New Roman" w:hAnsi="Bookman Old Style" w:cs="Arial"/>
          <w:iCs/>
          <w:shd w:val="clear" w:color="auto" w:fill="FFFFFF"/>
          <w:lang w:eastAsia="it-IT"/>
        </w:rPr>
        <w:t xml:space="preserve"> </w:t>
      </w:r>
      <w:r w:rsidRPr="00F848B3">
        <w:rPr>
          <w:rFonts w:ascii="Bookman Old Style" w:hAnsi="Bookman Old Style"/>
        </w:rPr>
        <w:t xml:space="preserve">Solo di parte corrente, </w:t>
      </w:r>
      <w:r w:rsidRPr="00F848B3">
        <w:rPr>
          <w:rFonts w:ascii="Bookman Old Style" w:hAnsi="Bookman Old Style"/>
          <w:b/>
        </w:rPr>
        <w:t>gli accantonamenti al FCDE e agli altri fondi</w:t>
      </w:r>
      <w:r w:rsidRPr="00F848B3">
        <w:rPr>
          <w:rFonts w:ascii="Bookman Old Style" w:hAnsi="Bookman Old Style"/>
        </w:rPr>
        <w:t xml:space="preserve"> </w:t>
      </w:r>
      <w:r w:rsidRPr="00F848B3">
        <w:rPr>
          <w:rFonts w:ascii="Bookman Old Style" w:hAnsi="Bookman Old Style"/>
          <w:b/>
        </w:rPr>
        <w:t>rischi</w:t>
      </w:r>
      <w:r w:rsidRPr="00F848B3">
        <w:rPr>
          <w:rFonts w:ascii="Bookman Old Style" w:hAnsi="Bookman Old Style"/>
        </w:rPr>
        <w:t xml:space="preserve"> previsti dalla normativa </w:t>
      </w:r>
      <w:r w:rsidRPr="00F848B3">
        <w:rPr>
          <w:rFonts w:ascii="Bookman Old Style" w:hAnsi="Bookman Old Style"/>
          <w:b/>
        </w:rPr>
        <w:t>superano nel 2017 quota 4 miliardi di euro</w:t>
      </w:r>
      <w:r w:rsidRPr="00F848B3">
        <w:rPr>
          <w:rFonts w:ascii="Bookman Old Style" w:hAnsi="Bookman Old Style"/>
        </w:rPr>
        <w:t>, con impatti restrittivi molto differenziati per le diverse fasce di enti. L’analisi dell’accantonamento a FCDE riportato nel monitoraggio del saldo di competenza 2017 conferma infatti una distribuzione molto difforme. Un numero relativamente ristretto di enti (circa 1.300), concentrati tra le città medie e grandi e nel centro-sud del Paese, registra accantonamenti FCDE per un importo pari al 70% del totale (2,5 miliardi di euro).</w:t>
      </w:r>
    </w:p>
    <w:p w:rsidR="005A3A01" w:rsidRPr="00F848B3" w:rsidRDefault="005A3A01" w:rsidP="00F848B3">
      <w:pPr>
        <w:spacing w:after="120"/>
        <w:jc w:val="both"/>
        <w:rPr>
          <w:rFonts w:ascii="Bookman Old Style" w:hAnsi="Bookman Old Style"/>
          <w:b/>
        </w:rPr>
      </w:pPr>
      <w:r w:rsidRPr="00F848B3">
        <w:rPr>
          <w:rFonts w:ascii="Bookman Old Style" w:hAnsi="Bookman Old Style"/>
          <w:b/>
        </w:rPr>
        <w:t>Come è noto ANCI ha ottenuto per il 2018 una diversa modulazione della percentuale di accantonamento, limitata al 75%. Si chiede di mantenere questa percentuale anche per il 2019.</w:t>
      </w:r>
    </w:p>
    <w:p w:rsidR="005A3A01" w:rsidRPr="00F848B3" w:rsidRDefault="005A3A01" w:rsidP="00F848B3">
      <w:pPr>
        <w:spacing w:after="120"/>
        <w:jc w:val="both"/>
        <w:rPr>
          <w:rFonts w:ascii="Bookman Old Style" w:hAnsi="Bookman Old Style"/>
        </w:rPr>
      </w:pPr>
      <w:r w:rsidRPr="00F848B3">
        <w:rPr>
          <w:rFonts w:ascii="Bookman Old Style" w:hAnsi="Bookman Old Style"/>
        </w:rPr>
        <w:t xml:space="preserve">All’origine del FCDE c’è il riaccertamento straordinario dei residui attivi e passivi che è stato il primo atto della riforma (2015). </w:t>
      </w:r>
      <w:r w:rsidR="0087104D" w:rsidRPr="00F848B3">
        <w:rPr>
          <w:rFonts w:ascii="Bookman Old Style" w:hAnsi="Bookman Old Style"/>
        </w:rPr>
        <w:t xml:space="preserve">ANCI </w:t>
      </w:r>
      <w:r w:rsidRPr="00F848B3">
        <w:rPr>
          <w:rFonts w:ascii="Bookman Old Style" w:hAnsi="Bookman Old Style"/>
        </w:rPr>
        <w:t xml:space="preserve">ritiene che vada seriamente presa in considerazione </w:t>
      </w:r>
      <w:r w:rsidRPr="00F848B3">
        <w:rPr>
          <w:rFonts w:ascii="Bookman Old Style" w:hAnsi="Bookman Old Style"/>
          <w:b/>
        </w:rPr>
        <w:t>la possibilità di integrare il riaccertamento, attraverso un’apposita norma di legge</w:t>
      </w:r>
      <w:r w:rsidRPr="00F848B3">
        <w:rPr>
          <w:rFonts w:ascii="Bookman Old Style" w:hAnsi="Bookman Old Style"/>
        </w:rPr>
        <w:t xml:space="preserve">, </w:t>
      </w:r>
      <w:r w:rsidRPr="00F848B3">
        <w:rPr>
          <w:rFonts w:ascii="Bookman Old Style" w:hAnsi="Bookman Old Style"/>
          <w:b/>
        </w:rPr>
        <w:t>così da permettere un più ampio esame della situazione pregressa anche agli enti che nel 2015 hanno avuto difficoltà nell’applicazione delle nuove regole</w:t>
      </w:r>
      <w:r w:rsidRPr="00F848B3">
        <w:rPr>
          <w:rFonts w:ascii="Bookman Old Style" w:hAnsi="Bookman Old Style"/>
        </w:rPr>
        <w:t>, consentendo loro di accedere al ripiano trentennale degli eventuali disavanzi per l’intera massa di passività nette risultante dall’integrazione. Questa facoltà, attualmente riservata dalla legge (co.848 L.</w:t>
      </w:r>
      <w:r w:rsidR="00963B22">
        <w:rPr>
          <w:rFonts w:ascii="Bookman Old Style" w:hAnsi="Bookman Old Style"/>
        </w:rPr>
        <w:t xml:space="preserve"> </w:t>
      </w:r>
      <w:r w:rsidRPr="00F848B3">
        <w:rPr>
          <w:rFonts w:ascii="Bookman Old Style" w:hAnsi="Bookman Old Style"/>
        </w:rPr>
        <w:t xml:space="preserve">Bilancio 2018) ai soli casi di richiesta da parte delle Sezioni regionali della Corte dei conti e degli ispettori </w:t>
      </w:r>
      <w:r w:rsidR="008B4ED1" w:rsidRPr="001C6782">
        <w:rPr>
          <w:rFonts w:ascii="Bookman Old Style" w:hAnsi="Bookman Old Style"/>
        </w:rPr>
        <w:t>del</w:t>
      </w:r>
      <w:r w:rsidR="008B4ED1">
        <w:rPr>
          <w:rFonts w:ascii="Bookman Old Style" w:hAnsi="Bookman Old Style"/>
        </w:rPr>
        <w:t xml:space="preserve"> </w:t>
      </w:r>
      <w:r w:rsidR="007F2C9D" w:rsidRPr="00F848B3">
        <w:rPr>
          <w:rFonts w:ascii="Bookman Old Style" w:hAnsi="Bookman Old Style"/>
        </w:rPr>
        <w:t>Ministero dell’economia e delle finanze</w:t>
      </w:r>
      <w:r w:rsidRPr="00F848B3">
        <w:rPr>
          <w:rFonts w:ascii="Bookman Old Style" w:hAnsi="Bookman Old Style"/>
        </w:rPr>
        <w:t>, costituirebbe un importante strumento di prevenzione delle crisi finanziarie, nonché un valido incentivo alla più ampia applicazione della nuova contabilità.</w:t>
      </w:r>
    </w:p>
    <w:p w:rsidR="005A3A01" w:rsidRPr="00F848B3" w:rsidRDefault="005A3A01" w:rsidP="00F848B3">
      <w:pPr>
        <w:spacing w:after="120"/>
        <w:jc w:val="both"/>
        <w:rPr>
          <w:rFonts w:ascii="Bookman Old Style" w:hAnsi="Bookman Old Style"/>
        </w:rPr>
      </w:pPr>
      <w:r w:rsidRPr="00F848B3">
        <w:rPr>
          <w:rFonts w:ascii="Bookman Old Style" w:hAnsi="Bookman Old Style"/>
        </w:rPr>
        <w:t xml:space="preserve">Anche sotto il profilo della semplificazione la nuova contabilità rende necessari interventi attesi dai Comuni. </w:t>
      </w:r>
      <w:r w:rsidRPr="00F848B3">
        <w:rPr>
          <w:rFonts w:ascii="Bookman Old Style" w:hAnsi="Bookman Old Style"/>
          <w:b/>
        </w:rPr>
        <w:t>I gravosi adempimenti richiesti dalla contabilità economico-patrimoniale e dal bilancio consolidato possono essere semplificati per la generalità dei Comuni e aboliti per gli enti più piccoli</w:t>
      </w:r>
      <w:r w:rsidRPr="00F848B3">
        <w:rPr>
          <w:rFonts w:ascii="Bookman Old Style" w:hAnsi="Bookman Old Style"/>
        </w:rPr>
        <w:t>, che non dispongono delle strutture e delle competenze necessarie e che – proprio per la loro dimensione – aggiungono ben poco al quadro economico-patrimoniale della finanza locale.</w:t>
      </w:r>
    </w:p>
    <w:p w:rsidR="005A3A01" w:rsidRPr="00F848B3" w:rsidRDefault="005A3A01" w:rsidP="00F848B3">
      <w:pPr>
        <w:spacing w:after="120"/>
        <w:jc w:val="both"/>
        <w:rPr>
          <w:rFonts w:ascii="Bookman Old Style" w:hAnsi="Bookman Old Style"/>
        </w:rPr>
      </w:pPr>
    </w:p>
    <w:p w:rsidR="005A3A01" w:rsidRPr="00F848B3" w:rsidRDefault="00144362" w:rsidP="00F848B3">
      <w:pPr>
        <w:pStyle w:val="Titolo2"/>
        <w:spacing w:before="0" w:after="120"/>
        <w:rPr>
          <w:rFonts w:ascii="Bookman Old Style" w:hAnsi="Bookman Old Style"/>
          <w:shd w:val="clear" w:color="auto" w:fill="FFFFFF"/>
        </w:rPr>
      </w:pPr>
      <w:bookmarkStart w:id="11" w:name="_Toc529684998"/>
      <w:r w:rsidRPr="00F848B3">
        <w:rPr>
          <w:rFonts w:ascii="Bookman Old Style" w:hAnsi="Bookman Old Style"/>
          <w:shd w:val="clear" w:color="auto" w:fill="FFFFFF"/>
        </w:rPr>
        <w:t>Lo sblocco degli avanzi e del debito</w:t>
      </w:r>
      <w:bookmarkEnd w:id="11"/>
    </w:p>
    <w:p w:rsidR="002A3669" w:rsidRPr="00F848B3" w:rsidRDefault="002A3669" w:rsidP="00F848B3">
      <w:pPr>
        <w:spacing w:after="120"/>
        <w:jc w:val="both"/>
        <w:rPr>
          <w:rFonts w:ascii="Bookman Old Style" w:hAnsi="Bookman Old Style" w:cs="BookAntiqua-Bold"/>
          <w:bCs/>
        </w:rPr>
      </w:pPr>
      <w:r w:rsidRPr="00F848B3">
        <w:rPr>
          <w:rFonts w:ascii="Bookman Old Style" w:hAnsi="Bookman Old Style" w:cs="BookAntiqua-Bold"/>
          <w:bCs/>
        </w:rPr>
        <w:t xml:space="preserve">Dopo una lunga stagione caratterizzata da </w:t>
      </w:r>
      <w:r w:rsidR="0087104D">
        <w:rPr>
          <w:rFonts w:ascii="Bookman Old Style" w:hAnsi="Bookman Old Style" w:cs="BookAntiqua-Bold"/>
          <w:bCs/>
        </w:rPr>
        <w:t xml:space="preserve">restrittivi </w:t>
      </w:r>
      <w:r w:rsidRPr="00F848B3">
        <w:rPr>
          <w:rFonts w:ascii="Bookman Old Style" w:hAnsi="Bookman Old Style" w:cs="BookAntiqua-Bold"/>
          <w:bCs/>
        </w:rPr>
        <w:t>vincoli di finanza pubblica</w:t>
      </w:r>
      <w:r w:rsidR="0087104D">
        <w:rPr>
          <w:rFonts w:ascii="Bookman Old Style" w:hAnsi="Bookman Old Style" w:cs="BookAntiqua-Bold"/>
          <w:bCs/>
        </w:rPr>
        <w:t>,</w:t>
      </w:r>
      <w:r w:rsidRPr="00F848B3">
        <w:rPr>
          <w:rFonts w:ascii="Bookman Old Style" w:hAnsi="Bookman Old Style" w:cs="BookAntiqua-Bold"/>
          <w:bCs/>
        </w:rPr>
        <w:t xml:space="preserve"> che hanno penalizzato in misura particolare le spese comunali per investimenti, il provvedimento in esame abolisce la disciplina del saldo finale di competenza ed assegna agli enti locali, quale unico </w:t>
      </w:r>
      <w:r w:rsidR="00963B22">
        <w:rPr>
          <w:rFonts w:ascii="Bookman Old Style" w:hAnsi="Bookman Old Style" w:cs="BookAntiqua-Bold"/>
          <w:bCs/>
        </w:rPr>
        <w:t>riferimento</w:t>
      </w:r>
      <w:r w:rsidRPr="00F848B3">
        <w:rPr>
          <w:rFonts w:ascii="Bookman Old Style" w:hAnsi="Bookman Old Style" w:cs="BookAntiqua-Bold"/>
          <w:bCs/>
        </w:rPr>
        <w:t xml:space="preserve"> per le regole finanziarie da rispettare, gli equilibri di bilancio “ordinari” disciplinati dall’armonizzazione contabile (D.Lgs. n. 118/2011).</w:t>
      </w:r>
    </w:p>
    <w:p w:rsidR="003C5F55" w:rsidRDefault="002A3669" w:rsidP="00F848B3">
      <w:pPr>
        <w:spacing w:after="120"/>
        <w:jc w:val="both"/>
        <w:rPr>
          <w:rFonts w:ascii="Bookman Old Style" w:eastAsia="Times New Roman" w:hAnsi="Bookman Old Style" w:cs="Times New Roman"/>
          <w:color w:val="000000"/>
          <w:lang w:eastAsia="en-GB"/>
        </w:rPr>
      </w:pPr>
      <w:r w:rsidRPr="00F848B3">
        <w:rPr>
          <w:rFonts w:ascii="Bookman Old Style" w:hAnsi="Bookman Old Style" w:cs="BookAntiqua-Bold"/>
          <w:bCs/>
        </w:rPr>
        <w:t xml:space="preserve">Tornano quindi nella piena facoltà di utilizzo per gli enti locali sia gli avanzi disponibili sia le risorse acquisite con debito (comprese le potenzialità di indebitamento residue nei limiti stabiliti dalle norme vigenti in materia). </w:t>
      </w:r>
      <w:r w:rsidR="0087104D">
        <w:rPr>
          <w:rFonts w:ascii="Bookman Old Style" w:hAnsi="Bookman Old Style" w:cs="BookAntiqua-Bold"/>
          <w:bCs/>
        </w:rPr>
        <w:t xml:space="preserve">Questo passaggio </w:t>
      </w:r>
      <w:r w:rsidRPr="00F848B3">
        <w:rPr>
          <w:rFonts w:ascii="Bookman Old Style" w:hAnsi="Bookman Old Style" w:cs="BookAntiqua-Bold"/>
          <w:bCs/>
        </w:rPr>
        <w:t>costituisce certamente un fattore determinante per avviare una robusta e duratura ripresa degli investimenti locali</w:t>
      </w:r>
      <w:r w:rsidR="0087104D">
        <w:rPr>
          <w:rFonts w:ascii="Bookman Old Style" w:hAnsi="Bookman Old Style" w:cs="BookAntiqua-Bold"/>
          <w:bCs/>
        </w:rPr>
        <w:t>.</w:t>
      </w:r>
      <w:r w:rsidRPr="00F848B3">
        <w:rPr>
          <w:rFonts w:ascii="Bookman Old Style" w:hAnsi="Bookman Old Style" w:cs="BookAntiqua-Bold"/>
          <w:bCs/>
        </w:rPr>
        <w:t xml:space="preserve"> </w:t>
      </w:r>
      <w:r w:rsidR="0087104D">
        <w:rPr>
          <w:rFonts w:ascii="Bookman Old Style" w:hAnsi="Bookman Old Style" w:cs="BookAntiqua-Bold"/>
          <w:bCs/>
        </w:rPr>
        <w:t>T</w:t>
      </w:r>
      <w:r w:rsidR="0087104D" w:rsidRPr="00F848B3">
        <w:rPr>
          <w:rFonts w:ascii="Bookman Old Style" w:hAnsi="Bookman Old Style" w:cs="BookAntiqua-Bold"/>
          <w:bCs/>
        </w:rPr>
        <w:t xml:space="preserve">uttavia </w:t>
      </w:r>
      <w:r w:rsidRPr="00F848B3">
        <w:rPr>
          <w:rFonts w:ascii="Bookman Old Style" w:hAnsi="Bookman Old Style" w:cs="BookAntiqua-Bold"/>
          <w:bCs/>
        </w:rPr>
        <w:t>la libera applicabilità al bilancio dell’avanzo di amministrazione disponibile dovrebbe essere opportunamente declinata anche qualora l’ente si trovi in una condizione di complessivo disavanzo, pur in presenza di avanzi vincolati a determinati utilizzi per effetto di norme nazionali o regionali. Su tale punto piuttosto delicato,</w:t>
      </w:r>
      <w:r w:rsidR="004D273E" w:rsidRPr="00F848B3">
        <w:rPr>
          <w:rFonts w:ascii="Bookman Old Style" w:hAnsi="Bookman Old Style" w:cs="BookAntiqua-Bold"/>
          <w:bCs/>
        </w:rPr>
        <w:t xml:space="preserve"> che investe anche </w:t>
      </w:r>
      <w:r w:rsidR="0087104D">
        <w:rPr>
          <w:rFonts w:ascii="Bookman Old Style" w:hAnsi="Bookman Old Style" w:cs="BookAntiqua-Bold"/>
          <w:bCs/>
        </w:rPr>
        <w:t xml:space="preserve">diverse </w:t>
      </w:r>
      <w:r w:rsidR="004D273E" w:rsidRPr="00F848B3">
        <w:rPr>
          <w:rFonts w:ascii="Bookman Old Style" w:hAnsi="Bookman Old Style" w:cs="BookAntiqua-Bold"/>
          <w:bCs/>
        </w:rPr>
        <w:t xml:space="preserve">grandi </w:t>
      </w:r>
      <w:r w:rsidR="0087104D">
        <w:rPr>
          <w:rFonts w:ascii="Bookman Old Style" w:hAnsi="Bookman Old Style" w:cs="BookAntiqua-Bold"/>
          <w:bCs/>
        </w:rPr>
        <w:t xml:space="preserve">e medie </w:t>
      </w:r>
      <w:r w:rsidR="004D273E" w:rsidRPr="00F848B3">
        <w:rPr>
          <w:rFonts w:ascii="Bookman Old Style" w:hAnsi="Bookman Old Style" w:cs="BookAntiqua-Bold"/>
          <w:bCs/>
        </w:rPr>
        <w:t xml:space="preserve">città, occorre apportare urgenti correttivi </w:t>
      </w:r>
      <w:r w:rsidR="0087104D">
        <w:rPr>
          <w:rFonts w:ascii="Bookman Old Style" w:hAnsi="Bookman Old Style" w:cs="BookAntiqua-Bold"/>
          <w:bCs/>
        </w:rPr>
        <w:t>all’</w:t>
      </w:r>
      <w:r w:rsidR="00963B22" w:rsidRPr="00963B22">
        <w:rPr>
          <w:rFonts w:ascii="Bookman Old Style" w:hAnsi="Bookman Old Style" w:cs="BookAntiqua-Bold"/>
          <w:bCs/>
        </w:rPr>
        <w:t xml:space="preserve">art. 65 </w:t>
      </w:r>
      <w:r w:rsidR="0087104D">
        <w:rPr>
          <w:rFonts w:ascii="Bookman Old Style" w:hAnsi="Bookman Old Style" w:cs="BookAntiqua-Bold"/>
          <w:bCs/>
        </w:rPr>
        <w:t xml:space="preserve">del </w:t>
      </w:r>
      <w:r w:rsidR="00963B22" w:rsidRPr="00963B22">
        <w:rPr>
          <w:rFonts w:ascii="Bookman Old Style" w:hAnsi="Bookman Old Style" w:cs="BookAntiqua-Bold"/>
          <w:bCs/>
        </w:rPr>
        <w:t>ddl Bilancio 2019</w:t>
      </w:r>
      <w:r w:rsidR="004D273E" w:rsidRPr="00963B22">
        <w:rPr>
          <w:rFonts w:ascii="Bookman Old Style" w:hAnsi="Bookman Old Style" w:cs="BookAntiqua-Bold"/>
          <w:bCs/>
        </w:rPr>
        <w:t>,</w:t>
      </w:r>
      <w:r w:rsidR="004D273E" w:rsidRPr="00F848B3">
        <w:rPr>
          <w:rFonts w:ascii="Bookman Old Style" w:hAnsi="Bookman Old Style" w:cs="BookAntiqua-Bold"/>
          <w:bCs/>
        </w:rPr>
        <w:t xml:space="preserve"> salvaguardando in questi casi l’utilizzo </w:t>
      </w:r>
      <w:r w:rsidR="0087104D">
        <w:rPr>
          <w:rFonts w:ascii="Bookman Old Style" w:hAnsi="Bookman Old Style" w:cs="BookAntiqua-Bold"/>
          <w:bCs/>
        </w:rPr>
        <w:t xml:space="preserve">della </w:t>
      </w:r>
      <w:r w:rsidR="004D273E" w:rsidRPr="00F848B3">
        <w:rPr>
          <w:rFonts w:ascii="Bookman Old Style" w:hAnsi="Bookman Old Style" w:cs="BookAntiqua-Bold"/>
          <w:bCs/>
        </w:rPr>
        <w:t>quota vincolata</w:t>
      </w:r>
      <w:r w:rsidR="0087104D">
        <w:rPr>
          <w:rFonts w:ascii="Bookman Old Style" w:hAnsi="Bookman Old Style" w:cs="BookAntiqua-Bold"/>
          <w:bCs/>
        </w:rPr>
        <w:t xml:space="preserve"> </w:t>
      </w:r>
      <w:r w:rsidR="0087104D" w:rsidRPr="00F848B3">
        <w:rPr>
          <w:rFonts w:ascii="Bookman Old Style" w:hAnsi="Bookman Old Style" w:cs="BookAntiqua-Bold"/>
          <w:bCs/>
        </w:rPr>
        <w:t>degli avanzi</w:t>
      </w:r>
      <w:r w:rsidR="004D273E" w:rsidRPr="00F848B3">
        <w:rPr>
          <w:rFonts w:ascii="Bookman Old Style" w:hAnsi="Bookman Old Style" w:cs="BookAntiqua-Bold"/>
          <w:bCs/>
        </w:rPr>
        <w:t>.</w:t>
      </w:r>
    </w:p>
    <w:p w:rsidR="003C5F55" w:rsidRDefault="005C05BF" w:rsidP="00F848B3">
      <w:pPr>
        <w:spacing w:after="120"/>
        <w:jc w:val="both"/>
        <w:rPr>
          <w:rFonts w:ascii="Bookman Old Style" w:eastAsia="Times New Roman" w:hAnsi="Bookman Old Style" w:cs="Times New Roman"/>
          <w:color w:val="000000"/>
          <w:lang w:eastAsia="en-GB"/>
        </w:rPr>
      </w:pPr>
      <w:r w:rsidRPr="00BE3EA4">
        <w:rPr>
          <w:rFonts w:ascii="Bookman Old Style" w:eastAsia="Times New Roman" w:hAnsi="Bookman Old Style" w:cs="Times New Roman"/>
          <w:color w:val="000000"/>
          <w:lang w:eastAsia="en-GB"/>
        </w:rPr>
        <w:t xml:space="preserve">Nel complesso, gli enti in disavanzo sono </w:t>
      </w:r>
      <w:r w:rsidR="00BE3EA4" w:rsidRPr="00BE3EA4">
        <w:rPr>
          <w:rFonts w:ascii="Bookman Old Style" w:eastAsia="Times New Roman" w:hAnsi="Bookman Old Style" w:cs="Times New Roman"/>
          <w:color w:val="000000"/>
          <w:lang w:eastAsia="en-GB"/>
        </w:rPr>
        <w:t xml:space="preserve">solo </w:t>
      </w:r>
      <w:r w:rsidRPr="00BE3EA4">
        <w:rPr>
          <w:rFonts w:ascii="Bookman Old Style" w:eastAsia="Times New Roman" w:hAnsi="Bookman Old Style" w:cs="Times New Roman"/>
          <w:color w:val="000000"/>
          <w:lang w:eastAsia="en-GB"/>
        </w:rPr>
        <w:t xml:space="preserve">il 9 per cento (668 su un totale di circa </w:t>
      </w:r>
      <w:r w:rsidRPr="00C0124E">
        <w:rPr>
          <w:rFonts w:ascii="Bookman Old Style" w:eastAsia="Times New Roman" w:hAnsi="Bookman Old Style" w:cs="Times New Roman"/>
          <w:color w:val="000000"/>
          <w:lang w:eastAsia="en-GB"/>
        </w:rPr>
        <w:t>7.500 analizzati), molto concentrati nel Centro e nel Sud (tra il 17 e il 20% dei rispettivi totali). Se si considera però la dimensione complessiva degli avanzi, sommando anche i Comuni con “avanzi deboli” (fino all’8% del totale delle entrate finali), la dimensione è molto più ampia e diffusa territorialmente, come emerge dalla figura seguente. Si tratta di una platea sulla quale l’effetto di liberazione di risorse implicite nella libertà di utilizzo degli avanzi non sviluppa o sviluppa in misura marginale nuova capacità di finanziare investimenti: nel complesso il fenomeno riguarda oltre 1.800 Comuni, oltre un quarto del</w:t>
      </w:r>
      <w:r w:rsidRPr="00BE3EA4">
        <w:rPr>
          <w:rFonts w:ascii="Bookman Old Style" w:eastAsia="Times New Roman" w:hAnsi="Bookman Old Style" w:cs="Times New Roman"/>
          <w:color w:val="000000"/>
          <w:lang w:eastAsia="en-GB"/>
        </w:rPr>
        <w:t xml:space="preserve"> totale, il 14 % degli enti settentrionali e il 35/40% degli enti del centro-sud.</w:t>
      </w:r>
    </w:p>
    <w:p w:rsidR="003C5F55" w:rsidRDefault="003C5F55" w:rsidP="00F848B3">
      <w:pPr>
        <w:spacing w:after="120"/>
        <w:jc w:val="both"/>
        <w:rPr>
          <w:rFonts w:ascii="Bookman Old Style" w:eastAsia="Times New Roman" w:hAnsi="Bookman Old Style" w:cs="Times New Roman"/>
          <w:color w:val="000000"/>
          <w:lang w:eastAsia="en-GB"/>
        </w:rPr>
      </w:pPr>
    </w:p>
    <w:p w:rsidR="003C5F55" w:rsidRDefault="003C5F55" w:rsidP="00F848B3">
      <w:pPr>
        <w:spacing w:after="120"/>
        <w:jc w:val="both"/>
        <w:rPr>
          <w:rFonts w:ascii="Bookman Old Style" w:eastAsia="Times New Roman" w:hAnsi="Bookman Old Style" w:cs="Times New Roman"/>
          <w:color w:val="000000"/>
          <w:lang w:eastAsia="en-GB"/>
        </w:rPr>
      </w:pPr>
    </w:p>
    <w:p w:rsidR="003C5F55" w:rsidRDefault="003C5F55" w:rsidP="00F848B3">
      <w:pPr>
        <w:spacing w:after="120"/>
        <w:jc w:val="both"/>
        <w:rPr>
          <w:rFonts w:ascii="Bookman Old Style" w:eastAsia="Times New Roman" w:hAnsi="Bookman Old Style" w:cs="Times New Roman"/>
          <w:color w:val="000000"/>
          <w:lang w:eastAsia="en-GB"/>
        </w:rPr>
      </w:pPr>
    </w:p>
    <w:p w:rsidR="003C5F55" w:rsidRDefault="003C5F55" w:rsidP="00F848B3">
      <w:pPr>
        <w:spacing w:after="120"/>
        <w:jc w:val="both"/>
        <w:rPr>
          <w:rFonts w:ascii="Bookman Old Style" w:eastAsia="Times New Roman" w:hAnsi="Bookman Old Style" w:cs="Times New Roman"/>
          <w:color w:val="000000"/>
          <w:lang w:eastAsia="en-GB"/>
        </w:rPr>
      </w:pPr>
    </w:p>
    <w:p w:rsidR="003C5F55" w:rsidRDefault="003C5F55" w:rsidP="00F848B3">
      <w:pPr>
        <w:spacing w:after="120"/>
        <w:jc w:val="both"/>
        <w:rPr>
          <w:rFonts w:ascii="Bookman Old Style" w:eastAsia="Times New Roman" w:hAnsi="Bookman Old Style" w:cs="Times New Roman"/>
          <w:color w:val="000000"/>
          <w:lang w:eastAsia="en-GB"/>
        </w:rPr>
      </w:pPr>
    </w:p>
    <w:p w:rsidR="00FC5E9A" w:rsidRDefault="00FC5E9A" w:rsidP="00F848B3">
      <w:pPr>
        <w:spacing w:after="120"/>
        <w:jc w:val="both"/>
        <w:rPr>
          <w:rFonts w:ascii="Bookman Old Style" w:eastAsia="Times New Roman" w:hAnsi="Bookman Old Style" w:cs="Times New Roman"/>
          <w:color w:val="000000"/>
          <w:lang w:eastAsia="en-GB"/>
        </w:rPr>
      </w:pPr>
    </w:p>
    <w:p w:rsidR="00FC5E9A" w:rsidRDefault="005C05BF" w:rsidP="00324EDE">
      <w:pPr>
        <w:spacing w:after="120"/>
        <w:jc w:val="center"/>
        <w:rPr>
          <w:rFonts w:ascii="Bookman Old Style" w:eastAsia="Times New Roman" w:hAnsi="Bookman Old Style" w:cs="Times New Roman"/>
          <w:color w:val="000000"/>
          <w:lang w:eastAsia="en-GB"/>
        </w:rPr>
      </w:pPr>
      <w:r>
        <w:rPr>
          <w:noProof/>
          <w:lang w:eastAsia="it-IT"/>
        </w:rPr>
        <w:drawing>
          <wp:inline distT="0" distB="0" distL="0" distR="0">
            <wp:extent cx="4572000" cy="2743200"/>
            <wp:effectExtent l="0" t="0" r="0" b="0"/>
            <wp:docPr id="1" name="Grafico 1">
              <a:extLst xmlns:a="http://schemas.openxmlformats.org/drawingml/2006/main">
                <a:ext uri="{FF2B5EF4-FFF2-40B4-BE49-F238E27FC236}">
                  <a16:creationId xmlns:a16="http://schemas.microsoft.com/office/drawing/2014/main" id="{8320E204-90F1-42E5-935E-635CDB6B3E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5F55" w:rsidRDefault="003C5F55" w:rsidP="00F848B3">
      <w:pPr>
        <w:spacing w:after="120"/>
        <w:jc w:val="both"/>
        <w:rPr>
          <w:rFonts w:ascii="Bookman Old Style" w:eastAsia="Times New Roman" w:hAnsi="Bookman Old Style" w:cs="Times New Roman"/>
          <w:color w:val="000000"/>
          <w:lang w:eastAsia="en-GB"/>
        </w:rPr>
      </w:pPr>
    </w:p>
    <w:p w:rsidR="005A3A01" w:rsidRPr="00F848B3" w:rsidRDefault="00324EDE" w:rsidP="00F848B3">
      <w:pPr>
        <w:spacing w:after="120"/>
        <w:jc w:val="both"/>
        <w:rPr>
          <w:rFonts w:ascii="Bookman Old Style" w:eastAsia="Times New Roman" w:hAnsi="Bookman Old Style" w:cs="Times New Roman"/>
          <w:color w:val="000000"/>
          <w:lang w:eastAsia="en-GB"/>
        </w:rPr>
      </w:pPr>
      <w:r>
        <w:rPr>
          <w:rFonts w:ascii="Bookman Old Style" w:eastAsia="Times New Roman" w:hAnsi="Bookman Old Style" w:cs="Times New Roman"/>
          <w:color w:val="000000"/>
          <w:lang w:eastAsia="en-GB"/>
        </w:rPr>
        <w:t>Per ciò che riguarda i disavanzi, i</w:t>
      </w:r>
      <w:r w:rsidRPr="00F848B3">
        <w:rPr>
          <w:rFonts w:ascii="Bookman Old Style" w:eastAsia="Times New Roman" w:hAnsi="Bookman Old Style" w:cs="Times New Roman"/>
          <w:color w:val="000000"/>
          <w:lang w:eastAsia="en-GB"/>
        </w:rPr>
        <w:t xml:space="preserve">l </w:t>
      </w:r>
      <w:r w:rsidR="005A3A01" w:rsidRPr="00F848B3">
        <w:rPr>
          <w:rFonts w:ascii="Bookman Old Style" w:eastAsia="Times New Roman" w:hAnsi="Bookman Old Style" w:cs="Times New Roman"/>
          <w:color w:val="000000"/>
          <w:lang w:eastAsia="en-GB"/>
        </w:rPr>
        <w:t>punto più critico risiede nel fatto che molti degli enti che oggi risultano in disavanzo derivano tale condizione dall’emersione di un “</w:t>
      </w:r>
      <w:r w:rsidR="005A3A01" w:rsidRPr="00F848B3">
        <w:rPr>
          <w:rFonts w:ascii="Bookman Old Style" w:eastAsia="Times New Roman" w:hAnsi="Bookman Old Style" w:cs="Times New Roman"/>
          <w:b/>
          <w:color w:val="000000"/>
          <w:lang w:eastAsia="en-GB"/>
        </w:rPr>
        <w:t xml:space="preserve">disavanzo tecnico” per effetto dell’operazione di riaccertamento straordinario dei residui richiesto dalla riforma della contabilità. </w:t>
      </w:r>
      <w:r w:rsidR="005A3A01" w:rsidRPr="00F848B3">
        <w:rPr>
          <w:rFonts w:ascii="Bookman Old Style" w:eastAsia="Times New Roman" w:hAnsi="Bookman Old Style" w:cs="Times New Roman"/>
          <w:color w:val="000000"/>
          <w:lang w:eastAsia="en-GB"/>
        </w:rPr>
        <w:t xml:space="preserve">Proprio per </w:t>
      </w:r>
      <w:r w:rsidR="008B4ED1" w:rsidRPr="00867D60">
        <w:rPr>
          <w:rFonts w:ascii="Bookman Old Style" w:eastAsia="Times New Roman" w:hAnsi="Bookman Old Style" w:cs="Times New Roman"/>
          <w:color w:val="000000"/>
          <w:lang w:eastAsia="en-GB"/>
        </w:rPr>
        <w:t>garantire</w:t>
      </w:r>
      <w:r w:rsidR="008B4ED1" w:rsidRPr="00F848B3">
        <w:rPr>
          <w:rFonts w:ascii="Bookman Old Style" w:eastAsia="Times New Roman" w:hAnsi="Bookman Old Style" w:cs="Times New Roman"/>
          <w:color w:val="000000"/>
          <w:lang w:eastAsia="en-GB"/>
        </w:rPr>
        <w:t xml:space="preserve"> </w:t>
      </w:r>
      <w:r w:rsidR="005A3A01" w:rsidRPr="00F848B3">
        <w:rPr>
          <w:rFonts w:ascii="Bookman Old Style" w:eastAsia="Times New Roman" w:hAnsi="Bookman Old Style" w:cs="Times New Roman"/>
          <w:color w:val="000000"/>
          <w:lang w:eastAsia="en-GB"/>
        </w:rPr>
        <w:t xml:space="preserve">un percorso sostenibile di rientro, </w:t>
      </w:r>
      <w:r w:rsidR="005A3A01" w:rsidRPr="00F848B3">
        <w:rPr>
          <w:rFonts w:ascii="Bookman Old Style" w:eastAsia="Times New Roman" w:hAnsi="Bookman Old Style" w:cs="Times New Roman"/>
          <w:b/>
          <w:color w:val="000000"/>
          <w:lang w:eastAsia="en-GB"/>
        </w:rPr>
        <w:t>il dl n. 78 del 2015</w:t>
      </w:r>
      <w:r w:rsidR="005A3A01" w:rsidRPr="00F848B3">
        <w:rPr>
          <w:rFonts w:ascii="Bookman Old Style" w:eastAsia="Times New Roman" w:hAnsi="Bookman Old Style" w:cs="Times New Roman"/>
          <w:color w:val="000000"/>
          <w:lang w:eastAsia="en-GB"/>
        </w:rPr>
        <w:t xml:space="preserve">, norma approvata dal Parlamento e condivisa dal Mef, </w:t>
      </w:r>
      <w:r w:rsidR="005A3A01" w:rsidRPr="00F848B3">
        <w:rPr>
          <w:rFonts w:ascii="Bookman Old Style" w:eastAsia="Times New Roman" w:hAnsi="Bookman Old Style" w:cs="Times New Roman"/>
          <w:b/>
          <w:color w:val="000000"/>
          <w:lang w:eastAsia="en-GB"/>
        </w:rPr>
        <w:t>ha permesso il ripiano trentennale</w:t>
      </w:r>
      <w:r w:rsidR="005A3A01" w:rsidRPr="00F848B3">
        <w:rPr>
          <w:rFonts w:ascii="Bookman Old Style" w:eastAsia="Times New Roman" w:hAnsi="Bookman Old Style" w:cs="Times New Roman"/>
          <w:color w:val="000000"/>
          <w:lang w:eastAsia="en-GB"/>
        </w:rPr>
        <w:t xml:space="preserve"> di questo tipo di disavanzo. Annullare le finalità perseguite dalla norma richiamata significherebbe minare irrimediabilmente la credibilità del legislatore, compromettere il percorso di risanamento graduale messo in atto dagli enti interessati, nonché disconoscere il contributo alla finanza pubblica comunque garantito per tale via dagli enti stessi in ragione della minore capacità di spesa disponibile.</w:t>
      </w:r>
    </w:p>
    <w:p w:rsidR="005A3A01" w:rsidRPr="00F848B3" w:rsidRDefault="005A3A01" w:rsidP="00F848B3">
      <w:pPr>
        <w:spacing w:after="120"/>
        <w:jc w:val="both"/>
        <w:rPr>
          <w:rFonts w:ascii="Bookman Old Style" w:hAnsi="Bookman Old Style"/>
          <w:b/>
          <w:color w:val="000000"/>
        </w:rPr>
      </w:pPr>
      <w:r w:rsidRPr="00F848B3">
        <w:rPr>
          <w:rFonts w:ascii="Bookman Old Style" w:hAnsi="Bookman Old Style"/>
          <w:b/>
          <w:color w:val="000000"/>
        </w:rPr>
        <w:t>L’ANCI auspica che</w:t>
      </w:r>
      <w:r w:rsidR="00B075EF" w:rsidRPr="00F848B3">
        <w:rPr>
          <w:rFonts w:ascii="Bookman Old Style" w:hAnsi="Bookman Old Style"/>
          <w:b/>
          <w:color w:val="000000"/>
        </w:rPr>
        <w:t xml:space="preserve"> lo sblocco degli avanzi vincolati sia pieno e generalizzato fin dal 2019 e che le possibili problematiche riguardanti la copertura finanziaria siano esaminate anche valorizzando il fatto che il comparto comunale, nel suo insieme, fornisce da diversi anni ingenti contributi al risanamento dei conti pubblici.</w:t>
      </w:r>
    </w:p>
    <w:p w:rsidR="005A3A01" w:rsidRPr="00F848B3" w:rsidRDefault="005A3A01" w:rsidP="00F848B3">
      <w:pPr>
        <w:spacing w:after="120"/>
        <w:jc w:val="both"/>
        <w:rPr>
          <w:rFonts w:ascii="Bookman Old Style" w:eastAsia="Times New Roman" w:hAnsi="Bookman Old Style" w:cs="Times New Roman"/>
          <w:b/>
          <w:color w:val="000000"/>
          <w:lang w:eastAsia="en-GB"/>
        </w:rPr>
      </w:pPr>
    </w:p>
    <w:p w:rsidR="005A3A01" w:rsidRPr="00F848B3" w:rsidRDefault="00144362" w:rsidP="00F848B3">
      <w:pPr>
        <w:pStyle w:val="Titolo2"/>
        <w:spacing w:before="0" w:after="120"/>
        <w:rPr>
          <w:rFonts w:ascii="Bookman Old Style" w:hAnsi="Bookman Old Style"/>
          <w:shd w:val="clear" w:color="auto" w:fill="FFFFFF"/>
        </w:rPr>
      </w:pPr>
      <w:bookmarkStart w:id="12" w:name="_Toc524978904"/>
      <w:bookmarkStart w:id="13" w:name="_Toc529684999"/>
      <w:r w:rsidRPr="00F848B3">
        <w:rPr>
          <w:rFonts w:ascii="Bookman Old Style" w:hAnsi="Bookman Old Style"/>
          <w:shd w:val="clear" w:color="auto" w:fill="FFFFFF"/>
        </w:rPr>
        <w:t xml:space="preserve">Maggiore sostegno agli </w:t>
      </w:r>
      <w:r w:rsidR="005A3A01" w:rsidRPr="00F848B3">
        <w:rPr>
          <w:rFonts w:ascii="Bookman Old Style" w:hAnsi="Bookman Old Style"/>
          <w:shd w:val="clear" w:color="auto" w:fill="FFFFFF"/>
        </w:rPr>
        <w:t xml:space="preserve">investimenti </w:t>
      </w:r>
      <w:bookmarkEnd w:id="12"/>
      <w:r w:rsidRPr="00F848B3">
        <w:rPr>
          <w:rFonts w:ascii="Bookman Old Style" w:hAnsi="Bookman Old Style"/>
          <w:shd w:val="clear" w:color="auto" w:fill="FFFFFF"/>
        </w:rPr>
        <w:t>comunali</w:t>
      </w:r>
      <w:bookmarkEnd w:id="13"/>
    </w:p>
    <w:p w:rsidR="005A3A01" w:rsidRPr="00F848B3" w:rsidRDefault="00F35E4B" w:rsidP="00F848B3">
      <w:pPr>
        <w:spacing w:after="120"/>
        <w:jc w:val="both"/>
        <w:rPr>
          <w:rFonts w:ascii="Bookman Old Style" w:hAnsi="Bookman Old Style"/>
          <w:b/>
          <w:color w:val="000000"/>
        </w:rPr>
      </w:pPr>
      <w:r>
        <w:rPr>
          <w:rFonts w:ascii="Bookman Old Style" w:eastAsia="Times New Roman" w:hAnsi="Bookman Old Style" w:cs="Times New Roman"/>
          <w:color w:val="000000"/>
          <w:lang w:eastAsia="en-GB"/>
        </w:rPr>
        <w:t xml:space="preserve">Il superamento della lunga stagione di vincoli finanziari aggiuntivi produce un importante </w:t>
      </w:r>
      <w:r w:rsidR="005A3A01" w:rsidRPr="00F848B3">
        <w:rPr>
          <w:rFonts w:ascii="Bookman Old Style" w:eastAsia="Times New Roman" w:hAnsi="Bookman Old Style" w:cs="Times New Roman"/>
          <w:b/>
          <w:color w:val="000000"/>
          <w:lang w:eastAsia="en-GB"/>
        </w:rPr>
        <w:t>effetto di semplificazione</w:t>
      </w:r>
      <w:r w:rsidR="005A3A01" w:rsidRPr="00F848B3">
        <w:rPr>
          <w:rFonts w:ascii="Bookman Old Style" w:eastAsia="Times New Roman" w:hAnsi="Bookman Old Style" w:cs="Times New Roman"/>
          <w:color w:val="000000"/>
          <w:lang w:eastAsia="en-GB"/>
        </w:rPr>
        <w:t xml:space="preserve">. </w:t>
      </w:r>
      <w:r w:rsidR="00E63D0A">
        <w:rPr>
          <w:rFonts w:ascii="Bookman Old Style" w:hAnsi="Bookman Old Style"/>
          <w:b/>
          <w:color w:val="000000"/>
        </w:rPr>
        <w:t xml:space="preserve">Per </w:t>
      </w:r>
      <w:r w:rsidR="005A3A01" w:rsidRPr="00F848B3">
        <w:rPr>
          <w:rFonts w:ascii="Bookman Old Style" w:hAnsi="Bookman Old Style"/>
          <w:b/>
          <w:color w:val="000000"/>
        </w:rPr>
        <w:t xml:space="preserve">vent’anni un’intera burocrazia locale e centrale </w:t>
      </w:r>
      <w:r w:rsidR="00E63D0A">
        <w:rPr>
          <w:rFonts w:ascii="Bookman Old Style" w:hAnsi="Bookman Old Style"/>
          <w:b/>
          <w:color w:val="000000"/>
        </w:rPr>
        <w:t xml:space="preserve">ha dovuto </w:t>
      </w:r>
      <w:r w:rsidR="005A3A01" w:rsidRPr="00F848B3">
        <w:rPr>
          <w:rFonts w:ascii="Bookman Old Style" w:hAnsi="Bookman Old Style"/>
          <w:b/>
          <w:color w:val="000000"/>
        </w:rPr>
        <w:t xml:space="preserve">definire, applicare e controllare un’ampia serie di vincoli alla spesa dei Comuni che </w:t>
      </w:r>
      <w:r>
        <w:rPr>
          <w:rFonts w:ascii="Bookman Old Style" w:hAnsi="Bookman Old Style"/>
          <w:b/>
          <w:color w:val="000000"/>
        </w:rPr>
        <w:t xml:space="preserve">ha </w:t>
      </w:r>
      <w:r w:rsidRPr="00F848B3">
        <w:rPr>
          <w:rFonts w:ascii="Bookman Old Style" w:hAnsi="Bookman Old Style"/>
          <w:b/>
          <w:color w:val="000000"/>
        </w:rPr>
        <w:t>accresc</w:t>
      </w:r>
      <w:r>
        <w:rPr>
          <w:rFonts w:ascii="Bookman Old Style" w:hAnsi="Bookman Old Style"/>
          <w:b/>
          <w:color w:val="000000"/>
        </w:rPr>
        <w:t>iuto</w:t>
      </w:r>
      <w:r w:rsidRPr="00F848B3">
        <w:rPr>
          <w:rFonts w:ascii="Bookman Old Style" w:hAnsi="Bookman Old Style"/>
          <w:b/>
          <w:color w:val="000000"/>
        </w:rPr>
        <w:t xml:space="preserve"> </w:t>
      </w:r>
      <w:r w:rsidR="005A3A01" w:rsidRPr="00F848B3">
        <w:rPr>
          <w:rFonts w:ascii="Bookman Old Style" w:hAnsi="Bookman Old Style"/>
          <w:b/>
          <w:color w:val="000000"/>
        </w:rPr>
        <w:t>le incertezze da parte degli operatori locali</w:t>
      </w:r>
      <w:r>
        <w:rPr>
          <w:rFonts w:ascii="Bookman Old Style" w:hAnsi="Bookman Old Style"/>
          <w:b/>
          <w:color w:val="000000"/>
        </w:rPr>
        <w:t xml:space="preserve">, aggravando gli adempimenti richiesti nella </w:t>
      </w:r>
      <w:r w:rsidR="005A3A01" w:rsidRPr="00F848B3">
        <w:rPr>
          <w:rFonts w:ascii="Bookman Old Style" w:hAnsi="Bookman Old Style"/>
          <w:b/>
          <w:color w:val="000000"/>
        </w:rPr>
        <w:t>gestione finanziaria.</w:t>
      </w:r>
    </w:p>
    <w:p w:rsidR="005A3A01" w:rsidRPr="00F848B3" w:rsidRDefault="005A3A01" w:rsidP="00F848B3">
      <w:pPr>
        <w:spacing w:after="120"/>
        <w:jc w:val="both"/>
        <w:rPr>
          <w:rFonts w:ascii="Bookman Old Style" w:eastAsia="Times New Roman" w:hAnsi="Bookman Old Style" w:cs="Times New Roman"/>
          <w:color w:val="000000"/>
          <w:lang w:eastAsia="en-GB"/>
        </w:rPr>
      </w:pPr>
      <w:r w:rsidRPr="00F848B3">
        <w:rPr>
          <w:rFonts w:ascii="Bookman Old Style" w:eastAsia="Times New Roman" w:hAnsi="Bookman Old Style" w:cs="Times New Roman"/>
          <w:color w:val="000000"/>
          <w:lang w:eastAsia="en-GB"/>
        </w:rPr>
        <w:t xml:space="preserve">A questo si aggiunge un effetto di maggiore capacità di programmazione degli investimenti locali, sui quali negli ultimi anni si è finalmente registrata una maggiore attenzione anche in termini macroeconomici da parte della politica nazionale. </w:t>
      </w:r>
      <w:r w:rsidR="00020E0C" w:rsidRPr="00F848B3">
        <w:rPr>
          <w:rFonts w:ascii="Bookman Old Style" w:eastAsia="Times New Roman" w:hAnsi="Bookman Old Style" w:cs="Times New Roman"/>
          <w:color w:val="000000"/>
          <w:lang w:eastAsia="en-GB"/>
        </w:rPr>
        <w:t xml:space="preserve">Avrebbe </w:t>
      </w:r>
      <w:r w:rsidR="0004296B" w:rsidRPr="00F848B3">
        <w:rPr>
          <w:rFonts w:ascii="Bookman Old Style" w:eastAsia="Times New Roman" w:hAnsi="Bookman Old Style" w:cs="Times New Roman"/>
          <w:color w:val="000000"/>
          <w:lang w:eastAsia="en-GB"/>
        </w:rPr>
        <w:t>costituito un grave elemento di contraddizione</w:t>
      </w:r>
      <w:r w:rsidR="00A45989" w:rsidRPr="00867D60">
        <w:rPr>
          <w:rFonts w:ascii="Bookman Old Style" w:eastAsia="Times New Roman" w:hAnsi="Bookman Old Style" w:cs="Times New Roman"/>
          <w:color w:val="000000"/>
          <w:lang w:eastAsia="en-GB"/>
        </w:rPr>
        <w:t>,</w:t>
      </w:r>
      <w:r w:rsidR="0004296B" w:rsidRPr="00F848B3">
        <w:rPr>
          <w:rFonts w:ascii="Bookman Old Style" w:eastAsia="Times New Roman" w:hAnsi="Bookman Old Style" w:cs="Times New Roman"/>
          <w:color w:val="000000"/>
          <w:lang w:eastAsia="en-GB"/>
        </w:rPr>
        <w:t xml:space="preserve"> rispetto alla strategia di rilancio degli investimenti locali perseguita da qualche tempo anche a livello nazionale, la </w:t>
      </w:r>
      <w:r w:rsidRPr="00F848B3">
        <w:rPr>
          <w:rFonts w:ascii="Bookman Old Style" w:eastAsia="Times New Roman" w:hAnsi="Bookman Old Style" w:cs="Times New Roman"/>
          <w:color w:val="000000"/>
          <w:lang w:eastAsia="en-GB"/>
        </w:rPr>
        <w:t xml:space="preserve">soluzione pasticciata </w:t>
      </w:r>
      <w:r w:rsidR="0004296B" w:rsidRPr="00F848B3">
        <w:rPr>
          <w:rFonts w:ascii="Bookman Old Style" w:eastAsia="Times New Roman" w:hAnsi="Bookman Old Style" w:cs="Times New Roman"/>
          <w:color w:val="000000"/>
          <w:lang w:eastAsia="en-GB"/>
        </w:rPr>
        <w:t>del</w:t>
      </w:r>
      <w:r w:rsidRPr="00F848B3">
        <w:rPr>
          <w:rFonts w:ascii="Bookman Old Style" w:eastAsia="Times New Roman" w:hAnsi="Bookman Old Style" w:cs="Times New Roman"/>
          <w:color w:val="000000"/>
          <w:lang w:eastAsia="en-GB"/>
        </w:rPr>
        <w:t xml:space="preserve"> Bando periferie</w:t>
      </w:r>
      <w:r w:rsidR="00F35E4B">
        <w:rPr>
          <w:rFonts w:ascii="Bookman Old Style" w:eastAsia="Times New Roman" w:hAnsi="Bookman Old Style" w:cs="Times New Roman"/>
          <w:color w:val="000000"/>
          <w:lang w:eastAsia="en-GB"/>
        </w:rPr>
        <w:t xml:space="preserve">, unilateralmente </w:t>
      </w:r>
      <w:r w:rsidR="0004296B" w:rsidRPr="00F848B3">
        <w:rPr>
          <w:rFonts w:ascii="Bookman Old Style" w:eastAsia="Times New Roman" w:hAnsi="Bookman Old Style" w:cs="Times New Roman"/>
          <w:color w:val="000000"/>
          <w:lang w:eastAsia="en-GB"/>
        </w:rPr>
        <w:t>revisionat</w:t>
      </w:r>
      <w:r w:rsidR="00F35E4B">
        <w:rPr>
          <w:rFonts w:ascii="Bookman Old Style" w:eastAsia="Times New Roman" w:hAnsi="Bookman Old Style" w:cs="Times New Roman"/>
          <w:color w:val="000000"/>
          <w:lang w:eastAsia="en-GB"/>
        </w:rPr>
        <w:t>o</w:t>
      </w:r>
      <w:r w:rsidR="0004296B" w:rsidRPr="00F848B3">
        <w:rPr>
          <w:rFonts w:ascii="Bookman Old Style" w:eastAsia="Times New Roman" w:hAnsi="Bookman Old Style" w:cs="Times New Roman"/>
          <w:color w:val="000000"/>
          <w:lang w:eastAsia="en-GB"/>
        </w:rPr>
        <w:t xml:space="preserve"> dal dl “Milleproroghe”, mentre </w:t>
      </w:r>
      <w:r w:rsidR="00F35E4B">
        <w:rPr>
          <w:rFonts w:ascii="Bookman Old Style" w:eastAsia="Times New Roman" w:hAnsi="Bookman Old Style" w:cs="Times New Roman"/>
          <w:color w:val="000000"/>
          <w:lang w:eastAsia="en-GB"/>
        </w:rPr>
        <w:t xml:space="preserve">ora il ddl Bilancio </w:t>
      </w:r>
      <w:r w:rsidR="0004296B" w:rsidRPr="00F848B3">
        <w:rPr>
          <w:rFonts w:ascii="Bookman Old Style" w:eastAsia="Times New Roman" w:hAnsi="Bookman Old Style" w:cs="Times New Roman"/>
          <w:color w:val="000000"/>
          <w:lang w:eastAsia="en-GB"/>
        </w:rPr>
        <w:t xml:space="preserve">accoglie le rettifiche </w:t>
      </w:r>
      <w:r w:rsidR="00F35E4B">
        <w:rPr>
          <w:rFonts w:ascii="Bookman Old Style" w:eastAsia="Times New Roman" w:hAnsi="Bookman Old Style" w:cs="Times New Roman"/>
          <w:color w:val="000000"/>
          <w:lang w:eastAsia="en-GB"/>
        </w:rPr>
        <w:t xml:space="preserve">richieste </w:t>
      </w:r>
      <w:r w:rsidR="0004296B" w:rsidRPr="00F848B3">
        <w:rPr>
          <w:rFonts w:ascii="Bookman Old Style" w:eastAsia="Times New Roman" w:hAnsi="Bookman Old Style" w:cs="Times New Roman"/>
          <w:color w:val="000000"/>
          <w:lang w:eastAsia="en-GB"/>
        </w:rPr>
        <w:t xml:space="preserve">con forza </w:t>
      </w:r>
      <w:r w:rsidR="00F35E4B">
        <w:rPr>
          <w:rFonts w:ascii="Bookman Old Style" w:eastAsia="Times New Roman" w:hAnsi="Bookman Old Style" w:cs="Times New Roman"/>
          <w:color w:val="000000"/>
          <w:lang w:eastAsia="en-GB"/>
        </w:rPr>
        <w:t>dall’ANCI</w:t>
      </w:r>
      <w:r w:rsidR="0004296B" w:rsidRPr="00F848B3">
        <w:rPr>
          <w:rFonts w:ascii="Bookman Old Style" w:eastAsia="Times New Roman" w:hAnsi="Bookman Old Style" w:cs="Times New Roman"/>
          <w:color w:val="000000"/>
          <w:lang w:eastAsia="en-GB"/>
        </w:rPr>
        <w:t>.</w:t>
      </w:r>
    </w:p>
    <w:p w:rsidR="005A3A01" w:rsidRPr="00F848B3" w:rsidRDefault="0004296B" w:rsidP="00F35E4B">
      <w:pPr>
        <w:spacing w:after="120"/>
        <w:jc w:val="both"/>
        <w:rPr>
          <w:rFonts w:ascii="Bookman Old Style" w:hAnsi="Bookman Old Style"/>
          <w:color w:val="000000"/>
        </w:rPr>
      </w:pPr>
      <w:r w:rsidRPr="00885501">
        <w:rPr>
          <w:rFonts w:ascii="Bookman Old Style" w:eastAsia="Times New Roman" w:hAnsi="Bookman Old Style" w:cs="Times New Roman"/>
          <w:color w:val="000000"/>
          <w:lang w:eastAsia="en-GB"/>
        </w:rPr>
        <w:t xml:space="preserve">Rimane invece il rammarico </w:t>
      </w:r>
      <w:r w:rsidR="00503219">
        <w:rPr>
          <w:rFonts w:ascii="Bookman Old Style" w:eastAsia="Times New Roman" w:hAnsi="Bookman Old Style" w:cs="Times New Roman"/>
          <w:color w:val="000000"/>
          <w:lang w:eastAsia="en-GB"/>
        </w:rPr>
        <w:t xml:space="preserve">per la mancata </w:t>
      </w:r>
      <w:r w:rsidRPr="00885501">
        <w:rPr>
          <w:rFonts w:ascii="Bookman Old Style" w:eastAsia="Times New Roman" w:hAnsi="Bookman Old Style" w:cs="Times New Roman"/>
          <w:color w:val="000000"/>
          <w:lang w:eastAsia="en-GB"/>
        </w:rPr>
        <w:t>re</w:t>
      </w:r>
      <w:r w:rsidR="005A3A01" w:rsidRPr="00885501">
        <w:rPr>
          <w:rFonts w:ascii="Bookman Old Style" w:eastAsia="Times New Roman" w:hAnsi="Bookman Old Style" w:cs="Times New Roman"/>
          <w:color w:val="000000"/>
          <w:lang w:eastAsia="en-GB"/>
        </w:rPr>
        <w:t xml:space="preserve">visione dei criteri di assegnazione dei contributi agli investimenti </w:t>
      </w:r>
      <w:r w:rsidR="00503219">
        <w:rPr>
          <w:rFonts w:ascii="Bookman Old Style" w:eastAsia="Times New Roman" w:hAnsi="Bookman Old Style" w:cs="Times New Roman"/>
          <w:color w:val="000000"/>
          <w:lang w:eastAsia="en-GB"/>
        </w:rPr>
        <w:t xml:space="preserve">comunali </w:t>
      </w:r>
      <w:r w:rsidR="005A3A01" w:rsidRPr="00885501">
        <w:rPr>
          <w:rFonts w:ascii="Bookman Old Style" w:eastAsia="Times New Roman" w:hAnsi="Bookman Old Style" w:cs="Times New Roman"/>
          <w:color w:val="000000"/>
          <w:lang w:eastAsia="en-GB"/>
        </w:rPr>
        <w:t xml:space="preserve">per la messa in sicurezza degli edifici e del territorio (co. 853 e ss. L.Bilancio 2018). </w:t>
      </w:r>
      <w:r w:rsidR="00F35E4B" w:rsidRPr="00885501">
        <w:rPr>
          <w:rFonts w:ascii="Bookman Old Style" w:eastAsia="Times New Roman" w:hAnsi="Bookman Old Style" w:cs="Times New Roman"/>
          <w:color w:val="000000"/>
          <w:lang w:eastAsia="en-GB"/>
        </w:rPr>
        <w:t xml:space="preserve">Le risorse rese disponibili sul triennio 2018-20 ammontano rispettivamente a 150, 300 e 400 milioni di euro. </w:t>
      </w:r>
      <w:r w:rsidR="005A3A01" w:rsidRPr="00885501">
        <w:rPr>
          <w:rFonts w:ascii="Bookman Old Style" w:eastAsia="Times New Roman" w:hAnsi="Bookman Old Style" w:cs="Times New Roman"/>
          <w:color w:val="000000"/>
          <w:lang w:eastAsia="en-GB"/>
        </w:rPr>
        <w:t xml:space="preserve">Il decreto “proroghe” non ha considerato l’opportunità di </w:t>
      </w:r>
      <w:r w:rsidR="00503219">
        <w:rPr>
          <w:rFonts w:ascii="Bookman Old Style" w:eastAsia="Times New Roman" w:hAnsi="Bookman Old Style" w:cs="Times New Roman"/>
          <w:color w:val="000000"/>
          <w:lang w:eastAsia="en-GB"/>
        </w:rPr>
        <w:t>posporre</w:t>
      </w:r>
      <w:r w:rsidR="00503219" w:rsidRPr="00885501">
        <w:rPr>
          <w:rFonts w:ascii="Bookman Old Style" w:eastAsia="Times New Roman" w:hAnsi="Bookman Old Style" w:cs="Times New Roman"/>
          <w:color w:val="000000"/>
          <w:lang w:eastAsia="en-GB"/>
        </w:rPr>
        <w:t xml:space="preserve"> </w:t>
      </w:r>
      <w:r w:rsidR="005A3A01" w:rsidRPr="00885501">
        <w:rPr>
          <w:rFonts w:ascii="Bookman Old Style" w:eastAsia="Times New Roman" w:hAnsi="Bookman Old Style" w:cs="Times New Roman"/>
          <w:color w:val="000000"/>
          <w:lang w:eastAsia="en-GB"/>
        </w:rPr>
        <w:t xml:space="preserve">il termine troppo ravvicinato per le richieste </w:t>
      </w:r>
      <w:r w:rsidR="00F35E4B" w:rsidRPr="00885501">
        <w:rPr>
          <w:rFonts w:ascii="Bookman Old Style" w:eastAsia="Times New Roman" w:hAnsi="Bookman Old Style" w:cs="Times New Roman"/>
          <w:color w:val="000000"/>
          <w:lang w:eastAsia="en-GB"/>
        </w:rPr>
        <w:t xml:space="preserve">di contributo </w:t>
      </w:r>
      <w:r w:rsidR="005A3A01" w:rsidRPr="00885501">
        <w:rPr>
          <w:rFonts w:ascii="Bookman Old Style" w:eastAsia="Times New Roman" w:hAnsi="Bookman Old Style" w:cs="Times New Roman"/>
          <w:color w:val="000000"/>
          <w:lang w:eastAsia="en-GB"/>
        </w:rPr>
        <w:t xml:space="preserve">relative al 2019 (20 settembre 2018) e pertanto </w:t>
      </w:r>
      <w:r w:rsidR="00F35E4B" w:rsidRPr="00885501">
        <w:rPr>
          <w:rFonts w:ascii="Bookman Old Style" w:eastAsia="Times New Roman" w:hAnsi="Bookman Old Style" w:cs="Times New Roman"/>
          <w:color w:val="000000"/>
          <w:lang w:eastAsia="en-GB"/>
        </w:rPr>
        <w:t xml:space="preserve">anche per il 2019 </w:t>
      </w:r>
      <w:r w:rsidR="005A3A01" w:rsidRPr="00885501">
        <w:rPr>
          <w:rFonts w:ascii="Bookman Old Style" w:eastAsia="Times New Roman" w:hAnsi="Bookman Old Style" w:cs="Times New Roman"/>
          <w:color w:val="000000"/>
          <w:lang w:eastAsia="en-GB"/>
        </w:rPr>
        <w:t xml:space="preserve">si </w:t>
      </w:r>
      <w:r w:rsidR="00F35E4B" w:rsidRPr="00885501">
        <w:rPr>
          <w:rFonts w:ascii="Bookman Old Style" w:eastAsia="Times New Roman" w:hAnsi="Bookman Old Style" w:cs="Times New Roman"/>
          <w:color w:val="000000"/>
          <w:lang w:eastAsia="en-GB"/>
        </w:rPr>
        <w:t xml:space="preserve">applicano </w:t>
      </w:r>
      <w:r w:rsidR="005A3A01" w:rsidRPr="00885501">
        <w:rPr>
          <w:rFonts w:ascii="Bookman Old Style" w:eastAsia="Times New Roman" w:hAnsi="Bookman Old Style" w:cs="Times New Roman"/>
          <w:color w:val="000000"/>
          <w:lang w:eastAsia="en-GB"/>
        </w:rPr>
        <w:t xml:space="preserve">i criteri che si sono rivelati deboli e troppo strettamente orientati al finanziamento degli enti in più grave disavanzo. </w:t>
      </w:r>
      <w:r w:rsidRPr="00885501">
        <w:rPr>
          <w:rFonts w:ascii="Bookman Old Style" w:eastAsia="Times New Roman" w:hAnsi="Bookman Old Style" w:cs="Times New Roman"/>
          <w:color w:val="000000"/>
          <w:lang w:eastAsia="en-GB"/>
        </w:rPr>
        <w:t xml:space="preserve">Si può tuttavia ancora </w:t>
      </w:r>
      <w:r w:rsidR="00503219" w:rsidRPr="003409FF">
        <w:rPr>
          <w:rFonts w:ascii="Bookman Old Style" w:eastAsia="Times New Roman" w:hAnsi="Bookman Old Style" w:cs="Times New Roman"/>
          <w:color w:val="000000"/>
          <w:lang w:eastAsia="en-GB"/>
        </w:rPr>
        <w:t xml:space="preserve">porre </w:t>
      </w:r>
      <w:r w:rsidRPr="00885501">
        <w:rPr>
          <w:rFonts w:ascii="Bookman Old Style" w:eastAsia="Times New Roman" w:hAnsi="Bookman Old Style" w:cs="Times New Roman"/>
          <w:color w:val="000000"/>
          <w:lang w:eastAsia="en-GB"/>
        </w:rPr>
        <w:t>rimedio</w:t>
      </w:r>
      <w:r w:rsidR="00F35E4B" w:rsidRPr="00885501">
        <w:rPr>
          <w:rFonts w:ascii="Bookman Old Style" w:eastAsia="Times New Roman" w:hAnsi="Bookman Old Style" w:cs="Times New Roman"/>
          <w:color w:val="000000"/>
          <w:lang w:eastAsia="en-GB"/>
        </w:rPr>
        <w:t>, considerando la proposta di</w:t>
      </w:r>
      <w:r w:rsidR="005A3A01" w:rsidRPr="00885501">
        <w:rPr>
          <w:rFonts w:ascii="Bookman Old Style" w:hAnsi="Bookman Old Style"/>
          <w:color w:val="000000"/>
        </w:rPr>
        <w:t xml:space="preserve"> un ulteriore finanziamento della graduatoria </w:t>
      </w:r>
      <w:r w:rsidR="00F35E4B" w:rsidRPr="00885501">
        <w:rPr>
          <w:rFonts w:ascii="Bookman Old Style" w:hAnsi="Bookman Old Style"/>
          <w:color w:val="000000"/>
        </w:rPr>
        <w:t>in corso di formazione (modifiche agli artt. 16, 61 e 64)</w:t>
      </w:r>
      <w:r w:rsidR="005A3A01" w:rsidRPr="00885501">
        <w:rPr>
          <w:rFonts w:ascii="Bookman Old Style" w:hAnsi="Bookman Old Style"/>
          <w:color w:val="000000"/>
        </w:rPr>
        <w:t>,</w:t>
      </w:r>
      <w:r w:rsidR="00F35E4B" w:rsidRPr="00885501">
        <w:rPr>
          <w:rFonts w:ascii="Bookman Old Style" w:hAnsi="Bookman Old Style"/>
          <w:color w:val="000000"/>
        </w:rPr>
        <w:t xml:space="preserve"> attraverso l’utilizzo delle quote residue del Fondo investimenti territoriali,</w:t>
      </w:r>
      <w:r w:rsidR="005A3A01" w:rsidRPr="00885501">
        <w:rPr>
          <w:rFonts w:ascii="Bookman Old Style" w:hAnsi="Bookman Old Style"/>
          <w:color w:val="000000"/>
        </w:rPr>
        <w:t xml:space="preserve"> così da realizzare una più ampia diffusione del sostegno, fino a coprire le esigenze di enti con equilibri – positivi o negativi – di entità limitata, tale da non consentire comunque un autofinanziamento delle opere.</w:t>
      </w:r>
    </w:p>
    <w:p w:rsidR="005A3A01" w:rsidRPr="00F848B3" w:rsidRDefault="005A3A01" w:rsidP="00F848B3">
      <w:pPr>
        <w:spacing w:after="120"/>
        <w:jc w:val="both"/>
        <w:rPr>
          <w:rFonts w:ascii="Bookman Old Style" w:hAnsi="Bookman Old Style"/>
          <w:b/>
          <w:color w:val="000000"/>
        </w:rPr>
      </w:pPr>
    </w:p>
    <w:p w:rsidR="005A3A01" w:rsidRPr="00F848B3" w:rsidRDefault="005A3A01" w:rsidP="00F848B3">
      <w:pPr>
        <w:shd w:val="clear" w:color="auto" w:fill="FFFFFF"/>
        <w:spacing w:after="120"/>
        <w:jc w:val="both"/>
        <w:rPr>
          <w:rFonts w:ascii="Bookman Old Style" w:hAnsi="Bookman Old Style"/>
        </w:rPr>
      </w:pPr>
      <w:r w:rsidRPr="00F848B3">
        <w:rPr>
          <w:rFonts w:ascii="Bookman Old Style" w:hAnsi="Bookman Old Style"/>
          <w:b/>
        </w:rPr>
        <w:t>I segnali di ripresa della spesa locale destinata agli investimenti</w:t>
      </w:r>
      <w:r w:rsidRPr="00F848B3">
        <w:rPr>
          <w:rFonts w:ascii="Bookman Old Style" w:hAnsi="Bookman Old Style"/>
        </w:rPr>
        <w:t xml:space="preserve"> non vanno sottovalutati, ma sono ancora deboli. Effetti ovviamente positivi deriveranno certamente dalla libertà di disporre degli avanzi generati da ciascuna amministrazione locale</w:t>
      </w:r>
      <w:r w:rsidR="00F35E4B">
        <w:rPr>
          <w:rFonts w:ascii="Bookman Old Style" w:hAnsi="Bookman Old Style"/>
        </w:rPr>
        <w:t>,</w:t>
      </w:r>
      <w:r w:rsidR="0004296B" w:rsidRPr="00F848B3">
        <w:rPr>
          <w:rFonts w:ascii="Bookman Old Style" w:hAnsi="Bookman Old Style"/>
        </w:rPr>
        <w:t xml:space="preserve"> nonché delle ris</w:t>
      </w:r>
      <w:r w:rsidR="00294946">
        <w:rPr>
          <w:rFonts w:ascii="Bookman Old Style" w:hAnsi="Bookman Old Style"/>
        </w:rPr>
        <w:t>o</w:t>
      </w:r>
      <w:r w:rsidR="0004296B" w:rsidRPr="00F848B3">
        <w:rPr>
          <w:rFonts w:ascii="Bookman Old Style" w:hAnsi="Bookman Old Style"/>
        </w:rPr>
        <w:t>rse acquisite mediante contrazione di debito.</w:t>
      </w:r>
    </w:p>
    <w:p w:rsidR="0004296B" w:rsidRPr="00F848B3" w:rsidRDefault="005A3A01" w:rsidP="00F848B3">
      <w:pPr>
        <w:shd w:val="clear" w:color="auto" w:fill="FFFFFF"/>
        <w:spacing w:after="120"/>
        <w:jc w:val="both"/>
        <w:rPr>
          <w:rFonts w:ascii="Bookman Old Style" w:hAnsi="Bookman Old Style"/>
        </w:rPr>
      </w:pPr>
      <w:r w:rsidRPr="00F848B3">
        <w:rPr>
          <w:rFonts w:ascii="Bookman Old Style" w:hAnsi="Bookman Old Style"/>
        </w:rPr>
        <w:t>Le difficoltà nell’utilizzo dei fondi propri o derivati da assegnazioni statali, regionali ed europee ha</w:t>
      </w:r>
      <w:r w:rsidR="00294946">
        <w:rPr>
          <w:rFonts w:ascii="Bookman Old Style" w:hAnsi="Bookman Old Style"/>
        </w:rPr>
        <w:t>nno</w:t>
      </w:r>
      <w:r w:rsidRPr="00F848B3">
        <w:rPr>
          <w:rFonts w:ascii="Bookman Old Style" w:hAnsi="Bookman Old Style"/>
        </w:rPr>
        <w:t xml:space="preserve"> tuttavia radici più ramificate, di carattere procedurale ed organizzativo. Va certamente nella giusta direzione l’interesse rivolto al rafforzamento della </w:t>
      </w:r>
      <w:r w:rsidRPr="00F848B3">
        <w:rPr>
          <w:rFonts w:ascii="Bookman Old Style" w:hAnsi="Bookman Old Style"/>
          <w:b/>
        </w:rPr>
        <w:t>capacità di progettazione</w:t>
      </w:r>
      <w:r w:rsidRPr="00F848B3">
        <w:rPr>
          <w:rFonts w:ascii="Bookman Old Style" w:hAnsi="Bookman Old Style"/>
        </w:rPr>
        <w:t xml:space="preserve"> degli enti locali, che potrebbe essere ulteriormente sostenuta attraverso l</w:t>
      </w:r>
      <w:r w:rsidR="00503219">
        <w:rPr>
          <w:rFonts w:ascii="Bookman Old Style" w:hAnsi="Bookman Old Style"/>
        </w:rPr>
        <w:t xml:space="preserve">’articolazione dell’intervento </w:t>
      </w:r>
      <w:r w:rsidR="001D0726">
        <w:rPr>
          <w:rFonts w:ascii="Bookman Old Style" w:hAnsi="Bookman Old Style"/>
        </w:rPr>
        <w:t>sui territori e con il concorso dell’ANCI,</w:t>
      </w:r>
      <w:r w:rsidRPr="00F848B3">
        <w:rPr>
          <w:rFonts w:ascii="Bookman Old Style" w:hAnsi="Bookman Old Style"/>
        </w:rPr>
        <w:t xml:space="preserve"> in grado di </w:t>
      </w:r>
      <w:r w:rsidR="001D0726">
        <w:rPr>
          <w:rFonts w:ascii="Bookman Old Style" w:hAnsi="Bookman Old Style"/>
        </w:rPr>
        <w:t xml:space="preserve">ricostituire un più ampio portafoglio progetti per le opere pubbliche comunali e </w:t>
      </w:r>
      <w:r w:rsidRPr="00F848B3">
        <w:rPr>
          <w:rFonts w:ascii="Bookman Old Style" w:hAnsi="Bookman Old Style"/>
        </w:rPr>
        <w:t xml:space="preserve">promuovere </w:t>
      </w:r>
      <w:r w:rsidR="001D0726">
        <w:rPr>
          <w:rFonts w:ascii="Bookman Old Style" w:hAnsi="Bookman Old Style"/>
        </w:rPr>
        <w:t xml:space="preserve">anche per questa via </w:t>
      </w:r>
      <w:r w:rsidRPr="00F848B3">
        <w:rPr>
          <w:rFonts w:ascii="Bookman Old Style" w:hAnsi="Bookman Old Style"/>
        </w:rPr>
        <w:t>il pieno utilizzo delle risorse</w:t>
      </w:r>
      <w:r w:rsidR="001D0726">
        <w:rPr>
          <w:rFonts w:ascii="Bookman Old Style" w:hAnsi="Bookman Old Style"/>
        </w:rPr>
        <w:t xml:space="preserve"> disponibili</w:t>
      </w:r>
      <w:r w:rsidR="0004296B" w:rsidRPr="00F848B3">
        <w:rPr>
          <w:rFonts w:ascii="Bookman Old Style" w:hAnsi="Bookman Old Style"/>
        </w:rPr>
        <w:t>.</w:t>
      </w:r>
    </w:p>
    <w:p w:rsidR="005A3A01" w:rsidRPr="00F848B3" w:rsidRDefault="00867D60" w:rsidP="00F848B3">
      <w:pPr>
        <w:shd w:val="clear" w:color="auto" w:fill="FFFFFF"/>
        <w:spacing w:after="120"/>
        <w:jc w:val="both"/>
        <w:rPr>
          <w:rFonts w:ascii="Bookman Old Style" w:hAnsi="Bookman Old Style"/>
          <w:b/>
        </w:rPr>
      </w:pPr>
      <w:r w:rsidRPr="00F848B3">
        <w:rPr>
          <w:rFonts w:ascii="Bookman Old Style" w:hAnsi="Bookman Old Style"/>
          <w:b/>
        </w:rPr>
        <w:t xml:space="preserve">ANCI </w:t>
      </w:r>
      <w:r w:rsidR="005A3A01" w:rsidRPr="00F848B3">
        <w:rPr>
          <w:rFonts w:ascii="Bookman Old Style" w:hAnsi="Bookman Old Style"/>
          <w:b/>
        </w:rPr>
        <w:t xml:space="preserve">chiede una particolare attenzione al tema della messa in sicurezza del patrimonio edilizio pubblico, delle infrastrutture viarie e non. Chiediamo risorse congrue, certe e rapide in settori nevralgici, come la messa in sicurezza </w:t>
      </w:r>
      <w:r w:rsidR="0004296B" w:rsidRPr="00F848B3">
        <w:rPr>
          <w:rFonts w:ascii="Bookman Old Style" w:hAnsi="Bookman Old Style"/>
          <w:b/>
        </w:rPr>
        <w:t>di</w:t>
      </w:r>
      <w:r w:rsidR="005A3A01" w:rsidRPr="00F848B3">
        <w:rPr>
          <w:rFonts w:ascii="Bookman Old Style" w:hAnsi="Bookman Old Style"/>
          <w:b/>
        </w:rPr>
        <w:t xml:space="preserve"> scuole</w:t>
      </w:r>
      <w:r w:rsidR="0004296B" w:rsidRPr="00F848B3">
        <w:rPr>
          <w:rFonts w:ascii="Bookman Old Style" w:hAnsi="Bookman Old Style"/>
          <w:b/>
        </w:rPr>
        <w:t>, strade, edifici e territorio.</w:t>
      </w:r>
    </w:p>
    <w:p w:rsidR="005A3A01" w:rsidRPr="00F848B3" w:rsidRDefault="005A3A01" w:rsidP="00F848B3">
      <w:pPr>
        <w:shd w:val="clear" w:color="auto" w:fill="FFFFFF"/>
        <w:spacing w:after="120"/>
        <w:jc w:val="both"/>
        <w:rPr>
          <w:rFonts w:ascii="Bookman Old Style" w:hAnsi="Bookman Old Style"/>
        </w:rPr>
      </w:pPr>
      <w:r w:rsidRPr="00F848B3">
        <w:rPr>
          <w:rFonts w:ascii="Bookman Old Style" w:hAnsi="Bookman Old Style"/>
        </w:rPr>
        <w:t xml:space="preserve">Parallelamente, ribadiamo che i Comuni rappresentano i principali investitori pubblici, capaci di generare immediatamente una funzione anticiclica e sostegno all’economia locale e all’occupazione. Chiediamo di investire sull’Agenda urbana nazionale in ambiti che guardino ad uno sviluppo sostenibile delle Città: mobilità, rifiuti, economia circolare </w:t>
      </w:r>
      <w:r w:rsidR="001D0726">
        <w:rPr>
          <w:rFonts w:ascii="Bookman Old Style" w:hAnsi="Bookman Old Style"/>
        </w:rPr>
        <w:t xml:space="preserve">sono </w:t>
      </w:r>
      <w:r w:rsidRPr="00F848B3">
        <w:rPr>
          <w:rFonts w:ascii="Bookman Old Style" w:hAnsi="Bookman Old Style"/>
        </w:rPr>
        <w:t xml:space="preserve">ambiti </w:t>
      </w:r>
      <w:r w:rsidR="001D0726">
        <w:rPr>
          <w:rFonts w:ascii="Bookman Old Style" w:hAnsi="Bookman Old Style"/>
        </w:rPr>
        <w:t>che necessitano di robusti</w:t>
      </w:r>
      <w:r w:rsidRPr="00F848B3">
        <w:rPr>
          <w:rFonts w:ascii="Bookman Old Style" w:hAnsi="Bookman Old Style"/>
        </w:rPr>
        <w:t xml:space="preserve"> programmi di investimento</w:t>
      </w:r>
      <w:r w:rsidR="001D0726">
        <w:rPr>
          <w:rFonts w:ascii="Bookman Old Style" w:hAnsi="Bookman Old Style"/>
        </w:rPr>
        <w:t>, a medio e lungo termine</w:t>
      </w:r>
      <w:r w:rsidRPr="00F848B3">
        <w:rPr>
          <w:rFonts w:ascii="Bookman Old Style" w:hAnsi="Bookman Old Style"/>
        </w:rPr>
        <w:t>.</w:t>
      </w:r>
    </w:p>
    <w:p w:rsidR="001D0726" w:rsidRPr="00F848B3" w:rsidRDefault="005A3A01" w:rsidP="001D0726">
      <w:pPr>
        <w:shd w:val="clear" w:color="auto" w:fill="FFFFFF"/>
        <w:spacing w:after="120"/>
        <w:jc w:val="both"/>
        <w:rPr>
          <w:rFonts w:ascii="Bookman Old Style" w:eastAsia="Times New Roman" w:hAnsi="Bookman Old Style" w:cs="Arial"/>
          <w:color w:val="222222"/>
          <w:lang w:eastAsia="it-IT"/>
        </w:rPr>
      </w:pPr>
      <w:r w:rsidRPr="00F848B3">
        <w:rPr>
          <w:rFonts w:ascii="Bookman Old Style" w:hAnsi="Bookman Old Style"/>
        </w:rPr>
        <w:t xml:space="preserve">Appare inoltre rilevante la riflessione che si sta aprendo sugli </w:t>
      </w:r>
      <w:r w:rsidRPr="00F848B3">
        <w:rPr>
          <w:rFonts w:ascii="Bookman Old Style" w:hAnsi="Bookman Old Style"/>
          <w:b/>
        </w:rPr>
        <w:t>effetti indesiderati del nuovo Codice degli appalti,</w:t>
      </w:r>
      <w:r w:rsidRPr="00F848B3">
        <w:rPr>
          <w:rFonts w:ascii="Bookman Old Style" w:hAnsi="Bookman Old Style"/>
        </w:rPr>
        <w:t xml:space="preserve"> sul quale si dovrà ulteriormente intervenire nel senso di una maggiore flessibilità delle nuove procedure, dello snellimento dei provvedimenti attuativi, di cui molti ancora non emanati, di </w:t>
      </w:r>
      <w:r w:rsidRPr="00F848B3">
        <w:rPr>
          <w:rFonts w:ascii="Bookman Old Style" w:eastAsia="Times New Roman" w:hAnsi="Bookman Old Style" w:cs="Arial"/>
          <w:color w:val="222222"/>
          <w:lang w:eastAsia="it-IT"/>
        </w:rPr>
        <w:t>specifiche previsioni per semplificare l’azione dei piccoli Comuni e per ridimensionare la portata frenante dei contenziosi</w:t>
      </w:r>
      <w:r w:rsidR="001D0726">
        <w:rPr>
          <w:rFonts w:ascii="Bookman Old Style" w:eastAsia="Times New Roman" w:hAnsi="Bookman Old Style" w:cs="Arial"/>
          <w:color w:val="222222"/>
          <w:lang w:eastAsia="it-IT"/>
        </w:rPr>
        <w:t xml:space="preserve">. Tra le misure da considerare </w:t>
      </w:r>
      <w:r w:rsidR="001D0726">
        <w:rPr>
          <w:rFonts w:ascii="Bookman Old Style" w:hAnsi="Bookman Old Style"/>
        </w:rPr>
        <w:t>figurano</w:t>
      </w:r>
      <w:r w:rsidR="00E351AF" w:rsidRPr="00867D60">
        <w:rPr>
          <w:rFonts w:ascii="Bookman Old Style" w:hAnsi="Bookman Old Style"/>
        </w:rPr>
        <w:t>,</w:t>
      </w:r>
      <w:r w:rsidR="001D0726">
        <w:rPr>
          <w:rFonts w:ascii="Bookman Old Style" w:hAnsi="Bookman Old Style"/>
        </w:rPr>
        <w:t xml:space="preserve"> ad avviso dell’ANCI</w:t>
      </w:r>
      <w:r w:rsidR="00E351AF" w:rsidRPr="00867D60">
        <w:rPr>
          <w:rFonts w:ascii="Bookman Old Style" w:hAnsi="Bookman Old Style"/>
        </w:rPr>
        <w:t>,</w:t>
      </w:r>
      <w:r w:rsidR="001D0726">
        <w:rPr>
          <w:rFonts w:ascii="Bookman Old Style" w:hAnsi="Bookman Old Style"/>
        </w:rPr>
        <w:t xml:space="preserve"> l’</w:t>
      </w:r>
      <w:r w:rsidR="001D0726" w:rsidRPr="00F848B3">
        <w:rPr>
          <w:rFonts w:ascii="Bookman Old Style" w:hAnsi="Bookman Old Style"/>
        </w:rPr>
        <w:t>aumento della soglia per l’obbligo di gara</w:t>
      </w:r>
      <w:r w:rsidR="001D0726">
        <w:rPr>
          <w:rFonts w:ascii="Bookman Old Style" w:hAnsi="Bookman Old Style"/>
        </w:rPr>
        <w:t xml:space="preserve"> e il</w:t>
      </w:r>
      <w:r w:rsidR="001D0726" w:rsidRPr="00F848B3">
        <w:rPr>
          <w:rFonts w:ascii="Bookman Old Style" w:hAnsi="Bookman Old Style"/>
        </w:rPr>
        <w:t xml:space="preserve"> ripristino per le opere intermedie di una nuova forma di appalto integrato per assicurare il corretto e autonomo sviluppo della progettazione definitiva e permettere l’affidamento dei lavori insieme alla progettazione esecutiva.</w:t>
      </w:r>
    </w:p>
    <w:p w:rsidR="001D0726" w:rsidRDefault="005A3A01" w:rsidP="004F5937">
      <w:pPr>
        <w:shd w:val="clear" w:color="auto" w:fill="FFFFFF"/>
        <w:spacing w:after="120"/>
        <w:jc w:val="both"/>
        <w:rPr>
          <w:rFonts w:ascii="Bookman Old Style" w:hAnsi="Bookman Old Style"/>
          <w:color w:val="222222"/>
        </w:rPr>
      </w:pPr>
      <w:r w:rsidRPr="00F848B3">
        <w:rPr>
          <w:rFonts w:ascii="Bookman Old Style" w:hAnsi="Bookman Old Style"/>
          <w:color w:val="222222"/>
        </w:rPr>
        <w:t>Va infine valutata la funzionalità dell’attuale disegno</w:t>
      </w:r>
      <w:r w:rsidR="001D0726">
        <w:rPr>
          <w:rFonts w:ascii="Bookman Old Style" w:hAnsi="Bookman Old Style"/>
          <w:color w:val="222222"/>
        </w:rPr>
        <w:t xml:space="preserve"> di aggregazione/qualificazione della domanda. Le </w:t>
      </w:r>
      <w:r w:rsidRPr="00F848B3">
        <w:rPr>
          <w:rFonts w:ascii="Bookman Old Style" w:hAnsi="Bookman Old Style"/>
          <w:color w:val="222222"/>
        </w:rPr>
        <w:t>Centrali uniche di committenza</w:t>
      </w:r>
      <w:r w:rsidR="001D0726">
        <w:rPr>
          <w:rFonts w:ascii="Bookman Old Style" w:hAnsi="Bookman Old Style"/>
          <w:color w:val="222222"/>
        </w:rPr>
        <w:t xml:space="preserve"> erano pensate </w:t>
      </w:r>
      <w:r w:rsidR="00821797" w:rsidRPr="00BE3EA4">
        <w:rPr>
          <w:rFonts w:ascii="Bookman Old Style" w:hAnsi="Bookman Old Style"/>
          <w:color w:val="222222"/>
        </w:rPr>
        <w:t>per</w:t>
      </w:r>
      <w:r w:rsidRPr="00F848B3">
        <w:rPr>
          <w:rFonts w:ascii="Bookman Old Style" w:hAnsi="Bookman Old Style"/>
          <w:color w:val="222222"/>
        </w:rPr>
        <w:t xml:space="preserve"> rispondere in modo qualificato e tempestivo alle esigenze di una vasta e differenziata numerosità di enti locali</w:t>
      </w:r>
      <w:r w:rsidR="001D0726">
        <w:rPr>
          <w:rFonts w:ascii="Bookman Old Style" w:hAnsi="Bookman Old Style"/>
          <w:color w:val="222222"/>
        </w:rPr>
        <w:t>, ma tale disegno è ben lontano dal</w:t>
      </w:r>
      <w:r w:rsidRPr="00F848B3">
        <w:rPr>
          <w:rFonts w:ascii="Bookman Old Style" w:hAnsi="Bookman Old Style"/>
          <w:color w:val="222222"/>
        </w:rPr>
        <w:t>l’obiettivo.</w:t>
      </w:r>
      <w:r w:rsidR="001D0726">
        <w:rPr>
          <w:rFonts w:ascii="Bookman Old Style" w:hAnsi="Bookman Old Style"/>
          <w:color w:val="222222"/>
        </w:rPr>
        <w:t xml:space="preserve"> C’è anzi il rischio che ulteriori e non meditati interventi </w:t>
      </w:r>
      <w:r w:rsidR="004F5937">
        <w:rPr>
          <w:rFonts w:ascii="Bookman Old Style" w:hAnsi="Bookman Old Style"/>
          <w:color w:val="222222"/>
        </w:rPr>
        <w:t>aggravino la situazione e impongano ulteriori freni al dispiegamento delle capacità di spesa degli enti</w:t>
      </w:r>
      <w:r w:rsidR="00821797" w:rsidRPr="00867D60">
        <w:rPr>
          <w:rFonts w:ascii="Bookman Old Style" w:hAnsi="Bookman Old Style"/>
          <w:color w:val="222222"/>
        </w:rPr>
        <w:t>,</w:t>
      </w:r>
      <w:r w:rsidR="004F5937">
        <w:rPr>
          <w:rFonts w:ascii="Bookman Old Style" w:hAnsi="Bookman Old Style"/>
          <w:color w:val="222222"/>
        </w:rPr>
        <w:t xml:space="preserve"> in particolare i medi e i piccoli Comuni, che sono per ora il settore più dinamico anche sul fronte della ripresa degli investimenti. </w:t>
      </w:r>
      <w:r w:rsidR="004F5937" w:rsidRPr="00867D60">
        <w:rPr>
          <w:rFonts w:ascii="Bookman Old Style" w:hAnsi="Bookman Old Style"/>
          <w:b/>
          <w:color w:val="222222"/>
        </w:rPr>
        <w:t>L’ar</w:t>
      </w:r>
      <w:r w:rsidR="00821797" w:rsidRPr="00867D60">
        <w:rPr>
          <w:rFonts w:ascii="Bookman Old Style" w:hAnsi="Bookman Old Style"/>
          <w:b/>
          <w:color w:val="222222"/>
        </w:rPr>
        <w:t>t</w:t>
      </w:r>
      <w:r w:rsidR="004F5937" w:rsidRPr="00867D60">
        <w:rPr>
          <w:rFonts w:ascii="Bookman Old Style" w:hAnsi="Bookman Old Style"/>
          <w:b/>
          <w:color w:val="222222"/>
        </w:rPr>
        <w:t>icolo</w:t>
      </w:r>
      <w:r w:rsidR="004F5937" w:rsidRPr="00885501">
        <w:rPr>
          <w:rFonts w:ascii="Bookman Old Style" w:hAnsi="Bookman Old Style"/>
          <w:b/>
          <w:color w:val="222222"/>
        </w:rPr>
        <w:t xml:space="preserve"> 16 del ddl Bilancio deve quindi essere modificato</w:t>
      </w:r>
      <w:r w:rsidR="004F5937">
        <w:rPr>
          <w:rFonts w:ascii="Bookman Old Style" w:hAnsi="Bookman Old Style"/>
          <w:color w:val="222222"/>
        </w:rPr>
        <w:t>, perché nell’attuale formulazione impone un obbligatorio passaggio per le centrali provinciali che in troppi casi non sono pronte per un impegno così gravoso, che prescinderebbe dagli indispensabili interventi di dotazione organica e ristrutturazione organizzativa.</w:t>
      </w:r>
    </w:p>
    <w:p w:rsidR="004F5937" w:rsidRPr="00F848B3" w:rsidRDefault="004F5937" w:rsidP="004F5937">
      <w:pPr>
        <w:shd w:val="clear" w:color="auto" w:fill="FFFFFF"/>
        <w:spacing w:after="120"/>
        <w:jc w:val="both"/>
        <w:rPr>
          <w:rFonts w:ascii="Bookman Old Style" w:eastAsia="Times New Roman" w:hAnsi="Bookman Old Style" w:cs="Arial"/>
          <w:color w:val="222222"/>
          <w:lang w:eastAsia="it-IT"/>
        </w:rPr>
      </w:pPr>
      <w:r w:rsidRPr="00C0124E">
        <w:rPr>
          <w:rFonts w:ascii="Bookman Old Style" w:hAnsi="Bookman Old Style"/>
          <w:color w:val="222222"/>
        </w:rPr>
        <w:t xml:space="preserve">La centralizzazione dei processi di spesa non può funzionare senza obblighi specifici in capo ai soggetti preposti e senza l’allestimento di apposite “vie di fuga” in caso di incapacità/impossibilità delle centrali di operare con tempi e standard qualitativi soddisfacenti. </w:t>
      </w:r>
      <w:r w:rsidRPr="00C0124E">
        <w:rPr>
          <w:rFonts w:ascii="Bookman Old Style" w:hAnsi="Bookman Old Style"/>
          <w:b/>
          <w:color w:val="222222"/>
        </w:rPr>
        <w:t>L’articolo 16, comma 5, del ddl Bilancio sembra voler abolire le forme “spontanee” di aggregazione intercomunale che stanno funzionando e che oggi costituiscono in molti territori l’unica possibilità di rispettare la legge senza bloccare i processi di spesa.</w:t>
      </w:r>
    </w:p>
    <w:p w:rsidR="005A3A01" w:rsidRPr="00F848B3" w:rsidRDefault="005A3A01" w:rsidP="00F848B3">
      <w:pPr>
        <w:shd w:val="clear" w:color="auto" w:fill="FFFFFF"/>
        <w:spacing w:after="120"/>
        <w:jc w:val="both"/>
        <w:rPr>
          <w:rFonts w:ascii="Bookman Old Style" w:eastAsia="Times New Roman" w:hAnsi="Bookman Old Style" w:cs="Arial"/>
          <w:color w:val="222222"/>
          <w:lang w:eastAsia="it-IT"/>
        </w:rPr>
      </w:pPr>
    </w:p>
    <w:p w:rsidR="005A3A01" w:rsidRPr="00F848B3" w:rsidRDefault="005A3A01" w:rsidP="00F848B3">
      <w:pPr>
        <w:pStyle w:val="Titolo1"/>
        <w:spacing w:before="0" w:after="120"/>
        <w:rPr>
          <w:rFonts w:ascii="Bookman Old Style" w:eastAsia="Times New Roman" w:hAnsi="Bookman Old Style"/>
          <w:lang w:eastAsia="it-IT"/>
        </w:rPr>
      </w:pPr>
      <w:bookmarkStart w:id="14" w:name="_Toc524978905"/>
      <w:bookmarkStart w:id="15" w:name="_Toc529685000"/>
      <w:r w:rsidRPr="00F848B3">
        <w:rPr>
          <w:rFonts w:ascii="Bookman Old Style" w:eastAsia="Times New Roman" w:hAnsi="Bookman Old Style"/>
          <w:lang w:eastAsia="it-IT"/>
        </w:rPr>
        <w:t>Intervenire con urgenza sul debito comunale</w:t>
      </w:r>
      <w:bookmarkEnd w:id="14"/>
      <w:bookmarkEnd w:id="15"/>
    </w:p>
    <w:p w:rsidR="008E4070" w:rsidRPr="00F848B3" w:rsidRDefault="008E4070" w:rsidP="00F848B3">
      <w:pPr>
        <w:tabs>
          <w:tab w:val="num" w:pos="0"/>
        </w:tabs>
        <w:spacing w:after="120"/>
        <w:jc w:val="both"/>
        <w:rPr>
          <w:rFonts w:ascii="Bookman Old Style" w:eastAsia="Times New Roman" w:hAnsi="Bookman Old Style" w:cs="Arial"/>
          <w:iCs/>
          <w:color w:val="222222"/>
          <w:lang w:eastAsia="it-IT"/>
        </w:rPr>
      </w:pPr>
      <w:r w:rsidRPr="00F848B3">
        <w:rPr>
          <w:rFonts w:ascii="Bookman Old Style" w:eastAsia="Times New Roman" w:hAnsi="Bookman Old Style" w:cs="Arial"/>
          <w:iCs/>
          <w:color w:val="222222"/>
          <w:lang w:eastAsia="it-IT"/>
        </w:rPr>
        <w:t>In tema di riduzione del peso del debito comunale, la manovra 2019</w:t>
      </w:r>
      <w:r w:rsidR="00F848B3" w:rsidRPr="00F848B3">
        <w:rPr>
          <w:rFonts w:ascii="Bookman Old Style" w:eastAsia="Times New Roman" w:hAnsi="Bookman Old Style" w:cs="Arial"/>
          <w:iCs/>
          <w:color w:val="222222"/>
          <w:lang w:eastAsia="it-IT"/>
        </w:rPr>
        <w:t xml:space="preserve"> contiene una richiesta da tempo formulata dall’ANCI, ovvero di poter</w:t>
      </w:r>
      <w:r w:rsidRPr="00F848B3">
        <w:rPr>
          <w:rFonts w:ascii="Bookman Old Style" w:eastAsia="Times New Roman" w:hAnsi="Bookman Old Style" w:cs="Arial"/>
          <w:iCs/>
          <w:color w:val="222222"/>
          <w:lang w:eastAsia="it-IT"/>
        </w:rPr>
        <w:t xml:space="preserve"> rinegozia</w:t>
      </w:r>
      <w:r w:rsidR="00F848B3" w:rsidRPr="00F848B3">
        <w:rPr>
          <w:rFonts w:ascii="Bookman Old Style" w:eastAsia="Times New Roman" w:hAnsi="Bookman Old Style" w:cs="Arial"/>
          <w:iCs/>
          <w:color w:val="222222"/>
          <w:lang w:eastAsia="it-IT"/>
        </w:rPr>
        <w:t xml:space="preserve">re </w:t>
      </w:r>
      <w:r w:rsidRPr="00F848B3">
        <w:rPr>
          <w:rFonts w:ascii="Bookman Old Style" w:eastAsia="Times New Roman" w:hAnsi="Bookman Old Style" w:cs="Arial"/>
          <w:iCs/>
          <w:color w:val="222222"/>
          <w:lang w:eastAsia="it-IT"/>
        </w:rPr>
        <w:t xml:space="preserve">i mutui rimasti </w:t>
      </w:r>
      <w:r w:rsidR="00F848B3" w:rsidRPr="00F848B3">
        <w:rPr>
          <w:rFonts w:ascii="Bookman Old Style" w:eastAsia="Times New Roman" w:hAnsi="Bookman Old Style" w:cs="Arial"/>
          <w:iCs/>
          <w:color w:val="222222"/>
          <w:lang w:eastAsia="it-IT"/>
        </w:rPr>
        <w:t>nella titolarità del</w:t>
      </w:r>
      <w:r w:rsidRPr="00F848B3">
        <w:rPr>
          <w:rFonts w:ascii="Bookman Old Style" w:eastAsia="Times New Roman" w:hAnsi="Bookman Old Style" w:cs="Arial"/>
          <w:iCs/>
          <w:color w:val="222222"/>
          <w:lang w:eastAsia="it-IT"/>
        </w:rPr>
        <w:t xml:space="preserve"> M</w:t>
      </w:r>
      <w:r w:rsidR="00F848B3" w:rsidRPr="00F848B3">
        <w:rPr>
          <w:rFonts w:ascii="Bookman Old Style" w:eastAsia="Times New Roman" w:hAnsi="Bookman Old Style" w:cs="Arial"/>
          <w:iCs/>
          <w:color w:val="222222"/>
          <w:lang w:eastAsia="it-IT"/>
        </w:rPr>
        <w:t>inistero d</w:t>
      </w:r>
      <w:r w:rsidR="00F848B3">
        <w:rPr>
          <w:rFonts w:ascii="Bookman Old Style" w:eastAsia="Times New Roman" w:hAnsi="Bookman Old Style" w:cs="Arial"/>
          <w:iCs/>
          <w:color w:val="222222"/>
          <w:lang w:eastAsia="it-IT"/>
        </w:rPr>
        <w:t>e</w:t>
      </w:r>
      <w:r w:rsidR="00F848B3" w:rsidRPr="00F848B3">
        <w:rPr>
          <w:rFonts w:ascii="Bookman Old Style" w:eastAsia="Times New Roman" w:hAnsi="Bookman Old Style" w:cs="Arial"/>
          <w:iCs/>
          <w:color w:val="222222"/>
          <w:lang w:eastAsia="it-IT"/>
        </w:rPr>
        <w:t xml:space="preserve">ll’economia e delle finanze </w:t>
      </w:r>
      <w:r w:rsidRPr="00F848B3">
        <w:rPr>
          <w:rFonts w:ascii="Bookman Old Style" w:eastAsia="Times New Roman" w:hAnsi="Bookman Old Style" w:cs="Arial"/>
          <w:iCs/>
          <w:color w:val="222222"/>
          <w:lang w:eastAsia="it-IT"/>
        </w:rPr>
        <w:t>ma gestiti da C</w:t>
      </w:r>
      <w:r w:rsidR="00F848B3" w:rsidRPr="00F848B3">
        <w:rPr>
          <w:rFonts w:ascii="Bookman Old Style" w:eastAsia="Times New Roman" w:hAnsi="Bookman Old Style" w:cs="Arial"/>
          <w:iCs/>
          <w:color w:val="222222"/>
          <w:lang w:eastAsia="it-IT"/>
        </w:rPr>
        <w:t xml:space="preserve">assa </w:t>
      </w:r>
      <w:r w:rsidRPr="00F848B3">
        <w:rPr>
          <w:rFonts w:ascii="Bookman Old Style" w:eastAsia="Times New Roman" w:hAnsi="Bookman Old Style" w:cs="Arial"/>
          <w:iCs/>
          <w:color w:val="222222"/>
          <w:lang w:eastAsia="it-IT"/>
        </w:rPr>
        <w:t>d</w:t>
      </w:r>
      <w:r w:rsidR="00F848B3" w:rsidRPr="00F848B3">
        <w:rPr>
          <w:rFonts w:ascii="Bookman Old Style" w:eastAsia="Times New Roman" w:hAnsi="Bookman Old Style" w:cs="Arial"/>
          <w:iCs/>
          <w:color w:val="222222"/>
          <w:lang w:eastAsia="it-IT"/>
        </w:rPr>
        <w:t xml:space="preserve">epositi e </w:t>
      </w:r>
      <w:r w:rsidRPr="00F848B3">
        <w:rPr>
          <w:rFonts w:ascii="Bookman Old Style" w:eastAsia="Times New Roman" w:hAnsi="Bookman Old Style" w:cs="Arial"/>
          <w:iCs/>
          <w:color w:val="222222"/>
          <w:lang w:eastAsia="it-IT"/>
        </w:rPr>
        <w:t>p</w:t>
      </w:r>
      <w:r w:rsidR="00F848B3" w:rsidRPr="00F848B3">
        <w:rPr>
          <w:rFonts w:ascii="Bookman Old Style" w:eastAsia="Times New Roman" w:hAnsi="Bookman Old Style" w:cs="Arial"/>
          <w:iCs/>
          <w:color w:val="222222"/>
          <w:lang w:eastAsia="it-IT"/>
        </w:rPr>
        <w:t>restiti.</w:t>
      </w:r>
      <w:r w:rsidR="00F848B3">
        <w:rPr>
          <w:rFonts w:ascii="Bookman Old Style" w:eastAsia="Times New Roman" w:hAnsi="Bookman Old Style" w:cs="Arial"/>
          <w:b/>
          <w:iCs/>
          <w:color w:val="222222"/>
          <w:lang w:eastAsia="it-IT"/>
        </w:rPr>
        <w:t xml:space="preserve"> </w:t>
      </w:r>
      <w:r w:rsidRPr="00F848B3">
        <w:rPr>
          <w:rFonts w:ascii="Bookman Old Style" w:eastAsia="Times New Roman" w:hAnsi="Bookman Old Style" w:cs="Arial"/>
          <w:iCs/>
          <w:color w:val="222222"/>
          <w:lang w:eastAsia="it-IT"/>
        </w:rPr>
        <w:t xml:space="preserve">Si tratta di una minoranza di mutui, circa 2,1 mld. di euro, che coinvolge </w:t>
      </w:r>
      <w:r w:rsidR="00F848B3">
        <w:rPr>
          <w:rFonts w:ascii="Bookman Old Style" w:eastAsia="Times New Roman" w:hAnsi="Bookman Old Style" w:cs="Arial"/>
          <w:iCs/>
          <w:color w:val="222222"/>
          <w:lang w:eastAsia="it-IT"/>
        </w:rPr>
        <w:t xml:space="preserve">però </w:t>
      </w:r>
      <w:r w:rsidRPr="00F848B3">
        <w:rPr>
          <w:rFonts w:ascii="Bookman Old Style" w:eastAsia="Times New Roman" w:hAnsi="Bookman Old Style" w:cs="Arial"/>
          <w:iCs/>
          <w:color w:val="222222"/>
          <w:lang w:eastAsia="it-IT"/>
        </w:rPr>
        <w:t>un ampio numero di enti</w:t>
      </w:r>
      <w:r w:rsidR="00F848B3">
        <w:rPr>
          <w:rFonts w:ascii="Bookman Old Style" w:eastAsia="Times New Roman" w:hAnsi="Bookman Old Style" w:cs="Arial"/>
          <w:iCs/>
          <w:color w:val="222222"/>
          <w:lang w:eastAsia="it-IT"/>
        </w:rPr>
        <w:t>, alcuni dei quali</w:t>
      </w:r>
      <w:r w:rsidRPr="00F848B3">
        <w:rPr>
          <w:rFonts w:ascii="Bookman Old Style" w:eastAsia="Times New Roman" w:hAnsi="Bookman Old Style" w:cs="Arial"/>
          <w:iCs/>
          <w:color w:val="222222"/>
          <w:lang w:eastAsia="it-IT"/>
        </w:rPr>
        <w:t xml:space="preserve"> </w:t>
      </w:r>
      <w:r w:rsidR="00F848B3">
        <w:rPr>
          <w:rFonts w:ascii="Bookman Old Style" w:eastAsia="Times New Roman" w:hAnsi="Bookman Old Style" w:cs="Arial"/>
          <w:iCs/>
          <w:color w:val="222222"/>
          <w:lang w:eastAsia="it-IT"/>
        </w:rPr>
        <w:t>con una elevata</w:t>
      </w:r>
      <w:r w:rsidRPr="00F848B3">
        <w:rPr>
          <w:rFonts w:ascii="Bookman Old Style" w:eastAsia="Times New Roman" w:hAnsi="Bookman Old Style" w:cs="Arial"/>
          <w:iCs/>
          <w:color w:val="222222"/>
          <w:lang w:eastAsia="it-IT"/>
        </w:rPr>
        <w:t xml:space="preserve"> incidenza di questo tipo di mutui</w:t>
      </w:r>
      <w:r w:rsidR="00F848B3">
        <w:rPr>
          <w:rFonts w:ascii="Bookman Old Style" w:eastAsia="Times New Roman" w:hAnsi="Bookman Old Style" w:cs="Arial"/>
          <w:iCs/>
          <w:color w:val="222222"/>
          <w:lang w:eastAsia="it-IT"/>
        </w:rPr>
        <w:t xml:space="preserve"> sui propri bilanci.</w:t>
      </w:r>
    </w:p>
    <w:p w:rsidR="005A3A01" w:rsidRDefault="005A3A01" w:rsidP="009410B2">
      <w:pPr>
        <w:spacing w:after="0"/>
        <w:jc w:val="both"/>
        <w:rPr>
          <w:rFonts w:ascii="Bookman Old Style" w:hAnsi="Bookman Old Style"/>
        </w:rPr>
      </w:pPr>
      <w:r w:rsidRPr="00F848B3">
        <w:rPr>
          <w:rFonts w:ascii="Bookman Old Style" w:hAnsi="Bookman Old Style"/>
          <w:b/>
        </w:rPr>
        <w:t>Il</w:t>
      </w:r>
      <w:r w:rsidRPr="00F848B3">
        <w:rPr>
          <w:rFonts w:ascii="Bookman Old Style" w:hAnsi="Bookman Old Style"/>
        </w:rPr>
        <w:t xml:space="preserve"> </w:t>
      </w:r>
      <w:r w:rsidRPr="00F848B3">
        <w:rPr>
          <w:rFonts w:ascii="Bookman Old Style" w:hAnsi="Bookman Old Style"/>
          <w:b/>
        </w:rPr>
        <w:t xml:space="preserve">peso degli oneri del debito sul complesso delle spese comunali, </w:t>
      </w:r>
      <w:r w:rsidRPr="00F848B3">
        <w:rPr>
          <w:rFonts w:ascii="Bookman Old Style" w:hAnsi="Bookman Old Style"/>
        </w:rPr>
        <w:t xml:space="preserve">nonostante la progressiva riduzione dello </w:t>
      </w:r>
      <w:r w:rsidRPr="00867D60">
        <w:rPr>
          <w:rFonts w:ascii="Bookman Old Style" w:hAnsi="Bookman Old Style"/>
          <w:i/>
        </w:rPr>
        <w:t>stock</w:t>
      </w:r>
      <w:r w:rsidRPr="00F848B3">
        <w:rPr>
          <w:rFonts w:ascii="Bookman Old Style" w:hAnsi="Bookman Old Style"/>
        </w:rPr>
        <w:t xml:space="preserve"> oggi attestato su </w:t>
      </w:r>
      <w:r w:rsidR="00F848B3">
        <w:rPr>
          <w:rFonts w:ascii="Bookman Old Style" w:hAnsi="Bookman Old Style"/>
        </w:rPr>
        <w:t>39,4</w:t>
      </w:r>
      <w:r w:rsidRPr="00F848B3">
        <w:rPr>
          <w:rFonts w:ascii="Bookman Old Style" w:hAnsi="Bookman Old Style"/>
        </w:rPr>
        <w:t xml:space="preserve"> mld. di euro complessivi </w:t>
      </w:r>
      <w:r w:rsidRPr="004F5937">
        <w:rPr>
          <w:rFonts w:ascii="Bookman Old Style" w:hAnsi="Bookman Old Style"/>
        </w:rPr>
        <w:t>(</w:t>
      </w:r>
      <w:r w:rsidR="00F848B3" w:rsidRPr="00885501">
        <w:rPr>
          <w:rFonts w:ascii="Bookman Old Style" w:hAnsi="Bookman Old Style"/>
        </w:rPr>
        <w:t>appena l’1,7</w:t>
      </w:r>
      <w:r w:rsidRPr="00885501">
        <w:rPr>
          <w:rFonts w:ascii="Bookman Old Style" w:hAnsi="Bookman Old Style"/>
        </w:rPr>
        <w:t>% del debito nazionale a fine 201</w:t>
      </w:r>
      <w:r w:rsidR="00F848B3" w:rsidRPr="00885501">
        <w:rPr>
          <w:rFonts w:ascii="Bookman Old Style" w:hAnsi="Bookman Old Style"/>
        </w:rPr>
        <w:t>7</w:t>
      </w:r>
      <w:r w:rsidRPr="004F5937">
        <w:rPr>
          <w:rFonts w:ascii="Bookman Old Style" w:hAnsi="Bookman Old Style"/>
        </w:rPr>
        <w:t>)</w:t>
      </w:r>
      <w:r w:rsidRPr="00F848B3">
        <w:rPr>
          <w:rFonts w:ascii="Bookman Old Style" w:hAnsi="Bookman Old Style"/>
        </w:rPr>
        <w:t>, risulta oggi</w:t>
      </w:r>
      <w:r w:rsidR="004F5937">
        <w:rPr>
          <w:rFonts w:ascii="Bookman Old Style" w:hAnsi="Bookman Old Style"/>
        </w:rPr>
        <w:t xml:space="preserve"> </w:t>
      </w:r>
      <w:r w:rsidRPr="00F848B3">
        <w:rPr>
          <w:rFonts w:ascii="Bookman Old Style" w:hAnsi="Bookman Old Style"/>
        </w:rPr>
        <w:t>più gravoso</w:t>
      </w:r>
      <w:r w:rsidR="004F5937">
        <w:rPr>
          <w:rFonts w:ascii="Bookman Old Style" w:hAnsi="Bookman Old Style"/>
        </w:rPr>
        <w:t>,</w:t>
      </w:r>
      <w:r w:rsidR="004F5937" w:rsidRPr="00F848B3">
        <w:rPr>
          <w:rFonts w:ascii="Bookman Old Style" w:hAnsi="Bookman Old Style"/>
        </w:rPr>
        <w:t xml:space="preserve"> </w:t>
      </w:r>
      <w:r w:rsidR="004F5937">
        <w:rPr>
          <w:rFonts w:ascii="Bookman Old Style" w:hAnsi="Bookman Old Style"/>
        </w:rPr>
        <w:t xml:space="preserve">in tutte le aree del Paese, </w:t>
      </w:r>
      <w:r w:rsidRPr="00F848B3">
        <w:rPr>
          <w:rFonts w:ascii="Bookman Old Style" w:hAnsi="Bookman Old Style"/>
        </w:rPr>
        <w:t xml:space="preserve">per effetto della riduzione dei margini di flessibilità nei bilanci e della diminuzione delle risorse correnti disponibili. I Comuni hanno contribuito – diversamente da altri comparti in prevalenza centrali – alla riduzione dell’indebitamento netto del settore pubblico e la riduzione dello </w:t>
      </w:r>
      <w:r w:rsidRPr="003C5F55">
        <w:rPr>
          <w:rFonts w:ascii="Bookman Old Style" w:hAnsi="Bookman Old Style"/>
          <w:i/>
        </w:rPr>
        <w:t>stock</w:t>
      </w:r>
      <w:r w:rsidRPr="00F848B3">
        <w:rPr>
          <w:rFonts w:ascii="Bookman Old Style" w:hAnsi="Bookman Old Style"/>
        </w:rPr>
        <w:t xml:space="preserve"> del debito locale ne è uno dei risultati.</w:t>
      </w:r>
    </w:p>
    <w:p w:rsidR="003C5F55" w:rsidRPr="00F848B3" w:rsidRDefault="003C5F55" w:rsidP="009410B2">
      <w:pPr>
        <w:spacing w:after="0" w:line="240" w:lineRule="auto"/>
        <w:jc w:val="center"/>
        <w:rPr>
          <w:rFonts w:ascii="Bookman Old Style" w:hAnsi="Bookman Old Style"/>
        </w:rPr>
      </w:pPr>
    </w:p>
    <w:p w:rsidR="00E9271A" w:rsidRDefault="009410B2" w:rsidP="00E9271A">
      <w:pPr>
        <w:spacing w:after="120"/>
        <w:jc w:val="center"/>
        <w:rPr>
          <w:rFonts w:ascii="Bookman Old Style" w:hAnsi="Bookman Old Style"/>
        </w:rPr>
      </w:pPr>
      <w:r w:rsidRPr="009410B2">
        <w:rPr>
          <w:noProof/>
          <w:lang w:eastAsia="it-IT"/>
        </w:rPr>
        <w:drawing>
          <wp:inline distT="0" distB="0" distL="0" distR="0">
            <wp:extent cx="6120130" cy="182689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1826895"/>
                    </a:xfrm>
                    <a:prstGeom prst="rect">
                      <a:avLst/>
                    </a:prstGeom>
                    <a:noFill/>
                    <a:ln>
                      <a:noFill/>
                    </a:ln>
                  </pic:spPr>
                </pic:pic>
              </a:graphicData>
            </a:graphic>
          </wp:inline>
        </w:drawing>
      </w:r>
    </w:p>
    <w:p w:rsidR="00E9271A" w:rsidRPr="00E9271A" w:rsidRDefault="00E9271A" w:rsidP="00E9271A">
      <w:pPr>
        <w:spacing w:after="0" w:line="240" w:lineRule="auto"/>
        <w:jc w:val="center"/>
        <w:rPr>
          <w:rFonts w:ascii="Bookman Old Style" w:hAnsi="Bookman Old Style"/>
          <w:sz w:val="14"/>
        </w:rPr>
      </w:pPr>
    </w:p>
    <w:p w:rsidR="00E9271A" w:rsidRDefault="00E9271A" w:rsidP="00F848B3">
      <w:pPr>
        <w:spacing w:after="120"/>
        <w:jc w:val="both"/>
        <w:rPr>
          <w:rFonts w:ascii="Bookman Old Style" w:hAnsi="Bookman Old Style"/>
        </w:rPr>
      </w:pPr>
      <w:r w:rsidRPr="00E9271A">
        <w:rPr>
          <w:noProof/>
          <w:lang w:eastAsia="it-IT"/>
        </w:rPr>
        <w:drawing>
          <wp:inline distT="0" distB="0" distL="0" distR="0">
            <wp:extent cx="6120130" cy="259207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2592070"/>
                    </a:xfrm>
                    <a:prstGeom prst="rect">
                      <a:avLst/>
                    </a:prstGeom>
                    <a:noFill/>
                    <a:ln>
                      <a:noFill/>
                    </a:ln>
                  </pic:spPr>
                </pic:pic>
              </a:graphicData>
            </a:graphic>
          </wp:inline>
        </w:drawing>
      </w:r>
    </w:p>
    <w:p w:rsidR="005A3A01" w:rsidRPr="00F848B3" w:rsidRDefault="005A3A01" w:rsidP="00F848B3">
      <w:pPr>
        <w:spacing w:after="120"/>
        <w:jc w:val="both"/>
        <w:rPr>
          <w:rFonts w:ascii="Bookman Old Style" w:hAnsi="Bookman Old Style"/>
        </w:rPr>
      </w:pPr>
      <w:r w:rsidRPr="00F848B3">
        <w:rPr>
          <w:rFonts w:ascii="Bookman Old Style" w:hAnsi="Bookman Old Style"/>
        </w:rPr>
        <w:t>L’Anci ha più volte richiamato l’attenzione su due elementi:</w:t>
      </w:r>
    </w:p>
    <w:p w:rsidR="005A3A01" w:rsidRPr="00885501" w:rsidRDefault="005A3A01" w:rsidP="00F848B3">
      <w:pPr>
        <w:pStyle w:val="Paragrafoelenco"/>
        <w:numPr>
          <w:ilvl w:val="0"/>
          <w:numId w:val="12"/>
        </w:numPr>
        <w:spacing w:after="120" w:line="276" w:lineRule="auto"/>
        <w:jc w:val="both"/>
        <w:rPr>
          <w:rFonts w:ascii="Bookman Old Style" w:hAnsi="Bookman Old Style"/>
        </w:rPr>
      </w:pPr>
      <w:r w:rsidRPr="00885501">
        <w:rPr>
          <w:rFonts w:ascii="Bookman Old Style" w:hAnsi="Bookman Old Style"/>
        </w:rPr>
        <w:t xml:space="preserve">il primo, di natura quantitativa, evidenzia che </w:t>
      </w:r>
      <w:r w:rsidRPr="00A33D87">
        <w:rPr>
          <w:rFonts w:ascii="Bookman Old Style" w:hAnsi="Bookman Old Style"/>
          <w:b/>
        </w:rPr>
        <w:t>l’incidenza media del debito (restituzioni e interessi) sulle spese correnti comunali è alta</w:t>
      </w:r>
      <w:r w:rsidRPr="00885501">
        <w:rPr>
          <w:rFonts w:ascii="Bookman Old Style" w:hAnsi="Bookman Old Style"/>
        </w:rPr>
        <w:t>: intorno al 12%, con punte che superano il 25%, e risulta particolarmente gravosa per gli enti di minor taglia demografica;</w:t>
      </w:r>
    </w:p>
    <w:p w:rsidR="005A3A01" w:rsidRPr="00885501" w:rsidRDefault="005A3A01" w:rsidP="00F848B3">
      <w:pPr>
        <w:pStyle w:val="Paragrafoelenco"/>
        <w:numPr>
          <w:ilvl w:val="0"/>
          <w:numId w:val="12"/>
        </w:numPr>
        <w:spacing w:after="120" w:line="276" w:lineRule="auto"/>
        <w:jc w:val="both"/>
        <w:rPr>
          <w:rFonts w:ascii="Bookman Old Style" w:hAnsi="Bookman Old Style"/>
        </w:rPr>
      </w:pPr>
      <w:r w:rsidRPr="00885501">
        <w:rPr>
          <w:rFonts w:ascii="Bookman Old Style" w:hAnsi="Bookman Old Style"/>
        </w:rPr>
        <w:t xml:space="preserve">il secondo, di natura ordinamentale, evidenzia </w:t>
      </w:r>
      <w:r w:rsidRPr="00A33D87">
        <w:rPr>
          <w:rFonts w:ascii="Bookman Old Style" w:hAnsi="Bookman Old Style"/>
          <w:b/>
        </w:rPr>
        <w:t>l’esclusione dei Comuni dai benefici di cui la finanza pubblica nel suo insieme ha goduto</w:t>
      </w:r>
      <w:r w:rsidRPr="00885501">
        <w:rPr>
          <w:rFonts w:ascii="Bookman Old Style" w:hAnsi="Bookman Old Style"/>
        </w:rPr>
        <w:t xml:space="preserve"> per via dell’attuale lunga fase di bassi tassi di interesse.</w:t>
      </w:r>
    </w:p>
    <w:p w:rsidR="005A3A01" w:rsidRPr="00F848B3" w:rsidRDefault="005A3A01" w:rsidP="00F848B3">
      <w:pPr>
        <w:spacing w:after="120"/>
        <w:jc w:val="both"/>
        <w:rPr>
          <w:rFonts w:ascii="Bookman Old Style" w:hAnsi="Bookman Old Style"/>
        </w:rPr>
      </w:pPr>
      <w:r w:rsidRPr="00F848B3">
        <w:rPr>
          <w:rFonts w:ascii="Bookman Old Style" w:hAnsi="Bookman Old Style"/>
        </w:rPr>
        <w:t xml:space="preserve">Gli oneri di servizio del debito addossati agli enti locali non sono coerenti con gli attuali valori di mercato ed </w:t>
      </w:r>
      <w:r w:rsidRPr="00885501">
        <w:rPr>
          <w:rFonts w:ascii="Bookman Old Style" w:hAnsi="Bookman Old Style"/>
          <w:b/>
        </w:rPr>
        <w:t>è urgentissima un’azione di ristrutturazione del debito locale</w:t>
      </w:r>
      <w:r w:rsidRPr="00F848B3">
        <w:rPr>
          <w:rFonts w:ascii="Bookman Old Style" w:hAnsi="Bookman Old Style"/>
        </w:rPr>
        <w:t xml:space="preserve"> </w:t>
      </w:r>
      <w:r w:rsidRPr="00885501">
        <w:rPr>
          <w:rFonts w:ascii="Bookman Old Style" w:hAnsi="Bookman Old Style"/>
        </w:rPr>
        <w:t>per ristabilire “equità finanziaria”</w:t>
      </w:r>
      <w:r w:rsidR="00356C06" w:rsidRPr="00867D60">
        <w:rPr>
          <w:rFonts w:ascii="Bookman Old Style" w:hAnsi="Bookman Old Style"/>
        </w:rPr>
        <w:t>,</w:t>
      </w:r>
      <w:r w:rsidRPr="00885501">
        <w:rPr>
          <w:rFonts w:ascii="Bookman Old Style" w:hAnsi="Bookman Old Style"/>
        </w:rPr>
        <w:t xml:space="preserve"> facendo circolare quei benefici tipici del potere statale di acquisizione di debito sul mercato a tassi più favorevoli</w:t>
      </w:r>
      <w:r w:rsidRPr="00A33D87">
        <w:rPr>
          <w:rFonts w:ascii="Bookman Old Style" w:hAnsi="Bookman Old Style"/>
        </w:rPr>
        <w:t>.</w:t>
      </w:r>
    </w:p>
    <w:p w:rsidR="005A3A01" w:rsidRPr="00F848B3" w:rsidRDefault="005A3A01" w:rsidP="00F848B3">
      <w:pPr>
        <w:spacing w:after="120"/>
        <w:jc w:val="both"/>
        <w:rPr>
          <w:rFonts w:ascii="Bookman Old Style" w:hAnsi="Bookman Old Style"/>
        </w:rPr>
      </w:pPr>
      <w:r w:rsidRPr="00F848B3">
        <w:rPr>
          <w:rFonts w:ascii="Bookman Old Style" w:hAnsi="Bookman Old Style"/>
        </w:rPr>
        <w:t xml:space="preserve">Su questo tema l’ANCI ha chiesto un confronto di ampio respiro, che tenga conto delle proposte formulate dall’Associazione, al fine di coniugare le esigenze di risanamento con quelle di ristrutturazione complessiva del debito comunale, esigenza non più perseguibile con le operazioni di sola rinegoziazione. </w:t>
      </w:r>
      <w:r w:rsidR="00B262EC" w:rsidRPr="00F848B3">
        <w:rPr>
          <w:rFonts w:ascii="Bookman Old Style" w:hAnsi="Bookman Old Style"/>
        </w:rPr>
        <w:t>In particolare,</w:t>
      </w:r>
      <w:r w:rsidRPr="00F848B3">
        <w:rPr>
          <w:rFonts w:ascii="Bookman Old Style" w:hAnsi="Bookman Old Style"/>
        </w:rPr>
        <w:t xml:space="preserve"> le proposte da considerare sono:</w:t>
      </w:r>
    </w:p>
    <w:p w:rsidR="005A3A01" w:rsidRPr="00F848B3" w:rsidRDefault="005A3A01" w:rsidP="00F848B3">
      <w:pPr>
        <w:pStyle w:val="Paragrafoelenco"/>
        <w:numPr>
          <w:ilvl w:val="0"/>
          <w:numId w:val="13"/>
        </w:numPr>
        <w:spacing w:after="120" w:line="276" w:lineRule="auto"/>
        <w:jc w:val="both"/>
        <w:rPr>
          <w:rFonts w:ascii="Bookman Old Style" w:eastAsia="Times New Roman" w:hAnsi="Bookman Old Style" w:cs="Arial"/>
          <w:iCs/>
          <w:color w:val="222222"/>
          <w:lang w:eastAsia="it-IT"/>
        </w:rPr>
      </w:pPr>
      <w:r w:rsidRPr="00F848B3">
        <w:rPr>
          <w:rFonts w:ascii="Bookman Old Style" w:eastAsia="Times New Roman" w:hAnsi="Bookman Old Style" w:cs="Arial"/>
          <w:b/>
          <w:bCs/>
          <w:iCs/>
          <w:color w:val="222222"/>
          <w:lang w:eastAsia="it-IT"/>
        </w:rPr>
        <w:t>moratoria temporanea con sospensione delle rate di mutuo per i piccoli Comuni</w:t>
      </w:r>
      <w:r w:rsidRPr="00F848B3">
        <w:rPr>
          <w:rFonts w:ascii="Bookman Old Style" w:eastAsia="Times New Roman" w:hAnsi="Bookman Old Style" w:cs="Arial"/>
          <w:iCs/>
          <w:color w:val="222222"/>
          <w:lang w:eastAsia="it-IT"/>
        </w:rPr>
        <w:t xml:space="preserve"> che hanno più elevata incidenza degli oneri del debito sulla spesa corrente;</w:t>
      </w:r>
    </w:p>
    <w:p w:rsidR="005A3A01" w:rsidRPr="00F848B3" w:rsidRDefault="005A3A01" w:rsidP="00F848B3">
      <w:pPr>
        <w:pStyle w:val="Paragrafoelenco"/>
        <w:numPr>
          <w:ilvl w:val="0"/>
          <w:numId w:val="13"/>
        </w:numPr>
        <w:spacing w:after="120" w:line="276" w:lineRule="auto"/>
        <w:jc w:val="both"/>
        <w:rPr>
          <w:rFonts w:ascii="Bookman Old Style" w:eastAsia="Times New Roman" w:hAnsi="Bookman Old Style" w:cs="Arial"/>
          <w:iCs/>
          <w:color w:val="222222"/>
          <w:lang w:eastAsia="it-IT"/>
        </w:rPr>
      </w:pPr>
      <w:r w:rsidRPr="00F848B3">
        <w:rPr>
          <w:rFonts w:ascii="Bookman Old Style" w:eastAsia="Times New Roman" w:hAnsi="Bookman Old Style" w:cs="Arial"/>
          <w:iCs/>
          <w:color w:val="222222"/>
          <w:lang w:eastAsia="it-IT"/>
        </w:rPr>
        <w:t xml:space="preserve">facilitare la </w:t>
      </w:r>
      <w:r w:rsidRPr="00F848B3">
        <w:rPr>
          <w:rFonts w:ascii="Bookman Old Style" w:eastAsia="Times New Roman" w:hAnsi="Bookman Old Style" w:cs="Arial"/>
          <w:b/>
          <w:bCs/>
          <w:iCs/>
          <w:color w:val="222222"/>
          <w:lang w:eastAsia="it-IT"/>
        </w:rPr>
        <w:t xml:space="preserve">sostituzione del vecchio debito </w:t>
      </w:r>
      <w:r w:rsidRPr="00F848B3">
        <w:rPr>
          <w:rFonts w:ascii="Bookman Old Style" w:eastAsia="Times New Roman" w:hAnsi="Bookman Old Style" w:cs="Arial"/>
          <w:iCs/>
          <w:color w:val="222222"/>
          <w:lang w:eastAsia="it-IT"/>
        </w:rPr>
        <w:t xml:space="preserve">con nuovo debito a tassi correnti di mercato; </w:t>
      </w:r>
      <w:r w:rsidRPr="00885501">
        <w:rPr>
          <w:rFonts w:ascii="Bookman Old Style" w:eastAsia="Times New Roman" w:hAnsi="Bookman Old Style" w:cs="Arial"/>
          <w:b/>
          <w:iCs/>
          <w:color w:val="222222"/>
          <w:lang w:eastAsia="it-IT"/>
        </w:rPr>
        <w:t>il fondo per l’attenuazione degli indennizzi</w:t>
      </w:r>
      <w:r w:rsidRPr="00F848B3">
        <w:rPr>
          <w:rFonts w:ascii="Bookman Old Style" w:eastAsia="Times New Roman" w:hAnsi="Bookman Old Style" w:cs="Arial"/>
          <w:iCs/>
          <w:color w:val="222222"/>
          <w:lang w:eastAsia="it-IT"/>
        </w:rPr>
        <w:t xml:space="preserve"> da estinzione anticipata</w:t>
      </w:r>
      <w:r w:rsidR="00356C06" w:rsidRPr="00867D60">
        <w:rPr>
          <w:rFonts w:ascii="Bookman Old Style" w:eastAsia="Times New Roman" w:hAnsi="Bookman Old Style" w:cs="Arial"/>
          <w:iCs/>
          <w:color w:val="222222"/>
          <w:lang w:eastAsia="it-IT"/>
        </w:rPr>
        <w:t>,</w:t>
      </w:r>
      <w:r w:rsidRPr="00F848B3">
        <w:rPr>
          <w:rFonts w:ascii="Bookman Old Style" w:eastAsia="Times New Roman" w:hAnsi="Bookman Old Style" w:cs="Arial"/>
          <w:iCs/>
          <w:color w:val="222222"/>
          <w:lang w:eastAsia="it-IT"/>
        </w:rPr>
        <w:t xml:space="preserve"> istituito con il dl 113/2016, non è adeguato a soddisfare le esigenze di molti enti, in particolare di quelli con ridotte quote di avanzo di amministrazione. </w:t>
      </w:r>
      <w:r w:rsidRPr="00885501">
        <w:rPr>
          <w:rFonts w:ascii="Bookman Old Style" w:eastAsia="Times New Roman" w:hAnsi="Bookman Old Style" w:cs="Arial"/>
          <w:b/>
          <w:iCs/>
          <w:color w:val="222222"/>
          <w:lang w:eastAsia="it-IT"/>
        </w:rPr>
        <w:t xml:space="preserve">Deve essere rifinanziato dal 2019 </w:t>
      </w:r>
      <w:r w:rsidRPr="00F848B3">
        <w:rPr>
          <w:rFonts w:ascii="Bookman Old Style" w:eastAsia="Times New Roman" w:hAnsi="Bookman Old Style" w:cs="Arial"/>
          <w:iCs/>
          <w:color w:val="222222"/>
          <w:lang w:eastAsia="it-IT"/>
        </w:rPr>
        <w:t>e significativamente aumentato anche con il riutilizzo delle economie;</w:t>
      </w:r>
    </w:p>
    <w:p w:rsidR="005A3A01" w:rsidRPr="00F848B3" w:rsidRDefault="005A3A01" w:rsidP="00F848B3">
      <w:pPr>
        <w:pStyle w:val="Paragrafoelenco"/>
        <w:numPr>
          <w:ilvl w:val="0"/>
          <w:numId w:val="13"/>
        </w:numPr>
        <w:spacing w:after="120" w:line="276" w:lineRule="auto"/>
        <w:jc w:val="both"/>
        <w:rPr>
          <w:rFonts w:ascii="Bookman Old Style" w:eastAsia="Times New Roman" w:hAnsi="Bookman Old Style" w:cs="Arial"/>
          <w:iCs/>
          <w:color w:val="222222"/>
          <w:lang w:eastAsia="it-IT"/>
        </w:rPr>
      </w:pPr>
      <w:r w:rsidRPr="00F848B3">
        <w:rPr>
          <w:rFonts w:ascii="Bookman Old Style" w:eastAsia="Times New Roman" w:hAnsi="Bookman Old Style" w:cs="Arial"/>
          <w:iCs/>
          <w:color w:val="222222"/>
          <w:lang w:eastAsia="it-IT"/>
        </w:rPr>
        <w:t xml:space="preserve">impostare un’iniziativa rivolta ai Comuni di maggiori dimensioni e alle Città metropolitane per una </w:t>
      </w:r>
      <w:r w:rsidRPr="00F848B3">
        <w:rPr>
          <w:rFonts w:ascii="Bookman Old Style" w:eastAsia="Times New Roman" w:hAnsi="Bookman Old Style" w:cs="Arial"/>
          <w:b/>
          <w:bCs/>
          <w:iCs/>
          <w:color w:val="222222"/>
          <w:lang w:eastAsia="it-IT"/>
        </w:rPr>
        <w:t xml:space="preserve">ristrutturazione del debito assistita da un intervento statale, </w:t>
      </w:r>
      <w:r w:rsidRPr="00F848B3">
        <w:rPr>
          <w:rFonts w:ascii="Bookman Old Style" w:eastAsia="Times New Roman" w:hAnsi="Bookman Old Style" w:cs="Arial"/>
          <w:bCs/>
          <w:iCs/>
          <w:color w:val="222222"/>
          <w:lang w:eastAsia="it-IT"/>
        </w:rPr>
        <w:t>in linea</w:t>
      </w:r>
      <w:r w:rsidRPr="00F848B3">
        <w:rPr>
          <w:rFonts w:ascii="Bookman Old Style" w:eastAsia="Times New Roman" w:hAnsi="Bookman Old Style" w:cs="Arial"/>
          <w:b/>
          <w:bCs/>
          <w:iCs/>
          <w:color w:val="222222"/>
          <w:lang w:eastAsia="it-IT"/>
        </w:rPr>
        <w:t xml:space="preserve"> </w:t>
      </w:r>
      <w:r w:rsidRPr="00F848B3">
        <w:rPr>
          <w:rFonts w:ascii="Bookman Old Style" w:eastAsia="Times New Roman" w:hAnsi="Bookman Old Style" w:cs="Arial"/>
          <w:bCs/>
          <w:iCs/>
          <w:color w:val="222222"/>
          <w:lang w:eastAsia="it-IT"/>
        </w:rPr>
        <w:t>con il dispositivo dell’art. 45 del dl 66/2014 già utilizzato per il debito delle Regioni.</w:t>
      </w:r>
    </w:p>
    <w:p w:rsidR="005A3A01" w:rsidRPr="00885501" w:rsidRDefault="005A3A01" w:rsidP="00F848B3">
      <w:pPr>
        <w:spacing w:after="120"/>
        <w:jc w:val="both"/>
        <w:rPr>
          <w:rFonts w:ascii="Bookman Old Style" w:hAnsi="Bookman Old Style"/>
          <w:b/>
        </w:rPr>
      </w:pPr>
      <w:r w:rsidRPr="00F848B3">
        <w:rPr>
          <w:rFonts w:ascii="Bookman Old Style" w:hAnsi="Bookman Old Style"/>
        </w:rPr>
        <w:t xml:space="preserve">Nel complesso i mutui gestiti da Cdp ammontano a oltre 30 mld. di euro (residuo debito). </w:t>
      </w:r>
      <w:r w:rsidRPr="00885501">
        <w:rPr>
          <w:rFonts w:ascii="Bookman Old Style" w:hAnsi="Bookman Old Style"/>
          <w:b/>
        </w:rPr>
        <w:t xml:space="preserve">Ferma restando l’esigenza di un forte coordinamento con </w:t>
      </w:r>
      <w:r w:rsidR="00F848B3" w:rsidRPr="00885501">
        <w:rPr>
          <w:rFonts w:ascii="Bookman Old Style" w:hAnsi="Bookman Old Style"/>
          <w:b/>
        </w:rPr>
        <w:t xml:space="preserve">il </w:t>
      </w:r>
      <w:r w:rsidRPr="00885501">
        <w:rPr>
          <w:rFonts w:ascii="Bookman Old Style" w:hAnsi="Bookman Old Style"/>
          <w:b/>
        </w:rPr>
        <w:t xml:space="preserve">Mef, </w:t>
      </w:r>
      <w:r w:rsidRPr="00A33D87">
        <w:rPr>
          <w:rFonts w:ascii="Bookman Old Style" w:hAnsi="Bookman Old Style"/>
          <w:b/>
        </w:rPr>
        <w:t>è auspicabile che Cdp formuli proposte per concordare un’iniziativa sostenibile p</w:t>
      </w:r>
      <w:r w:rsidRPr="00E63D0A">
        <w:rPr>
          <w:rFonts w:ascii="Bookman Old Style" w:hAnsi="Bookman Old Style"/>
          <w:b/>
        </w:rPr>
        <w:t>er tutti gli interessi in gioco.</w:t>
      </w:r>
    </w:p>
    <w:p w:rsidR="005A3A01" w:rsidRPr="00F848B3" w:rsidRDefault="005A3A01" w:rsidP="00F848B3">
      <w:pPr>
        <w:spacing w:after="120"/>
        <w:jc w:val="both"/>
        <w:rPr>
          <w:rFonts w:ascii="Bookman Old Style" w:hAnsi="Bookman Old Style"/>
        </w:rPr>
      </w:pPr>
    </w:p>
    <w:p w:rsidR="005A3A01" w:rsidRPr="00F848B3" w:rsidRDefault="005A3A01" w:rsidP="00F848B3">
      <w:pPr>
        <w:pStyle w:val="Titolo1"/>
        <w:spacing w:before="0" w:after="120"/>
        <w:rPr>
          <w:rFonts w:ascii="Bookman Old Style" w:eastAsia="Times New Roman" w:hAnsi="Bookman Old Style"/>
          <w:lang w:eastAsia="it-IT"/>
        </w:rPr>
      </w:pPr>
      <w:bookmarkStart w:id="16" w:name="_Toc524978906"/>
      <w:bookmarkStart w:id="17" w:name="_Toc529685001"/>
      <w:r w:rsidRPr="00F848B3">
        <w:rPr>
          <w:rFonts w:ascii="Bookman Old Style" w:eastAsia="Times New Roman" w:hAnsi="Bookman Old Style"/>
          <w:lang w:eastAsia="it-IT"/>
        </w:rPr>
        <w:t>La riscossione locale</w:t>
      </w:r>
      <w:r w:rsidR="008E4070" w:rsidRPr="00F848B3">
        <w:rPr>
          <w:rFonts w:ascii="Bookman Old Style" w:eastAsia="Times New Roman" w:hAnsi="Bookman Old Style"/>
          <w:lang w:eastAsia="it-IT"/>
        </w:rPr>
        <w:t>:</w:t>
      </w:r>
      <w:r w:rsidRPr="00F848B3">
        <w:rPr>
          <w:rFonts w:ascii="Bookman Old Style" w:eastAsia="Times New Roman" w:hAnsi="Bookman Old Style"/>
          <w:lang w:eastAsia="it-IT"/>
        </w:rPr>
        <w:t xml:space="preserve"> una riforma </w:t>
      </w:r>
      <w:r w:rsidR="008E4070" w:rsidRPr="00F848B3">
        <w:rPr>
          <w:rFonts w:ascii="Bookman Old Style" w:eastAsia="Times New Roman" w:hAnsi="Bookman Old Style"/>
          <w:lang w:eastAsia="it-IT"/>
        </w:rPr>
        <w:t>ormai</w:t>
      </w:r>
      <w:r w:rsidRPr="00F848B3">
        <w:rPr>
          <w:rFonts w:ascii="Bookman Old Style" w:eastAsia="Times New Roman" w:hAnsi="Bookman Old Style"/>
          <w:lang w:eastAsia="it-IT"/>
        </w:rPr>
        <w:t xml:space="preserve"> ineludibile</w:t>
      </w:r>
      <w:bookmarkEnd w:id="16"/>
      <w:bookmarkEnd w:id="17"/>
    </w:p>
    <w:p w:rsidR="00A05D75" w:rsidRPr="00F848B3" w:rsidRDefault="00A05D75" w:rsidP="00F848B3">
      <w:pPr>
        <w:spacing w:after="120"/>
        <w:jc w:val="both"/>
        <w:rPr>
          <w:rFonts w:ascii="Bookman Old Style" w:eastAsia="Calibri" w:hAnsi="Bookman Old Style" w:cs="Times New Roman"/>
        </w:rPr>
      </w:pPr>
      <w:r w:rsidRPr="00F848B3">
        <w:rPr>
          <w:rFonts w:ascii="Bookman Old Style" w:eastAsia="Calibri" w:hAnsi="Bookman Old Style" w:cs="Times New Roman"/>
        </w:rPr>
        <w:t xml:space="preserve">Relativamente alla riforma del sistema della riscossione locale, l’ANCI ha promosso numerose iniziative di stimolo e proposta per una sua </w:t>
      </w:r>
      <w:r w:rsidR="00851E6B" w:rsidRPr="00867D60">
        <w:rPr>
          <w:rFonts w:ascii="Bookman Old Style" w:eastAsia="Calibri" w:hAnsi="Bookman Old Style" w:cs="Times New Roman"/>
        </w:rPr>
        <w:t>revisione</w:t>
      </w:r>
      <w:r w:rsidR="00851E6B" w:rsidRPr="00F848B3">
        <w:rPr>
          <w:rFonts w:ascii="Bookman Old Style" w:eastAsia="Calibri" w:hAnsi="Bookman Old Style" w:cs="Times New Roman"/>
        </w:rPr>
        <w:t xml:space="preserve"> </w:t>
      </w:r>
      <w:r w:rsidRPr="00F848B3">
        <w:rPr>
          <w:rFonts w:ascii="Bookman Old Style" w:eastAsia="Calibri" w:hAnsi="Bookman Old Style" w:cs="Times New Roman"/>
        </w:rPr>
        <w:t xml:space="preserve">organica e, anche su questa base, nel periodo marzo-ottobre 2018 si è svolto </w:t>
      </w:r>
      <w:r w:rsidR="008E6D9A" w:rsidRPr="00867D60">
        <w:rPr>
          <w:rFonts w:ascii="Bookman Old Style" w:eastAsia="Calibri" w:hAnsi="Bookman Old Style" w:cs="Times New Roman"/>
        </w:rPr>
        <w:t>un</w:t>
      </w:r>
      <w:r w:rsidR="008E6D9A">
        <w:rPr>
          <w:rFonts w:ascii="Bookman Old Style" w:eastAsia="Calibri" w:hAnsi="Bookman Old Style" w:cs="Times New Roman"/>
        </w:rPr>
        <w:t xml:space="preserve"> </w:t>
      </w:r>
      <w:r w:rsidRPr="00F848B3">
        <w:rPr>
          <w:rFonts w:ascii="Bookman Old Style" w:eastAsia="Calibri" w:hAnsi="Bookman Old Style" w:cs="Times New Roman"/>
        </w:rPr>
        <w:t xml:space="preserve">confronto presso il Dipartimento delle Finanze del Mef, che ha visto la partecipazione, oltre che di ANCI-IFEL, di diverse amministrazioni e soggetti interessati (Ministero dell’Interno, AGID, Agenzia delle Entrate, Agenzia delle Entrate-Riscossione, ANACAP). Ne è scaturita una </w:t>
      </w:r>
      <w:r w:rsidRPr="00F848B3">
        <w:rPr>
          <w:rFonts w:ascii="Bookman Old Style" w:eastAsia="Calibri" w:hAnsi="Bookman Old Style" w:cs="Times New Roman"/>
          <w:b/>
        </w:rPr>
        <w:t>proposta condivisa</w:t>
      </w:r>
      <w:r w:rsidRPr="00F848B3">
        <w:rPr>
          <w:rFonts w:ascii="Bookman Old Style" w:eastAsia="Calibri" w:hAnsi="Bookman Old Style" w:cs="Times New Roman"/>
        </w:rPr>
        <w:t xml:space="preserve"> contenente, per la gran parte, interventi di semplificazione e razionalizzazione di una normativa ormai obsoleta, spesso contraddittoria, non più adeguata alle esigenze di efficacia ed efficienza richieste dal mutato contesto della finanza comunale, che mirano a snellire le attività di recupero dei crediti, in un’ottica – al tempo stesso – di semplificazione amministrativa e di massimo rispetto delle esigenze di tutela dei diritti del contribuente.</w:t>
      </w:r>
    </w:p>
    <w:p w:rsidR="005A3A01" w:rsidRPr="00F848B3" w:rsidRDefault="005A3A01" w:rsidP="00F848B3">
      <w:pPr>
        <w:spacing w:after="120"/>
        <w:jc w:val="both"/>
        <w:rPr>
          <w:rFonts w:ascii="Bookman Old Style" w:hAnsi="Bookman Old Style"/>
        </w:rPr>
      </w:pPr>
      <w:r w:rsidRPr="00F848B3">
        <w:rPr>
          <w:rFonts w:ascii="Bookman Old Style" w:hAnsi="Bookman Old Style"/>
          <w:b/>
        </w:rPr>
        <w:t>Lo stato della riscossione locale soffre di</w:t>
      </w:r>
      <w:r w:rsidRPr="00F848B3">
        <w:rPr>
          <w:rFonts w:ascii="Bookman Old Style" w:hAnsi="Bookman Old Style"/>
        </w:rPr>
        <w:t xml:space="preserve"> </w:t>
      </w:r>
      <w:r w:rsidRPr="00F848B3">
        <w:rPr>
          <w:rFonts w:ascii="Bookman Old Style" w:hAnsi="Bookman Old Style"/>
          <w:b/>
        </w:rPr>
        <w:t>un troppo lungo periodo di incertezza ed inerzia normativa</w:t>
      </w:r>
      <w:r w:rsidRPr="00F848B3">
        <w:rPr>
          <w:rFonts w:ascii="Bookman Old Style" w:hAnsi="Bookman Old Style"/>
        </w:rPr>
        <w:t>. Tutti</w:t>
      </w:r>
      <w:r w:rsidRPr="00F848B3">
        <w:rPr>
          <w:rFonts w:ascii="Bookman Old Style" w:hAnsi="Bookman Old Style"/>
          <w:b/>
        </w:rPr>
        <w:t xml:space="preserve"> </w:t>
      </w:r>
      <w:r w:rsidRPr="00F848B3">
        <w:rPr>
          <w:rFonts w:ascii="Bookman Old Style" w:hAnsi="Bookman Old Style"/>
        </w:rPr>
        <w:t>i casi di dissesto o “predissesto”</w:t>
      </w:r>
      <w:r w:rsidRPr="00F848B3">
        <w:rPr>
          <w:rFonts w:ascii="Bookman Old Style" w:hAnsi="Bookman Old Style"/>
          <w:b/>
        </w:rPr>
        <w:t xml:space="preserve"> </w:t>
      </w:r>
      <w:r w:rsidRPr="00F848B3">
        <w:rPr>
          <w:rFonts w:ascii="Bookman Old Style" w:hAnsi="Bookman Old Style"/>
        </w:rPr>
        <w:t xml:space="preserve">sono caratterizzati – e in qualche caso direttamente causati – da difficoltà gravi nella riscossione delle entrate. Il problema riguarda tuttavia la generalità degli enti, anche in assenza di crisi conclamate. Le debolezze degli apparati gestionali locali sono amplificate dall’assenza di un sistema organico in grado di assegnare un ruolo chiaro e controllato ai diversi attori del processo di riscossione, di snellire le procedure e introdurre maggiori dosi di trasparenza e </w:t>
      </w:r>
      <w:r w:rsidRPr="00F848B3">
        <w:rPr>
          <w:rFonts w:ascii="Bookman Old Style" w:hAnsi="Bookman Old Style"/>
          <w:i/>
        </w:rPr>
        <w:t>accountability</w:t>
      </w:r>
      <w:r w:rsidRPr="00F848B3">
        <w:rPr>
          <w:rFonts w:ascii="Bookman Old Style" w:hAnsi="Bookman Old Style"/>
        </w:rPr>
        <w:t xml:space="preserve"> per i riscossori – privati e non – e per gli stessi Comuni. È infatti frequente il caso di enti che esternalizzano le attività senza mantenere una adeguata responsabilizzazione interna circa il controllo dell’intero ciclo delle entrate, comunque gestito, dalla riscossione spontanea alle diverse forme di recupero coattivo.</w:t>
      </w:r>
    </w:p>
    <w:p w:rsidR="005A3A01" w:rsidRPr="00F848B3" w:rsidRDefault="005A3A01" w:rsidP="00F848B3">
      <w:pPr>
        <w:spacing w:after="120"/>
        <w:jc w:val="both"/>
        <w:rPr>
          <w:rFonts w:ascii="Bookman Old Style" w:hAnsi="Bookman Old Style"/>
        </w:rPr>
      </w:pPr>
      <w:r w:rsidRPr="00F848B3">
        <w:rPr>
          <w:rFonts w:ascii="Bookman Old Style" w:hAnsi="Bookman Old Style"/>
        </w:rPr>
        <w:t>I punti principali dell’intervento atteso riguardano:</w:t>
      </w:r>
    </w:p>
    <w:p w:rsidR="005A3A01" w:rsidRPr="00F848B3" w:rsidRDefault="005A3A01" w:rsidP="00F848B3">
      <w:pPr>
        <w:pStyle w:val="Paragrafoelenco"/>
        <w:numPr>
          <w:ilvl w:val="0"/>
          <w:numId w:val="10"/>
        </w:numPr>
        <w:spacing w:after="120" w:line="276" w:lineRule="auto"/>
        <w:jc w:val="both"/>
        <w:rPr>
          <w:rFonts w:ascii="Bookman Old Style" w:hAnsi="Bookman Old Style"/>
        </w:rPr>
      </w:pPr>
      <w:r w:rsidRPr="00F848B3">
        <w:rPr>
          <w:rFonts w:ascii="Bookman Old Style" w:hAnsi="Bookman Old Style"/>
          <w:b/>
        </w:rPr>
        <w:t>controlli più efficaci</w:t>
      </w:r>
      <w:r w:rsidRPr="00F848B3">
        <w:rPr>
          <w:rFonts w:ascii="Bookman Old Style" w:hAnsi="Bookman Old Style"/>
        </w:rPr>
        <w:t xml:space="preserve"> per i soggetti privati,</w:t>
      </w:r>
    </w:p>
    <w:p w:rsidR="005A3A01" w:rsidRPr="00F848B3" w:rsidRDefault="005A3A01" w:rsidP="00F848B3">
      <w:pPr>
        <w:pStyle w:val="Paragrafoelenco"/>
        <w:numPr>
          <w:ilvl w:val="0"/>
          <w:numId w:val="10"/>
        </w:numPr>
        <w:spacing w:after="120" w:line="276" w:lineRule="auto"/>
        <w:jc w:val="both"/>
        <w:rPr>
          <w:rFonts w:ascii="Bookman Old Style" w:hAnsi="Bookman Old Style"/>
        </w:rPr>
      </w:pPr>
      <w:r w:rsidRPr="00F848B3">
        <w:rPr>
          <w:rFonts w:ascii="Bookman Old Style" w:hAnsi="Bookman Old Style"/>
          <w:b/>
        </w:rPr>
        <w:t>semplificazione delle ingiunzioni</w:t>
      </w:r>
      <w:r w:rsidRPr="00F848B3">
        <w:rPr>
          <w:rFonts w:ascii="Bookman Old Style" w:hAnsi="Bookman Old Style"/>
        </w:rPr>
        <w:t xml:space="preserve"> di pagamento, anche al fine di facilitare la gestione comunale diretta o attraverso le società in house,</w:t>
      </w:r>
    </w:p>
    <w:p w:rsidR="005A3A01" w:rsidRPr="00F848B3" w:rsidRDefault="005A3A01" w:rsidP="00F848B3">
      <w:pPr>
        <w:pStyle w:val="Paragrafoelenco"/>
        <w:numPr>
          <w:ilvl w:val="0"/>
          <w:numId w:val="10"/>
        </w:numPr>
        <w:spacing w:after="120" w:line="276" w:lineRule="auto"/>
        <w:jc w:val="both"/>
        <w:rPr>
          <w:rFonts w:ascii="Bookman Old Style" w:hAnsi="Bookman Old Style"/>
        </w:rPr>
      </w:pPr>
      <w:r w:rsidRPr="00F848B3">
        <w:rPr>
          <w:rFonts w:ascii="Bookman Old Style" w:hAnsi="Bookman Old Style"/>
        </w:rPr>
        <w:t xml:space="preserve">definizione di strumenti mirati all’azione di recupero per i </w:t>
      </w:r>
      <w:r w:rsidRPr="00F848B3">
        <w:rPr>
          <w:rFonts w:ascii="Bookman Old Style" w:hAnsi="Bookman Old Style"/>
          <w:b/>
        </w:rPr>
        <w:t>crediti di minor valore unitario</w:t>
      </w:r>
      <w:r w:rsidRPr="00F848B3">
        <w:rPr>
          <w:rFonts w:ascii="Bookman Old Style" w:hAnsi="Bookman Old Style"/>
        </w:rPr>
        <w:t xml:space="preserve"> che caratterizzano le entrate dei Comuni,</w:t>
      </w:r>
    </w:p>
    <w:p w:rsidR="005A3A01" w:rsidRPr="00F848B3" w:rsidRDefault="005A3A01" w:rsidP="00F848B3">
      <w:pPr>
        <w:pStyle w:val="Paragrafoelenco"/>
        <w:numPr>
          <w:ilvl w:val="0"/>
          <w:numId w:val="10"/>
        </w:numPr>
        <w:spacing w:after="120" w:line="276" w:lineRule="auto"/>
        <w:jc w:val="both"/>
        <w:rPr>
          <w:rFonts w:ascii="Bookman Old Style" w:hAnsi="Bookman Old Style"/>
        </w:rPr>
      </w:pPr>
      <w:r w:rsidRPr="00F848B3">
        <w:rPr>
          <w:rFonts w:ascii="Bookman Old Style" w:hAnsi="Bookman Old Style"/>
        </w:rPr>
        <w:t xml:space="preserve">un </w:t>
      </w:r>
      <w:r w:rsidRPr="00F848B3">
        <w:rPr>
          <w:rFonts w:ascii="Bookman Old Style" w:hAnsi="Bookman Old Style"/>
          <w:b/>
        </w:rPr>
        <w:t>accesso ai dati</w:t>
      </w:r>
      <w:r w:rsidRPr="00F848B3">
        <w:rPr>
          <w:rFonts w:ascii="Bookman Old Style" w:hAnsi="Bookman Old Style"/>
        </w:rPr>
        <w:t xml:space="preserve"> ampio, uniforme e controllato.</w:t>
      </w:r>
    </w:p>
    <w:p w:rsidR="005A3A01" w:rsidRPr="00F848B3" w:rsidRDefault="005A3A01" w:rsidP="00F848B3">
      <w:pPr>
        <w:spacing w:after="120"/>
        <w:jc w:val="both"/>
        <w:rPr>
          <w:rFonts w:ascii="Bookman Old Style" w:hAnsi="Bookman Old Style"/>
        </w:rPr>
      </w:pPr>
      <w:r w:rsidRPr="00F848B3">
        <w:rPr>
          <w:rFonts w:ascii="Bookman Old Style" w:hAnsi="Bookman Old Style"/>
          <w:b/>
        </w:rPr>
        <w:t>Deve essere inoltre meglio definito</w:t>
      </w:r>
      <w:r w:rsidRPr="00F848B3">
        <w:rPr>
          <w:rFonts w:ascii="Bookman Old Style" w:hAnsi="Bookman Old Style"/>
        </w:rPr>
        <w:t xml:space="preserve"> </w:t>
      </w:r>
      <w:r w:rsidRPr="00F848B3">
        <w:rPr>
          <w:rFonts w:ascii="Bookman Old Style" w:hAnsi="Bookman Old Style"/>
          <w:b/>
        </w:rPr>
        <w:t>il ruolo dell’Agenzia delle entrate-Riscossione</w:t>
      </w:r>
      <w:r w:rsidRPr="00F848B3">
        <w:rPr>
          <w:rFonts w:ascii="Bookman Old Style" w:hAnsi="Bookman Old Style"/>
        </w:rPr>
        <w:t xml:space="preserve">, </w:t>
      </w:r>
      <w:r w:rsidR="004E596F" w:rsidRPr="00867D60">
        <w:rPr>
          <w:rFonts w:ascii="Bookman Old Style" w:hAnsi="Bookman Old Style"/>
        </w:rPr>
        <w:t>dopo</w:t>
      </w:r>
      <w:r w:rsidR="004E596F" w:rsidRPr="00F848B3">
        <w:rPr>
          <w:rFonts w:ascii="Bookman Old Style" w:hAnsi="Bookman Old Style"/>
        </w:rPr>
        <w:t xml:space="preserve"> </w:t>
      </w:r>
      <w:r w:rsidRPr="00F848B3">
        <w:rPr>
          <w:rFonts w:ascii="Bookman Old Style" w:hAnsi="Bookman Old Style"/>
        </w:rPr>
        <w:t xml:space="preserve">un anno dalla sua costituzione e subentro a Equitalia, che in un panorama così articolato di enti locali dovrebbe rappresentare un presidio di efficace supporto degli enti locali, in particolare per quelli con minore capacità organizzativa autonoma. Contribuisce ad accrescere l’importanza di una riforma anche il fatto </w:t>
      </w:r>
      <w:r w:rsidRPr="00F848B3">
        <w:rPr>
          <w:rFonts w:ascii="Bookman Old Style" w:hAnsi="Bookman Old Style"/>
          <w:b/>
        </w:rPr>
        <w:t>che una buona capacità di riscossione è fattore essenziale per gli equilibri di bilancio dei Comuni a fronte dell’introduzione del Fondo crediti di dubbia esigibilità (FCDE)</w:t>
      </w:r>
      <w:r w:rsidRPr="00F848B3">
        <w:rPr>
          <w:rFonts w:ascii="Bookman Old Style" w:hAnsi="Bookman Old Style"/>
        </w:rPr>
        <w:t>. La dimensione delle mancate riscossioni produce infatti in modo diretto un accantonamento corrispondente di risorse che impedisce di impegnare spese non sostenute da una prospettiva di sollecita realizzazione delle entrate locali. Il comparto comunale è quello che – per le caratteristiche delle proprie entrate – è più esposto di altri agli effetti del FCDE.</w:t>
      </w:r>
    </w:p>
    <w:p w:rsidR="005A3A01" w:rsidRPr="00F848B3" w:rsidRDefault="005A3A01" w:rsidP="00F848B3">
      <w:pPr>
        <w:shd w:val="clear" w:color="auto" w:fill="FFFFFF"/>
        <w:spacing w:after="120"/>
        <w:jc w:val="both"/>
        <w:rPr>
          <w:rFonts w:ascii="Bookman Old Style" w:hAnsi="Bookman Old Style"/>
          <w:highlight w:val="yellow"/>
        </w:rPr>
      </w:pPr>
    </w:p>
    <w:p w:rsidR="005A3A01" w:rsidRPr="00F848B3" w:rsidRDefault="005A3A01" w:rsidP="00F848B3">
      <w:pPr>
        <w:pStyle w:val="Titolo1"/>
        <w:spacing w:before="0" w:after="120"/>
        <w:rPr>
          <w:rFonts w:ascii="Bookman Old Style" w:eastAsia="Times New Roman" w:hAnsi="Bookman Old Style"/>
          <w:lang w:eastAsia="it-IT"/>
        </w:rPr>
      </w:pPr>
      <w:bookmarkStart w:id="18" w:name="_Toc514063463"/>
      <w:bookmarkStart w:id="19" w:name="_Toc517266452"/>
      <w:bookmarkStart w:id="20" w:name="_Toc524978907"/>
      <w:bookmarkStart w:id="21" w:name="_Toc529685002"/>
      <w:r w:rsidRPr="00F848B3">
        <w:rPr>
          <w:rFonts w:ascii="Bookman Old Style" w:eastAsia="Times New Roman" w:hAnsi="Bookman Old Style"/>
          <w:lang w:eastAsia="it-IT"/>
        </w:rPr>
        <w:t>Le Città metropolitane</w:t>
      </w:r>
      <w:bookmarkEnd w:id="18"/>
      <w:bookmarkEnd w:id="19"/>
      <w:bookmarkEnd w:id="20"/>
      <w:bookmarkEnd w:id="21"/>
      <w:r w:rsidRPr="00F848B3">
        <w:rPr>
          <w:rFonts w:ascii="Bookman Old Style" w:eastAsia="Times New Roman" w:hAnsi="Bookman Old Style"/>
          <w:lang w:eastAsia="it-IT"/>
        </w:rPr>
        <w:t xml:space="preserve"> </w:t>
      </w:r>
    </w:p>
    <w:p w:rsidR="005A3A01" w:rsidRPr="00F848B3" w:rsidRDefault="005A3A01" w:rsidP="00F848B3">
      <w:pPr>
        <w:spacing w:after="120"/>
        <w:jc w:val="both"/>
        <w:rPr>
          <w:rFonts w:ascii="Bookman Old Style" w:hAnsi="Bookman Old Style"/>
        </w:rPr>
      </w:pPr>
      <w:r w:rsidRPr="00F848B3">
        <w:rPr>
          <w:rFonts w:ascii="Bookman Old Style" w:hAnsi="Bookman Old Style"/>
        </w:rPr>
        <w:t xml:space="preserve">La sofferenza non solo finanziaria in cui versano le </w:t>
      </w:r>
      <w:r w:rsidRPr="00F848B3">
        <w:rPr>
          <w:rFonts w:ascii="Bookman Old Style" w:hAnsi="Bookman Old Style"/>
          <w:b/>
        </w:rPr>
        <w:t>Città metropolitane</w:t>
      </w:r>
      <w:r w:rsidRPr="00F848B3">
        <w:rPr>
          <w:rFonts w:ascii="Bookman Old Style" w:hAnsi="Bookman Old Style"/>
        </w:rPr>
        <w:t xml:space="preserve"> ha determinato negli ultimi anni interventi di mitigazione dei tagli abnormi a suo tempo disposti con la legge di stabilità per il 2015.</w:t>
      </w:r>
    </w:p>
    <w:p w:rsidR="005A3A01" w:rsidRPr="00F848B3" w:rsidRDefault="005A3A01" w:rsidP="00F848B3">
      <w:pPr>
        <w:spacing w:after="120"/>
        <w:jc w:val="both"/>
        <w:rPr>
          <w:rFonts w:ascii="Bookman Old Style" w:hAnsi="Bookman Old Style"/>
        </w:rPr>
      </w:pPr>
      <w:r w:rsidRPr="00F848B3">
        <w:rPr>
          <w:rFonts w:ascii="Bookman Old Style" w:hAnsi="Bookman Old Style"/>
          <w:b/>
        </w:rPr>
        <w:t>Nel 2019 i tagli annuali subiti per effetto del dl 66/2014 saranno aboliti</w:t>
      </w:r>
      <w:r w:rsidRPr="00F848B3">
        <w:rPr>
          <w:rFonts w:ascii="Bookman Old Style" w:hAnsi="Bookman Old Style"/>
        </w:rPr>
        <w:t xml:space="preserve"> (per disposizione dello stesso dl), </w:t>
      </w:r>
      <w:r w:rsidRPr="00F848B3">
        <w:rPr>
          <w:rFonts w:ascii="Bookman Old Style" w:hAnsi="Bookman Old Style"/>
          <w:b/>
        </w:rPr>
        <w:t>con un effetto positivo di 187 milioni di euro riguardante tutte le 14 CM</w:t>
      </w:r>
      <w:r w:rsidRPr="00F848B3">
        <w:rPr>
          <w:rFonts w:ascii="Bookman Old Style" w:hAnsi="Bookman Old Style"/>
        </w:rPr>
        <w:t xml:space="preserve">. Va </w:t>
      </w:r>
      <w:r w:rsidR="00345A50" w:rsidRPr="00867D60">
        <w:rPr>
          <w:rFonts w:ascii="Bookman Old Style" w:hAnsi="Bookman Old Style"/>
        </w:rPr>
        <w:t>però</w:t>
      </w:r>
      <w:r w:rsidR="00345A50" w:rsidRPr="00F848B3">
        <w:rPr>
          <w:rFonts w:ascii="Bookman Old Style" w:hAnsi="Bookman Old Style"/>
        </w:rPr>
        <w:t xml:space="preserve"> </w:t>
      </w:r>
      <w:r w:rsidRPr="00F848B3">
        <w:rPr>
          <w:rFonts w:ascii="Bookman Old Style" w:hAnsi="Bookman Old Style"/>
        </w:rPr>
        <w:t xml:space="preserve">considerato il venir meno del contributo straordinario di 111 mln. di euro disposto per il 2018 per le CM delle </w:t>
      </w:r>
      <w:r w:rsidR="00345A50" w:rsidRPr="0088211E">
        <w:rPr>
          <w:rFonts w:ascii="Bookman Old Style" w:hAnsi="Bookman Old Style"/>
        </w:rPr>
        <w:t>r</w:t>
      </w:r>
      <w:r w:rsidR="00345A50" w:rsidRPr="00F848B3">
        <w:rPr>
          <w:rFonts w:ascii="Bookman Old Style" w:hAnsi="Bookman Old Style"/>
        </w:rPr>
        <w:t xml:space="preserve">egioni </w:t>
      </w:r>
      <w:r w:rsidRPr="00F848B3">
        <w:rPr>
          <w:rFonts w:ascii="Bookman Old Style" w:hAnsi="Bookman Old Style"/>
        </w:rPr>
        <w:t>a statuto ordinario. Questo reintegro di risorse permetterà di guardare con minor preoccupazione al raggiungimento degli equilibri correnti.</w:t>
      </w:r>
    </w:p>
    <w:p w:rsidR="005A3A01" w:rsidRPr="00F848B3" w:rsidRDefault="005A3A01" w:rsidP="00F848B3">
      <w:pPr>
        <w:spacing w:after="120"/>
        <w:jc w:val="both"/>
        <w:rPr>
          <w:rFonts w:ascii="Bookman Old Style" w:hAnsi="Bookman Old Style"/>
          <w:b/>
        </w:rPr>
      </w:pPr>
      <w:r w:rsidRPr="00F848B3">
        <w:rPr>
          <w:rFonts w:ascii="Bookman Old Style" w:hAnsi="Bookman Old Style"/>
          <w:noProof/>
          <w:lang w:eastAsia="it-IT"/>
        </w:rPr>
        <w:drawing>
          <wp:inline distT="0" distB="0" distL="0" distR="0">
            <wp:extent cx="6120130" cy="3080109"/>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3080109"/>
                    </a:xfrm>
                    <a:prstGeom prst="rect">
                      <a:avLst/>
                    </a:prstGeom>
                    <a:noFill/>
                    <a:ln>
                      <a:noFill/>
                    </a:ln>
                  </pic:spPr>
                </pic:pic>
              </a:graphicData>
            </a:graphic>
          </wp:inline>
        </w:drawing>
      </w:r>
    </w:p>
    <w:p w:rsidR="005A3A01" w:rsidRPr="00F848B3" w:rsidRDefault="005A3A01" w:rsidP="00F848B3">
      <w:pPr>
        <w:spacing w:after="120"/>
        <w:jc w:val="both"/>
        <w:rPr>
          <w:rFonts w:ascii="Bookman Old Style" w:hAnsi="Bookman Old Style"/>
        </w:rPr>
      </w:pPr>
      <w:r w:rsidRPr="00F848B3">
        <w:rPr>
          <w:rFonts w:ascii="Bookman Old Style" w:hAnsi="Bookman Old Style"/>
          <w:b/>
        </w:rPr>
        <w:t>È tuttavia necessario anche per il 2019, ad avviso dell’ANCI, valutare gli equilibri di ciascun ente</w:t>
      </w:r>
      <w:r w:rsidRPr="00F848B3">
        <w:rPr>
          <w:rFonts w:ascii="Bookman Old Style" w:hAnsi="Bookman Old Style"/>
        </w:rPr>
        <w:t xml:space="preserve">, che sono fortemente influenzati da elementi estranei alla gestione ordinaria, </w:t>
      </w:r>
      <w:r w:rsidR="00345A50" w:rsidRPr="0088211E">
        <w:rPr>
          <w:rFonts w:ascii="Bookman Old Style" w:hAnsi="Bookman Old Style"/>
        </w:rPr>
        <w:t>quali ad esempio</w:t>
      </w:r>
      <w:r w:rsidR="00345A50">
        <w:rPr>
          <w:rFonts w:ascii="Bookman Old Style" w:hAnsi="Bookman Old Style"/>
        </w:rPr>
        <w:t xml:space="preserve"> la</w:t>
      </w:r>
      <w:r w:rsidR="00345A50" w:rsidRPr="00F848B3">
        <w:rPr>
          <w:rFonts w:ascii="Bookman Old Style" w:hAnsi="Bookman Old Style"/>
        </w:rPr>
        <w:t xml:space="preserve"> </w:t>
      </w:r>
      <w:r w:rsidRPr="00F848B3">
        <w:rPr>
          <w:rFonts w:ascii="Bookman Old Style" w:hAnsi="Bookman Old Style"/>
        </w:rPr>
        <w:t xml:space="preserve">dimensione del debito pregresso </w:t>
      </w:r>
      <w:r w:rsidR="00345A50">
        <w:rPr>
          <w:rFonts w:ascii="Bookman Old Style" w:hAnsi="Bookman Old Style"/>
        </w:rPr>
        <w:t>e l’</w:t>
      </w:r>
      <w:r w:rsidR="00A33D87">
        <w:rPr>
          <w:rFonts w:ascii="Bookman Old Style" w:hAnsi="Bookman Old Style"/>
        </w:rPr>
        <w:t>accumulato</w:t>
      </w:r>
      <w:r w:rsidRPr="00F848B3">
        <w:rPr>
          <w:rFonts w:ascii="Bookman Old Style" w:hAnsi="Bookman Old Style"/>
        </w:rPr>
        <w:t xml:space="preserve"> fabbisogno di manutenzioni in materia stradale e scolastica.</w:t>
      </w:r>
    </w:p>
    <w:p w:rsidR="005A3A01" w:rsidRPr="00F848B3" w:rsidRDefault="005A3A01" w:rsidP="00F848B3">
      <w:pPr>
        <w:spacing w:after="120"/>
        <w:jc w:val="both"/>
        <w:rPr>
          <w:rFonts w:ascii="Bookman Old Style" w:hAnsi="Bookman Old Style"/>
        </w:rPr>
      </w:pPr>
      <w:r w:rsidRPr="00F848B3">
        <w:rPr>
          <w:rFonts w:ascii="Bookman Old Style" w:hAnsi="Bookman Old Style"/>
        </w:rPr>
        <w:t xml:space="preserve">Resta critica </w:t>
      </w:r>
      <w:r w:rsidRPr="00F848B3">
        <w:rPr>
          <w:rFonts w:ascii="Bookman Old Style" w:hAnsi="Bookman Old Style"/>
          <w:b/>
        </w:rPr>
        <w:t>la ridotta disponibilità di risorse per investimenti</w:t>
      </w:r>
      <w:r w:rsidRPr="00F848B3">
        <w:rPr>
          <w:rFonts w:ascii="Bookman Old Style" w:hAnsi="Bookman Old Style"/>
        </w:rPr>
        <w:t xml:space="preserve">, </w:t>
      </w:r>
      <w:r w:rsidRPr="00F848B3">
        <w:rPr>
          <w:rFonts w:ascii="Bookman Old Style" w:hAnsi="Bookman Old Style"/>
          <w:b/>
        </w:rPr>
        <w:t>che impedisce tuttora una adeguata e tempestiva programmazione delle manutenzioni straordinarie e ristrutturazioni</w:t>
      </w:r>
      <w:r w:rsidRPr="00F848B3">
        <w:rPr>
          <w:rFonts w:ascii="Bookman Old Style" w:hAnsi="Bookman Old Style"/>
        </w:rPr>
        <w:t xml:space="preserve"> – prima ancora che di nuova costruzione – di opere stradali e scolastiche la cui sicurezza è un tema di estrema sensibilità pubblica</w:t>
      </w:r>
      <w:r w:rsidR="00A33D87">
        <w:rPr>
          <w:rFonts w:ascii="Bookman Old Style" w:hAnsi="Bookman Old Style"/>
        </w:rPr>
        <w:t>.</w:t>
      </w:r>
    </w:p>
    <w:p w:rsidR="00DA7B9F" w:rsidRPr="00C0124E" w:rsidRDefault="00A33D87" w:rsidP="00F848B3">
      <w:pPr>
        <w:spacing w:after="120"/>
        <w:jc w:val="both"/>
        <w:rPr>
          <w:rFonts w:ascii="Bookman Old Style" w:hAnsi="Bookman Old Style"/>
          <w:b/>
        </w:rPr>
      </w:pPr>
      <w:r w:rsidRPr="00C0124E">
        <w:rPr>
          <w:rFonts w:ascii="Bookman Old Style" w:hAnsi="Bookman Old Style"/>
          <w:b/>
        </w:rPr>
        <w:t xml:space="preserve">Per questi motivi </w:t>
      </w:r>
      <w:r w:rsidR="00DA7B9F" w:rsidRPr="00C0124E">
        <w:rPr>
          <w:rFonts w:ascii="Bookman Old Style" w:hAnsi="Bookman Old Style"/>
          <w:b/>
        </w:rPr>
        <w:t xml:space="preserve">ANCI </w:t>
      </w:r>
      <w:r w:rsidRPr="00C0124E">
        <w:rPr>
          <w:rFonts w:ascii="Bookman Old Style" w:hAnsi="Bookman Old Style"/>
          <w:b/>
        </w:rPr>
        <w:t xml:space="preserve">chiede che alle Città metropolitane siano riservati </w:t>
      </w:r>
      <w:r w:rsidR="000514C3" w:rsidRPr="00C0124E">
        <w:rPr>
          <w:rFonts w:ascii="Bookman Old Style" w:hAnsi="Bookman Old Style"/>
          <w:b/>
        </w:rPr>
        <w:t>50</w:t>
      </w:r>
      <w:r w:rsidRPr="00C0124E">
        <w:rPr>
          <w:rFonts w:ascii="Bookman Old Style" w:hAnsi="Bookman Old Style"/>
          <w:b/>
        </w:rPr>
        <w:t xml:space="preserve"> milioni annui tra il 2019 e il 2033 per </w:t>
      </w:r>
      <w:r w:rsidR="000514C3" w:rsidRPr="00C0124E">
        <w:rPr>
          <w:rFonts w:ascii="Bookman Old Style" w:hAnsi="Bookman Old Style"/>
          <w:b/>
        </w:rPr>
        <w:t xml:space="preserve">i piani di sicurezza stradali (art. 64 del ddl Bilancio) e ulteriori </w:t>
      </w:r>
      <w:r w:rsidR="0088211E" w:rsidRPr="00C0124E">
        <w:rPr>
          <w:rFonts w:ascii="Bookman Old Style" w:hAnsi="Bookman Old Style"/>
          <w:b/>
        </w:rPr>
        <w:t>10</w:t>
      </w:r>
      <w:r w:rsidR="000514C3" w:rsidRPr="00C0124E">
        <w:rPr>
          <w:rFonts w:ascii="Bookman Old Style" w:hAnsi="Bookman Old Style"/>
          <w:b/>
        </w:rPr>
        <w:t>0 milioni per il sostegno degli equilibri correnti.</w:t>
      </w:r>
    </w:p>
    <w:p w:rsidR="005A3A01" w:rsidRPr="00F848B3" w:rsidRDefault="005A3A01" w:rsidP="00F848B3">
      <w:pPr>
        <w:spacing w:after="120"/>
        <w:jc w:val="both"/>
        <w:rPr>
          <w:rFonts w:ascii="Bookman Old Style" w:hAnsi="Bookman Old Style"/>
        </w:rPr>
      </w:pPr>
      <w:r w:rsidRPr="00F848B3">
        <w:rPr>
          <w:rFonts w:ascii="Bookman Old Style" w:hAnsi="Bookman Old Style"/>
          <w:b/>
        </w:rPr>
        <w:t>Molto critica resta, inoltre, la situazione delle città metropolitane della Sicilia, in particolare Palermo e Catania</w:t>
      </w:r>
      <w:r w:rsidRPr="00F848B3">
        <w:rPr>
          <w:rFonts w:ascii="Bookman Old Style" w:hAnsi="Bookman Old Style"/>
        </w:rPr>
        <w:t>, per effetto dei criteri di assegnazione delle risorse che avrebbero dovuto parzialmente compensare i tagli per il tramite della Regione Siciliana (accordo del 23 febbraio 2017), criteri che invece sono stati modificati da una legge regionale a fine 2017.</w:t>
      </w:r>
    </w:p>
    <w:p w:rsidR="005A3A01" w:rsidRPr="00F848B3" w:rsidRDefault="005A3A01" w:rsidP="00F848B3">
      <w:pPr>
        <w:spacing w:after="120"/>
        <w:jc w:val="both"/>
        <w:rPr>
          <w:rFonts w:ascii="Bookman Old Style" w:hAnsi="Bookman Old Style"/>
        </w:rPr>
      </w:pPr>
      <w:r w:rsidRPr="00F848B3">
        <w:rPr>
          <w:rFonts w:ascii="Bookman Old Style" w:hAnsi="Bookman Old Style"/>
        </w:rPr>
        <w:t xml:space="preserve">Mantiene inoltre carattere di urgenza un </w:t>
      </w:r>
      <w:r w:rsidRPr="00F848B3">
        <w:rPr>
          <w:rFonts w:ascii="Bookman Old Style" w:hAnsi="Bookman Old Style"/>
          <w:b/>
        </w:rPr>
        <w:t>intervento di riforma che sciolga nodi fondamentali di tipo ordinamentale</w:t>
      </w:r>
      <w:r w:rsidRPr="00F848B3">
        <w:rPr>
          <w:rFonts w:ascii="Bookman Old Style" w:hAnsi="Bookman Old Style"/>
        </w:rPr>
        <w:t xml:space="preserve"> prima ancora che finanziario. Il destino dei nuovi enti deve riflettere il ruolo di motore dell’innovazione e dello sviluppo di aree cruciali per l’intera economia nazionale, attraverso scelte che definiscano un “nuovo inizio”, facendo tabula rasa dell’attuale intrico di contributi e prelievi eredità della stretta imposta all’intero comparto delle aree vaste, e stabiliscano le funzioni operative e strategiche in modo univoco sulla base di congrue risorse proprie e derivate.</w:t>
      </w:r>
    </w:p>
    <w:p w:rsidR="00F4624B" w:rsidRPr="00C0124E" w:rsidRDefault="005A3A01" w:rsidP="00C0124E">
      <w:pPr>
        <w:spacing w:after="120"/>
        <w:jc w:val="both"/>
        <w:rPr>
          <w:rFonts w:ascii="Bookman Old Style" w:hAnsi="Bookman Old Style"/>
        </w:rPr>
      </w:pPr>
      <w:r w:rsidRPr="00F848B3">
        <w:rPr>
          <w:rFonts w:ascii="Bookman Old Style" w:hAnsi="Bookman Old Style"/>
        </w:rPr>
        <w:t>Un ruol</w:t>
      </w:r>
      <w:r w:rsidR="00DA7B9F" w:rsidRPr="00F848B3">
        <w:rPr>
          <w:rFonts w:ascii="Bookman Old Style" w:hAnsi="Bookman Old Style"/>
        </w:rPr>
        <w:t xml:space="preserve">o per il ridisegno del sistema </w:t>
      </w:r>
      <w:r w:rsidRPr="00F848B3">
        <w:rPr>
          <w:rFonts w:ascii="Bookman Old Style" w:hAnsi="Bookman Old Style"/>
        </w:rPr>
        <w:t xml:space="preserve">finanziario ed ordinamentale degli enti di “area vasta” può essere giocato da una </w:t>
      </w:r>
      <w:r w:rsidRPr="00F848B3">
        <w:rPr>
          <w:rFonts w:ascii="Bookman Old Style" w:hAnsi="Bookman Old Style"/>
          <w:b/>
        </w:rPr>
        <w:t>radicale rivisitazione dei fabbisogni standard</w:t>
      </w:r>
      <w:r w:rsidRPr="00F848B3">
        <w:rPr>
          <w:rFonts w:ascii="Bookman Old Style" w:hAnsi="Bookman Old Style"/>
        </w:rPr>
        <w:t xml:space="preserve">, mai applicati al comparto se non in forme atipiche a giustificazione dei tagli abnormi predeterminati ed applicati tra il 2014 e il 2017, che dovrebbero </w:t>
      </w:r>
      <w:r w:rsidRPr="00F848B3">
        <w:rPr>
          <w:rFonts w:ascii="Bookman Old Style" w:hAnsi="Bookman Old Style"/>
          <w:b/>
        </w:rPr>
        <w:t>fornire un riferimento condiviso per l’insieme delle funzioni assegnate dalla legge alle Città metropolitane.</w:t>
      </w:r>
      <w:r w:rsidR="00DA7B9F" w:rsidRPr="00F848B3">
        <w:rPr>
          <w:rFonts w:ascii="Bookman Old Style" w:hAnsi="Bookman Old Style"/>
          <w:b/>
        </w:rPr>
        <w:t xml:space="preserve"> Una nuova stagione riformatrice degli enti di area vasta dovrebbe riguardare anche l’assetto delle entrate, avviando la costruzione di un </w:t>
      </w:r>
      <w:r w:rsidR="00D3750A" w:rsidRPr="0088211E">
        <w:rPr>
          <w:rFonts w:ascii="Bookman Old Style" w:hAnsi="Bookman Old Style"/>
          <w:b/>
        </w:rPr>
        <w:t xml:space="preserve">sistema </w:t>
      </w:r>
      <w:r w:rsidR="00DA7B9F" w:rsidRPr="0088211E">
        <w:rPr>
          <w:rFonts w:ascii="Bookman Old Style" w:hAnsi="Bookman Old Style"/>
          <w:b/>
        </w:rPr>
        <w:t>fiscale di respiro metropolitano.</w:t>
      </w:r>
      <w:r w:rsidR="006D7A99" w:rsidRPr="0088211E">
        <w:rPr>
          <w:rFonts w:ascii="Bookman Old Style" w:hAnsi="Bookman Old Style"/>
          <w:b/>
        </w:rPr>
        <w:t xml:space="preserve"> </w:t>
      </w:r>
      <w:r w:rsidR="00DA7B9F" w:rsidRPr="0088211E">
        <w:rPr>
          <w:rFonts w:ascii="Bookman Old Style" w:hAnsi="Bookman Old Style"/>
        </w:rPr>
        <w:t>Sotto quest’ultimo profilo, l’ANCI propone</w:t>
      </w:r>
      <w:r w:rsidR="00A41CBB" w:rsidRPr="0088211E">
        <w:rPr>
          <w:rFonts w:ascii="Bookman Old Style" w:hAnsi="Bookman Old Style"/>
        </w:rPr>
        <w:t xml:space="preserve"> </w:t>
      </w:r>
      <w:r w:rsidR="00DA7B9F" w:rsidRPr="0088211E">
        <w:rPr>
          <w:rFonts w:ascii="Bookman Old Style" w:hAnsi="Bookman Old Style"/>
        </w:rPr>
        <w:t>l’istituzione</w:t>
      </w:r>
      <w:r w:rsidR="00A41CBB" w:rsidRPr="0088211E">
        <w:rPr>
          <w:rFonts w:ascii="Bookman Old Style" w:hAnsi="Bookman Old Style"/>
        </w:rPr>
        <w:t xml:space="preserve"> </w:t>
      </w:r>
      <w:r w:rsidR="00DA7B9F" w:rsidRPr="0088211E">
        <w:rPr>
          <w:rFonts w:ascii="Bookman Old Style" w:hAnsi="Bookman Old Style"/>
        </w:rPr>
        <w:t>di</w:t>
      </w:r>
      <w:r w:rsidR="00A41CBB" w:rsidRPr="0088211E">
        <w:rPr>
          <w:rFonts w:ascii="Bookman Old Style" w:hAnsi="Bookman Old Style"/>
        </w:rPr>
        <w:t xml:space="preserve"> </w:t>
      </w:r>
      <w:r w:rsidR="00DA7B9F" w:rsidRPr="0088211E">
        <w:rPr>
          <w:rFonts w:ascii="Bookman Old Style" w:hAnsi="Bookman Old Style"/>
        </w:rPr>
        <w:t>una</w:t>
      </w:r>
      <w:r w:rsidR="00A41CBB" w:rsidRPr="0088211E">
        <w:rPr>
          <w:rFonts w:ascii="Bookman Old Style" w:hAnsi="Bookman Old Style"/>
        </w:rPr>
        <w:t xml:space="preserve"> </w:t>
      </w:r>
      <w:r w:rsidR="00DA7B9F" w:rsidRPr="0088211E">
        <w:rPr>
          <w:rFonts w:ascii="Bookman Old Style" w:hAnsi="Bookman Old Style"/>
        </w:rPr>
        <w:t>specifica</w:t>
      </w:r>
      <w:r w:rsidR="00A41CBB" w:rsidRPr="0088211E">
        <w:rPr>
          <w:rFonts w:ascii="Bookman Old Style" w:hAnsi="Bookman Old Style"/>
        </w:rPr>
        <w:t xml:space="preserve"> </w:t>
      </w:r>
      <w:r w:rsidR="00DA7B9F" w:rsidRPr="0088211E">
        <w:rPr>
          <w:rFonts w:ascii="Bookman Old Style" w:hAnsi="Bookman Old Style"/>
        </w:rPr>
        <w:t>entrata</w:t>
      </w:r>
      <w:r w:rsidR="00A41CBB" w:rsidRPr="0088211E">
        <w:rPr>
          <w:rFonts w:ascii="Bookman Old Style" w:hAnsi="Bookman Old Style"/>
        </w:rPr>
        <w:t xml:space="preserve"> </w:t>
      </w:r>
      <w:r w:rsidR="00DA7B9F" w:rsidRPr="0088211E">
        <w:rPr>
          <w:rFonts w:ascii="Bookman Old Style" w:hAnsi="Bookman Old Style"/>
        </w:rPr>
        <w:t>propria</w:t>
      </w:r>
      <w:r w:rsidR="00A41CBB" w:rsidRPr="0088211E">
        <w:rPr>
          <w:rFonts w:ascii="Bookman Old Style" w:hAnsi="Bookman Old Style"/>
        </w:rPr>
        <w:t xml:space="preserve"> </w:t>
      </w:r>
      <w:r w:rsidR="00DA7B9F" w:rsidRPr="0088211E">
        <w:rPr>
          <w:rFonts w:ascii="Bookman Old Style" w:hAnsi="Bookman Old Style"/>
        </w:rPr>
        <w:t>delle</w:t>
      </w:r>
      <w:r w:rsidR="00A41CBB" w:rsidRPr="0088211E">
        <w:rPr>
          <w:rFonts w:ascii="Bookman Old Style" w:hAnsi="Bookman Old Style"/>
        </w:rPr>
        <w:t xml:space="preserve"> </w:t>
      </w:r>
      <w:r w:rsidR="00DA7B9F" w:rsidRPr="0088211E">
        <w:rPr>
          <w:rFonts w:ascii="Bookman Old Style" w:hAnsi="Bookman Old Style"/>
        </w:rPr>
        <w:t>Città</w:t>
      </w:r>
      <w:r w:rsidR="00A41CBB" w:rsidRPr="0088211E">
        <w:rPr>
          <w:rFonts w:ascii="Bookman Old Style" w:hAnsi="Bookman Old Style"/>
        </w:rPr>
        <w:t xml:space="preserve"> </w:t>
      </w:r>
      <w:r w:rsidR="00DA7B9F" w:rsidRPr="0088211E">
        <w:rPr>
          <w:rFonts w:ascii="Bookman Old Style" w:hAnsi="Bookman Old Style"/>
        </w:rPr>
        <w:t>metropolitane</w:t>
      </w:r>
      <w:r w:rsidR="006D7A99" w:rsidRPr="0088211E">
        <w:rPr>
          <w:rFonts w:ascii="Bookman Old Style" w:hAnsi="Bookman Old Style"/>
        </w:rPr>
        <w:t>,</w:t>
      </w:r>
      <w:r w:rsidR="00DA7B9F" w:rsidRPr="0088211E">
        <w:rPr>
          <w:rFonts w:ascii="Bookman Old Style" w:hAnsi="Bookman Old Style"/>
        </w:rPr>
        <w:t xml:space="preserve"> in attuazione dell’articolo 24, comma 4, del </w:t>
      </w:r>
      <w:r w:rsidR="00345A50" w:rsidRPr="0088211E">
        <w:rPr>
          <w:rFonts w:ascii="Bookman Old Style" w:hAnsi="Bookman Old Style"/>
        </w:rPr>
        <w:t>D</w:t>
      </w:r>
      <w:r w:rsidR="00DA7B9F" w:rsidRPr="0088211E">
        <w:rPr>
          <w:rFonts w:ascii="Bookman Old Style" w:hAnsi="Bookman Old Style"/>
        </w:rPr>
        <w:t>.</w:t>
      </w:r>
      <w:r w:rsidR="00345A50" w:rsidRPr="0088211E">
        <w:rPr>
          <w:rFonts w:ascii="Bookman Old Style" w:hAnsi="Bookman Old Style"/>
        </w:rPr>
        <w:t>Lgs</w:t>
      </w:r>
      <w:r w:rsidR="00DA7B9F" w:rsidRPr="0088211E">
        <w:rPr>
          <w:rFonts w:ascii="Bookman Old Style" w:hAnsi="Bookman Old Style"/>
        </w:rPr>
        <w:t>. n. 68 del 2011, la cui previsione è finora rimasta</w:t>
      </w:r>
      <w:r w:rsidR="00A41CBB" w:rsidRPr="0088211E">
        <w:rPr>
          <w:rFonts w:ascii="Bookman Old Style" w:hAnsi="Bookman Old Style"/>
        </w:rPr>
        <w:t xml:space="preserve"> </w:t>
      </w:r>
      <w:r w:rsidR="00DA7B9F" w:rsidRPr="0088211E">
        <w:rPr>
          <w:rFonts w:ascii="Bookman Old Style" w:hAnsi="Bookman Old Style"/>
        </w:rPr>
        <w:t>inattuata.</w:t>
      </w:r>
      <w:r w:rsidR="00A41CBB" w:rsidRPr="0088211E">
        <w:rPr>
          <w:rFonts w:ascii="Bookman Old Style" w:hAnsi="Bookman Old Style"/>
        </w:rPr>
        <w:t xml:space="preserve"> </w:t>
      </w:r>
      <w:r w:rsidR="006D7A99" w:rsidRPr="0088211E">
        <w:rPr>
          <w:rFonts w:ascii="Bookman Old Style" w:hAnsi="Bookman Old Style"/>
        </w:rPr>
        <w:t>S</w:t>
      </w:r>
      <w:r w:rsidR="00DA7B9F" w:rsidRPr="0088211E">
        <w:rPr>
          <w:rFonts w:ascii="Bookman Old Style" w:hAnsi="Bookman Old Style"/>
        </w:rPr>
        <w:t>i propone</w:t>
      </w:r>
      <w:r w:rsidR="00F8216E" w:rsidRPr="0088211E">
        <w:rPr>
          <w:rFonts w:ascii="Bookman Old Style" w:hAnsi="Bookman Old Style"/>
        </w:rPr>
        <w:t>,</w:t>
      </w:r>
      <w:r w:rsidR="006D7A99" w:rsidRPr="0088211E">
        <w:rPr>
          <w:rFonts w:ascii="Bookman Old Style" w:hAnsi="Bookman Old Style"/>
        </w:rPr>
        <w:t xml:space="preserve"> nello specifico,</w:t>
      </w:r>
      <w:r w:rsidR="00DA7B9F" w:rsidRPr="0088211E">
        <w:rPr>
          <w:rFonts w:ascii="Bookman Old Style" w:hAnsi="Bookman Old Style"/>
        </w:rPr>
        <w:t xml:space="preserve"> l’istituzione</w:t>
      </w:r>
      <w:r w:rsidR="00A41CBB" w:rsidRPr="0088211E">
        <w:rPr>
          <w:rFonts w:ascii="Bookman Old Style" w:hAnsi="Bookman Old Style"/>
        </w:rPr>
        <w:t xml:space="preserve"> </w:t>
      </w:r>
      <w:r w:rsidR="006D7A99" w:rsidRPr="0088211E">
        <w:rPr>
          <w:rFonts w:ascii="Bookman Old Style" w:hAnsi="Bookman Old Style"/>
        </w:rPr>
        <w:t xml:space="preserve">di un </w:t>
      </w:r>
      <w:r w:rsidR="006D7A99" w:rsidRPr="0088211E">
        <w:rPr>
          <w:rFonts w:ascii="Bookman Old Style" w:hAnsi="Bookman Old Style"/>
          <w:b/>
        </w:rPr>
        <w:t>tributo</w:t>
      </w:r>
      <w:r w:rsidR="00A41CBB" w:rsidRPr="0088211E">
        <w:rPr>
          <w:rFonts w:ascii="Bookman Old Style" w:hAnsi="Bookman Old Style"/>
          <w:b/>
        </w:rPr>
        <w:t xml:space="preserve"> </w:t>
      </w:r>
      <w:r w:rsidR="00DA7B9F" w:rsidRPr="0088211E">
        <w:rPr>
          <w:rFonts w:ascii="Bookman Old Style" w:hAnsi="Bookman Old Style"/>
          <w:b/>
        </w:rPr>
        <w:t>sull’imbarco/sbarco</w:t>
      </w:r>
      <w:r w:rsidR="00A41CBB" w:rsidRPr="0088211E">
        <w:rPr>
          <w:rFonts w:ascii="Bookman Old Style" w:hAnsi="Bookman Old Style"/>
          <w:b/>
        </w:rPr>
        <w:t xml:space="preserve"> </w:t>
      </w:r>
      <w:r w:rsidR="00DA7B9F" w:rsidRPr="0088211E">
        <w:rPr>
          <w:rFonts w:ascii="Bookman Old Style" w:hAnsi="Bookman Old Style"/>
          <w:b/>
        </w:rPr>
        <w:t>dei passeggeri</w:t>
      </w:r>
      <w:r w:rsidR="00A41CBB">
        <w:rPr>
          <w:rFonts w:ascii="Bookman Old Style" w:hAnsi="Bookman Old Style"/>
          <w:b/>
        </w:rPr>
        <w:t xml:space="preserve"> </w:t>
      </w:r>
      <w:r w:rsidR="00DA7B9F" w:rsidRPr="00F848B3">
        <w:rPr>
          <w:rFonts w:ascii="Bookman Old Style" w:hAnsi="Bookman Old Style"/>
          <w:b/>
        </w:rPr>
        <w:t>nei</w:t>
      </w:r>
      <w:r w:rsidR="00A41CBB">
        <w:rPr>
          <w:rFonts w:ascii="Bookman Old Style" w:hAnsi="Bookman Old Style"/>
          <w:b/>
        </w:rPr>
        <w:t xml:space="preserve"> </w:t>
      </w:r>
      <w:r w:rsidR="00DA7B9F" w:rsidRPr="00F848B3">
        <w:rPr>
          <w:rFonts w:ascii="Bookman Old Style" w:hAnsi="Bookman Old Style"/>
          <w:b/>
        </w:rPr>
        <w:t>porti</w:t>
      </w:r>
      <w:r w:rsidR="00A41CBB">
        <w:rPr>
          <w:rFonts w:ascii="Bookman Old Style" w:hAnsi="Bookman Old Style"/>
          <w:b/>
        </w:rPr>
        <w:t xml:space="preserve"> </w:t>
      </w:r>
      <w:r w:rsidR="00DA7B9F" w:rsidRPr="00F848B3">
        <w:rPr>
          <w:rFonts w:ascii="Bookman Old Style" w:hAnsi="Bookman Old Style"/>
          <w:b/>
        </w:rPr>
        <w:t>ed</w:t>
      </w:r>
      <w:r w:rsidR="00A41CBB">
        <w:rPr>
          <w:rFonts w:ascii="Bookman Old Style" w:hAnsi="Bookman Old Style"/>
          <w:b/>
        </w:rPr>
        <w:t xml:space="preserve"> </w:t>
      </w:r>
      <w:r w:rsidR="00DA7B9F" w:rsidRPr="00F848B3">
        <w:rPr>
          <w:rFonts w:ascii="Bookman Old Style" w:hAnsi="Bookman Old Style"/>
          <w:b/>
        </w:rPr>
        <w:t>aeroporti</w:t>
      </w:r>
      <w:r w:rsidR="00A41CBB">
        <w:rPr>
          <w:rFonts w:ascii="Bookman Old Style" w:hAnsi="Bookman Old Style"/>
        </w:rPr>
        <w:t xml:space="preserve"> </w:t>
      </w:r>
      <w:r w:rsidR="00DA7B9F" w:rsidRPr="00F848B3">
        <w:rPr>
          <w:rFonts w:ascii="Bookman Old Style" w:hAnsi="Bookman Old Style"/>
        </w:rPr>
        <w:t>siti</w:t>
      </w:r>
      <w:r w:rsidR="00A41CBB">
        <w:rPr>
          <w:rFonts w:ascii="Bookman Old Style" w:hAnsi="Bookman Old Style"/>
        </w:rPr>
        <w:t xml:space="preserve"> </w:t>
      </w:r>
      <w:r w:rsidR="00DA7B9F" w:rsidRPr="00F848B3">
        <w:rPr>
          <w:rFonts w:ascii="Bookman Old Style" w:hAnsi="Bookman Old Style"/>
        </w:rPr>
        <w:t>nel</w:t>
      </w:r>
      <w:r w:rsidR="00A41CBB">
        <w:rPr>
          <w:rFonts w:ascii="Bookman Old Style" w:hAnsi="Bookman Old Style"/>
        </w:rPr>
        <w:t xml:space="preserve"> </w:t>
      </w:r>
      <w:r w:rsidR="00DA7B9F" w:rsidRPr="00F848B3">
        <w:rPr>
          <w:rFonts w:ascii="Bookman Old Style" w:hAnsi="Bookman Old Style"/>
        </w:rPr>
        <w:t>territorio</w:t>
      </w:r>
      <w:r w:rsidR="00A41CBB">
        <w:rPr>
          <w:rFonts w:ascii="Bookman Old Style" w:hAnsi="Bookman Old Style"/>
        </w:rPr>
        <w:t xml:space="preserve"> </w:t>
      </w:r>
      <w:r w:rsidR="00DA7B9F" w:rsidRPr="00F848B3">
        <w:rPr>
          <w:rFonts w:ascii="Bookman Old Style" w:hAnsi="Bookman Old Style"/>
        </w:rPr>
        <w:t>delle</w:t>
      </w:r>
      <w:r w:rsidR="00A41CBB">
        <w:rPr>
          <w:rFonts w:ascii="Bookman Old Style" w:hAnsi="Bookman Old Style"/>
        </w:rPr>
        <w:t xml:space="preserve"> </w:t>
      </w:r>
      <w:r w:rsidR="00DA7B9F" w:rsidRPr="00F848B3">
        <w:rPr>
          <w:rFonts w:ascii="Bookman Old Style" w:hAnsi="Bookman Old Style"/>
        </w:rPr>
        <w:t>città</w:t>
      </w:r>
      <w:r w:rsidR="00A41CBB">
        <w:rPr>
          <w:rFonts w:ascii="Bookman Old Style" w:hAnsi="Bookman Old Style"/>
        </w:rPr>
        <w:t xml:space="preserve"> </w:t>
      </w:r>
      <w:r w:rsidR="00DA7B9F" w:rsidRPr="00F848B3">
        <w:rPr>
          <w:rFonts w:ascii="Bookman Old Style" w:hAnsi="Bookman Old Style"/>
        </w:rPr>
        <w:t>metropolitane,</w:t>
      </w:r>
      <w:r w:rsidR="00A41CBB">
        <w:rPr>
          <w:rFonts w:ascii="Bookman Old Style" w:hAnsi="Bookman Old Style"/>
        </w:rPr>
        <w:t xml:space="preserve"> </w:t>
      </w:r>
      <w:r w:rsidR="00DA7B9F" w:rsidRPr="00F848B3">
        <w:rPr>
          <w:rFonts w:ascii="Bookman Old Style" w:hAnsi="Bookman Old Style"/>
        </w:rPr>
        <w:t xml:space="preserve">anziché rimandare ad un successivo provvedimento </w:t>
      </w:r>
      <w:r w:rsidR="00C0124E">
        <w:rPr>
          <w:rFonts w:ascii="Bookman Old Style" w:hAnsi="Bookman Old Style"/>
        </w:rPr>
        <w:t>attuativo.</w:t>
      </w:r>
    </w:p>
    <w:sectPr w:rsidR="00F4624B" w:rsidRPr="00C0124E" w:rsidSect="0036089B">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E8B" w:rsidRDefault="00F15E8B" w:rsidP="00B023A4">
      <w:pPr>
        <w:spacing w:after="0" w:line="240" w:lineRule="auto"/>
      </w:pPr>
      <w:r>
        <w:separator/>
      </w:r>
    </w:p>
  </w:endnote>
  <w:endnote w:type="continuationSeparator" w:id="0">
    <w:p w:rsidR="00F15E8B" w:rsidRDefault="00F15E8B" w:rsidP="00B0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charset w:val="00"/>
    <w:family w:val="swiss"/>
    <w:pitch w:val="variable"/>
    <w:sig w:usb0="00000287" w:usb1="00000000" w:usb2="00000000" w:usb3="00000000" w:csb0="0000009F" w:csb1="00000000"/>
  </w:font>
  <w:font w:name="BookAntiqu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7750"/>
      <w:docPartObj>
        <w:docPartGallery w:val="Page Numbers (Bottom of Page)"/>
        <w:docPartUnique/>
      </w:docPartObj>
    </w:sdtPr>
    <w:sdtEndPr/>
    <w:sdtContent>
      <w:p w:rsidR="000514C3" w:rsidRDefault="0036089B">
        <w:pPr>
          <w:pStyle w:val="Pidipagina"/>
          <w:jc w:val="center"/>
        </w:pPr>
        <w:r>
          <w:fldChar w:fldCharType="begin"/>
        </w:r>
        <w:r w:rsidR="000514C3">
          <w:instrText>PAGE   \* MERGEFORMAT</w:instrText>
        </w:r>
        <w:r>
          <w:fldChar w:fldCharType="separate"/>
        </w:r>
        <w:r w:rsidR="004D2CE7">
          <w:rPr>
            <w:noProof/>
          </w:rPr>
          <w:t>1</w:t>
        </w:r>
        <w:r>
          <w:fldChar w:fldCharType="end"/>
        </w:r>
      </w:p>
    </w:sdtContent>
  </w:sdt>
  <w:p w:rsidR="000514C3" w:rsidRDefault="000514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E8B" w:rsidRDefault="00F15E8B" w:rsidP="00B023A4">
      <w:pPr>
        <w:spacing w:after="0" w:line="240" w:lineRule="auto"/>
      </w:pPr>
      <w:r>
        <w:separator/>
      </w:r>
    </w:p>
  </w:footnote>
  <w:footnote w:type="continuationSeparator" w:id="0">
    <w:p w:rsidR="00F15E8B" w:rsidRDefault="00F15E8B" w:rsidP="00B02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C3" w:rsidRDefault="000514C3" w:rsidP="00B023A4">
    <w:pPr>
      <w:pStyle w:val="Intestazione"/>
      <w:jc w:val="center"/>
    </w:pPr>
    <w:r>
      <w:rPr>
        <w:rFonts w:ascii="Bookman Old Style" w:eastAsia="Times New Roman" w:hAnsi="Bookman Old Style" w:cs="Calibri"/>
        <w:noProof/>
        <w:lang w:eastAsia="it-IT"/>
      </w:rPr>
      <w:drawing>
        <wp:inline distT="0" distB="0" distL="0" distR="0">
          <wp:extent cx="592531" cy="883866"/>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94332" cy="886553"/>
                  </a:xfrm>
                  <a:prstGeom prst="rect">
                    <a:avLst/>
                  </a:prstGeom>
                  <a:noFill/>
                  <a:ln w="9525">
                    <a:noFill/>
                    <a:miter lim="800000"/>
                    <a:headEnd/>
                    <a:tailEnd/>
                  </a:ln>
                </pic:spPr>
              </pic:pic>
            </a:graphicData>
          </a:graphic>
        </wp:inline>
      </w:drawing>
    </w:r>
  </w:p>
  <w:p w:rsidR="000514C3" w:rsidRDefault="000514C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5766"/>
    <w:multiLevelType w:val="hybridMultilevel"/>
    <w:tmpl w:val="BC18765A"/>
    <w:lvl w:ilvl="0" w:tplc="9D9A8E1E">
      <w:start w:val="153"/>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2263F9"/>
    <w:multiLevelType w:val="hybridMultilevel"/>
    <w:tmpl w:val="F956093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 w15:restartNumberingAfterBreak="0">
    <w:nsid w:val="0E406CB4"/>
    <w:multiLevelType w:val="hybridMultilevel"/>
    <w:tmpl w:val="5F3605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2AC0663"/>
    <w:multiLevelType w:val="hybridMultilevel"/>
    <w:tmpl w:val="88D617E0"/>
    <w:lvl w:ilvl="0" w:tplc="895E3E76">
      <w:start w:val="6"/>
      <w:numFmt w:val="bullet"/>
      <w:lvlText w:val="-"/>
      <w:lvlJc w:val="left"/>
      <w:pPr>
        <w:ind w:left="420" w:hanging="360"/>
      </w:pPr>
      <w:rPr>
        <w:rFonts w:ascii="Calibri" w:eastAsia="Calibri" w:hAnsi="Calibri"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12F871F7"/>
    <w:multiLevelType w:val="hybridMultilevel"/>
    <w:tmpl w:val="2F0C4494"/>
    <w:lvl w:ilvl="0" w:tplc="A2C044C8">
      <w:start w:val="3"/>
      <w:numFmt w:val="bullet"/>
      <w:lvlText w:val="-"/>
      <w:lvlJc w:val="left"/>
      <w:pPr>
        <w:ind w:left="720" w:hanging="360"/>
      </w:pPr>
      <w:rPr>
        <w:rFonts w:ascii="Book Antiqua" w:eastAsia="Times New Roman" w:hAnsi="Book Antiqu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1658FC"/>
    <w:multiLevelType w:val="hybridMultilevel"/>
    <w:tmpl w:val="1B7E1F7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15:restartNumberingAfterBreak="0">
    <w:nsid w:val="2EEA7169"/>
    <w:multiLevelType w:val="hybridMultilevel"/>
    <w:tmpl w:val="82741ABA"/>
    <w:lvl w:ilvl="0" w:tplc="4350D60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DD0A22"/>
    <w:multiLevelType w:val="hybridMultilevel"/>
    <w:tmpl w:val="D71287C0"/>
    <w:lvl w:ilvl="0" w:tplc="7AD0015A">
      <w:start w:val="7"/>
      <w:numFmt w:val="bullet"/>
      <w:lvlText w:val="-"/>
      <w:lvlJc w:val="left"/>
      <w:pPr>
        <w:ind w:left="720"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98354D"/>
    <w:multiLevelType w:val="hybridMultilevel"/>
    <w:tmpl w:val="FF6A342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15:restartNumberingAfterBreak="0">
    <w:nsid w:val="74566036"/>
    <w:multiLevelType w:val="hybridMultilevel"/>
    <w:tmpl w:val="B35EBE86"/>
    <w:lvl w:ilvl="0" w:tplc="BC8836DA">
      <w:start w:val="448"/>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6737E95"/>
    <w:multiLevelType w:val="hybridMultilevel"/>
    <w:tmpl w:val="F94803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6AB3DCF"/>
    <w:multiLevelType w:val="hybridMultilevel"/>
    <w:tmpl w:val="BEB6C5F8"/>
    <w:lvl w:ilvl="0" w:tplc="04100017">
      <w:start w:val="1"/>
      <w:numFmt w:val="lowerLetter"/>
      <w:lvlText w:val="%1)"/>
      <w:lvlJc w:val="left"/>
      <w:pPr>
        <w:tabs>
          <w:tab w:val="num" w:pos="720"/>
        </w:tabs>
        <w:ind w:left="720" w:hanging="360"/>
      </w:pPr>
      <w:rPr>
        <w:rFonts w:hint="default"/>
      </w:rPr>
    </w:lvl>
    <w:lvl w:ilvl="1" w:tplc="0960E710" w:tentative="1">
      <w:start w:val="1"/>
      <w:numFmt w:val="bullet"/>
      <w:lvlText w:val=""/>
      <w:lvlJc w:val="left"/>
      <w:pPr>
        <w:tabs>
          <w:tab w:val="num" w:pos="1440"/>
        </w:tabs>
        <w:ind w:left="1440" w:hanging="360"/>
      </w:pPr>
      <w:rPr>
        <w:rFonts w:ascii="Wingdings" w:hAnsi="Wingdings" w:hint="default"/>
      </w:rPr>
    </w:lvl>
    <w:lvl w:ilvl="2" w:tplc="E006DE24" w:tentative="1">
      <w:start w:val="1"/>
      <w:numFmt w:val="bullet"/>
      <w:lvlText w:val=""/>
      <w:lvlJc w:val="left"/>
      <w:pPr>
        <w:tabs>
          <w:tab w:val="num" w:pos="2160"/>
        </w:tabs>
        <w:ind w:left="2160" w:hanging="360"/>
      </w:pPr>
      <w:rPr>
        <w:rFonts w:ascii="Wingdings" w:hAnsi="Wingdings" w:hint="default"/>
      </w:rPr>
    </w:lvl>
    <w:lvl w:ilvl="3" w:tplc="A7806F08" w:tentative="1">
      <w:start w:val="1"/>
      <w:numFmt w:val="bullet"/>
      <w:lvlText w:val=""/>
      <w:lvlJc w:val="left"/>
      <w:pPr>
        <w:tabs>
          <w:tab w:val="num" w:pos="2880"/>
        </w:tabs>
        <w:ind w:left="2880" w:hanging="360"/>
      </w:pPr>
      <w:rPr>
        <w:rFonts w:ascii="Wingdings" w:hAnsi="Wingdings" w:hint="default"/>
      </w:rPr>
    </w:lvl>
    <w:lvl w:ilvl="4" w:tplc="2402E2CE" w:tentative="1">
      <w:start w:val="1"/>
      <w:numFmt w:val="bullet"/>
      <w:lvlText w:val=""/>
      <w:lvlJc w:val="left"/>
      <w:pPr>
        <w:tabs>
          <w:tab w:val="num" w:pos="3600"/>
        </w:tabs>
        <w:ind w:left="3600" w:hanging="360"/>
      </w:pPr>
      <w:rPr>
        <w:rFonts w:ascii="Wingdings" w:hAnsi="Wingdings" w:hint="default"/>
      </w:rPr>
    </w:lvl>
    <w:lvl w:ilvl="5" w:tplc="BB3EEE5C" w:tentative="1">
      <w:start w:val="1"/>
      <w:numFmt w:val="bullet"/>
      <w:lvlText w:val=""/>
      <w:lvlJc w:val="left"/>
      <w:pPr>
        <w:tabs>
          <w:tab w:val="num" w:pos="4320"/>
        </w:tabs>
        <w:ind w:left="4320" w:hanging="360"/>
      </w:pPr>
      <w:rPr>
        <w:rFonts w:ascii="Wingdings" w:hAnsi="Wingdings" w:hint="default"/>
      </w:rPr>
    </w:lvl>
    <w:lvl w:ilvl="6" w:tplc="FAC4EF0A" w:tentative="1">
      <w:start w:val="1"/>
      <w:numFmt w:val="bullet"/>
      <w:lvlText w:val=""/>
      <w:lvlJc w:val="left"/>
      <w:pPr>
        <w:tabs>
          <w:tab w:val="num" w:pos="5040"/>
        </w:tabs>
        <w:ind w:left="5040" w:hanging="360"/>
      </w:pPr>
      <w:rPr>
        <w:rFonts w:ascii="Wingdings" w:hAnsi="Wingdings" w:hint="default"/>
      </w:rPr>
    </w:lvl>
    <w:lvl w:ilvl="7" w:tplc="02468F02" w:tentative="1">
      <w:start w:val="1"/>
      <w:numFmt w:val="bullet"/>
      <w:lvlText w:val=""/>
      <w:lvlJc w:val="left"/>
      <w:pPr>
        <w:tabs>
          <w:tab w:val="num" w:pos="5760"/>
        </w:tabs>
        <w:ind w:left="5760" w:hanging="360"/>
      </w:pPr>
      <w:rPr>
        <w:rFonts w:ascii="Wingdings" w:hAnsi="Wingdings" w:hint="default"/>
      </w:rPr>
    </w:lvl>
    <w:lvl w:ilvl="8" w:tplc="C6727F46"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0"/>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2MDYxM7Q0NzM1t7BU0lEKTi0uzszPAykwqQUA1RtyRSwAAAA="/>
  </w:docVars>
  <w:rsids>
    <w:rsidRoot w:val="000D0A77"/>
    <w:rsid w:val="00000B72"/>
    <w:rsid w:val="00012A0C"/>
    <w:rsid w:val="0001603D"/>
    <w:rsid w:val="00020E0C"/>
    <w:rsid w:val="000233D0"/>
    <w:rsid w:val="00031D98"/>
    <w:rsid w:val="0004296B"/>
    <w:rsid w:val="000514C3"/>
    <w:rsid w:val="000624C1"/>
    <w:rsid w:val="00067530"/>
    <w:rsid w:val="000B41CD"/>
    <w:rsid w:val="000B7FE3"/>
    <w:rsid w:val="000C1F4C"/>
    <w:rsid w:val="000C3921"/>
    <w:rsid w:val="000D0A77"/>
    <w:rsid w:val="000D0DD8"/>
    <w:rsid w:val="000D22B7"/>
    <w:rsid w:val="000D31FD"/>
    <w:rsid w:val="000F6973"/>
    <w:rsid w:val="0013788C"/>
    <w:rsid w:val="00144362"/>
    <w:rsid w:val="00152DA7"/>
    <w:rsid w:val="00167DCC"/>
    <w:rsid w:val="00181C06"/>
    <w:rsid w:val="00183CF3"/>
    <w:rsid w:val="001938DE"/>
    <w:rsid w:val="001A66AE"/>
    <w:rsid w:val="001C6782"/>
    <w:rsid w:val="001D0726"/>
    <w:rsid w:val="001D16BD"/>
    <w:rsid w:val="001D1BC2"/>
    <w:rsid w:val="001E6EE6"/>
    <w:rsid w:val="002404DA"/>
    <w:rsid w:val="00247099"/>
    <w:rsid w:val="002702B8"/>
    <w:rsid w:val="00293EAE"/>
    <w:rsid w:val="00294946"/>
    <w:rsid w:val="00294974"/>
    <w:rsid w:val="002A3669"/>
    <w:rsid w:val="002B48F3"/>
    <w:rsid w:val="002D4AFA"/>
    <w:rsid w:val="002D64F9"/>
    <w:rsid w:val="002E29A5"/>
    <w:rsid w:val="0030069C"/>
    <w:rsid w:val="003106EF"/>
    <w:rsid w:val="003141D1"/>
    <w:rsid w:val="00316C06"/>
    <w:rsid w:val="00324EDE"/>
    <w:rsid w:val="00324F57"/>
    <w:rsid w:val="00331D13"/>
    <w:rsid w:val="00345A50"/>
    <w:rsid w:val="00356C06"/>
    <w:rsid w:val="0036089B"/>
    <w:rsid w:val="0036507B"/>
    <w:rsid w:val="003A33BA"/>
    <w:rsid w:val="003C5F55"/>
    <w:rsid w:val="003C77A5"/>
    <w:rsid w:val="003D58C0"/>
    <w:rsid w:val="003E1C55"/>
    <w:rsid w:val="004229B3"/>
    <w:rsid w:val="004232AB"/>
    <w:rsid w:val="00432965"/>
    <w:rsid w:val="00462F5C"/>
    <w:rsid w:val="004D273E"/>
    <w:rsid w:val="004D2CE7"/>
    <w:rsid w:val="004E596F"/>
    <w:rsid w:val="004E6A80"/>
    <w:rsid w:val="004F4A85"/>
    <w:rsid w:val="004F5937"/>
    <w:rsid w:val="004F699E"/>
    <w:rsid w:val="00501A2D"/>
    <w:rsid w:val="00503219"/>
    <w:rsid w:val="005111C3"/>
    <w:rsid w:val="00592D7B"/>
    <w:rsid w:val="005A3A01"/>
    <w:rsid w:val="005C05BF"/>
    <w:rsid w:val="006136C4"/>
    <w:rsid w:val="0063354B"/>
    <w:rsid w:val="0065616E"/>
    <w:rsid w:val="006571DB"/>
    <w:rsid w:val="00664736"/>
    <w:rsid w:val="00677DFA"/>
    <w:rsid w:val="006A2F92"/>
    <w:rsid w:val="006D7A99"/>
    <w:rsid w:val="006F1D34"/>
    <w:rsid w:val="00706604"/>
    <w:rsid w:val="007070A6"/>
    <w:rsid w:val="00710955"/>
    <w:rsid w:val="007177A8"/>
    <w:rsid w:val="00734735"/>
    <w:rsid w:val="00741343"/>
    <w:rsid w:val="00761E1F"/>
    <w:rsid w:val="00774472"/>
    <w:rsid w:val="00777147"/>
    <w:rsid w:val="007A4B6F"/>
    <w:rsid w:val="007B1A8A"/>
    <w:rsid w:val="007B705F"/>
    <w:rsid w:val="007C01F0"/>
    <w:rsid w:val="007C157E"/>
    <w:rsid w:val="007D74F2"/>
    <w:rsid w:val="007E3EE0"/>
    <w:rsid w:val="007F252A"/>
    <w:rsid w:val="007F2C9D"/>
    <w:rsid w:val="00814075"/>
    <w:rsid w:val="00817B59"/>
    <w:rsid w:val="00821797"/>
    <w:rsid w:val="00835155"/>
    <w:rsid w:val="00851E6B"/>
    <w:rsid w:val="00864A65"/>
    <w:rsid w:val="00867D60"/>
    <w:rsid w:val="0087104D"/>
    <w:rsid w:val="0087253A"/>
    <w:rsid w:val="0088211E"/>
    <w:rsid w:val="00885501"/>
    <w:rsid w:val="00892902"/>
    <w:rsid w:val="008A0C91"/>
    <w:rsid w:val="008A2DCF"/>
    <w:rsid w:val="008B4ED1"/>
    <w:rsid w:val="008D2CE8"/>
    <w:rsid w:val="008E4070"/>
    <w:rsid w:val="008E5786"/>
    <w:rsid w:val="008E6D9A"/>
    <w:rsid w:val="008F5354"/>
    <w:rsid w:val="00902C6F"/>
    <w:rsid w:val="00936F64"/>
    <w:rsid w:val="009410B2"/>
    <w:rsid w:val="00952524"/>
    <w:rsid w:val="00963B22"/>
    <w:rsid w:val="0098460D"/>
    <w:rsid w:val="009B7B77"/>
    <w:rsid w:val="009B7E9E"/>
    <w:rsid w:val="009E1F32"/>
    <w:rsid w:val="009E4D48"/>
    <w:rsid w:val="009F4C20"/>
    <w:rsid w:val="009F6B3D"/>
    <w:rsid w:val="00A014C5"/>
    <w:rsid w:val="00A05D75"/>
    <w:rsid w:val="00A33D87"/>
    <w:rsid w:val="00A35B31"/>
    <w:rsid w:val="00A41CBB"/>
    <w:rsid w:val="00A45989"/>
    <w:rsid w:val="00A7067D"/>
    <w:rsid w:val="00A74732"/>
    <w:rsid w:val="00A82DE3"/>
    <w:rsid w:val="00AB3747"/>
    <w:rsid w:val="00AD4F3E"/>
    <w:rsid w:val="00AD7C20"/>
    <w:rsid w:val="00AD7CBC"/>
    <w:rsid w:val="00B023A4"/>
    <w:rsid w:val="00B075EF"/>
    <w:rsid w:val="00B157FE"/>
    <w:rsid w:val="00B21B78"/>
    <w:rsid w:val="00B262EC"/>
    <w:rsid w:val="00B41908"/>
    <w:rsid w:val="00B563D2"/>
    <w:rsid w:val="00B56E59"/>
    <w:rsid w:val="00B64257"/>
    <w:rsid w:val="00B67974"/>
    <w:rsid w:val="00B67F47"/>
    <w:rsid w:val="00B7067F"/>
    <w:rsid w:val="00BC47C6"/>
    <w:rsid w:val="00BD0E92"/>
    <w:rsid w:val="00BE3EA4"/>
    <w:rsid w:val="00BF428F"/>
    <w:rsid w:val="00BF7F2F"/>
    <w:rsid w:val="00C0124E"/>
    <w:rsid w:val="00C10932"/>
    <w:rsid w:val="00C15A6C"/>
    <w:rsid w:val="00C360B5"/>
    <w:rsid w:val="00C8612E"/>
    <w:rsid w:val="00C92D08"/>
    <w:rsid w:val="00CC3847"/>
    <w:rsid w:val="00CD18F0"/>
    <w:rsid w:val="00CE3F23"/>
    <w:rsid w:val="00CF0AD0"/>
    <w:rsid w:val="00D07F10"/>
    <w:rsid w:val="00D32ECF"/>
    <w:rsid w:val="00D3750A"/>
    <w:rsid w:val="00D4431B"/>
    <w:rsid w:val="00D719FB"/>
    <w:rsid w:val="00D953B0"/>
    <w:rsid w:val="00DA110F"/>
    <w:rsid w:val="00DA7B9F"/>
    <w:rsid w:val="00DB0F61"/>
    <w:rsid w:val="00DD7D20"/>
    <w:rsid w:val="00DE23FE"/>
    <w:rsid w:val="00E014CA"/>
    <w:rsid w:val="00E03E68"/>
    <w:rsid w:val="00E12858"/>
    <w:rsid w:val="00E201BD"/>
    <w:rsid w:val="00E351AF"/>
    <w:rsid w:val="00E4493B"/>
    <w:rsid w:val="00E53B45"/>
    <w:rsid w:val="00E63D0A"/>
    <w:rsid w:val="00E9271A"/>
    <w:rsid w:val="00E954C6"/>
    <w:rsid w:val="00EB0620"/>
    <w:rsid w:val="00EC7C89"/>
    <w:rsid w:val="00ED23FE"/>
    <w:rsid w:val="00ED3AC9"/>
    <w:rsid w:val="00ED6A98"/>
    <w:rsid w:val="00EE4A38"/>
    <w:rsid w:val="00EE5D07"/>
    <w:rsid w:val="00EF066F"/>
    <w:rsid w:val="00EF3DCA"/>
    <w:rsid w:val="00EF4ED1"/>
    <w:rsid w:val="00F15E8B"/>
    <w:rsid w:val="00F351E9"/>
    <w:rsid w:val="00F35E4B"/>
    <w:rsid w:val="00F4624B"/>
    <w:rsid w:val="00F74F08"/>
    <w:rsid w:val="00F77D4D"/>
    <w:rsid w:val="00F8216E"/>
    <w:rsid w:val="00F848B3"/>
    <w:rsid w:val="00F86BFE"/>
    <w:rsid w:val="00FC5E9A"/>
    <w:rsid w:val="00FE7410"/>
    <w:rsid w:val="00FE7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0991C-ED6E-4A6C-99E5-EE1838A8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36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109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A3A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23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23A4"/>
  </w:style>
  <w:style w:type="paragraph" w:styleId="Pidipagina">
    <w:name w:val="footer"/>
    <w:basedOn w:val="Normale"/>
    <w:link w:val="PidipaginaCarattere"/>
    <w:uiPriority w:val="99"/>
    <w:unhideWhenUsed/>
    <w:rsid w:val="00B023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23A4"/>
  </w:style>
  <w:style w:type="paragraph" w:styleId="Testofumetto">
    <w:name w:val="Balloon Text"/>
    <w:basedOn w:val="Normale"/>
    <w:link w:val="TestofumettoCarattere"/>
    <w:uiPriority w:val="99"/>
    <w:semiHidden/>
    <w:unhideWhenUsed/>
    <w:rsid w:val="00B023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23A4"/>
    <w:rPr>
      <w:rFonts w:ascii="Tahoma" w:hAnsi="Tahoma" w:cs="Tahoma"/>
      <w:sz w:val="16"/>
      <w:szCs w:val="16"/>
    </w:rPr>
  </w:style>
  <w:style w:type="character" w:customStyle="1" w:styleId="Titolo1Carattere">
    <w:name w:val="Titolo 1 Carattere"/>
    <w:basedOn w:val="Carpredefinitoparagrafo"/>
    <w:link w:val="Titolo1"/>
    <w:uiPriority w:val="9"/>
    <w:rsid w:val="00936F64"/>
    <w:rPr>
      <w:rFonts w:asciiTheme="majorHAnsi" w:eastAsiaTheme="majorEastAsia" w:hAnsiTheme="majorHAnsi" w:cstheme="majorBidi"/>
      <w:b/>
      <w:bCs/>
      <w:color w:val="365F91" w:themeColor="accent1" w:themeShade="BF"/>
      <w:sz w:val="28"/>
      <w:szCs w:val="28"/>
    </w:rPr>
  </w:style>
  <w:style w:type="character" w:styleId="Enfasiintensa">
    <w:name w:val="Intense Emphasis"/>
    <w:basedOn w:val="Carpredefinitoparagrafo"/>
    <w:uiPriority w:val="21"/>
    <w:qFormat/>
    <w:rsid w:val="00A014C5"/>
    <w:rPr>
      <w:i/>
      <w:iCs/>
      <w:color w:val="4F81BD" w:themeColor="accent1"/>
    </w:rPr>
  </w:style>
  <w:style w:type="character" w:styleId="Enfasigrassetto">
    <w:name w:val="Strong"/>
    <w:basedOn w:val="Carpredefinitoparagrafo"/>
    <w:uiPriority w:val="22"/>
    <w:qFormat/>
    <w:rsid w:val="00A014C5"/>
    <w:rPr>
      <w:b/>
      <w:bCs/>
    </w:rPr>
  </w:style>
  <w:style w:type="character" w:customStyle="1" w:styleId="ParagrafoelencoCarattere">
    <w:name w:val="Paragrafo elenco Carattere"/>
    <w:link w:val="Paragrafoelenco"/>
    <w:uiPriority w:val="34"/>
    <w:qFormat/>
    <w:locked/>
    <w:rsid w:val="00A014C5"/>
  </w:style>
  <w:style w:type="paragraph" w:styleId="Paragrafoelenco">
    <w:name w:val="List Paragraph"/>
    <w:basedOn w:val="Normale"/>
    <w:link w:val="ParagrafoelencoCarattere"/>
    <w:uiPriority w:val="34"/>
    <w:qFormat/>
    <w:rsid w:val="00A014C5"/>
    <w:pPr>
      <w:spacing w:after="160" w:line="256" w:lineRule="auto"/>
      <w:ind w:left="720"/>
      <w:contextualSpacing/>
    </w:pPr>
  </w:style>
  <w:style w:type="paragraph" w:styleId="Titolosommario">
    <w:name w:val="TOC Heading"/>
    <w:basedOn w:val="Titolo1"/>
    <w:next w:val="Normale"/>
    <w:uiPriority w:val="39"/>
    <w:semiHidden/>
    <w:unhideWhenUsed/>
    <w:qFormat/>
    <w:rsid w:val="00D32ECF"/>
    <w:pPr>
      <w:outlineLvl w:val="9"/>
    </w:pPr>
    <w:rPr>
      <w:lang w:eastAsia="it-IT"/>
    </w:rPr>
  </w:style>
  <w:style w:type="paragraph" w:styleId="Sommario1">
    <w:name w:val="toc 1"/>
    <w:basedOn w:val="Normale"/>
    <w:next w:val="Normale"/>
    <w:autoRedefine/>
    <w:uiPriority w:val="39"/>
    <w:unhideWhenUsed/>
    <w:rsid w:val="00D32ECF"/>
    <w:pPr>
      <w:spacing w:after="100"/>
    </w:pPr>
  </w:style>
  <w:style w:type="character" w:styleId="Collegamentoipertestuale">
    <w:name w:val="Hyperlink"/>
    <w:basedOn w:val="Carpredefinitoparagrafo"/>
    <w:uiPriority w:val="99"/>
    <w:unhideWhenUsed/>
    <w:rsid w:val="00D32ECF"/>
    <w:rPr>
      <w:color w:val="0000FF" w:themeColor="hyperlink"/>
      <w:u w:val="single"/>
    </w:rPr>
  </w:style>
  <w:style w:type="character" w:customStyle="1" w:styleId="Titolo2Carattere">
    <w:name w:val="Titolo 2 Carattere"/>
    <w:basedOn w:val="Carpredefinitoparagrafo"/>
    <w:link w:val="Titolo2"/>
    <w:uiPriority w:val="9"/>
    <w:rsid w:val="00C10932"/>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C10932"/>
    <w:pPr>
      <w:spacing w:after="100"/>
      <w:ind w:left="220"/>
    </w:pPr>
  </w:style>
  <w:style w:type="paragraph" w:styleId="NormaleWeb">
    <w:name w:val="Normal (Web)"/>
    <w:basedOn w:val="Normale"/>
    <w:uiPriority w:val="99"/>
    <w:unhideWhenUsed/>
    <w:rsid w:val="00A82D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5A3A01"/>
    <w:rPr>
      <w:rFonts w:asciiTheme="majorHAnsi" w:eastAsiaTheme="majorEastAsia" w:hAnsiTheme="majorHAnsi" w:cstheme="majorBidi"/>
      <w:b/>
      <w:bCs/>
      <w:color w:val="4F81BD" w:themeColor="accent1"/>
    </w:rPr>
  </w:style>
  <w:style w:type="paragraph" w:customStyle="1" w:styleId="Default">
    <w:name w:val="Default"/>
    <w:uiPriority w:val="99"/>
    <w:rsid w:val="005A3A01"/>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paragraph" w:styleId="Sommario3">
    <w:name w:val="toc 3"/>
    <w:basedOn w:val="Normale"/>
    <w:next w:val="Normale"/>
    <w:autoRedefine/>
    <w:uiPriority w:val="39"/>
    <w:unhideWhenUsed/>
    <w:rsid w:val="005A3A0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21684">
      <w:bodyDiv w:val="1"/>
      <w:marLeft w:val="0"/>
      <w:marRight w:val="0"/>
      <w:marTop w:val="0"/>
      <w:marBottom w:val="0"/>
      <w:divBdr>
        <w:top w:val="none" w:sz="0" w:space="0" w:color="auto"/>
        <w:left w:val="none" w:sz="0" w:space="0" w:color="auto"/>
        <w:bottom w:val="none" w:sz="0" w:space="0" w:color="auto"/>
        <w:right w:val="none" w:sz="0" w:space="0" w:color="auto"/>
      </w:divBdr>
    </w:div>
    <w:div w:id="964626764">
      <w:bodyDiv w:val="1"/>
      <w:marLeft w:val="0"/>
      <w:marRight w:val="0"/>
      <w:marTop w:val="0"/>
      <w:marBottom w:val="0"/>
      <w:divBdr>
        <w:top w:val="none" w:sz="0" w:space="0" w:color="auto"/>
        <w:left w:val="none" w:sz="0" w:space="0" w:color="auto"/>
        <w:bottom w:val="none" w:sz="0" w:space="0" w:color="auto"/>
        <w:right w:val="none" w:sz="0" w:space="0" w:color="auto"/>
      </w:divBdr>
    </w:div>
    <w:div w:id="1530726986">
      <w:bodyDiv w:val="1"/>
      <w:marLeft w:val="0"/>
      <w:marRight w:val="0"/>
      <w:marTop w:val="0"/>
      <w:marBottom w:val="0"/>
      <w:divBdr>
        <w:top w:val="none" w:sz="0" w:space="0" w:color="auto"/>
        <w:left w:val="none" w:sz="0" w:space="0" w:color="auto"/>
        <w:bottom w:val="none" w:sz="0" w:space="0" w:color="auto"/>
        <w:right w:val="none" w:sz="0" w:space="0" w:color="auto"/>
      </w:divBdr>
    </w:div>
    <w:div w:id="1557350042">
      <w:bodyDiv w:val="1"/>
      <w:marLeft w:val="0"/>
      <w:marRight w:val="0"/>
      <w:marTop w:val="0"/>
      <w:marBottom w:val="0"/>
      <w:divBdr>
        <w:top w:val="none" w:sz="0" w:space="0" w:color="auto"/>
        <w:left w:val="none" w:sz="0" w:space="0" w:color="auto"/>
        <w:bottom w:val="none" w:sz="0" w:space="0" w:color="auto"/>
        <w:right w:val="none" w:sz="0" w:space="0" w:color="auto"/>
      </w:divBdr>
    </w:div>
    <w:div w:id="1622763712">
      <w:bodyDiv w:val="1"/>
      <w:marLeft w:val="0"/>
      <w:marRight w:val="0"/>
      <w:marTop w:val="0"/>
      <w:marBottom w:val="0"/>
      <w:divBdr>
        <w:top w:val="none" w:sz="0" w:space="0" w:color="auto"/>
        <w:left w:val="none" w:sz="0" w:space="0" w:color="auto"/>
        <w:bottom w:val="none" w:sz="0" w:space="0" w:color="auto"/>
        <w:right w:val="none" w:sz="0" w:space="0" w:color="auto"/>
      </w:divBdr>
    </w:div>
    <w:div w:id="1640064034">
      <w:bodyDiv w:val="1"/>
      <w:marLeft w:val="0"/>
      <w:marRight w:val="0"/>
      <w:marTop w:val="0"/>
      <w:marBottom w:val="0"/>
      <w:divBdr>
        <w:top w:val="none" w:sz="0" w:space="0" w:color="auto"/>
        <w:left w:val="none" w:sz="0" w:space="0" w:color="auto"/>
        <w:bottom w:val="none" w:sz="0" w:space="0" w:color="auto"/>
        <w:right w:val="none" w:sz="0" w:space="0" w:color="auto"/>
      </w:divBdr>
    </w:div>
    <w:div w:id="20449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DELL3500\Doc\Output\Ifel\ifel-Finanza-Patto\2019_manovra\2018_11_12_audizioneBil2019\2018_11_11_AVZ_2017_PerAndre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Comuni in disavanzo o con avanzo inferiore all'8% delle entrate finali</a:t>
            </a:r>
            <a:r>
              <a:rPr lang="en-US" sz="800" b="1" baseline="0"/>
              <a:t> nel 2017</a:t>
            </a:r>
            <a:endParaRPr lang="en-US" sz="800" b="1"/>
          </a:p>
        </c:rich>
      </c:tx>
      <c:layout/>
      <c:overlay val="0"/>
      <c:spPr>
        <a:noFill/>
        <a:ln>
          <a:noFill/>
        </a:ln>
        <a:effectLst/>
      </c:spPr>
    </c:title>
    <c:autoTitleDeleted val="0"/>
    <c:plotArea>
      <c:layout/>
      <c:barChart>
        <c:barDir val="col"/>
        <c:grouping val="clustered"/>
        <c:varyColors val="0"/>
        <c:ser>
          <c:idx val="0"/>
          <c:order val="0"/>
          <c:tx>
            <c:strRef>
              <c:f>'Tab1'!$H$54</c:f>
              <c:strCache>
                <c:ptCount val="1"/>
                <c:pt idx="0">
                  <c:v>N.Comuni</c:v>
                </c:pt>
              </c:strCache>
            </c:strRef>
          </c:tx>
          <c:spPr>
            <a:solidFill>
              <a:schemeClr val="accent1"/>
            </a:solidFill>
            <a:ln>
              <a:noFill/>
            </a:ln>
            <a:effectLst/>
          </c:spPr>
          <c:invertIfNegative val="0"/>
          <c:cat>
            <c:strRef>
              <c:f>'Tab1'!$G$55:$G$58</c:f>
              <c:strCache>
                <c:ptCount val="4"/>
                <c:pt idx="0">
                  <c:v>ITALIA</c:v>
                </c:pt>
                <c:pt idx="1">
                  <c:v>NORD</c:v>
                </c:pt>
                <c:pt idx="2">
                  <c:v>CENTRO</c:v>
                </c:pt>
                <c:pt idx="3">
                  <c:v>SUD E ISOLE</c:v>
                </c:pt>
              </c:strCache>
            </c:strRef>
          </c:cat>
          <c:val>
            <c:numRef>
              <c:f>'Tab1'!$H$55:$H$58</c:f>
              <c:numCache>
                <c:formatCode>#,##0</c:formatCode>
                <c:ptCount val="4"/>
                <c:pt idx="0">
                  <c:v>1849</c:v>
                </c:pt>
                <c:pt idx="1">
                  <c:v>575</c:v>
                </c:pt>
                <c:pt idx="2">
                  <c:v>349</c:v>
                </c:pt>
                <c:pt idx="3">
                  <c:v>925</c:v>
                </c:pt>
              </c:numCache>
            </c:numRef>
          </c:val>
          <c:extLst>
            <c:ext xmlns:c16="http://schemas.microsoft.com/office/drawing/2014/chart" uri="{C3380CC4-5D6E-409C-BE32-E72D297353CC}">
              <c16:uniqueId val="{00000000-E6C4-48F8-8ABA-E57D8ADBABE3}"/>
            </c:ext>
          </c:extLst>
        </c:ser>
        <c:dLbls>
          <c:showLegendKey val="0"/>
          <c:showVal val="0"/>
          <c:showCatName val="0"/>
          <c:showSerName val="0"/>
          <c:showPercent val="0"/>
          <c:showBubbleSize val="0"/>
        </c:dLbls>
        <c:gapWidth val="219"/>
        <c:overlap val="-27"/>
        <c:axId val="59202944"/>
        <c:axId val="59208832"/>
      </c:barChart>
      <c:lineChart>
        <c:grouping val="standard"/>
        <c:varyColors val="0"/>
        <c:ser>
          <c:idx val="1"/>
          <c:order val="1"/>
          <c:tx>
            <c:strRef>
              <c:f>'Tab1'!$I$54</c:f>
              <c:strCache>
                <c:ptCount val="1"/>
                <c:pt idx="0">
                  <c:v>in %</c:v>
                </c:pt>
              </c:strCache>
            </c:strRef>
          </c:tx>
          <c:spPr>
            <a:ln w="28575" cap="rnd">
              <a:solidFill>
                <a:schemeClr val="accent2"/>
              </a:solidFill>
              <a:round/>
            </a:ln>
            <a:effectLst/>
          </c:spPr>
          <c:marker>
            <c:symbol val="none"/>
          </c:marker>
          <c:cat>
            <c:strRef>
              <c:f>'Tab1'!$G$55:$G$58</c:f>
              <c:strCache>
                <c:ptCount val="4"/>
                <c:pt idx="0">
                  <c:v>ITALIA</c:v>
                </c:pt>
                <c:pt idx="1">
                  <c:v>NORD</c:v>
                </c:pt>
                <c:pt idx="2">
                  <c:v>CENTRO</c:v>
                </c:pt>
                <c:pt idx="3">
                  <c:v>SUD E ISOLE</c:v>
                </c:pt>
              </c:strCache>
            </c:strRef>
          </c:cat>
          <c:val>
            <c:numRef>
              <c:f>'Tab1'!$I$55:$I$58</c:f>
              <c:numCache>
                <c:formatCode>0%</c:formatCode>
                <c:ptCount val="4"/>
                <c:pt idx="0">
                  <c:v>0.24825456498388823</c:v>
                </c:pt>
                <c:pt idx="1">
                  <c:v>0.13341067285382829</c:v>
                </c:pt>
                <c:pt idx="2">
                  <c:v>0.37852494577006529</c:v>
                </c:pt>
                <c:pt idx="3">
                  <c:v>0.417418772563177</c:v>
                </c:pt>
              </c:numCache>
            </c:numRef>
          </c:val>
          <c:smooth val="0"/>
          <c:extLst>
            <c:ext xmlns:c16="http://schemas.microsoft.com/office/drawing/2014/chart" uri="{C3380CC4-5D6E-409C-BE32-E72D297353CC}">
              <c16:uniqueId val="{00000001-E6C4-48F8-8ABA-E57D8ADBABE3}"/>
            </c:ext>
          </c:extLst>
        </c:ser>
        <c:dLbls>
          <c:showLegendKey val="0"/>
          <c:showVal val="0"/>
          <c:showCatName val="0"/>
          <c:showSerName val="0"/>
          <c:showPercent val="0"/>
          <c:showBubbleSize val="0"/>
        </c:dLbls>
        <c:marker val="1"/>
        <c:smooth val="0"/>
        <c:axId val="59212160"/>
        <c:axId val="59210368"/>
      </c:lineChart>
      <c:catAx>
        <c:axId val="5920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9208832"/>
        <c:crosses val="autoZero"/>
        <c:auto val="1"/>
        <c:lblAlgn val="ctr"/>
        <c:lblOffset val="100"/>
        <c:noMultiLvlLbl val="0"/>
      </c:catAx>
      <c:valAx>
        <c:axId val="59208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9202944"/>
        <c:crosses val="autoZero"/>
        <c:crossBetween val="between"/>
      </c:valAx>
      <c:valAx>
        <c:axId val="59210368"/>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9212160"/>
        <c:crosses val="max"/>
        <c:crossBetween val="between"/>
      </c:valAx>
      <c:catAx>
        <c:axId val="59212160"/>
        <c:scaling>
          <c:orientation val="minMax"/>
        </c:scaling>
        <c:delete val="1"/>
        <c:axPos val="b"/>
        <c:numFmt formatCode="General" sourceLinked="1"/>
        <c:majorTickMark val="none"/>
        <c:minorTickMark val="none"/>
        <c:tickLblPos val="none"/>
        <c:crossAx val="5921036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A6DA-A3AF-4CCB-A2FB-2706EA3B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6725</Words>
  <Characters>38339</Characters>
  <Application>Microsoft Office Word</Application>
  <DocSecurity>4</DocSecurity>
  <Lines>319</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Fazioli</dc:creator>
  <cp:lastModifiedBy>Cdd</cp:lastModifiedBy>
  <cp:revision>2</cp:revision>
  <cp:lastPrinted>2018-11-09T23:06:00Z</cp:lastPrinted>
  <dcterms:created xsi:type="dcterms:W3CDTF">2018-11-12T13:05:00Z</dcterms:created>
  <dcterms:modified xsi:type="dcterms:W3CDTF">2018-11-12T13:05:00Z</dcterms:modified>
</cp:coreProperties>
</file>