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A4" w:rsidRPr="00534D82" w:rsidRDefault="00507AA4" w:rsidP="00507AA4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534D82">
        <w:rPr>
          <w:rFonts w:ascii="Book Antiqua" w:hAnsi="Book Antiqua"/>
          <w:b/>
          <w:sz w:val="24"/>
          <w:szCs w:val="24"/>
        </w:rPr>
        <w:t>Camera dei Deputati – Audizione informale del 6 febbraio 2019</w:t>
      </w:r>
    </w:p>
    <w:p w:rsidR="00865438" w:rsidRPr="00534D82" w:rsidRDefault="00507AA4" w:rsidP="00865438">
      <w:pPr>
        <w:jc w:val="center"/>
        <w:rPr>
          <w:rFonts w:ascii="Book Antiqua" w:hAnsi="Book Antiqua"/>
          <w:b/>
          <w:bCs/>
          <w:i/>
          <w:sz w:val="24"/>
          <w:szCs w:val="24"/>
        </w:rPr>
      </w:pPr>
      <w:r w:rsidRPr="00534D82">
        <w:rPr>
          <w:rFonts w:ascii="Book Antiqua" w:hAnsi="Book Antiqua"/>
          <w:b/>
          <w:bCs/>
          <w:i/>
          <w:sz w:val="24"/>
          <w:szCs w:val="24"/>
        </w:rPr>
        <w:t xml:space="preserve">Delega al Governo per l’istituzione del Tribunale superiore dei conflitti </w:t>
      </w:r>
    </w:p>
    <w:p w:rsidR="00507AA4" w:rsidRPr="00534D82" w:rsidRDefault="00507AA4" w:rsidP="00865438">
      <w:pPr>
        <w:jc w:val="center"/>
        <w:rPr>
          <w:rFonts w:ascii="Book Antiqua" w:hAnsi="Book Antiqua"/>
          <w:b/>
          <w:bCs/>
          <w:i/>
          <w:sz w:val="24"/>
          <w:szCs w:val="24"/>
        </w:rPr>
      </w:pPr>
      <w:r w:rsidRPr="00534D82">
        <w:rPr>
          <w:rFonts w:ascii="Book Antiqua" w:hAnsi="Book Antiqua"/>
          <w:b/>
          <w:bCs/>
          <w:i/>
          <w:sz w:val="24"/>
          <w:szCs w:val="24"/>
        </w:rPr>
        <w:t>presso la Corte di cassazione</w:t>
      </w:r>
    </w:p>
    <w:p w:rsidR="00507AA4" w:rsidRPr="00534D82" w:rsidRDefault="00507AA4" w:rsidP="00507AA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34D82">
        <w:rPr>
          <w:rFonts w:ascii="Book Antiqua" w:hAnsi="Book Antiqua"/>
          <w:b/>
          <w:bCs/>
          <w:sz w:val="24"/>
          <w:szCs w:val="24"/>
        </w:rPr>
        <w:t xml:space="preserve"> – A.C. 649 –</w:t>
      </w:r>
    </w:p>
    <w:p w:rsidR="00507AA4" w:rsidRPr="00534D82" w:rsidRDefault="00507AA4" w:rsidP="00507AA4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:rsidR="00507AA4" w:rsidRPr="00534D82" w:rsidRDefault="00507AA4" w:rsidP="00507AA4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534D82">
        <w:rPr>
          <w:rFonts w:ascii="Book Antiqua" w:hAnsi="Book Antiqua"/>
          <w:bCs/>
          <w:sz w:val="24"/>
          <w:szCs w:val="24"/>
        </w:rPr>
        <w:t>Prof. Giovanni Capo</w:t>
      </w:r>
    </w:p>
    <w:p w:rsidR="00EE6080" w:rsidRPr="00534D82" w:rsidRDefault="00507AA4" w:rsidP="00507AA4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534D82">
        <w:rPr>
          <w:rFonts w:ascii="Book Antiqua" w:hAnsi="Book Antiqua"/>
          <w:bCs/>
          <w:sz w:val="24"/>
          <w:szCs w:val="24"/>
        </w:rPr>
        <w:t xml:space="preserve">Ordinario di Diritto commerciale </w:t>
      </w:r>
    </w:p>
    <w:p w:rsidR="00507AA4" w:rsidRPr="00534D82" w:rsidRDefault="00507AA4" w:rsidP="00895862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534D82">
        <w:rPr>
          <w:rFonts w:ascii="Book Antiqua" w:hAnsi="Book Antiqua"/>
          <w:bCs/>
          <w:sz w:val="24"/>
          <w:szCs w:val="24"/>
        </w:rPr>
        <w:t>Università degli Studi di Salerno</w:t>
      </w:r>
    </w:p>
    <w:p w:rsidR="00895862" w:rsidRPr="00534D82" w:rsidRDefault="00895862" w:rsidP="00895862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</w:p>
    <w:p w:rsidR="008C41B9" w:rsidRPr="00534D82" w:rsidRDefault="00507AA4" w:rsidP="00895862">
      <w:pPr>
        <w:jc w:val="center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* * * * *</w:t>
      </w:r>
    </w:p>
    <w:p w:rsidR="00895862" w:rsidRPr="00534D82" w:rsidRDefault="00001AA0" w:rsidP="006729BD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b/>
          <w:sz w:val="24"/>
          <w:szCs w:val="24"/>
        </w:rPr>
        <w:t>1. –</w:t>
      </w:r>
      <w:r w:rsidRPr="00534D82">
        <w:rPr>
          <w:rFonts w:ascii="Book Antiqua" w:hAnsi="Book Antiqua"/>
          <w:sz w:val="24"/>
          <w:szCs w:val="24"/>
        </w:rPr>
        <w:t xml:space="preserve"> </w:t>
      </w:r>
      <w:r w:rsidR="006729BD" w:rsidRPr="00534D82">
        <w:rPr>
          <w:rFonts w:ascii="Book Antiqua" w:hAnsi="Book Antiqua"/>
          <w:sz w:val="24"/>
          <w:szCs w:val="24"/>
        </w:rPr>
        <w:t>La proposta di legge recante “</w:t>
      </w:r>
      <w:r w:rsidR="006729BD" w:rsidRPr="00534D82">
        <w:rPr>
          <w:rFonts w:ascii="Book Antiqua" w:hAnsi="Book Antiqua"/>
          <w:i/>
          <w:sz w:val="24"/>
          <w:szCs w:val="24"/>
        </w:rPr>
        <w:t>Delega per l’istituzione del Tribunale superiore dei conflitti presso la Corte di cassazione</w:t>
      </w:r>
      <w:r w:rsidR="006729BD" w:rsidRPr="00534D82">
        <w:rPr>
          <w:rFonts w:ascii="Book Antiqua" w:hAnsi="Book Antiqua"/>
          <w:sz w:val="24"/>
          <w:szCs w:val="24"/>
        </w:rPr>
        <w:t>” (A.C. 649)</w:t>
      </w:r>
      <w:r w:rsidR="004D4D0C" w:rsidRPr="00534D82">
        <w:rPr>
          <w:rFonts w:ascii="Book Antiqua" w:hAnsi="Book Antiqua"/>
          <w:sz w:val="24"/>
          <w:szCs w:val="24"/>
        </w:rPr>
        <w:t xml:space="preserve"> è </w:t>
      </w:r>
      <w:r w:rsidR="00761C57" w:rsidRPr="00534D82">
        <w:rPr>
          <w:rFonts w:ascii="Book Antiqua" w:hAnsi="Book Antiqua"/>
          <w:sz w:val="24"/>
          <w:szCs w:val="24"/>
        </w:rPr>
        <w:t xml:space="preserve">fondamentalmente </w:t>
      </w:r>
      <w:r w:rsidR="004D4D0C" w:rsidRPr="00534D82">
        <w:rPr>
          <w:rFonts w:ascii="Book Antiqua" w:hAnsi="Book Antiqua"/>
          <w:sz w:val="24"/>
          <w:szCs w:val="24"/>
        </w:rPr>
        <w:t xml:space="preserve">intesa, a quanto si legge nella Nota della relatrice, On.le Giusi </w:t>
      </w:r>
      <w:r w:rsidR="00FB5117">
        <w:rPr>
          <w:rFonts w:ascii="Book Antiqua" w:hAnsi="Book Antiqua"/>
          <w:sz w:val="24"/>
          <w:szCs w:val="24"/>
        </w:rPr>
        <w:t xml:space="preserve">Bartolozzi, alla riforma </w:t>
      </w:r>
      <w:r w:rsidR="004D4D0C" w:rsidRPr="00534D82">
        <w:rPr>
          <w:rFonts w:ascii="Book Antiqua" w:hAnsi="Book Antiqua"/>
          <w:sz w:val="24"/>
          <w:szCs w:val="24"/>
        </w:rPr>
        <w:t>dell’impianto normativo che a</w:t>
      </w:r>
      <w:r w:rsidR="00587675" w:rsidRPr="00534D82">
        <w:rPr>
          <w:rFonts w:ascii="Book Antiqua" w:hAnsi="Book Antiqua"/>
          <w:sz w:val="24"/>
          <w:szCs w:val="24"/>
        </w:rPr>
        <w:t xml:space="preserve">ttribuisce </w:t>
      </w:r>
      <w:r w:rsidR="004D4D0C" w:rsidRPr="00534D82">
        <w:rPr>
          <w:rFonts w:ascii="Book Antiqua" w:hAnsi="Book Antiqua"/>
          <w:sz w:val="24"/>
          <w:szCs w:val="24"/>
        </w:rPr>
        <w:t>alla Corte di cassazione a sezioni unite</w:t>
      </w:r>
      <w:r w:rsidR="00761C57" w:rsidRPr="00534D82">
        <w:rPr>
          <w:rFonts w:ascii="Book Antiqua" w:hAnsi="Book Antiqua"/>
          <w:sz w:val="24"/>
          <w:szCs w:val="24"/>
        </w:rPr>
        <w:t>, in via esclusiva,</w:t>
      </w:r>
      <w:r w:rsidR="004D4D0C" w:rsidRPr="00534D82">
        <w:rPr>
          <w:rFonts w:ascii="Book Antiqua" w:hAnsi="Book Antiqua"/>
          <w:sz w:val="24"/>
          <w:szCs w:val="24"/>
        </w:rPr>
        <w:t xml:space="preserve"> la cognizione sulla risoluzione dei conflitti e, più in generale, delle questioni di giurisdizione</w:t>
      </w:r>
      <w:r w:rsidR="00895862" w:rsidRPr="00534D82">
        <w:rPr>
          <w:rFonts w:ascii="Book Antiqua" w:hAnsi="Book Antiqua"/>
          <w:sz w:val="24"/>
          <w:szCs w:val="24"/>
        </w:rPr>
        <w:t>.</w:t>
      </w:r>
      <w:r w:rsidR="00761C57" w:rsidRPr="00534D82">
        <w:rPr>
          <w:rFonts w:ascii="Book Antiqua" w:hAnsi="Book Antiqua"/>
          <w:sz w:val="24"/>
          <w:szCs w:val="24"/>
        </w:rPr>
        <w:t xml:space="preserve"> </w:t>
      </w:r>
    </w:p>
    <w:p w:rsidR="00356D1A" w:rsidRPr="00534D82" w:rsidRDefault="00895862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C</w:t>
      </w:r>
      <w:r w:rsidR="00761C57" w:rsidRPr="00534D82">
        <w:rPr>
          <w:rFonts w:ascii="Book Antiqua" w:hAnsi="Book Antiqua"/>
          <w:sz w:val="24"/>
          <w:szCs w:val="24"/>
        </w:rPr>
        <w:t>iò, nella prospettiva di</w:t>
      </w:r>
      <w:r w:rsidR="004D4D0C" w:rsidRPr="00534D82">
        <w:rPr>
          <w:rFonts w:ascii="Book Antiqua" w:hAnsi="Book Antiqua"/>
          <w:sz w:val="24"/>
          <w:szCs w:val="24"/>
        </w:rPr>
        <w:t xml:space="preserve"> approdare ad un</w:t>
      </w:r>
      <w:r w:rsidRPr="00534D82">
        <w:rPr>
          <w:rFonts w:ascii="Book Antiqua" w:hAnsi="Book Antiqua"/>
          <w:sz w:val="24"/>
          <w:szCs w:val="24"/>
        </w:rPr>
        <w:t xml:space="preserve"> modello giuridico</w:t>
      </w:r>
      <w:r w:rsidR="00587675" w:rsidRPr="00534D82">
        <w:rPr>
          <w:rFonts w:ascii="Book Antiqua" w:hAnsi="Book Antiqua"/>
          <w:sz w:val="24"/>
          <w:szCs w:val="24"/>
        </w:rPr>
        <w:t>, delineato nel</w:t>
      </w:r>
      <w:r w:rsidR="00FB5117">
        <w:rPr>
          <w:rFonts w:ascii="Book Antiqua" w:hAnsi="Book Antiqua"/>
          <w:sz w:val="24"/>
          <w:szCs w:val="24"/>
        </w:rPr>
        <w:t xml:space="preserve"> testo</w:t>
      </w:r>
      <w:r w:rsidR="00B06510" w:rsidRPr="00534D82">
        <w:rPr>
          <w:rFonts w:ascii="Book Antiqua" w:hAnsi="Book Antiqua"/>
          <w:sz w:val="24"/>
          <w:szCs w:val="24"/>
        </w:rPr>
        <w:t>,</w:t>
      </w:r>
      <w:r w:rsidRPr="00534D82">
        <w:rPr>
          <w:rFonts w:ascii="Book Antiqua" w:hAnsi="Book Antiqua"/>
          <w:sz w:val="24"/>
          <w:szCs w:val="24"/>
        </w:rPr>
        <w:t xml:space="preserve"> </w:t>
      </w:r>
      <w:r w:rsidR="00FB5117">
        <w:rPr>
          <w:rFonts w:ascii="Book Antiqua" w:hAnsi="Book Antiqua"/>
          <w:sz w:val="24"/>
          <w:szCs w:val="24"/>
        </w:rPr>
        <w:t xml:space="preserve">nel cui ambito è investito </w:t>
      </w:r>
      <w:r w:rsidR="00587675" w:rsidRPr="00534D82">
        <w:rPr>
          <w:rFonts w:ascii="Book Antiqua" w:hAnsi="Book Antiqua"/>
          <w:sz w:val="24"/>
          <w:szCs w:val="24"/>
        </w:rPr>
        <w:t>del</w:t>
      </w:r>
      <w:r w:rsidR="00761C57" w:rsidRPr="00534D82">
        <w:rPr>
          <w:rFonts w:ascii="Book Antiqua" w:hAnsi="Book Antiqua"/>
          <w:sz w:val="24"/>
          <w:szCs w:val="24"/>
        </w:rPr>
        <w:t xml:space="preserve">la </w:t>
      </w:r>
      <w:r w:rsidR="004D4D0C" w:rsidRPr="00534D82">
        <w:rPr>
          <w:rFonts w:ascii="Book Antiqua" w:hAnsi="Book Antiqua"/>
          <w:sz w:val="24"/>
          <w:szCs w:val="24"/>
        </w:rPr>
        <w:t>cognizione</w:t>
      </w:r>
      <w:r w:rsidR="00761C57" w:rsidRPr="00534D82">
        <w:rPr>
          <w:rFonts w:ascii="Book Antiqua" w:hAnsi="Book Antiqua"/>
          <w:sz w:val="24"/>
          <w:szCs w:val="24"/>
        </w:rPr>
        <w:t xml:space="preserve"> su tali questioni – quando insorte nei giudizi civili, penali, amministrativi, contabili, tributari</w:t>
      </w:r>
      <w:r w:rsidR="004D4D0C" w:rsidRPr="00534D82">
        <w:rPr>
          <w:rFonts w:ascii="Book Antiqua" w:hAnsi="Book Antiqua"/>
          <w:sz w:val="24"/>
          <w:szCs w:val="24"/>
        </w:rPr>
        <w:t xml:space="preserve"> </w:t>
      </w:r>
      <w:r w:rsidR="00761C57" w:rsidRPr="00534D82">
        <w:rPr>
          <w:rFonts w:ascii="Book Antiqua" w:hAnsi="Book Antiqua"/>
          <w:sz w:val="24"/>
          <w:szCs w:val="24"/>
        </w:rPr>
        <w:t>–</w:t>
      </w:r>
      <w:r w:rsidR="00587675" w:rsidRPr="00534D82">
        <w:rPr>
          <w:rFonts w:ascii="Book Antiqua" w:hAnsi="Book Antiqua"/>
          <w:sz w:val="24"/>
          <w:szCs w:val="24"/>
        </w:rPr>
        <w:t xml:space="preserve"> </w:t>
      </w:r>
      <w:r w:rsidR="004D4D0C" w:rsidRPr="00534D82">
        <w:rPr>
          <w:rFonts w:ascii="Book Antiqua" w:hAnsi="Book Antiqua"/>
          <w:sz w:val="24"/>
          <w:szCs w:val="24"/>
        </w:rPr>
        <w:t xml:space="preserve">un </w:t>
      </w:r>
      <w:r w:rsidR="00534D82">
        <w:rPr>
          <w:rFonts w:ascii="Book Antiqua" w:hAnsi="Book Antiqua"/>
          <w:sz w:val="24"/>
          <w:szCs w:val="24"/>
        </w:rPr>
        <w:t>«</w:t>
      </w:r>
      <w:r w:rsidR="004D4D0C" w:rsidRPr="00534D82">
        <w:rPr>
          <w:rFonts w:ascii="Book Antiqua" w:hAnsi="Book Antiqua"/>
          <w:sz w:val="24"/>
          <w:szCs w:val="24"/>
        </w:rPr>
        <w:t>organismo giurisdizionale supremo a composizione mista</w:t>
      </w:r>
      <w:r w:rsidR="00534D82">
        <w:rPr>
          <w:rFonts w:ascii="Book Antiqua" w:hAnsi="Book Antiqua"/>
          <w:sz w:val="24"/>
          <w:szCs w:val="24"/>
        </w:rPr>
        <w:t>»</w:t>
      </w:r>
      <w:r w:rsidR="00761C57" w:rsidRPr="00534D82">
        <w:rPr>
          <w:rFonts w:ascii="Book Antiqua" w:hAnsi="Book Antiqua"/>
          <w:sz w:val="24"/>
          <w:szCs w:val="24"/>
        </w:rPr>
        <w:t xml:space="preserve"> da istituirsi presso la Corte di cassazione, costituito da </w:t>
      </w:r>
      <w:r w:rsidR="00587675" w:rsidRPr="00534D82">
        <w:rPr>
          <w:rFonts w:ascii="Book Antiqua" w:hAnsi="Book Antiqua"/>
          <w:sz w:val="24"/>
          <w:szCs w:val="24"/>
        </w:rPr>
        <w:t xml:space="preserve">dodici </w:t>
      </w:r>
      <w:r w:rsidR="00761C57" w:rsidRPr="00534D82">
        <w:rPr>
          <w:rFonts w:ascii="Book Antiqua" w:hAnsi="Book Antiqua"/>
          <w:sz w:val="24"/>
          <w:szCs w:val="24"/>
        </w:rPr>
        <w:t>giudici provenienti dalla stessa Suprema Corte,</w:t>
      </w:r>
      <w:r w:rsidR="00587675" w:rsidRPr="00534D82">
        <w:rPr>
          <w:rFonts w:ascii="Book Antiqua" w:hAnsi="Book Antiqua"/>
          <w:sz w:val="24"/>
          <w:szCs w:val="24"/>
        </w:rPr>
        <w:t xml:space="preserve"> in numero di sei,</w:t>
      </w:r>
      <w:r w:rsidR="00761C57" w:rsidRPr="00534D82">
        <w:rPr>
          <w:rFonts w:ascii="Book Antiqua" w:hAnsi="Book Antiqua"/>
          <w:sz w:val="24"/>
          <w:szCs w:val="24"/>
        </w:rPr>
        <w:t xml:space="preserve"> dal Consiglio di Stato</w:t>
      </w:r>
      <w:r w:rsidR="00587675" w:rsidRPr="00534D82">
        <w:rPr>
          <w:rFonts w:ascii="Book Antiqua" w:hAnsi="Book Antiqua"/>
          <w:sz w:val="24"/>
          <w:szCs w:val="24"/>
        </w:rPr>
        <w:t>, in numero di tre,</w:t>
      </w:r>
      <w:r w:rsidR="00761C57" w:rsidRPr="00534D82">
        <w:rPr>
          <w:rFonts w:ascii="Book Antiqua" w:hAnsi="Book Antiqua"/>
          <w:sz w:val="24"/>
          <w:szCs w:val="24"/>
        </w:rPr>
        <w:t xml:space="preserve"> e dalla Corte dei conti</w:t>
      </w:r>
      <w:r w:rsidR="00587675" w:rsidRPr="00534D82">
        <w:rPr>
          <w:rFonts w:ascii="Book Antiqua" w:hAnsi="Book Antiqua"/>
          <w:sz w:val="24"/>
          <w:szCs w:val="24"/>
        </w:rPr>
        <w:t>, pure in numero di tre</w:t>
      </w:r>
      <w:r w:rsidR="00761C57" w:rsidRPr="00534D82">
        <w:rPr>
          <w:rFonts w:ascii="Book Antiqua" w:hAnsi="Book Antiqua"/>
          <w:sz w:val="24"/>
          <w:szCs w:val="24"/>
        </w:rPr>
        <w:t>.</w:t>
      </w:r>
    </w:p>
    <w:p w:rsidR="00E20855" w:rsidRPr="00534D82" w:rsidRDefault="00DF2034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Modello</w:t>
      </w:r>
      <w:r w:rsidR="00534D82">
        <w:rPr>
          <w:rFonts w:ascii="Book Antiqua" w:hAnsi="Book Antiqua"/>
          <w:sz w:val="24"/>
          <w:szCs w:val="24"/>
        </w:rPr>
        <w:t>, questo,</w:t>
      </w:r>
      <w:r w:rsidR="00FB5117">
        <w:rPr>
          <w:rFonts w:ascii="Book Antiqua" w:hAnsi="Book Antiqua"/>
          <w:sz w:val="24"/>
          <w:szCs w:val="24"/>
        </w:rPr>
        <w:t xml:space="preserve"> la cui adozione</w:t>
      </w:r>
      <w:r w:rsidRPr="00534D82">
        <w:rPr>
          <w:rFonts w:ascii="Book Antiqua" w:hAnsi="Book Antiqua"/>
          <w:sz w:val="24"/>
          <w:szCs w:val="24"/>
        </w:rPr>
        <w:t xml:space="preserve">, nell’ottica della proposta di legge in discorso, </w:t>
      </w:r>
      <w:r w:rsidR="00FB5117">
        <w:rPr>
          <w:rFonts w:ascii="Book Antiqua" w:hAnsi="Book Antiqua"/>
          <w:sz w:val="24"/>
          <w:szCs w:val="24"/>
        </w:rPr>
        <w:t xml:space="preserve">consentirebbe di superare i limiti e le disfunzioni denunciate dal sistema vigente – e </w:t>
      </w:r>
      <w:r w:rsidR="00587675" w:rsidRPr="00534D82">
        <w:rPr>
          <w:rFonts w:ascii="Book Antiqua" w:hAnsi="Book Antiqua"/>
          <w:sz w:val="24"/>
          <w:szCs w:val="24"/>
        </w:rPr>
        <w:t>ascrivibili</w:t>
      </w:r>
      <w:r w:rsidR="00FB5117">
        <w:rPr>
          <w:rFonts w:ascii="Book Antiqua" w:hAnsi="Book Antiqua"/>
          <w:sz w:val="24"/>
          <w:szCs w:val="24"/>
        </w:rPr>
        <w:t>, appunto,</w:t>
      </w:r>
      <w:r w:rsidR="00587675" w:rsidRPr="00534D82">
        <w:rPr>
          <w:rFonts w:ascii="Book Antiqua" w:hAnsi="Book Antiqua"/>
          <w:sz w:val="24"/>
          <w:szCs w:val="24"/>
        </w:rPr>
        <w:t xml:space="preserve"> </w:t>
      </w:r>
      <w:r w:rsidRPr="00534D82">
        <w:rPr>
          <w:rFonts w:ascii="Book Antiqua" w:hAnsi="Book Antiqua"/>
          <w:sz w:val="24"/>
          <w:szCs w:val="24"/>
        </w:rPr>
        <w:t>alla cognizione esclusiva della Corte di cassazione s</w:t>
      </w:r>
      <w:r w:rsidR="00FB5117">
        <w:rPr>
          <w:rFonts w:ascii="Book Antiqua" w:hAnsi="Book Antiqua"/>
          <w:sz w:val="24"/>
          <w:szCs w:val="24"/>
        </w:rPr>
        <w:t>ulle questioni di giurisdizione</w:t>
      </w:r>
      <w:r w:rsidR="00587675" w:rsidRPr="00534D82">
        <w:rPr>
          <w:rFonts w:ascii="Book Antiqua" w:hAnsi="Book Antiqua"/>
          <w:sz w:val="24"/>
          <w:szCs w:val="24"/>
        </w:rPr>
        <w:t xml:space="preserve"> </w:t>
      </w:r>
      <w:r w:rsidR="00FB5117">
        <w:rPr>
          <w:rFonts w:ascii="Book Antiqua" w:hAnsi="Book Antiqua"/>
          <w:sz w:val="24"/>
          <w:szCs w:val="24"/>
        </w:rPr>
        <w:t xml:space="preserve">– </w:t>
      </w:r>
      <w:r w:rsidR="00587675" w:rsidRPr="00534D82">
        <w:rPr>
          <w:rFonts w:ascii="Book Antiqua" w:hAnsi="Book Antiqua"/>
          <w:sz w:val="24"/>
          <w:szCs w:val="24"/>
        </w:rPr>
        <w:t>all’insegna del contemperamento de</w:t>
      </w:r>
      <w:r w:rsidRPr="00534D82">
        <w:rPr>
          <w:rFonts w:ascii="Book Antiqua" w:hAnsi="Book Antiqua"/>
          <w:sz w:val="24"/>
          <w:szCs w:val="24"/>
        </w:rPr>
        <w:t>i principi cardine del giusto processo con le esigenze di celerità e speditezza dei giudizi, la cui soddisfazione si pone come presupposto ineludibile della effettività del diritto di difesa (art. 24 Cost.)</w:t>
      </w:r>
      <w:r w:rsidR="00356D1A" w:rsidRPr="00534D82">
        <w:rPr>
          <w:rFonts w:ascii="Book Antiqua" w:hAnsi="Book Antiqua"/>
          <w:sz w:val="24"/>
          <w:szCs w:val="24"/>
        </w:rPr>
        <w:t>.</w:t>
      </w:r>
    </w:p>
    <w:p w:rsidR="001059B3" w:rsidRPr="00534D82" w:rsidRDefault="001059B3" w:rsidP="00356D1A">
      <w:pPr>
        <w:jc w:val="both"/>
        <w:rPr>
          <w:rFonts w:ascii="Book Antiqua" w:hAnsi="Book Antiqua"/>
          <w:b/>
          <w:sz w:val="24"/>
          <w:szCs w:val="24"/>
        </w:rPr>
      </w:pPr>
    </w:p>
    <w:p w:rsidR="00DF2034" w:rsidRPr="00534D82" w:rsidRDefault="00001AA0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b/>
          <w:sz w:val="24"/>
          <w:szCs w:val="24"/>
        </w:rPr>
        <w:t>2. –</w:t>
      </w:r>
      <w:r w:rsidRPr="00534D82">
        <w:rPr>
          <w:rFonts w:ascii="Book Antiqua" w:hAnsi="Book Antiqua"/>
          <w:sz w:val="24"/>
          <w:szCs w:val="24"/>
        </w:rPr>
        <w:t xml:space="preserve"> </w:t>
      </w:r>
      <w:r w:rsidR="00DF2034" w:rsidRPr="00534D82">
        <w:rPr>
          <w:rFonts w:ascii="Book Antiqua" w:hAnsi="Book Antiqua"/>
          <w:sz w:val="24"/>
          <w:szCs w:val="24"/>
        </w:rPr>
        <w:t>In tale quadro di riferimento</w:t>
      </w:r>
      <w:r w:rsidR="0014226F" w:rsidRPr="00534D82">
        <w:rPr>
          <w:rFonts w:ascii="Book Antiqua" w:hAnsi="Book Antiqua"/>
          <w:sz w:val="24"/>
          <w:szCs w:val="24"/>
        </w:rPr>
        <w:t>, non è certamente revocabile in dubbio che</w:t>
      </w:r>
      <w:r w:rsidR="00FB5117">
        <w:rPr>
          <w:rFonts w:ascii="Book Antiqua" w:hAnsi="Book Antiqua"/>
          <w:sz w:val="24"/>
          <w:szCs w:val="24"/>
        </w:rPr>
        <w:t xml:space="preserve"> quello relativo alla</w:t>
      </w:r>
      <w:r w:rsidR="0014226F" w:rsidRPr="00534D82">
        <w:rPr>
          <w:rFonts w:ascii="Book Antiqua" w:hAnsi="Book Antiqua"/>
          <w:sz w:val="24"/>
          <w:szCs w:val="24"/>
        </w:rPr>
        <w:t xml:space="preserve"> definizione dei confini tra le diverse giurisdizioni costituisca </w:t>
      </w:r>
      <w:r w:rsidR="006007F0">
        <w:rPr>
          <w:rFonts w:ascii="Book Antiqua" w:hAnsi="Book Antiqua"/>
          <w:sz w:val="24"/>
          <w:szCs w:val="24"/>
        </w:rPr>
        <w:t xml:space="preserve">un tema da sempre complesso e controverso. Tema </w:t>
      </w:r>
      <w:r w:rsidR="0014226F" w:rsidRPr="00534D82">
        <w:rPr>
          <w:rFonts w:ascii="Book Antiqua" w:hAnsi="Book Antiqua"/>
          <w:sz w:val="24"/>
          <w:szCs w:val="24"/>
        </w:rPr>
        <w:t>oggetto di una risalente riflessione, che ad esso riporta l</w:t>
      </w:r>
      <w:r w:rsidR="006007F0">
        <w:rPr>
          <w:rFonts w:ascii="Book Antiqua" w:hAnsi="Book Antiqua"/>
          <w:sz w:val="24"/>
          <w:szCs w:val="24"/>
        </w:rPr>
        <w:t xml:space="preserve">’affermazione delle premesse essenziali di una </w:t>
      </w:r>
      <w:r w:rsidR="0014226F" w:rsidRPr="00534D82">
        <w:rPr>
          <w:rFonts w:ascii="Book Antiqua" w:hAnsi="Book Antiqua"/>
          <w:sz w:val="24"/>
          <w:szCs w:val="24"/>
        </w:rPr>
        <w:t xml:space="preserve">piena esplicazione dell’interesse dei cittadini alla certezza del diritto ed alla corretta interpretazione delle norme e </w:t>
      </w:r>
      <w:r w:rsidRPr="00534D82">
        <w:rPr>
          <w:rFonts w:ascii="Book Antiqua" w:hAnsi="Book Antiqua"/>
          <w:sz w:val="24"/>
          <w:szCs w:val="24"/>
        </w:rPr>
        <w:t xml:space="preserve">nel cui </w:t>
      </w:r>
      <w:r w:rsidR="006007F0">
        <w:rPr>
          <w:rFonts w:ascii="Book Antiqua" w:hAnsi="Book Antiqua"/>
          <w:sz w:val="24"/>
          <w:szCs w:val="24"/>
        </w:rPr>
        <w:t xml:space="preserve">alveo </w:t>
      </w:r>
      <w:r w:rsidR="0014226F" w:rsidRPr="00534D82">
        <w:rPr>
          <w:rFonts w:ascii="Book Antiqua" w:hAnsi="Book Antiqua"/>
          <w:sz w:val="24"/>
          <w:szCs w:val="24"/>
        </w:rPr>
        <w:t xml:space="preserve">– come </w:t>
      </w:r>
      <w:r w:rsidR="0014226F" w:rsidRPr="00534D82">
        <w:rPr>
          <w:rFonts w:ascii="Book Antiqua" w:hAnsi="Book Antiqua"/>
          <w:sz w:val="24"/>
          <w:szCs w:val="24"/>
        </w:rPr>
        <w:lastRenderedPageBreak/>
        <w:t xml:space="preserve">ho potuto leggere nel testo </w:t>
      </w:r>
      <w:r w:rsidR="006007F0">
        <w:rPr>
          <w:rFonts w:ascii="Book Antiqua" w:hAnsi="Book Antiqua"/>
          <w:sz w:val="24"/>
          <w:szCs w:val="24"/>
        </w:rPr>
        <w:t xml:space="preserve">dell’audizione </w:t>
      </w:r>
      <w:r w:rsidR="0014226F" w:rsidRPr="00534D82">
        <w:rPr>
          <w:rFonts w:ascii="Book Antiqua" w:hAnsi="Book Antiqua"/>
          <w:sz w:val="24"/>
          <w:szCs w:val="24"/>
        </w:rPr>
        <w:t>dal Procuratore generale della Corte di cassazione</w:t>
      </w:r>
      <w:r w:rsidR="006007F0">
        <w:rPr>
          <w:rFonts w:ascii="Book Antiqua" w:hAnsi="Book Antiqua"/>
          <w:sz w:val="24"/>
          <w:szCs w:val="24"/>
        </w:rPr>
        <w:t xml:space="preserve"> </w:t>
      </w:r>
      <w:r w:rsidRPr="00534D82">
        <w:rPr>
          <w:rFonts w:ascii="Book Antiqua" w:hAnsi="Book Antiqua"/>
          <w:sz w:val="24"/>
          <w:szCs w:val="24"/>
        </w:rPr>
        <w:t>–</w:t>
      </w:r>
      <w:r w:rsidR="006007F0">
        <w:rPr>
          <w:rFonts w:ascii="Book Antiqua" w:hAnsi="Book Antiqua"/>
          <w:sz w:val="24"/>
          <w:szCs w:val="24"/>
        </w:rPr>
        <w:t xml:space="preserve"> è </w:t>
      </w:r>
      <w:r w:rsidRPr="00534D82">
        <w:rPr>
          <w:rFonts w:ascii="Book Antiqua" w:hAnsi="Book Antiqua"/>
          <w:sz w:val="24"/>
          <w:szCs w:val="24"/>
        </w:rPr>
        <w:t>condivisa l’</w:t>
      </w:r>
      <w:r w:rsidR="002F775B" w:rsidRPr="00534D82">
        <w:rPr>
          <w:rFonts w:ascii="Book Antiqua" w:hAnsi="Book Antiqua"/>
          <w:sz w:val="24"/>
          <w:szCs w:val="24"/>
        </w:rPr>
        <w:t xml:space="preserve">opportunità </w:t>
      </w:r>
      <w:r w:rsidRPr="00534D82">
        <w:rPr>
          <w:rFonts w:ascii="Book Antiqua" w:hAnsi="Book Antiqua"/>
          <w:sz w:val="24"/>
          <w:szCs w:val="24"/>
        </w:rPr>
        <w:t>di “forme di cooperazione e dialogo tra le giurisdizioni”</w:t>
      </w:r>
      <w:r w:rsidR="0014226F" w:rsidRPr="00534D82">
        <w:rPr>
          <w:rFonts w:ascii="Book Antiqua" w:hAnsi="Book Antiqua"/>
          <w:sz w:val="24"/>
          <w:szCs w:val="24"/>
        </w:rPr>
        <w:t>.</w:t>
      </w:r>
    </w:p>
    <w:p w:rsidR="00001AA0" w:rsidRPr="00534D82" w:rsidRDefault="00001AA0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E non è certamente revocabile in dubbio che</w:t>
      </w:r>
      <w:r w:rsidR="006007F0">
        <w:rPr>
          <w:rFonts w:ascii="Book Antiqua" w:hAnsi="Book Antiqua"/>
          <w:sz w:val="24"/>
          <w:szCs w:val="24"/>
        </w:rPr>
        <w:t xml:space="preserve"> i profili di</w:t>
      </w:r>
      <w:r w:rsidRPr="00534D82">
        <w:rPr>
          <w:rFonts w:ascii="Book Antiqua" w:hAnsi="Book Antiqua"/>
          <w:sz w:val="24"/>
          <w:szCs w:val="24"/>
        </w:rPr>
        <w:t xml:space="preserve"> complessità del tema in parola –</w:t>
      </w:r>
      <w:r w:rsidR="006007F0">
        <w:rPr>
          <w:rFonts w:ascii="Book Antiqua" w:hAnsi="Book Antiqua"/>
          <w:sz w:val="24"/>
          <w:szCs w:val="24"/>
        </w:rPr>
        <w:t xml:space="preserve"> cui è dedicata </w:t>
      </w:r>
      <w:r w:rsidRPr="00534D82">
        <w:rPr>
          <w:rFonts w:ascii="Book Antiqua" w:hAnsi="Book Antiqua"/>
          <w:sz w:val="24"/>
          <w:szCs w:val="24"/>
        </w:rPr>
        <w:t>una disciplina che</w:t>
      </w:r>
      <w:r w:rsidR="00B06510" w:rsidRPr="00534D82">
        <w:rPr>
          <w:rFonts w:ascii="Book Antiqua" w:hAnsi="Book Antiqua"/>
          <w:sz w:val="24"/>
          <w:szCs w:val="24"/>
        </w:rPr>
        <w:t>, come è noto,</w:t>
      </w:r>
      <w:r w:rsidRPr="00534D82">
        <w:rPr>
          <w:rFonts w:ascii="Book Antiqua" w:hAnsi="Book Antiqua"/>
          <w:sz w:val="24"/>
          <w:szCs w:val="24"/>
        </w:rPr>
        <w:t xml:space="preserve"> dall’emanazione del codice di procedura civile in poi ha subito molteplici interventi innovatori </w:t>
      </w:r>
      <w:r w:rsidR="00B06510" w:rsidRPr="00534D82">
        <w:rPr>
          <w:rFonts w:ascii="Book Antiqua" w:hAnsi="Book Antiqua"/>
          <w:sz w:val="24"/>
          <w:szCs w:val="24"/>
        </w:rPr>
        <w:t xml:space="preserve">di più o meno ampio respiro </w:t>
      </w:r>
      <w:r w:rsidRPr="00534D82">
        <w:rPr>
          <w:rFonts w:ascii="Book Antiqua" w:hAnsi="Book Antiqua"/>
          <w:sz w:val="24"/>
          <w:szCs w:val="24"/>
        </w:rPr>
        <w:t>– sia accentuata anche da</w:t>
      </w:r>
      <w:r w:rsidR="006007F0">
        <w:rPr>
          <w:rFonts w:ascii="Book Antiqua" w:hAnsi="Book Antiqua"/>
          <w:sz w:val="24"/>
          <w:szCs w:val="24"/>
        </w:rPr>
        <w:t>lla</w:t>
      </w:r>
      <w:r w:rsidR="00B06510" w:rsidRPr="00534D82">
        <w:rPr>
          <w:rFonts w:ascii="Book Antiqua" w:hAnsi="Book Antiqua"/>
          <w:sz w:val="24"/>
          <w:szCs w:val="24"/>
        </w:rPr>
        <w:t xml:space="preserve"> costante </w:t>
      </w:r>
      <w:r w:rsidRPr="00534D82">
        <w:rPr>
          <w:rFonts w:ascii="Book Antiqua" w:hAnsi="Book Antiqua"/>
          <w:sz w:val="24"/>
          <w:szCs w:val="24"/>
        </w:rPr>
        <w:t>evoluzione del quadro normativo nel segno del riconoscimento di spazi sempre maggiori alla giurisdizione esclusiva del giudice amministrativo</w:t>
      </w:r>
      <w:r w:rsidR="00B06510" w:rsidRPr="00534D82">
        <w:rPr>
          <w:rFonts w:ascii="Book Antiqua" w:hAnsi="Book Antiqua"/>
          <w:sz w:val="24"/>
          <w:szCs w:val="24"/>
        </w:rPr>
        <w:t>, ma anche di nuovi ambiti di esplicazione alla giurisdizione contabile (si pensi alla previsione</w:t>
      </w:r>
      <w:r w:rsidR="00EB0213">
        <w:rPr>
          <w:rFonts w:ascii="Book Antiqua" w:hAnsi="Book Antiqua"/>
          <w:sz w:val="24"/>
          <w:szCs w:val="24"/>
        </w:rPr>
        <w:t>, di lettura invero non agevole,</w:t>
      </w:r>
      <w:r w:rsidR="00B06510" w:rsidRPr="00534D82">
        <w:rPr>
          <w:rFonts w:ascii="Book Antiqua" w:hAnsi="Book Antiqua"/>
          <w:sz w:val="24"/>
          <w:szCs w:val="24"/>
        </w:rPr>
        <w:t xml:space="preserve"> dell’art. 12 del Testo unico delle società a partecipazione pubblica, emanato con d.lgs. n. 175/2016)</w:t>
      </w:r>
      <w:r w:rsidRPr="00534D82">
        <w:rPr>
          <w:rFonts w:ascii="Book Antiqua" w:hAnsi="Book Antiqua"/>
          <w:sz w:val="24"/>
          <w:szCs w:val="24"/>
        </w:rPr>
        <w:t>.</w:t>
      </w:r>
    </w:p>
    <w:p w:rsidR="00001AA0" w:rsidRPr="00534D82" w:rsidRDefault="00001AA0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 xml:space="preserve">Ciò posto, </w:t>
      </w:r>
      <w:r w:rsidR="00EB0213">
        <w:rPr>
          <w:rFonts w:ascii="Book Antiqua" w:hAnsi="Book Antiqua"/>
          <w:sz w:val="24"/>
          <w:szCs w:val="24"/>
        </w:rPr>
        <w:t xml:space="preserve">se, da un lato, </w:t>
      </w:r>
      <w:r w:rsidR="006F264C" w:rsidRPr="00534D82">
        <w:rPr>
          <w:rFonts w:ascii="Book Antiqua" w:hAnsi="Book Antiqua"/>
          <w:sz w:val="24"/>
          <w:szCs w:val="24"/>
        </w:rPr>
        <w:t>riten</w:t>
      </w:r>
      <w:r w:rsidR="0021733B" w:rsidRPr="00534D82">
        <w:rPr>
          <w:rFonts w:ascii="Book Antiqua" w:hAnsi="Book Antiqua"/>
          <w:sz w:val="24"/>
          <w:szCs w:val="24"/>
        </w:rPr>
        <w:t xml:space="preserve">go </w:t>
      </w:r>
      <w:r w:rsidR="006F264C" w:rsidRPr="00534D82">
        <w:rPr>
          <w:rFonts w:ascii="Book Antiqua" w:hAnsi="Book Antiqua"/>
          <w:sz w:val="24"/>
          <w:szCs w:val="24"/>
        </w:rPr>
        <w:t xml:space="preserve">doveroso lasciare alle </w:t>
      </w:r>
      <w:r w:rsidR="00EB0213">
        <w:rPr>
          <w:rFonts w:ascii="Book Antiqua" w:hAnsi="Book Antiqua"/>
          <w:sz w:val="24"/>
          <w:szCs w:val="24"/>
        </w:rPr>
        <w:t xml:space="preserve">voci </w:t>
      </w:r>
      <w:r w:rsidR="006F264C" w:rsidRPr="00534D82">
        <w:rPr>
          <w:rFonts w:ascii="Book Antiqua" w:hAnsi="Book Antiqua"/>
          <w:sz w:val="24"/>
          <w:szCs w:val="24"/>
        </w:rPr>
        <w:t>del</w:t>
      </w:r>
      <w:r w:rsidR="00EB0213">
        <w:rPr>
          <w:rFonts w:ascii="Book Antiqua" w:hAnsi="Book Antiqua"/>
          <w:sz w:val="24"/>
          <w:szCs w:val="24"/>
        </w:rPr>
        <w:t>le autorevolissime personalità del</w:t>
      </w:r>
      <w:r w:rsidR="006F264C" w:rsidRPr="00534D82">
        <w:rPr>
          <w:rFonts w:ascii="Book Antiqua" w:hAnsi="Book Antiqua"/>
          <w:sz w:val="24"/>
          <w:szCs w:val="24"/>
        </w:rPr>
        <w:t xml:space="preserve"> mondo giudiziario, dell’avvocatura e dell’accademia</w:t>
      </w:r>
      <w:r w:rsidR="00EB0213">
        <w:rPr>
          <w:rFonts w:ascii="Book Antiqua" w:hAnsi="Book Antiqua"/>
          <w:sz w:val="24"/>
          <w:szCs w:val="24"/>
        </w:rPr>
        <w:t>,</w:t>
      </w:r>
      <w:r w:rsidR="006F264C" w:rsidRPr="00534D82">
        <w:rPr>
          <w:rFonts w:ascii="Book Antiqua" w:hAnsi="Book Antiqua"/>
          <w:sz w:val="24"/>
          <w:szCs w:val="24"/>
        </w:rPr>
        <w:t xml:space="preserve"> </w:t>
      </w:r>
      <w:r w:rsidR="00534D82">
        <w:rPr>
          <w:rFonts w:ascii="Book Antiqua" w:hAnsi="Book Antiqua"/>
          <w:sz w:val="24"/>
          <w:szCs w:val="24"/>
        </w:rPr>
        <w:t xml:space="preserve">che sono state </w:t>
      </w:r>
      <w:r w:rsidR="006F264C" w:rsidRPr="00534D82">
        <w:rPr>
          <w:rFonts w:ascii="Book Antiqua" w:hAnsi="Book Antiqua"/>
          <w:sz w:val="24"/>
          <w:szCs w:val="24"/>
        </w:rPr>
        <w:t xml:space="preserve">già </w:t>
      </w:r>
      <w:r w:rsidR="00534D82">
        <w:rPr>
          <w:rFonts w:ascii="Book Antiqua" w:hAnsi="Book Antiqua"/>
          <w:sz w:val="24"/>
          <w:szCs w:val="24"/>
        </w:rPr>
        <w:t xml:space="preserve">ascoltate nel corso delle </w:t>
      </w:r>
      <w:r w:rsidR="00EB0213">
        <w:rPr>
          <w:rFonts w:ascii="Book Antiqua" w:hAnsi="Book Antiqua"/>
          <w:sz w:val="24"/>
          <w:szCs w:val="24"/>
        </w:rPr>
        <w:t xml:space="preserve">precedenti </w:t>
      </w:r>
      <w:r w:rsidR="00534D82">
        <w:rPr>
          <w:rFonts w:ascii="Book Antiqua" w:hAnsi="Book Antiqua"/>
          <w:sz w:val="24"/>
          <w:szCs w:val="24"/>
        </w:rPr>
        <w:t>audizioni</w:t>
      </w:r>
      <w:r w:rsidR="00EB0213">
        <w:rPr>
          <w:rFonts w:ascii="Book Antiqua" w:hAnsi="Book Antiqua"/>
          <w:sz w:val="24"/>
          <w:szCs w:val="24"/>
        </w:rPr>
        <w:t>,</w:t>
      </w:r>
      <w:r w:rsidR="006F264C" w:rsidRPr="00534D82">
        <w:rPr>
          <w:rFonts w:ascii="Book Antiqua" w:hAnsi="Book Antiqua"/>
          <w:sz w:val="24"/>
          <w:szCs w:val="24"/>
        </w:rPr>
        <w:t xml:space="preserve"> ogni </w:t>
      </w:r>
      <w:r w:rsidR="001C30E0" w:rsidRPr="00534D82">
        <w:rPr>
          <w:rFonts w:ascii="Book Antiqua" w:hAnsi="Book Antiqua"/>
          <w:sz w:val="24"/>
          <w:szCs w:val="24"/>
        </w:rPr>
        <w:t xml:space="preserve">considerazione </w:t>
      </w:r>
      <w:r w:rsidR="002F775B" w:rsidRPr="00534D82">
        <w:rPr>
          <w:rFonts w:ascii="Book Antiqua" w:hAnsi="Book Antiqua"/>
          <w:sz w:val="24"/>
          <w:szCs w:val="24"/>
        </w:rPr>
        <w:t>in ordine alla compatibilità</w:t>
      </w:r>
      <w:r w:rsidR="00A9550D" w:rsidRPr="00534D82">
        <w:rPr>
          <w:rFonts w:ascii="Book Antiqua" w:hAnsi="Book Antiqua"/>
          <w:sz w:val="24"/>
          <w:szCs w:val="24"/>
        </w:rPr>
        <w:t xml:space="preserve"> </w:t>
      </w:r>
      <w:r w:rsidR="0021733B" w:rsidRPr="00534D82">
        <w:rPr>
          <w:rFonts w:ascii="Book Antiqua" w:hAnsi="Book Antiqua"/>
          <w:sz w:val="24"/>
          <w:szCs w:val="24"/>
        </w:rPr>
        <w:t xml:space="preserve">– </w:t>
      </w:r>
      <w:r w:rsidR="00A9550D" w:rsidRPr="00534D82">
        <w:rPr>
          <w:rFonts w:ascii="Book Antiqua" w:hAnsi="Book Antiqua"/>
          <w:sz w:val="24"/>
          <w:szCs w:val="24"/>
        </w:rPr>
        <w:t>che</w:t>
      </w:r>
      <w:r w:rsidR="00214895" w:rsidRPr="00534D82">
        <w:rPr>
          <w:rFonts w:ascii="Book Antiqua" w:hAnsi="Book Antiqua"/>
          <w:sz w:val="24"/>
          <w:szCs w:val="24"/>
        </w:rPr>
        <w:t>,</w:t>
      </w:r>
      <w:r w:rsidR="00A9550D" w:rsidRPr="00534D82">
        <w:rPr>
          <w:rFonts w:ascii="Book Antiqua" w:hAnsi="Book Antiqua"/>
          <w:sz w:val="24"/>
          <w:szCs w:val="24"/>
        </w:rPr>
        <w:t xml:space="preserve"> invero</w:t>
      </w:r>
      <w:r w:rsidR="00214895" w:rsidRPr="00534D82">
        <w:rPr>
          <w:rFonts w:ascii="Book Antiqua" w:hAnsi="Book Antiqua"/>
          <w:sz w:val="24"/>
          <w:szCs w:val="24"/>
        </w:rPr>
        <w:t>,</w:t>
      </w:r>
      <w:r w:rsidR="00A9550D" w:rsidRPr="00534D82">
        <w:rPr>
          <w:rFonts w:ascii="Book Antiqua" w:hAnsi="Book Antiqua"/>
          <w:sz w:val="24"/>
          <w:szCs w:val="24"/>
        </w:rPr>
        <w:t xml:space="preserve"> resta</w:t>
      </w:r>
      <w:r w:rsidR="00214895" w:rsidRPr="00534D82">
        <w:rPr>
          <w:rFonts w:ascii="Book Antiqua" w:hAnsi="Book Antiqua"/>
          <w:sz w:val="24"/>
          <w:szCs w:val="24"/>
        </w:rPr>
        <w:t xml:space="preserve"> per molti aspetti</w:t>
      </w:r>
      <w:r w:rsidR="0021733B" w:rsidRPr="00534D82">
        <w:rPr>
          <w:rFonts w:ascii="Book Antiqua" w:hAnsi="Book Antiqua"/>
          <w:sz w:val="24"/>
          <w:szCs w:val="24"/>
        </w:rPr>
        <w:t xml:space="preserve"> da valutare</w:t>
      </w:r>
      <w:r w:rsidR="00A9550D" w:rsidRPr="00534D82">
        <w:rPr>
          <w:rFonts w:ascii="Book Antiqua" w:hAnsi="Book Antiqua"/>
          <w:sz w:val="24"/>
          <w:szCs w:val="24"/>
        </w:rPr>
        <w:t xml:space="preserve"> </w:t>
      </w:r>
      <w:r w:rsidR="0021733B" w:rsidRPr="00534D82">
        <w:rPr>
          <w:rFonts w:ascii="Book Antiqua" w:hAnsi="Book Antiqua"/>
          <w:sz w:val="24"/>
          <w:szCs w:val="24"/>
        </w:rPr>
        <w:t xml:space="preserve">– </w:t>
      </w:r>
      <w:r w:rsidR="002F775B" w:rsidRPr="00534D82">
        <w:rPr>
          <w:rFonts w:ascii="Book Antiqua" w:hAnsi="Book Antiqua"/>
          <w:sz w:val="24"/>
          <w:szCs w:val="24"/>
        </w:rPr>
        <w:t>del</w:t>
      </w:r>
      <w:r w:rsidR="001C30E0" w:rsidRPr="00534D82">
        <w:rPr>
          <w:rFonts w:ascii="Book Antiqua" w:hAnsi="Book Antiqua"/>
          <w:sz w:val="24"/>
          <w:szCs w:val="24"/>
        </w:rPr>
        <w:t xml:space="preserve"> modello delineato nella proposta di legge delega </w:t>
      </w:r>
      <w:r w:rsidR="002F775B" w:rsidRPr="00534D82">
        <w:rPr>
          <w:rFonts w:ascii="Book Antiqua" w:hAnsi="Book Antiqua"/>
          <w:sz w:val="24"/>
          <w:szCs w:val="24"/>
        </w:rPr>
        <w:t xml:space="preserve">con </w:t>
      </w:r>
      <w:r w:rsidR="001C30E0" w:rsidRPr="00534D82">
        <w:rPr>
          <w:rFonts w:ascii="Book Antiqua" w:hAnsi="Book Antiqua"/>
          <w:sz w:val="24"/>
          <w:szCs w:val="24"/>
        </w:rPr>
        <w:t>i principi costituzionali su cui poggia l’assetto della giurisdizione</w:t>
      </w:r>
      <w:r w:rsidR="00EB0213">
        <w:rPr>
          <w:rFonts w:ascii="Book Antiqua" w:hAnsi="Book Antiqua"/>
          <w:sz w:val="24"/>
          <w:szCs w:val="24"/>
        </w:rPr>
        <w:t xml:space="preserve">; dall’altro, mi sento di rilevare </w:t>
      </w:r>
      <w:r w:rsidR="00214895" w:rsidRPr="00534D82">
        <w:rPr>
          <w:rFonts w:ascii="Book Antiqua" w:hAnsi="Book Antiqua"/>
          <w:sz w:val="24"/>
          <w:szCs w:val="24"/>
        </w:rPr>
        <w:t>che</w:t>
      </w:r>
      <w:r w:rsidR="0021733B" w:rsidRPr="00534D82">
        <w:rPr>
          <w:rFonts w:ascii="Book Antiqua" w:hAnsi="Book Antiqua"/>
          <w:sz w:val="24"/>
          <w:szCs w:val="24"/>
        </w:rPr>
        <w:t>,</w:t>
      </w:r>
      <w:r w:rsidR="00214895" w:rsidRPr="00534D82">
        <w:rPr>
          <w:rFonts w:ascii="Book Antiqua" w:hAnsi="Book Antiqua"/>
          <w:sz w:val="24"/>
          <w:szCs w:val="24"/>
        </w:rPr>
        <w:t xml:space="preserve"> nell’ottica d</w:t>
      </w:r>
      <w:r w:rsidR="006F264C" w:rsidRPr="00534D82">
        <w:rPr>
          <w:rFonts w:ascii="Book Antiqua" w:hAnsi="Book Antiqua"/>
          <w:sz w:val="24"/>
          <w:szCs w:val="24"/>
        </w:rPr>
        <w:t xml:space="preserve">i un più efficiente funzionamento delle regole che governano la giurisdizione </w:t>
      </w:r>
      <w:r w:rsidR="0021733B" w:rsidRPr="00534D82">
        <w:rPr>
          <w:rFonts w:ascii="Book Antiqua" w:hAnsi="Book Antiqua"/>
          <w:sz w:val="24"/>
          <w:szCs w:val="24"/>
        </w:rPr>
        <w:t xml:space="preserve">– </w:t>
      </w:r>
      <w:r w:rsidR="006F264C" w:rsidRPr="00534D82">
        <w:rPr>
          <w:rFonts w:ascii="Book Antiqua" w:hAnsi="Book Antiqua"/>
          <w:sz w:val="24"/>
          <w:szCs w:val="24"/>
        </w:rPr>
        <w:t>e, dunque, della piena attuazione del primario interesse dei citt</w:t>
      </w:r>
      <w:r w:rsidR="0021733B" w:rsidRPr="00534D82">
        <w:rPr>
          <w:rFonts w:ascii="Book Antiqua" w:hAnsi="Book Antiqua"/>
          <w:sz w:val="24"/>
          <w:szCs w:val="24"/>
        </w:rPr>
        <w:t>adini alla certezza del diritto</w:t>
      </w:r>
      <w:r w:rsidR="006F264C" w:rsidRPr="00534D82">
        <w:rPr>
          <w:rFonts w:ascii="Book Antiqua" w:hAnsi="Book Antiqua"/>
          <w:sz w:val="24"/>
          <w:szCs w:val="24"/>
        </w:rPr>
        <w:t xml:space="preserve"> </w:t>
      </w:r>
      <w:r w:rsidR="0021733B" w:rsidRPr="00534D82">
        <w:rPr>
          <w:rFonts w:ascii="Book Antiqua" w:hAnsi="Book Antiqua"/>
          <w:sz w:val="24"/>
          <w:szCs w:val="24"/>
        </w:rPr>
        <w:t xml:space="preserve">– </w:t>
      </w:r>
      <w:r w:rsidR="006F264C" w:rsidRPr="00534D82">
        <w:rPr>
          <w:rFonts w:ascii="Book Antiqua" w:hAnsi="Book Antiqua"/>
          <w:sz w:val="24"/>
          <w:szCs w:val="24"/>
        </w:rPr>
        <w:t>l’istituzione di un organism</w:t>
      </w:r>
      <w:r w:rsidR="0021733B" w:rsidRPr="00534D82">
        <w:rPr>
          <w:rFonts w:ascii="Book Antiqua" w:hAnsi="Book Antiqua"/>
          <w:sz w:val="24"/>
          <w:szCs w:val="24"/>
        </w:rPr>
        <w:t xml:space="preserve">o superiore a composizione mista </w:t>
      </w:r>
      <w:r w:rsidR="006F264C" w:rsidRPr="00534D82">
        <w:rPr>
          <w:rFonts w:ascii="Book Antiqua" w:hAnsi="Book Antiqua"/>
          <w:sz w:val="24"/>
          <w:szCs w:val="24"/>
        </w:rPr>
        <w:t xml:space="preserve">difficilmente </w:t>
      </w:r>
      <w:r w:rsidR="0021733B" w:rsidRPr="00534D82">
        <w:rPr>
          <w:rFonts w:ascii="Book Antiqua" w:hAnsi="Book Antiqua"/>
          <w:sz w:val="24"/>
          <w:szCs w:val="24"/>
        </w:rPr>
        <w:t xml:space="preserve">si risolverebbe in una </w:t>
      </w:r>
      <w:r w:rsidR="006F264C" w:rsidRPr="00534D82">
        <w:rPr>
          <w:rFonts w:ascii="Book Antiqua" w:hAnsi="Book Antiqua"/>
          <w:sz w:val="24"/>
          <w:szCs w:val="24"/>
        </w:rPr>
        <w:t xml:space="preserve">misura sufficiente, in mancanza di interventi normativi </w:t>
      </w:r>
      <w:r w:rsidR="0021733B" w:rsidRPr="00534D82">
        <w:rPr>
          <w:rFonts w:ascii="Book Antiqua" w:hAnsi="Book Antiqua"/>
          <w:sz w:val="24"/>
          <w:szCs w:val="24"/>
        </w:rPr>
        <w:t>inerenti a</w:t>
      </w:r>
      <w:r w:rsidR="006F264C" w:rsidRPr="00534D82">
        <w:rPr>
          <w:rFonts w:ascii="Book Antiqua" w:hAnsi="Book Antiqua"/>
          <w:sz w:val="24"/>
          <w:szCs w:val="24"/>
        </w:rPr>
        <w:t>l</w:t>
      </w:r>
      <w:r w:rsidR="00EB0213">
        <w:rPr>
          <w:rFonts w:ascii="Book Antiqua" w:hAnsi="Book Antiqua"/>
          <w:sz w:val="24"/>
          <w:szCs w:val="24"/>
        </w:rPr>
        <w:t xml:space="preserve"> paradigma procedimentale del</w:t>
      </w:r>
      <w:r w:rsidR="006F264C" w:rsidRPr="00534D82">
        <w:rPr>
          <w:rFonts w:ascii="Book Antiqua" w:hAnsi="Book Antiqua"/>
          <w:sz w:val="24"/>
          <w:szCs w:val="24"/>
        </w:rPr>
        <w:t xml:space="preserve"> regolamento di giurisdizione, la cui </w:t>
      </w:r>
      <w:r w:rsidR="00EB0213">
        <w:rPr>
          <w:rFonts w:ascii="Book Antiqua" w:hAnsi="Book Antiqua"/>
          <w:sz w:val="24"/>
          <w:szCs w:val="24"/>
        </w:rPr>
        <w:t xml:space="preserve">attuale </w:t>
      </w:r>
      <w:r w:rsidR="006F264C" w:rsidRPr="00534D82">
        <w:rPr>
          <w:rFonts w:ascii="Book Antiqua" w:hAnsi="Book Antiqua"/>
          <w:sz w:val="24"/>
          <w:szCs w:val="24"/>
        </w:rPr>
        <w:t xml:space="preserve">disciplina resta avvinta da ostici nodi interpretativi, che sovente </w:t>
      </w:r>
      <w:r w:rsidR="0021733B" w:rsidRPr="00534D82">
        <w:rPr>
          <w:rFonts w:ascii="Book Antiqua" w:hAnsi="Book Antiqua"/>
          <w:sz w:val="24"/>
          <w:szCs w:val="24"/>
        </w:rPr>
        <w:t xml:space="preserve">limitano </w:t>
      </w:r>
      <w:r w:rsidR="006F264C" w:rsidRPr="00534D82">
        <w:rPr>
          <w:rFonts w:ascii="Book Antiqua" w:hAnsi="Book Antiqua"/>
          <w:sz w:val="24"/>
          <w:szCs w:val="24"/>
        </w:rPr>
        <w:t>l’efficienza dell’istituto.</w:t>
      </w:r>
    </w:p>
    <w:p w:rsidR="006F264C" w:rsidRDefault="006F264C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Di più: è plausibile che interventi normativi</w:t>
      </w:r>
      <w:r w:rsidR="00815A63">
        <w:rPr>
          <w:rFonts w:ascii="Book Antiqua" w:hAnsi="Book Antiqua"/>
          <w:sz w:val="24"/>
          <w:szCs w:val="24"/>
        </w:rPr>
        <w:t xml:space="preserve"> di tal segno</w:t>
      </w:r>
      <w:r w:rsidRPr="00534D82">
        <w:rPr>
          <w:rFonts w:ascii="Book Antiqua" w:hAnsi="Book Antiqua"/>
          <w:sz w:val="24"/>
          <w:szCs w:val="24"/>
        </w:rPr>
        <w:t xml:space="preserve"> possano con</w:t>
      </w:r>
      <w:r w:rsidR="00EB0213">
        <w:rPr>
          <w:rFonts w:ascii="Book Antiqua" w:hAnsi="Book Antiqua"/>
          <w:sz w:val="24"/>
          <w:szCs w:val="24"/>
        </w:rPr>
        <w:t xml:space="preserve">tribuire </w:t>
      </w:r>
      <w:r w:rsidRPr="00534D82">
        <w:rPr>
          <w:rFonts w:ascii="Book Antiqua" w:hAnsi="Book Antiqua"/>
          <w:i/>
          <w:sz w:val="24"/>
          <w:szCs w:val="24"/>
        </w:rPr>
        <w:t xml:space="preserve">ex se </w:t>
      </w:r>
      <w:r w:rsidR="00EB0213">
        <w:rPr>
          <w:rFonts w:ascii="Book Antiqua" w:hAnsi="Book Antiqua"/>
          <w:sz w:val="24"/>
          <w:szCs w:val="24"/>
        </w:rPr>
        <w:t>a</w:t>
      </w:r>
      <w:r w:rsidR="001059B3" w:rsidRPr="00534D82">
        <w:rPr>
          <w:rFonts w:ascii="Book Antiqua" w:hAnsi="Book Antiqua"/>
          <w:sz w:val="24"/>
          <w:szCs w:val="24"/>
        </w:rPr>
        <w:t>l superamento dei non irrilevanti profili di</w:t>
      </w:r>
      <w:r w:rsidR="00EB0213">
        <w:rPr>
          <w:rFonts w:ascii="Book Antiqua" w:hAnsi="Book Antiqua"/>
          <w:sz w:val="24"/>
          <w:szCs w:val="24"/>
        </w:rPr>
        <w:t xml:space="preserve"> criticità che la disciplina dei conflitti e delle questioni di</w:t>
      </w:r>
      <w:r w:rsidR="001059B3" w:rsidRPr="00534D82">
        <w:rPr>
          <w:rFonts w:ascii="Book Antiqua" w:hAnsi="Book Antiqua"/>
          <w:sz w:val="24"/>
          <w:szCs w:val="24"/>
        </w:rPr>
        <w:t xml:space="preserve"> giurisdizione </w:t>
      </w:r>
      <w:r w:rsidR="00815A63">
        <w:rPr>
          <w:rFonts w:ascii="Book Antiqua" w:hAnsi="Book Antiqua"/>
          <w:sz w:val="24"/>
          <w:szCs w:val="24"/>
        </w:rPr>
        <w:t xml:space="preserve">oggi </w:t>
      </w:r>
      <w:r w:rsidR="001059B3" w:rsidRPr="00534D82">
        <w:rPr>
          <w:rFonts w:ascii="Book Antiqua" w:hAnsi="Book Antiqua"/>
          <w:sz w:val="24"/>
          <w:szCs w:val="24"/>
        </w:rPr>
        <w:t>sconta, pur tenendo ferma l’attribuzione in via esclusiva alla Corte di cassazione della cognizione sulla materia che qui occupa.</w:t>
      </w:r>
    </w:p>
    <w:p w:rsidR="00651B6B" w:rsidRPr="00534D82" w:rsidRDefault="00651B6B" w:rsidP="00356D1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Proprio su tali rilievi, quindi, vorrei fermare brevemente la mia attenzione.</w:t>
      </w:r>
    </w:p>
    <w:p w:rsidR="001059B3" w:rsidRPr="00534D82" w:rsidRDefault="001059B3" w:rsidP="00356D1A">
      <w:pPr>
        <w:jc w:val="both"/>
        <w:rPr>
          <w:rFonts w:ascii="Book Antiqua" w:hAnsi="Book Antiqua"/>
          <w:sz w:val="24"/>
          <w:szCs w:val="24"/>
        </w:rPr>
      </w:pPr>
    </w:p>
    <w:p w:rsidR="001059B3" w:rsidRPr="00534D82" w:rsidRDefault="001059B3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b/>
          <w:sz w:val="24"/>
          <w:szCs w:val="24"/>
        </w:rPr>
        <w:t>3. –</w:t>
      </w:r>
      <w:r w:rsidR="00651B6B">
        <w:rPr>
          <w:rFonts w:ascii="Book Antiqua" w:hAnsi="Book Antiqua"/>
          <w:sz w:val="24"/>
          <w:szCs w:val="24"/>
        </w:rPr>
        <w:t xml:space="preserve"> P</w:t>
      </w:r>
      <w:r w:rsidR="00815A63">
        <w:rPr>
          <w:rFonts w:ascii="Book Antiqua" w:hAnsi="Book Antiqua"/>
          <w:sz w:val="24"/>
          <w:szCs w:val="24"/>
        </w:rPr>
        <w:t>er chiarezza di esposizione</w:t>
      </w:r>
      <w:r w:rsidR="00651B6B">
        <w:rPr>
          <w:rFonts w:ascii="Book Antiqua" w:hAnsi="Book Antiqua"/>
          <w:sz w:val="24"/>
          <w:szCs w:val="24"/>
        </w:rPr>
        <w:t xml:space="preserve">, mi sembra possa essere utile fare riferimento, a </w:t>
      </w:r>
      <w:r w:rsidR="00097164" w:rsidRPr="00534D82">
        <w:rPr>
          <w:rFonts w:ascii="Book Antiqua" w:hAnsi="Book Antiqua"/>
          <w:sz w:val="24"/>
          <w:szCs w:val="24"/>
        </w:rPr>
        <w:t>titolo</w:t>
      </w:r>
      <w:r w:rsidR="00651B6B">
        <w:rPr>
          <w:rFonts w:ascii="Book Antiqua" w:hAnsi="Book Antiqua"/>
          <w:sz w:val="24"/>
          <w:szCs w:val="24"/>
        </w:rPr>
        <w:t xml:space="preserve"> puramente</w:t>
      </w:r>
      <w:r w:rsidR="00097164" w:rsidRPr="00534D82">
        <w:rPr>
          <w:rFonts w:ascii="Book Antiqua" w:hAnsi="Book Antiqua"/>
          <w:sz w:val="24"/>
          <w:szCs w:val="24"/>
        </w:rPr>
        <w:t xml:space="preserve"> </w:t>
      </w:r>
      <w:r w:rsidR="008C41FD" w:rsidRPr="00534D82">
        <w:rPr>
          <w:rFonts w:ascii="Book Antiqua" w:hAnsi="Book Antiqua"/>
          <w:sz w:val="24"/>
          <w:szCs w:val="24"/>
        </w:rPr>
        <w:t>esemplificativo</w:t>
      </w:r>
      <w:r w:rsidR="00097164" w:rsidRPr="00534D82">
        <w:rPr>
          <w:rFonts w:ascii="Book Antiqua" w:hAnsi="Book Antiqua"/>
          <w:sz w:val="24"/>
          <w:szCs w:val="24"/>
        </w:rPr>
        <w:t xml:space="preserve">, </w:t>
      </w:r>
      <w:r w:rsidR="001722B5" w:rsidRPr="00534D82">
        <w:rPr>
          <w:rFonts w:ascii="Book Antiqua" w:hAnsi="Book Antiqua"/>
          <w:sz w:val="24"/>
          <w:szCs w:val="24"/>
        </w:rPr>
        <w:t>al</w:t>
      </w:r>
      <w:r w:rsidR="00097164" w:rsidRPr="00534D82">
        <w:rPr>
          <w:rFonts w:ascii="Book Antiqua" w:hAnsi="Book Antiqua"/>
          <w:sz w:val="24"/>
          <w:szCs w:val="24"/>
        </w:rPr>
        <w:t>le disposizioni</w:t>
      </w:r>
      <w:r w:rsidR="001722B5" w:rsidRPr="00534D82">
        <w:rPr>
          <w:rFonts w:ascii="Book Antiqua" w:hAnsi="Book Antiqua"/>
          <w:sz w:val="24"/>
          <w:szCs w:val="24"/>
        </w:rPr>
        <w:t>,</w:t>
      </w:r>
      <w:r w:rsidR="00097164" w:rsidRPr="00534D82">
        <w:rPr>
          <w:rFonts w:ascii="Book Antiqua" w:hAnsi="Book Antiqua"/>
          <w:sz w:val="24"/>
          <w:szCs w:val="24"/>
        </w:rPr>
        <w:t xml:space="preserve"> contenute nella proposta di legge</w:t>
      </w:r>
      <w:r w:rsidR="005B5B70" w:rsidRPr="00534D82">
        <w:rPr>
          <w:rFonts w:ascii="Book Antiqua" w:hAnsi="Book Antiqua"/>
          <w:sz w:val="24"/>
          <w:szCs w:val="24"/>
        </w:rPr>
        <w:t xml:space="preserve"> delega</w:t>
      </w:r>
      <w:r w:rsidR="00097164" w:rsidRPr="00534D82">
        <w:rPr>
          <w:rFonts w:ascii="Book Antiqua" w:hAnsi="Book Antiqua"/>
          <w:sz w:val="24"/>
          <w:szCs w:val="24"/>
        </w:rPr>
        <w:t>, che attengono</w:t>
      </w:r>
      <w:r w:rsidR="008C41FD" w:rsidRPr="00534D82">
        <w:rPr>
          <w:rFonts w:ascii="Book Antiqua" w:hAnsi="Book Antiqua"/>
          <w:sz w:val="24"/>
          <w:szCs w:val="24"/>
        </w:rPr>
        <w:t xml:space="preserve"> </w:t>
      </w:r>
      <w:r w:rsidR="00651B6B">
        <w:rPr>
          <w:rFonts w:ascii="Book Antiqua" w:hAnsi="Book Antiqua"/>
          <w:sz w:val="24"/>
          <w:szCs w:val="24"/>
        </w:rPr>
        <w:t xml:space="preserve">alle </w:t>
      </w:r>
      <w:r w:rsidR="00097164" w:rsidRPr="00534D82">
        <w:rPr>
          <w:rFonts w:ascii="Book Antiqua" w:hAnsi="Book Antiqua"/>
          <w:sz w:val="24"/>
          <w:szCs w:val="24"/>
        </w:rPr>
        <w:t>interrelazioni</w:t>
      </w:r>
      <w:r w:rsidR="00651B6B">
        <w:rPr>
          <w:rFonts w:ascii="Book Antiqua" w:hAnsi="Book Antiqua"/>
          <w:sz w:val="24"/>
          <w:szCs w:val="24"/>
        </w:rPr>
        <w:t>, per molti aspetti controverse,</w:t>
      </w:r>
      <w:r w:rsidR="00097164" w:rsidRPr="00534D82">
        <w:rPr>
          <w:rFonts w:ascii="Book Antiqua" w:hAnsi="Book Antiqua"/>
          <w:sz w:val="24"/>
          <w:szCs w:val="24"/>
        </w:rPr>
        <w:t xml:space="preserve"> tra il regolamento di giurisdizione e i procedimenti </w:t>
      </w:r>
      <w:r w:rsidR="00097164" w:rsidRPr="00534D82">
        <w:rPr>
          <w:rFonts w:ascii="Book Antiqua" w:hAnsi="Book Antiqua"/>
          <w:sz w:val="24"/>
          <w:szCs w:val="24"/>
        </w:rPr>
        <w:lastRenderedPageBreak/>
        <w:t>cautelari</w:t>
      </w:r>
      <w:r w:rsidR="005B5B70" w:rsidRPr="00534D82">
        <w:rPr>
          <w:rFonts w:ascii="Book Antiqua" w:hAnsi="Book Antiqua"/>
          <w:sz w:val="24"/>
          <w:szCs w:val="24"/>
        </w:rPr>
        <w:t xml:space="preserve">: </w:t>
      </w:r>
      <w:r w:rsidR="00651B6B">
        <w:rPr>
          <w:rFonts w:ascii="Book Antiqua" w:hAnsi="Book Antiqua"/>
          <w:sz w:val="24"/>
          <w:szCs w:val="24"/>
        </w:rPr>
        <w:t xml:space="preserve">più in particolare, </w:t>
      </w:r>
      <w:r w:rsidR="007068DF">
        <w:rPr>
          <w:rFonts w:ascii="Book Antiqua" w:hAnsi="Book Antiqua"/>
          <w:sz w:val="24"/>
          <w:szCs w:val="24"/>
        </w:rPr>
        <w:t xml:space="preserve">sto ponendo mente </w:t>
      </w:r>
      <w:r w:rsidR="00651B6B">
        <w:rPr>
          <w:rFonts w:ascii="Book Antiqua" w:hAnsi="Book Antiqua"/>
          <w:sz w:val="24"/>
          <w:szCs w:val="24"/>
        </w:rPr>
        <w:t xml:space="preserve">ai </w:t>
      </w:r>
      <w:r w:rsidR="005B5B70" w:rsidRPr="00534D82">
        <w:rPr>
          <w:rFonts w:ascii="Book Antiqua" w:hAnsi="Book Antiqua"/>
          <w:sz w:val="24"/>
          <w:szCs w:val="24"/>
        </w:rPr>
        <w:t>princ</w:t>
      </w:r>
      <w:r w:rsidR="00651B6B">
        <w:rPr>
          <w:rFonts w:ascii="Book Antiqua" w:hAnsi="Book Antiqua"/>
          <w:sz w:val="24"/>
          <w:szCs w:val="24"/>
        </w:rPr>
        <w:t xml:space="preserve">ipi e criteri direttivi </w:t>
      </w:r>
      <w:r w:rsidR="005B5B70" w:rsidRPr="00534D82">
        <w:rPr>
          <w:rFonts w:ascii="Book Antiqua" w:hAnsi="Book Antiqua"/>
          <w:sz w:val="24"/>
          <w:szCs w:val="24"/>
        </w:rPr>
        <w:t xml:space="preserve"> </w:t>
      </w:r>
      <w:r w:rsidR="007068DF">
        <w:rPr>
          <w:rFonts w:ascii="Book Antiqua" w:hAnsi="Book Antiqua"/>
          <w:sz w:val="24"/>
          <w:szCs w:val="24"/>
        </w:rPr>
        <w:t xml:space="preserve">indicati, ai fini dell’attuazione della delega, </w:t>
      </w:r>
      <w:r w:rsidR="005B5B70" w:rsidRPr="00534D82">
        <w:rPr>
          <w:rFonts w:ascii="Book Antiqua" w:hAnsi="Book Antiqua"/>
          <w:sz w:val="24"/>
          <w:szCs w:val="24"/>
        </w:rPr>
        <w:t xml:space="preserve">nelle lettere </w:t>
      </w:r>
      <w:r w:rsidR="005B5B70" w:rsidRPr="00534D82">
        <w:rPr>
          <w:rFonts w:ascii="Book Antiqua" w:hAnsi="Book Antiqua"/>
          <w:i/>
          <w:sz w:val="24"/>
          <w:szCs w:val="24"/>
        </w:rPr>
        <w:t xml:space="preserve">p) </w:t>
      </w:r>
      <w:r w:rsidR="005B5B70" w:rsidRPr="00534D82">
        <w:rPr>
          <w:rFonts w:ascii="Book Antiqua" w:hAnsi="Book Antiqua"/>
          <w:sz w:val="24"/>
          <w:szCs w:val="24"/>
        </w:rPr>
        <w:t xml:space="preserve">e </w:t>
      </w:r>
      <w:r w:rsidR="005B5B70" w:rsidRPr="00534D82">
        <w:rPr>
          <w:rFonts w:ascii="Book Antiqua" w:hAnsi="Book Antiqua"/>
          <w:i/>
          <w:sz w:val="24"/>
          <w:szCs w:val="24"/>
        </w:rPr>
        <w:t xml:space="preserve">q) </w:t>
      </w:r>
      <w:r w:rsidR="005B5B70" w:rsidRPr="00534D82">
        <w:rPr>
          <w:rFonts w:ascii="Book Antiqua" w:hAnsi="Book Antiqua"/>
          <w:sz w:val="24"/>
          <w:szCs w:val="24"/>
        </w:rPr>
        <w:t>del comma 1 dell’unico articolo di cui consta la proposta stessa</w:t>
      </w:r>
      <w:r w:rsidR="008C41FD" w:rsidRPr="00534D82">
        <w:rPr>
          <w:rFonts w:ascii="Book Antiqua" w:hAnsi="Book Antiqua"/>
          <w:sz w:val="24"/>
          <w:szCs w:val="24"/>
        </w:rPr>
        <w:t>.</w:t>
      </w:r>
    </w:p>
    <w:p w:rsidR="00C9642B" w:rsidRPr="00534D82" w:rsidRDefault="00C9642B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 xml:space="preserve">Nell’art. 1, comma 1, lett. </w:t>
      </w:r>
      <w:r w:rsidRPr="00534D82">
        <w:rPr>
          <w:rFonts w:ascii="Book Antiqua" w:hAnsi="Book Antiqua"/>
          <w:i/>
          <w:sz w:val="24"/>
          <w:szCs w:val="24"/>
        </w:rPr>
        <w:t>p)</w:t>
      </w:r>
      <w:r w:rsidR="007068DF">
        <w:rPr>
          <w:rFonts w:ascii="Book Antiqua" w:hAnsi="Book Antiqua"/>
          <w:sz w:val="24"/>
          <w:szCs w:val="24"/>
        </w:rPr>
        <w:t>, in effetti, si stabilisce</w:t>
      </w:r>
      <w:r w:rsidRPr="00534D82">
        <w:rPr>
          <w:rFonts w:ascii="Book Antiqua" w:hAnsi="Book Antiqua"/>
          <w:sz w:val="24"/>
          <w:szCs w:val="24"/>
        </w:rPr>
        <w:t xml:space="preserve"> che,</w:t>
      </w:r>
      <w:r w:rsidR="007068DF">
        <w:rPr>
          <w:rFonts w:ascii="Book Antiqua" w:hAnsi="Book Antiqua"/>
          <w:sz w:val="24"/>
          <w:szCs w:val="24"/>
        </w:rPr>
        <w:t xml:space="preserve"> la normativa delegata</w:t>
      </w:r>
      <w:r w:rsidRPr="00534D82">
        <w:rPr>
          <w:rFonts w:ascii="Book Antiqua" w:hAnsi="Book Antiqua"/>
          <w:sz w:val="24"/>
          <w:szCs w:val="24"/>
        </w:rPr>
        <w:t xml:space="preserve"> </w:t>
      </w:r>
      <w:r w:rsidR="007068DF">
        <w:rPr>
          <w:rFonts w:ascii="Book Antiqua" w:hAnsi="Book Antiqua"/>
          <w:sz w:val="24"/>
          <w:szCs w:val="24"/>
        </w:rPr>
        <w:t>debba prevedere</w:t>
      </w:r>
      <w:r w:rsidRPr="00534D82">
        <w:rPr>
          <w:rFonts w:ascii="Book Antiqua" w:hAnsi="Book Antiqua"/>
          <w:sz w:val="24"/>
          <w:szCs w:val="24"/>
        </w:rPr>
        <w:t xml:space="preserve"> la possibilità di proporre il rimedio del regolamento preventivo di giurisdizione (innanzi al Tribunale superiore dei conflitti) fin quando «</w:t>
      </w:r>
      <w:r w:rsidRPr="00534D82">
        <w:rPr>
          <w:rFonts w:ascii="Book Antiqua" w:hAnsi="Book Antiqua"/>
          <w:i/>
          <w:sz w:val="24"/>
          <w:szCs w:val="24"/>
        </w:rPr>
        <w:t>non sia intervenuta una decisione sulla causa in sede cautelare o di merito</w:t>
      </w:r>
      <w:r w:rsidRPr="00534D82">
        <w:rPr>
          <w:rFonts w:ascii="Book Antiqua" w:hAnsi="Book Antiqua"/>
          <w:sz w:val="24"/>
          <w:szCs w:val="24"/>
        </w:rPr>
        <w:t>».</w:t>
      </w:r>
    </w:p>
    <w:p w:rsidR="005B5B70" w:rsidRPr="00534D82" w:rsidRDefault="008066A7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Ora, premesso che la norma non si fa carico di risolvere – e forse</w:t>
      </w:r>
      <w:r w:rsidR="007068DF">
        <w:rPr>
          <w:rFonts w:ascii="Book Antiqua" w:hAnsi="Book Antiqua"/>
          <w:sz w:val="24"/>
          <w:szCs w:val="24"/>
        </w:rPr>
        <w:t xml:space="preserve"> l’occasione sarebbe stata propizia </w:t>
      </w:r>
      <w:r w:rsidRPr="00534D82">
        <w:rPr>
          <w:rFonts w:ascii="Book Antiqua" w:hAnsi="Book Antiqua"/>
          <w:sz w:val="24"/>
          <w:szCs w:val="24"/>
        </w:rPr>
        <w:t>– i problemi ermeneutici posti dall’uso, nel vigente art. 41 c.p.c., del participio «</w:t>
      </w:r>
      <w:r w:rsidRPr="00534D82">
        <w:rPr>
          <w:rFonts w:ascii="Book Antiqua" w:hAnsi="Book Antiqua"/>
          <w:i/>
          <w:sz w:val="24"/>
          <w:szCs w:val="24"/>
        </w:rPr>
        <w:t>decisa</w:t>
      </w:r>
      <w:r w:rsidRPr="00534D82">
        <w:rPr>
          <w:rFonts w:ascii="Book Antiqua" w:hAnsi="Book Antiqua"/>
          <w:sz w:val="24"/>
          <w:szCs w:val="24"/>
        </w:rPr>
        <w:t xml:space="preserve">», </w:t>
      </w:r>
      <w:r w:rsidR="00C9642B" w:rsidRPr="00534D82">
        <w:rPr>
          <w:rFonts w:ascii="Book Antiqua" w:hAnsi="Book Antiqua"/>
          <w:sz w:val="24"/>
          <w:szCs w:val="24"/>
        </w:rPr>
        <w:t xml:space="preserve">la </w:t>
      </w:r>
      <w:r w:rsidR="007068DF">
        <w:rPr>
          <w:rFonts w:ascii="Book Antiqua" w:hAnsi="Book Antiqua"/>
          <w:sz w:val="24"/>
          <w:szCs w:val="24"/>
        </w:rPr>
        <w:t xml:space="preserve">sua </w:t>
      </w:r>
      <w:r w:rsidR="00C9642B" w:rsidRPr="00534D82">
        <w:rPr>
          <w:rFonts w:ascii="Book Antiqua" w:hAnsi="Book Antiqua"/>
          <w:sz w:val="24"/>
          <w:szCs w:val="24"/>
        </w:rPr>
        <w:t>formulazione</w:t>
      </w:r>
      <w:r w:rsidR="007068DF">
        <w:rPr>
          <w:rFonts w:ascii="Book Antiqua" w:hAnsi="Book Antiqua"/>
          <w:sz w:val="24"/>
          <w:szCs w:val="24"/>
        </w:rPr>
        <w:t xml:space="preserve"> letterale </w:t>
      </w:r>
      <w:r w:rsidR="00C9642B" w:rsidRPr="007068DF">
        <w:rPr>
          <w:rFonts w:ascii="Book Antiqua" w:hAnsi="Book Antiqua"/>
          <w:sz w:val="24"/>
          <w:szCs w:val="24"/>
        </w:rPr>
        <w:t xml:space="preserve">non sembrerebbe </w:t>
      </w:r>
      <w:r w:rsidR="007068DF">
        <w:rPr>
          <w:rFonts w:ascii="Book Antiqua" w:hAnsi="Book Antiqua"/>
          <w:sz w:val="24"/>
          <w:szCs w:val="24"/>
        </w:rPr>
        <w:t xml:space="preserve">precludere l’esperimento </w:t>
      </w:r>
      <w:r w:rsidR="00C9642B" w:rsidRPr="00534D82">
        <w:rPr>
          <w:rFonts w:ascii="Book Antiqua" w:hAnsi="Book Antiqua"/>
          <w:sz w:val="24"/>
          <w:szCs w:val="24"/>
        </w:rPr>
        <w:t>del regolamento preventivo di giurisdizione</w:t>
      </w:r>
      <w:r w:rsidR="00B75A89" w:rsidRPr="00534D82">
        <w:rPr>
          <w:rFonts w:ascii="Book Antiqua" w:hAnsi="Book Antiqua"/>
          <w:sz w:val="24"/>
          <w:szCs w:val="24"/>
        </w:rPr>
        <w:t xml:space="preserve"> anche nel corso dei procedimenti cautelari </w:t>
      </w:r>
      <w:r w:rsidR="00B75A89" w:rsidRPr="00534D82">
        <w:rPr>
          <w:rFonts w:ascii="Book Antiqua" w:hAnsi="Book Antiqua"/>
          <w:i/>
          <w:sz w:val="24"/>
          <w:szCs w:val="24"/>
        </w:rPr>
        <w:t>ante causam</w:t>
      </w:r>
      <w:r w:rsidR="00B75A89" w:rsidRPr="00534D82">
        <w:rPr>
          <w:rFonts w:ascii="Book Antiqua" w:hAnsi="Book Antiqua"/>
          <w:sz w:val="24"/>
          <w:szCs w:val="24"/>
        </w:rPr>
        <w:t xml:space="preserve">, finché non sia intervenuta, in quella sede, una decisione. </w:t>
      </w:r>
      <w:r w:rsidRPr="00534D82">
        <w:rPr>
          <w:rFonts w:ascii="Book Antiqua" w:hAnsi="Book Antiqua"/>
          <w:sz w:val="24"/>
          <w:szCs w:val="24"/>
        </w:rPr>
        <w:t>Tale o</w:t>
      </w:r>
      <w:r w:rsidR="00B75A89" w:rsidRPr="00534D82">
        <w:rPr>
          <w:rFonts w:ascii="Book Antiqua" w:hAnsi="Book Antiqua"/>
          <w:sz w:val="24"/>
          <w:szCs w:val="24"/>
        </w:rPr>
        <w:t>pzione, peraltro, implicherebbe il superamento dell’</w:t>
      </w:r>
      <w:r w:rsidR="009F0555" w:rsidRPr="00534D82">
        <w:rPr>
          <w:rFonts w:ascii="Book Antiqua" w:hAnsi="Book Antiqua"/>
          <w:sz w:val="24"/>
          <w:szCs w:val="24"/>
        </w:rPr>
        <w:t>orientamento interpretativo</w:t>
      </w:r>
      <w:r w:rsidR="00B75A89" w:rsidRPr="00534D82">
        <w:rPr>
          <w:rFonts w:ascii="Book Antiqua" w:hAnsi="Book Antiqua"/>
          <w:sz w:val="24"/>
          <w:szCs w:val="24"/>
        </w:rPr>
        <w:t xml:space="preserve"> di segno diverso, tendenzialmente tracciato dalla Corte di cassazione a sezioni unite</w:t>
      </w:r>
      <w:r w:rsidR="007068DF">
        <w:rPr>
          <w:rFonts w:ascii="Book Antiqua" w:hAnsi="Book Antiqua"/>
          <w:sz w:val="24"/>
          <w:szCs w:val="24"/>
        </w:rPr>
        <w:t xml:space="preserve">, basato </w:t>
      </w:r>
      <w:r w:rsidR="00B75A89" w:rsidRPr="00534D82">
        <w:rPr>
          <w:rFonts w:ascii="Book Antiqua" w:hAnsi="Book Antiqua"/>
          <w:sz w:val="24"/>
          <w:szCs w:val="24"/>
        </w:rPr>
        <w:t>sul presupposto che</w:t>
      </w:r>
      <w:r w:rsidR="007068DF">
        <w:rPr>
          <w:rFonts w:ascii="Book Antiqua" w:hAnsi="Book Antiqua"/>
          <w:sz w:val="24"/>
          <w:szCs w:val="24"/>
        </w:rPr>
        <w:t>, per contro,</w:t>
      </w:r>
      <w:r w:rsidR="00B75A89" w:rsidRPr="00534D82">
        <w:rPr>
          <w:rFonts w:ascii="Book Antiqua" w:hAnsi="Book Antiqua"/>
          <w:sz w:val="24"/>
          <w:szCs w:val="24"/>
        </w:rPr>
        <w:t xml:space="preserve"> gli artt. 41, 367 e 382 c.p.c. escludano che il regolamento di giurisdizione possa esplicarsi con riferimento a cause ormai </w:t>
      </w:r>
      <w:r w:rsidR="007068DF">
        <w:rPr>
          <w:rFonts w:ascii="Book Antiqua" w:hAnsi="Book Antiqua"/>
          <w:sz w:val="24"/>
          <w:szCs w:val="24"/>
        </w:rPr>
        <w:t>“</w:t>
      </w:r>
      <w:r w:rsidR="00B75A89" w:rsidRPr="007068DF">
        <w:rPr>
          <w:rFonts w:ascii="Book Antiqua" w:hAnsi="Book Antiqua"/>
          <w:sz w:val="24"/>
          <w:szCs w:val="24"/>
        </w:rPr>
        <w:t>esaurite</w:t>
      </w:r>
      <w:r w:rsidR="007068DF">
        <w:rPr>
          <w:rFonts w:ascii="Book Antiqua" w:hAnsi="Book Antiqua"/>
          <w:sz w:val="24"/>
          <w:szCs w:val="24"/>
        </w:rPr>
        <w:t>”</w:t>
      </w:r>
      <w:r w:rsidR="00B75A89" w:rsidRPr="00534D82">
        <w:rPr>
          <w:rFonts w:ascii="Book Antiqua" w:hAnsi="Book Antiqua"/>
          <w:sz w:val="24"/>
          <w:szCs w:val="24"/>
        </w:rPr>
        <w:t xml:space="preserve">, quali sono, appunto, le procedure cautelari </w:t>
      </w:r>
      <w:r w:rsidR="00B75A89" w:rsidRPr="00534D82">
        <w:rPr>
          <w:rFonts w:ascii="Book Antiqua" w:hAnsi="Book Antiqua"/>
          <w:i/>
          <w:sz w:val="24"/>
          <w:szCs w:val="24"/>
        </w:rPr>
        <w:t>ante causam</w:t>
      </w:r>
      <w:r w:rsidR="00B75A89" w:rsidRPr="00534D82">
        <w:rPr>
          <w:rFonts w:ascii="Book Antiqua" w:hAnsi="Book Antiqua"/>
          <w:sz w:val="24"/>
          <w:szCs w:val="24"/>
        </w:rPr>
        <w:t>.</w:t>
      </w:r>
    </w:p>
    <w:p w:rsidR="00C117D7" w:rsidRPr="00534D82" w:rsidRDefault="009F0555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 xml:space="preserve">Posta la rilevanza </w:t>
      </w:r>
      <w:r w:rsidR="00520833">
        <w:rPr>
          <w:rFonts w:ascii="Book Antiqua" w:hAnsi="Book Antiqua"/>
          <w:sz w:val="24"/>
          <w:szCs w:val="24"/>
        </w:rPr>
        <w:t xml:space="preserve">niente </w:t>
      </w:r>
      <w:r w:rsidRPr="00534D82">
        <w:rPr>
          <w:rFonts w:ascii="Book Antiqua" w:hAnsi="Book Antiqua"/>
          <w:sz w:val="24"/>
          <w:szCs w:val="24"/>
        </w:rPr>
        <w:t xml:space="preserve">affatto marginale della questione, </w:t>
      </w:r>
      <w:r w:rsidR="004E6B05" w:rsidRPr="00534D82">
        <w:rPr>
          <w:rFonts w:ascii="Book Antiqua" w:hAnsi="Book Antiqua"/>
          <w:sz w:val="24"/>
          <w:szCs w:val="24"/>
        </w:rPr>
        <w:t>che</w:t>
      </w:r>
      <w:r w:rsidR="00520833">
        <w:rPr>
          <w:rFonts w:ascii="Book Antiqua" w:hAnsi="Book Antiqua"/>
          <w:sz w:val="24"/>
          <w:szCs w:val="24"/>
        </w:rPr>
        <w:t xml:space="preserve"> ha costituito e</w:t>
      </w:r>
      <w:r w:rsidR="004E6B05" w:rsidRPr="00534D82">
        <w:rPr>
          <w:rFonts w:ascii="Book Antiqua" w:hAnsi="Book Antiqua"/>
          <w:sz w:val="24"/>
          <w:szCs w:val="24"/>
        </w:rPr>
        <w:t xml:space="preserve"> costitui</w:t>
      </w:r>
      <w:r w:rsidR="008066A7" w:rsidRPr="00534D82">
        <w:rPr>
          <w:rFonts w:ascii="Book Antiqua" w:hAnsi="Book Antiqua"/>
          <w:sz w:val="24"/>
          <w:szCs w:val="24"/>
        </w:rPr>
        <w:t xml:space="preserve">sce oggetto di un </w:t>
      </w:r>
      <w:r w:rsidR="004E6B05" w:rsidRPr="00534D82">
        <w:rPr>
          <w:rFonts w:ascii="Book Antiqua" w:hAnsi="Book Antiqua"/>
          <w:sz w:val="24"/>
          <w:szCs w:val="24"/>
        </w:rPr>
        <w:t>ampio dibattito</w:t>
      </w:r>
      <w:r w:rsidR="008066A7" w:rsidRPr="00534D82">
        <w:rPr>
          <w:rFonts w:ascii="Book Antiqua" w:hAnsi="Book Antiqua"/>
          <w:sz w:val="24"/>
          <w:szCs w:val="24"/>
        </w:rPr>
        <w:t xml:space="preserve"> dottrinario e giurisprudenziale</w:t>
      </w:r>
      <w:r w:rsidR="004E6B05" w:rsidRPr="00534D82">
        <w:rPr>
          <w:rFonts w:ascii="Book Antiqua" w:hAnsi="Book Antiqua"/>
          <w:sz w:val="24"/>
          <w:szCs w:val="24"/>
        </w:rPr>
        <w:t xml:space="preserve">, </w:t>
      </w:r>
      <w:r w:rsidR="00520833">
        <w:rPr>
          <w:rFonts w:ascii="Book Antiqua" w:hAnsi="Book Antiqua"/>
          <w:sz w:val="24"/>
          <w:szCs w:val="24"/>
        </w:rPr>
        <w:t xml:space="preserve">sui cui termini non è possibile in questa sede soffermarsi, </w:t>
      </w:r>
      <w:r w:rsidRPr="00534D82">
        <w:rPr>
          <w:rFonts w:ascii="Book Antiqua" w:hAnsi="Book Antiqua"/>
          <w:sz w:val="24"/>
          <w:szCs w:val="24"/>
        </w:rPr>
        <w:t>nel quadro di una revisione così radicale</w:t>
      </w:r>
      <w:r w:rsidR="004E6B05" w:rsidRPr="00534D82">
        <w:rPr>
          <w:rFonts w:ascii="Book Antiqua" w:hAnsi="Book Antiqua"/>
          <w:sz w:val="24"/>
          <w:szCs w:val="24"/>
        </w:rPr>
        <w:t xml:space="preserve"> e profonda</w:t>
      </w:r>
      <w:r w:rsidRPr="00534D82">
        <w:rPr>
          <w:rFonts w:ascii="Book Antiqua" w:hAnsi="Book Antiqua"/>
          <w:sz w:val="24"/>
          <w:szCs w:val="24"/>
        </w:rPr>
        <w:t xml:space="preserve"> della disciplina del regolamento di giurisdizione,</w:t>
      </w:r>
      <w:r w:rsidR="004E6B05" w:rsidRPr="00534D82">
        <w:rPr>
          <w:rFonts w:ascii="Book Antiqua" w:hAnsi="Book Antiqua"/>
          <w:sz w:val="24"/>
          <w:szCs w:val="24"/>
        </w:rPr>
        <w:t xml:space="preserve"> quale</w:t>
      </w:r>
      <w:r w:rsidR="00520833">
        <w:rPr>
          <w:rFonts w:ascii="Book Antiqua" w:hAnsi="Book Antiqua"/>
          <w:sz w:val="24"/>
          <w:szCs w:val="24"/>
        </w:rPr>
        <w:t xml:space="preserve"> è</w:t>
      </w:r>
      <w:r w:rsidR="004E6B05" w:rsidRPr="00534D82">
        <w:rPr>
          <w:rFonts w:ascii="Book Antiqua" w:hAnsi="Book Antiqua"/>
          <w:sz w:val="24"/>
          <w:szCs w:val="24"/>
        </w:rPr>
        <w:t xml:space="preserve"> quella </w:t>
      </w:r>
      <w:r w:rsidR="00520833">
        <w:rPr>
          <w:rFonts w:ascii="Book Antiqua" w:hAnsi="Book Antiqua"/>
          <w:sz w:val="24"/>
          <w:szCs w:val="24"/>
        </w:rPr>
        <w:t xml:space="preserve">promossa mediante la </w:t>
      </w:r>
      <w:r w:rsidR="004E6B05" w:rsidRPr="00534D82">
        <w:rPr>
          <w:rFonts w:ascii="Book Antiqua" w:hAnsi="Book Antiqua"/>
          <w:sz w:val="24"/>
          <w:szCs w:val="24"/>
        </w:rPr>
        <w:t>proposta di legge in esame,</w:t>
      </w:r>
      <w:r w:rsidRPr="00534D82">
        <w:rPr>
          <w:rFonts w:ascii="Book Antiqua" w:hAnsi="Book Antiqua"/>
          <w:sz w:val="24"/>
          <w:szCs w:val="24"/>
        </w:rPr>
        <w:t xml:space="preserve"> sarebbe stata forse </w:t>
      </w:r>
      <w:r w:rsidR="00CC0B90" w:rsidRPr="00534D82">
        <w:rPr>
          <w:rFonts w:ascii="Book Antiqua" w:hAnsi="Book Antiqua"/>
          <w:sz w:val="24"/>
          <w:szCs w:val="24"/>
        </w:rPr>
        <w:t xml:space="preserve">auspicabile </w:t>
      </w:r>
      <w:r w:rsidRPr="00534D82">
        <w:rPr>
          <w:rFonts w:ascii="Book Antiqua" w:hAnsi="Book Antiqua"/>
          <w:sz w:val="24"/>
          <w:szCs w:val="24"/>
        </w:rPr>
        <w:t>una maggior chiarezza del dato normativo</w:t>
      </w:r>
      <w:r w:rsidR="00520833">
        <w:rPr>
          <w:rFonts w:ascii="Book Antiqua" w:hAnsi="Book Antiqua"/>
          <w:sz w:val="24"/>
          <w:szCs w:val="24"/>
        </w:rPr>
        <w:t xml:space="preserve"> su tale tema</w:t>
      </w:r>
      <w:r w:rsidRPr="00534D82">
        <w:rPr>
          <w:rFonts w:ascii="Book Antiqua" w:hAnsi="Book Antiqua"/>
          <w:sz w:val="24"/>
          <w:szCs w:val="24"/>
        </w:rPr>
        <w:t>.</w:t>
      </w:r>
    </w:p>
    <w:p w:rsidR="009F0555" w:rsidRPr="00534D82" w:rsidRDefault="00CA05B6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sz w:val="24"/>
          <w:szCs w:val="24"/>
        </w:rPr>
        <w:t>E a</w:t>
      </w:r>
      <w:r w:rsidR="00C117D7" w:rsidRPr="00534D82">
        <w:rPr>
          <w:rFonts w:ascii="Book Antiqua" w:hAnsi="Book Antiqua"/>
          <w:sz w:val="24"/>
          <w:szCs w:val="24"/>
        </w:rPr>
        <w:t xml:space="preserve">naloghe considerazioni </w:t>
      </w:r>
      <w:r w:rsidR="000110B5" w:rsidRPr="00534D82">
        <w:rPr>
          <w:rFonts w:ascii="Book Antiqua" w:hAnsi="Book Antiqua"/>
          <w:sz w:val="24"/>
          <w:szCs w:val="24"/>
        </w:rPr>
        <w:t xml:space="preserve">valgono </w:t>
      </w:r>
      <w:r w:rsidR="00C117D7" w:rsidRPr="00534D82">
        <w:rPr>
          <w:rFonts w:ascii="Book Antiqua" w:hAnsi="Book Antiqua"/>
          <w:sz w:val="24"/>
          <w:szCs w:val="24"/>
        </w:rPr>
        <w:t>per il dettato d</w:t>
      </w:r>
      <w:r w:rsidR="009F0555" w:rsidRPr="00534D82">
        <w:rPr>
          <w:rFonts w:ascii="Book Antiqua" w:hAnsi="Book Antiqua"/>
          <w:sz w:val="24"/>
          <w:szCs w:val="24"/>
        </w:rPr>
        <w:t xml:space="preserve">ell’art. 1, comma 1, lett. </w:t>
      </w:r>
      <w:r w:rsidR="009F0555" w:rsidRPr="00534D82">
        <w:rPr>
          <w:rFonts w:ascii="Book Antiqua" w:hAnsi="Book Antiqua"/>
          <w:i/>
          <w:sz w:val="24"/>
          <w:szCs w:val="24"/>
        </w:rPr>
        <w:t>q)</w:t>
      </w:r>
      <w:r w:rsidR="009F0555" w:rsidRPr="00534D82">
        <w:rPr>
          <w:rFonts w:ascii="Book Antiqua" w:hAnsi="Book Antiqua"/>
          <w:sz w:val="24"/>
          <w:szCs w:val="24"/>
        </w:rPr>
        <w:t xml:space="preserve"> </w:t>
      </w:r>
      <w:r w:rsidR="004E6B05" w:rsidRPr="00534D82">
        <w:rPr>
          <w:rFonts w:ascii="Book Antiqua" w:hAnsi="Book Antiqua"/>
          <w:sz w:val="24"/>
          <w:szCs w:val="24"/>
        </w:rPr>
        <w:t xml:space="preserve">– </w:t>
      </w:r>
      <w:r w:rsidR="008066A7" w:rsidRPr="00534D82">
        <w:rPr>
          <w:rFonts w:ascii="Book Antiqua" w:hAnsi="Book Antiqua"/>
          <w:sz w:val="24"/>
          <w:szCs w:val="24"/>
        </w:rPr>
        <w:t xml:space="preserve">le cui previsioni sono </w:t>
      </w:r>
      <w:r w:rsidR="004E6B05" w:rsidRPr="00534D82">
        <w:rPr>
          <w:rFonts w:ascii="Book Antiqua" w:hAnsi="Book Antiqua"/>
          <w:sz w:val="24"/>
          <w:szCs w:val="24"/>
        </w:rPr>
        <w:t xml:space="preserve">intimamente </w:t>
      </w:r>
      <w:r w:rsidR="008066A7" w:rsidRPr="00534D82">
        <w:rPr>
          <w:rFonts w:ascii="Book Antiqua" w:hAnsi="Book Antiqua"/>
          <w:sz w:val="24"/>
          <w:szCs w:val="24"/>
        </w:rPr>
        <w:t>collegate</w:t>
      </w:r>
      <w:r w:rsidR="004E6B05" w:rsidRPr="00534D82">
        <w:rPr>
          <w:rFonts w:ascii="Book Antiqua" w:hAnsi="Book Antiqua"/>
          <w:sz w:val="24"/>
          <w:szCs w:val="24"/>
        </w:rPr>
        <w:t xml:space="preserve"> a</w:t>
      </w:r>
      <w:r w:rsidR="008066A7" w:rsidRPr="00534D82">
        <w:rPr>
          <w:rFonts w:ascii="Book Antiqua" w:hAnsi="Book Antiqua"/>
          <w:sz w:val="24"/>
          <w:szCs w:val="24"/>
        </w:rPr>
        <w:t xml:space="preserve"> quelle contenute nella </w:t>
      </w:r>
      <w:r w:rsidR="004E6B05" w:rsidRPr="00534D82">
        <w:rPr>
          <w:rFonts w:ascii="Book Antiqua" w:hAnsi="Book Antiqua"/>
          <w:sz w:val="24"/>
          <w:szCs w:val="24"/>
        </w:rPr>
        <w:t xml:space="preserve">lett. </w:t>
      </w:r>
      <w:r w:rsidR="004E6B05" w:rsidRPr="00534D82">
        <w:rPr>
          <w:rFonts w:ascii="Book Antiqua" w:hAnsi="Book Antiqua"/>
          <w:i/>
          <w:sz w:val="24"/>
          <w:szCs w:val="24"/>
        </w:rPr>
        <w:t>p)</w:t>
      </w:r>
      <w:r w:rsidR="004E6B05" w:rsidRPr="00534D82">
        <w:rPr>
          <w:rFonts w:ascii="Book Antiqua" w:hAnsi="Book Antiqua"/>
          <w:sz w:val="24"/>
          <w:szCs w:val="24"/>
        </w:rPr>
        <w:t xml:space="preserve"> </w:t>
      </w:r>
      <w:r w:rsidR="008066A7" w:rsidRPr="00534D82">
        <w:rPr>
          <w:rFonts w:ascii="Book Antiqua" w:hAnsi="Book Antiqua"/>
          <w:sz w:val="24"/>
          <w:szCs w:val="24"/>
        </w:rPr>
        <w:t xml:space="preserve">della norma </w:t>
      </w:r>
      <w:r w:rsidR="004E6B05" w:rsidRPr="00534D82">
        <w:rPr>
          <w:rFonts w:ascii="Book Antiqua" w:hAnsi="Book Antiqua"/>
          <w:sz w:val="24"/>
          <w:szCs w:val="24"/>
        </w:rPr>
        <w:t>– che att</w:t>
      </w:r>
      <w:r w:rsidR="008066A7" w:rsidRPr="00534D82">
        <w:rPr>
          <w:rFonts w:ascii="Book Antiqua" w:hAnsi="Book Antiqua"/>
          <w:sz w:val="24"/>
          <w:szCs w:val="24"/>
        </w:rPr>
        <w:t>i</w:t>
      </w:r>
      <w:r w:rsidR="004E6B05" w:rsidRPr="00534D82">
        <w:rPr>
          <w:rFonts w:ascii="Book Antiqua" w:hAnsi="Book Antiqua"/>
          <w:sz w:val="24"/>
          <w:szCs w:val="24"/>
        </w:rPr>
        <w:t>en</w:t>
      </w:r>
      <w:r w:rsidR="008066A7" w:rsidRPr="00534D82">
        <w:rPr>
          <w:rFonts w:ascii="Book Antiqua" w:hAnsi="Book Antiqua"/>
          <w:sz w:val="24"/>
          <w:szCs w:val="24"/>
        </w:rPr>
        <w:t xml:space="preserve">e </w:t>
      </w:r>
      <w:r w:rsidR="004E6B05" w:rsidRPr="00534D82">
        <w:rPr>
          <w:rFonts w:ascii="Book Antiqua" w:hAnsi="Book Antiqua"/>
          <w:sz w:val="24"/>
          <w:szCs w:val="24"/>
        </w:rPr>
        <w:t>alla possibilità</w:t>
      </w:r>
      <w:r w:rsidR="00E95959" w:rsidRPr="00534D82">
        <w:rPr>
          <w:rFonts w:ascii="Book Antiqua" w:hAnsi="Book Antiqua"/>
          <w:sz w:val="24"/>
          <w:szCs w:val="24"/>
        </w:rPr>
        <w:t xml:space="preserve"> </w:t>
      </w:r>
      <w:r w:rsidR="00AD01CC" w:rsidRPr="00534D82">
        <w:rPr>
          <w:rFonts w:ascii="Book Antiqua" w:hAnsi="Book Antiqua"/>
          <w:sz w:val="24"/>
          <w:szCs w:val="24"/>
        </w:rPr>
        <w:t>che</w:t>
      </w:r>
      <w:r w:rsidR="00520833">
        <w:rPr>
          <w:rFonts w:ascii="Book Antiqua" w:hAnsi="Book Antiqua"/>
          <w:sz w:val="24"/>
          <w:szCs w:val="24"/>
        </w:rPr>
        <w:t>, in presenza di specifici presupposti,</w:t>
      </w:r>
      <w:r w:rsidR="00AD01CC" w:rsidRPr="00534D82">
        <w:rPr>
          <w:rFonts w:ascii="Book Antiqua" w:hAnsi="Book Antiqua"/>
          <w:sz w:val="24"/>
          <w:szCs w:val="24"/>
        </w:rPr>
        <w:t xml:space="preserve"> il giudice adotti</w:t>
      </w:r>
      <w:r w:rsidR="004E6B05" w:rsidRPr="00534D82">
        <w:rPr>
          <w:rFonts w:ascii="Book Antiqua" w:hAnsi="Book Antiqua"/>
          <w:sz w:val="24"/>
          <w:szCs w:val="24"/>
        </w:rPr>
        <w:t xml:space="preserve"> misure cautelari laddove </w:t>
      </w:r>
      <w:r w:rsidR="00C117D7" w:rsidRPr="00534D82">
        <w:rPr>
          <w:rFonts w:ascii="Book Antiqua" w:hAnsi="Book Antiqua"/>
          <w:sz w:val="24"/>
          <w:szCs w:val="24"/>
        </w:rPr>
        <w:t xml:space="preserve">sia stato </w:t>
      </w:r>
      <w:r w:rsidR="004E6B05" w:rsidRPr="00534D82">
        <w:rPr>
          <w:rFonts w:ascii="Book Antiqua" w:hAnsi="Book Antiqua"/>
          <w:sz w:val="24"/>
          <w:szCs w:val="24"/>
        </w:rPr>
        <w:t>attivato</w:t>
      </w:r>
      <w:r w:rsidR="00E95959" w:rsidRPr="00534D82">
        <w:rPr>
          <w:rFonts w:ascii="Book Antiqua" w:hAnsi="Book Antiqua"/>
          <w:sz w:val="24"/>
          <w:szCs w:val="24"/>
        </w:rPr>
        <w:t xml:space="preserve"> </w:t>
      </w:r>
      <w:r w:rsidR="00C117D7" w:rsidRPr="00534D82">
        <w:rPr>
          <w:rFonts w:ascii="Book Antiqua" w:hAnsi="Book Antiqua"/>
          <w:sz w:val="24"/>
          <w:szCs w:val="24"/>
        </w:rPr>
        <w:t>o si profili l’attivazione</w:t>
      </w:r>
      <w:r w:rsidR="00CC0B90" w:rsidRPr="00534D82">
        <w:rPr>
          <w:rFonts w:ascii="Book Antiqua" w:hAnsi="Book Antiqua"/>
          <w:sz w:val="24"/>
          <w:szCs w:val="24"/>
        </w:rPr>
        <w:t>, per averla una parte preannunciata,</w:t>
      </w:r>
      <w:r w:rsidR="00C117D7" w:rsidRPr="00534D82">
        <w:rPr>
          <w:rFonts w:ascii="Book Antiqua" w:hAnsi="Book Antiqua"/>
          <w:sz w:val="24"/>
          <w:szCs w:val="24"/>
        </w:rPr>
        <w:t xml:space="preserve"> del </w:t>
      </w:r>
      <w:r w:rsidR="004E6B05" w:rsidRPr="00534D82">
        <w:rPr>
          <w:rFonts w:ascii="Book Antiqua" w:hAnsi="Book Antiqua"/>
          <w:sz w:val="24"/>
          <w:szCs w:val="24"/>
        </w:rPr>
        <w:t>regolamento di giurisdizione</w:t>
      </w:r>
      <w:r w:rsidR="001B201B" w:rsidRPr="00534D82">
        <w:rPr>
          <w:rFonts w:ascii="Book Antiqua" w:hAnsi="Book Antiqua"/>
          <w:sz w:val="24"/>
          <w:szCs w:val="24"/>
        </w:rPr>
        <w:t>. Q</w:t>
      </w:r>
      <w:r w:rsidRPr="00534D82">
        <w:rPr>
          <w:rFonts w:ascii="Book Antiqua" w:hAnsi="Book Antiqua"/>
          <w:sz w:val="24"/>
          <w:szCs w:val="24"/>
        </w:rPr>
        <w:t xml:space="preserve">uestione </w:t>
      </w:r>
      <w:r w:rsidR="00536A6E">
        <w:rPr>
          <w:rFonts w:ascii="Book Antiqua" w:hAnsi="Book Antiqua"/>
          <w:sz w:val="24"/>
          <w:szCs w:val="24"/>
        </w:rPr>
        <w:t xml:space="preserve">che nel quadro normativo vigente resta </w:t>
      </w:r>
      <w:r w:rsidRPr="00534D82">
        <w:rPr>
          <w:rFonts w:ascii="Book Antiqua" w:hAnsi="Book Antiqua"/>
          <w:sz w:val="24"/>
          <w:szCs w:val="24"/>
        </w:rPr>
        <w:t>anch’essa controversa</w:t>
      </w:r>
      <w:r w:rsidR="00CC0B90" w:rsidRPr="00534D82">
        <w:rPr>
          <w:rFonts w:ascii="Book Antiqua" w:hAnsi="Book Antiqua"/>
          <w:sz w:val="24"/>
          <w:szCs w:val="24"/>
        </w:rPr>
        <w:t xml:space="preserve"> </w:t>
      </w:r>
      <w:r w:rsidR="00E95959" w:rsidRPr="00534D82">
        <w:rPr>
          <w:rFonts w:ascii="Book Antiqua" w:hAnsi="Book Antiqua"/>
          <w:sz w:val="24"/>
          <w:szCs w:val="24"/>
        </w:rPr>
        <w:t xml:space="preserve">– </w:t>
      </w:r>
      <w:r w:rsidR="00CC0B90" w:rsidRPr="00534D82">
        <w:rPr>
          <w:rFonts w:ascii="Book Antiqua" w:hAnsi="Book Antiqua"/>
          <w:sz w:val="24"/>
          <w:szCs w:val="24"/>
        </w:rPr>
        <w:t>sulla quale, è noto,</w:t>
      </w:r>
      <w:r w:rsidR="00E95959" w:rsidRPr="00534D82">
        <w:rPr>
          <w:rFonts w:ascii="Book Antiqua" w:hAnsi="Book Antiqua"/>
          <w:sz w:val="24"/>
          <w:szCs w:val="24"/>
        </w:rPr>
        <w:t xml:space="preserve"> </w:t>
      </w:r>
      <w:r w:rsidR="001B201B" w:rsidRPr="00534D82">
        <w:rPr>
          <w:rFonts w:ascii="Book Antiqua" w:hAnsi="Book Antiqua"/>
          <w:sz w:val="24"/>
          <w:szCs w:val="24"/>
        </w:rPr>
        <w:t xml:space="preserve">sono più volte intervenute le sezioni unite della Corte di Cassazione e </w:t>
      </w:r>
      <w:r w:rsidR="00CC0B90" w:rsidRPr="00534D82">
        <w:rPr>
          <w:rFonts w:ascii="Book Antiqua" w:hAnsi="Book Antiqua"/>
          <w:sz w:val="24"/>
          <w:szCs w:val="24"/>
        </w:rPr>
        <w:t>la</w:t>
      </w:r>
      <w:r w:rsidR="001B201B" w:rsidRPr="00534D82">
        <w:rPr>
          <w:rFonts w:ascii="Book Antiqua" w:hAnsi="Book Antiqua"/>
          <w:sz w:val="24"/>
          <w:szCs w:val="24"/>
        </w:rPr>
        <w:t xml:space="preserve"> stessa</w:t>
      </w:r>
      <w:r w:rsidR="00CC0B90" w:rsidRPr="00534D82">
        <w:rPr>
          <w:rFonts w:ascii="Book Antiqua" w:hAnsi="Book Antiqua"/>
          <w:sz w:val="24"/>
          <w:szCs w:val="24"/>
        </w:rPr>
        <w:t xml:space="preserve"> Corte costituzionale nel 1984</w:t>
      </w:r>
      <w:r w:rsidR="00E95959" w:rsidRPr="00534D82">
        <w:rPr>
          <w:rFonts w:ascii="Book Antiqua" w:hAnsi="Book Antiqua"/>
          <w:sz w:val="24"/>
          <w:szCs w:val="24"/>
        </w:rPr>
        <w:t xml:space="preserve"> – e</w:t>
      </w:r>
      <w:r w:rsidR="00536A6E">
        <w:rPr>
          <w:rFonts w:ascii="Book Antiqua" w:hAnsi="Book Antiqua"/>
          <w:sz w:val="24"/>
          <w:szCs w:val="24"/>
        </w:rPr>
        <w:t xml:space="preserve"> che</w:t>
      </w:r>
      <w:r w:rsidR="00E95959" w:rsidRPr="00534D82">
        <w:rPr>
          <w:rFonts w:ascii="Book Antiqua" w:hAnsi="Book Antiqua"/>
          <w:sz w:val="24"/>
          <w:szCs w:val="24"/>
        </w:rPr>
        <w:t xml:space="preserve">, in linea di principio, </w:t>
      </w:r>
      <w:r w:rsidR="00536A6E">
        <w:rPr>
          <w:rFonts w:ascii="Book Antiqua" w:hAnsi="Book Antiqua"/>
          <w:sz w:val="24"/>
          <w:szCs w:val="24"/>
        </w:rPr>
        <w:t xml:space="preserve">è stata sin ora </w:t>
      </w:r>
      <w:r w:rsidR="00E95959" w:rsidRPr="00534D82">
        <w:rPr>
          <w:rFonts w:ascii="Book Antiqua" w:hAnsi="Book Antiqua"/>
          <w:sz w:val="24"/>
          <w:szCs w:val="24"/>
        </w:rPr>
        <w:t>risolta in senso negativo, quantomeno con riguardo ai provvedimenti di natura anticipatoria.</w:t>
      </w:r>
    </w:p>
    <w:p w:rsidR="00815A63" w:rsidRPr="00534D82" w:rsidRDefault="00815A63" w:rsidP="00356D1A">
      <w:pPr>
        <w:jc w:val="both"/>
        <w:rPr>
          <w:rFonts w:ascii="Book Antiqua" w:hAnsi="Book Antiqua"/>
          <w:sz w:val="24"/>
          <w:szCs w:val="24"/>
        </w:rPr>
      </w:pPr>
    </w:p>
    <w:p w:rsidR="00D35DFE" w:rsidRDefault="00E95959" w:rsidP="00356D1A">
      <w:pPr>
        <w:jc w:val="both"/>
        <w:rPr>
          <w:rFonts w:ascii="Book Antiqua" w:hAnsi="Book Antiqua"/>
          <w:sz w:val="24"/>
          <w:szCs w:val="24"/>
        </w:rPr>
      </w:pPr>
      <w:r w:rsidRPr="00534D82">
        <w:rPr>
          <w:rFonts w:ascii="Book Antiqua" w:hAnsi="Book Antiqua"/>
          <w:b/>
          <w:sz w:val="24"/>
          <w:szCs w:val="24"/>
        </w:rPr>
        <w:lastRenderedPageBreak/>
        <w:t>4. –</w:t>
      </w:r>
      <w:r w:rsidRPr="00534D82">
        <w:rPr>
          <w:rFonts w:ascii="Book Antiqua" w:hAnsi="Book Antiqua"/>
          <w:sz w:val="24"/>
          <w:szCs w:val="24"/>
        </w:rPr>
        <w:t xml:space="preserve"> </w:t>
      </w:r>
      <w:r w:rsidR="00AC55C6" w:rsidRPr="00534D82">
        <w:rPr>
          <w:rFonts w:ascii="Book Antiqua" w:hAnsi="Book Antiqua"/>
          <w:sz w:val="24"/>
          <w:szCs w:val="24"/>
        </w:rPr>
        <w:t>Le osservazioni appena svolte, a m</w:t>
      </w:r>
      <w:r w:rsidR="00420D5C">
        <w:rPr>
          <w:rFonts w:ascii="Book Antiqua" w:hAnsi="Book Antiqua"/>
          <w:sz w:val="24"/>
          <w:szCs w:val="24"/>
        </w:rPr>
        <w:t>io avviso,</w:t>
      </w:r>
      <w:r w:rsidR="00AC55C6" w:rsidRPr="00534D82">
        <w:rPr>
          <w:rFonts w:ascii="Book Antiqua" w:hAnsi="Book Antiqua"/>
          <w:sz w:val="24"/>
          <w:szCs w:val="24"/>
        </w:rPr>
        <w:t xml:space="preserve"> </w:t>
      </w:r>
      <w:r w:rsidR="00420D5C">
        <w:rPr>
          <w:rFonts w:ascii="Book Antiqua" w:hAnsi="Book Antiqua"/>
          <w:sz w:val="24"/>
          <w:szCs w:val="24"/>
        </w:rPr>
        <w:t>sebbene relative a</w:t>
      </w:r>
      <w:r w:rsidR="00536A6E">
        <w:rPr>
          <w:rFonts w:ascii="Book Antiqua" w:hAnsi="Book Antiqua"/>
          <w:sz w:val="24"/>
          <w:szCs w:val="24"/>
        </w:rPr>
        <w:t xml:space="preserve"> </w:t>
      </w:r>
      <w:r w:rsidR="00420D5C">
        <w:rPr>
          <w:rFonts w:ascii="Book Antiqua" w:hAnsi="Book Antiqua"/>
          <w:sz w:val="24"/>
          <w:szCs w:val="24"/>
        </w:rPr>
        <w:t>d</w:t>
      </w:r>
      <w:r w:rsidR="00536A6E">
        <w:rPr>
          <w:rFonts w:ascii="Book Antiqua" w:hAnsi="Book Antiqua"/>
          <w:sz w:val="24"/>
          <w:szCs w:val="24"/>
        </w:rPr>
        <w:t>ue specifiche disposizioni</w:t>
      </w:r>
      <w:r w:rsidR="00420D5C">
        <w:rPr>
          <w:rFonts w:ascii="Book Antiqua" w:hAnsi="Book Antiqua"/>
          <w:sz w:val="24"/>
          <w:szCs w:val="24"/>
        </w:rPr>
        <w:t xml:space="preserve"> della proposta di legge su cui si verte, </w:t>
      </w:r>
      <w:r w:rsidR="00AC55C6" w:rsidRPr="00534D82">
        <w:rPr>
          <w:rFonts w:ascii="Book Antiqua" w:hAnsi="Book Antiqua"/>
          <w:sz w:val="24"/>
          <w:szCs w:val="24"/>
        </w:rPr>
        <w:t xml:space="preserve">inducono a ritenere </w:t>
      </w:r>
      <w:r w:rsidR="00536A6E">
        <w:rPr>
          <w:rFonts w:ascii="Book Antiqua" w:hAnsi="Book Antiqua"/>
          <w:sz w:val="24"/>
          <w:szCs w:val="24"/>
        </w:rPr>
        <w:t xml:space="preserve">forse </w:t>
      </w:r>
      <w:r w:rsidR="00090A79" w:rsidRPr="00534D82">
        <w:rPr>
          <w:rFonts w:ascii="Book Antiqua" w:hAnsi="Book Antiqua"/>
          <w:sz w:val="24"/>
          <w:szCs w:val="24"/>
        </w:rPr>
        <w:t>più urgenti</w:t>
      </w:r>
      <w:r w:rsidR="00420D5C">
        <w:rPr>
          <w:rFonts w:ascii="Book Antiqua" w:hAnsi="Book Antiqua"/>
          <w:sz w:val="24"/>
          <w:szCs w:val="24"/>
        </w:rPr>
        <w:t xml:space="preserve">, rispetto all’istituzione del Tribunale superiore dei conflitti che essa prevede </w:t>
      </w:r>
      <w:r w:rsidR="00090A79" w:rsidRPr="00534D82">
        <w:rPr>
          <w:rFonts w:ascii="Book Antiqua" w:hAnsi="Book Antiqua"/>
          <w:sz w:val="24"/>
          <w:szCs w:val="24"/>
        </w:rPr>
        <w:t xml:space="preserve">– </w:t>
      </w:r>
      <w:r w:rsidR="00E77268" w:rsidRPr="00534D82">
        <w:rPr>
          <w:rFonts w:ascii="Book Antiqua" w:hAnsi="Book Antiqua"/>
          <w:sz w:val="24"/>
          <w:szCs w:val="24"/>
        </w:rPr>
        <w:t xml:space="preserve">la cui coerenza con </w:t>
      </w:r>
      <w:r w:rsidR="00090A79" w:rsidRPr="00534D82">
        <w:rPr>
          <w:rFonts w:ascii="Book Antiqua" w:hAnsi="Book Antiqua"/>
          <w:sz w:val="24"/>
          <w:szCs w:val="24"/>
        </w:rPr>
        <w:t xml:space="preserve">l’impianto costituzionale va in ogni caso vagliata – interventi normativi volti a dissolvere, se del caso recependo gli indirizzi consolidati della giurisprudenza, </w:t>
      </w:r>
      <w:r w:rsidR="00BD2E0C" w:rsidRPr="00534D82">
        <w:rPr>
          <w:rFonts w:ascii="Book Antiqua" w:hAnsi="Book Antiqua"/>
          <w:sz w:val="24"/>
          <w:szCs w:val="24"/>
        </w:rPr>
        <w:t xml:space="preserve">le incertezze interpretative </w:t>
      </w:r>
      <w:r w:rsidR="00D35DFE">
        <w:rPr>
          <w:rFonts w:ascii="Book Antiqua" w:hAnsi="Book Antiqua"/>
          <w:sz w:val="24"/>
          <w:szCs w:val="24"/>
        </w:rPr>
        <w:t xml:space="preserve">e i problemi applicativi, </w:t>
      </w:r>
      <w:r w:rsidR="00BD2E0C" w:rsidRPr="00534D82">
        <w:rPr>
          <w:rFonts w:ascii="Book Antiqua" w:hAnsi="Book Antiqua"/>
          <w:sz w:val="24"/>
          <w:szCs w:val="24"/>
        </w:rPr>
        <w:t>cui</w:t>
      </w:r>
      <w:r w:rsidR="00090A79" w:rsidRPr="00534D82">
        <w:rPr>
          <w:rFonts w:ascii="Book Antiqua" w:hAnsi="Book Antiqua"/>
          <w:sz w:val="24"/>
          <w:szCs w:val="24"/>
        </w:rPr>
        <w:t xml:space="preserve"> la normativa regolante </w:t>
      </w:r>
      <w:r w:rsidR="00420D5C">
        <w:rPr>
          <w:rFonts w:ascii="Book Antiqua" w:hAnsi="Book Antiqua"/>
          <w:sz w:val="24"/>
          <w:szCs w:val="24"/>
        </w:rPr>
        <w:t xml:space="preserve">le questioni di giurisdizione </w:t>
      </w:r>
      <w:r w:rsidR="00420D5C">
        <w:rPr>
          <w:rFonts w:ascii="Book Antiqua" w:hAnsi="Book Antiqua"/>
          <w:i/>
          <w:sz w:val="24"/>
          <w:szCs w:val="24"/>
        </w:rPr>
        <w:t>lato sensu</w:t>
      </w:r>
      <w:r w:rsidR="00420D5C">
        <w:rPr>
          <w:rFonts w:ascii="Book Antiqua" w:hAnsi="Book Antiqua"/>
          <w:sz w:val="24"/>
          <w:szCs w:val="24"/>
        </w:rPr>
        <w:t xml:space="preserve"> </w:t>
      </w:r>
      <w:r w:rsidR="00BD2E0C" w:rsidRPr="00534D82">
        <w:rPr>
          <w:rFonts w:ascii="Book Antiqua" w:hAnsi="Book Antiqua"/>
          <w:sz w:val="24"/>
          <w:szCs w:val="24"/>
        </w:rPr>
        <w:t>tutt’</w:t>
      </w:r>
      <w:r w:rsidR="00D35DFE">
        <w:rPr>
          <w:rFonts w:ascii="Book Antiqua" w:hAnsi="Book Antiqua"/>
          <w:sz w:val="24"/>
          <w:szCs w:val="24"/>
        </w:rPr>
        <w:t>ora dà adito</w:t>
      </w:r>
      <w:r w:rsidR="004E3C1A">
        <w:rPr>
          <w:rFonts w:ascii="Book Antiqua" w:hAnsi="Book Antiqua"/>
          <w:sz w:val="24"/>
          <w:szCs w:val="24"/>
        </w:rPr>
        <w:t xml:space="preserve"> </w:t>
      </w:r>
      <w:r w:rsidR="00D35DFE">
        <w:rPr>
          <w:rFonts w:ascii="Book Antiqua" w:hAnsi="Book Antiqua"/>
          <w:sz w:val="24"/>
          <w:szCs w:val="24"/>
        </w:rPr>
        <w:t>(</w:t>
      </w:r>
      <w:r w:rsidR="00536A6E">
        <w:rPr>
          <w:rFonts w:ascii="Book Antiqua" w:hAnsi="Book Antiqua"/>
          <w:sz w:val="24"/>
          <w:szCs w:val="24"/>
        </w:rPr>
        <w:t xml:space="preserve">sul piano, </w:t>
      </w:r>
      <w:r w:rsidR="004E3C1A">
        <w:rPr>
          <w:rFonts w:ascii="Book Antiqua" w:hAnsi="Book Antiqua"/>
          <w:sz w:val="24"/>
          <w:szCs w:val="24"/>
        </w:rPr>
        <w:t xml:space="preserve">ancora a titolo </w:t>
      </w:r>
      <w:r w:rsidR="00536A6E">
        <w:rPr>
          <w:rFonts w:ascii="Book Antiqua" w:hAnsi="Book Antiqua"/>
          <w:sz w:val="24"/>
          <w:szCs w:val="24"/>
        </w:rPr>
        <w:t>di mero esemp</w:t>
      </w:r>
      <w:r w:rsidR="004E3C1A">
        <w:rPr>
          <w:rFonts w:ascii="Book Antiqua" w:hAnsi="Book Antiqua"/>
          <w:sz w:val="24"/>
          <w:szCs w:val="24"/>
        </w:rPr>
        <w:t>i</w:t>
      </w:r>
      <w:r w:rsidR="00536A6E">
        <w:rPr>
          <w:rFonts w:ascii="Book Antiqua" w:hAnsi="Book Antiqua"/>
          <w:sz w:val="24"/>
          <w:szCs w:val="24"/>
        </w:rPr>
        <w:t>o</w:t>
      </w:r>
      <w:r w:rsidR="004E3C1A">
        <w:rPr>
          <w:rFonts w:ascii="Book Antiqua" w:hAnsi="Book Antiqua"/>
          <w:sz w:val="24"/>
          <w:szCs w:val="24"/>
        </w:rPr>
        <w:t>,</w:t>
      </w:r>
      <w:r w:rsidR="00536A6E">
        <w:rPr>
          <w:rFonts w:ascii="Book Antiqua" w:hAnsi="Book Antiqua"/>
          <w:sz w:val="24"/>
          <w:szCs w:val="24"/>
        </w:rPr>
        <w:t xml:space="preserve"> della stessa definizione dello spettro di operatività della disciplina; delle</w:t>
      </w:r>
      <w:r w:rsidR="004E3C1A">
        <w:rPr>
          <w:rFonts w:ascii="Book Antiqua" w:hAnsi="Book Antiqua"/>
          <w:sz w:val="24"/>
          <w:szCs w:val="24"/>
        </w:rPr>
        <w:t xml:space="preserve"> </w:t>
      </w:r>
      <w:r w:rsidR="00D35DFE">
        <w:rPr>
          <w:rFonts w:ascii="Book Antiqua" w:hAnsi="Book Antiqua"/>
          <w:sz w:val="24"/>
          <w:szCs w:val="24"/>
        </w:rPr>
        <w:t>implicazioni connesse a</w:t>
      </w:r>
      <w:r w:rsidR="004E3C1A">
        <w:rPr>
          <w:rFonts w:ascii="Book Antiqua" w:hAnsi="Book Antiqua"/>
          <w:sz w:val="24"/>
          <w:szCs w:val="24"/>
        </w:rPr>
        <w:t>gli strutturali limiti che la Corte di cassazione</w:t>
      </w:r>
      <w:r w:rsidR="00D35DFE">
        <w:rPr>
          <w:rFonts w:ascii="Book Antiqua" w:hAnsi="Book Antiqua"/>
          <w:sz w:val="24"/>
          <w:szCs w:val="24"/>
        </w:rPr>
        <w:t xml:space="preserve"> sconta nell’</w:t>
      </w:r>
      <w:r w:rsidR="004E3C1A">
        <w:rPr>
          <w:rFonts w:ascii="Book Antiqua" w:hAnsi="Book Antiqua"/>
          <w:sz w:val="24"/>
          <w:szCs w:val="24"/>
        </w:rPr>
        <w:t xml:space="preserve">acquisizione di prove sulle circostanze di fatto dalle quali sovente può dipendere la soluzione sulle questioni di giurisdizione; </w:t>
      </w:r>
      <w:r w:rsidR="00536A6E">
        <w:rPr>
          <w:rFonts w:ascii="Book Antiqua" w:hAnsi="Book Antiqua"/>
          <w:sz w:val="24"/>
          <w:szCs w:val="24"/>
        </w:rPr>
        <w:t>ovvero della coerenza sistematica di una fattispecie quale quella regolata</w:t>
      </w:r>
      <w:r w:rsidR="00D35DFE">
        <w:rPr>
          <w:rFonts w:ascii="Book Antiqua" w:hAnsi="Book Antiqua"/>
          <w:sz w:val="24"/>
          <w:szCs w:val="24"/>
        </w:rPr>
        <w:t xml:space="preserve"> </w:t>
      </w:r>
      <w:r w:rsidR="00536A6E">
        <w:rPr>
          <w:rFonts w:ascii="Book Antiqua" w:hAnsi="Book Antiqua"/>
          <w:sz w:val="24"/>
          <w:szCs w:val="24"/>
        </w:rPr>
        <w:t>d</w:t>
      </w:r>
      <w:r w:rsidR="004E3C1A">
        <w:rPr>
          <w:rFonts w:ascii="Book Antiqua" w:hAnsi="Book Antiqua"/>
          <w:sz w:val="24"/>
          <w:szCs w:val="24"/>
        </w:rPr>
        <w:t>all’art. 41, comma 2, c.p.c.</w:t>
      </w:r>
      <w:r w:rsidR="00D35DFE">
        <w:rPr>
          <w:rFonts w:ascii="Book Antiqua" w:hAnsi="Book Antiqua"/>
          <w:sz w:val="24"/>
          <w:szCs w:val="24"/>
        </w:rPr>
        <w:t>).</w:t>
      </w:r>
      <w:r w:rsidR="004E3C1A">
        <w:rPr>
          <w:rFonts w:ascii="Book Antiqua" w:hAnsi="Book Antiqua"/>
          <w:sz w:val="24"/>
          <w:szCs w:val="24"/>
        </w:rPr>
        <w:t xml:space="preserve"> </w:t>
      </w:r>
    </w:p>
    <w:p w:rsidR="004E6B05" w:rsidRPr="00534D82" w:rsidRDefault="004E3C1A" w:rsidP="00356D1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 ciò, </w:t>
      </w:r>
      <w:r w:rsidR="00BD2E0C" w:rsidRPr="00534D82">
        <w:rPr>
          <w:rFonts w:ascii="Book Antiqua" w:hAnsi="Book Antiqua"/>
          <w:sz w:val="24"/>
          <w:szCs w:val="24"/>
        </w:rPr>
        <w:t>atteso che le</w:t>
      </w:r>
      <w:r w:rsidR="00536A6E">
        <w:rPr>
          <w:rFonts w:ascii="Book Antiqua" w:hAnsi="Book Antiqua"/>
          <w:sz w:val="24"/>
          <w:szCs w:val="24"/>
        </w:rPr>
        <w:t xml:space="preserve"> tali</w:t>
      </w:r>
      <w:r w:rsidR="00BD2E0C" w:rsidRPr="00534D82">
        <w:rPr>
          <w:rFonts w:ascii="Book Antiqua" w:hAnsi="Book Antiqua"/>
          <w:sz w:val="24"/>
          <w:szCs w:val="24"/>
        </w:rPr>
        <w:t xml:space="preserve"> incertezze </w:t>
      </w:r>
      <w:r w:rsidR="00D35DFE">
        <w:rPr>
          <w:rFonts w:ascii="Book Antiqua" w:hAnsi="Book Antiqua"/>
          <w:sz w:val="24"/>
          <w:szCs w:val="24"/>
        </w:rPr>
        <w:t xml:space="preserve">e problemi </w:t>
      </w:r>
      <w:r w:rsidR="00BD2E0C" w:rsidRPr="00534D82">
        <w:rPr>
          <w:rFonts w:ascii="Book Antiqua" w:hAnsi="Book Antiqua"/>
          <w:sz w:val="24"/>
          <w:szCs w:val="24"/>
        </w:rPr>
        <w:t>costitu</w:t>
      </w:r>
      <w:r w:rsidR="003C47BD">
        <w:rPr>
          <w:rFonts w:ascii="Book Antiqua" w:hAnsi="Book Antiqua"/>
          <w:sz w:val="24"/>
          <w:szCs w:val="24"/>
        </w:rPr>
        <w:t>iscono probabilmente la più gravosa delle ipoteche sul</w:t>
      </w:r>
      <w:r w:rsidR="00BD2E0C" w:rsidRPr="00534D82">
        <w:rPr>
          <w:rFonts w:ascii="Book Antiqua" w:hAnsi="Book Antiqua"/>
          <w:sz w:val="24"/>
          <w:szCs w:val="24"/>
        </w:rPr>
        <w:t xml:space="preserve"> fisiologico funzionamento </w:t>
      </w:r>
      <w:r w:rsidR="00534D82" w:rsidRPr="00534D82">
        <w:rPr>
          <w:rFonts w:ascii="Book Antiqua" w:hAnsi="Book Antiqua"/>
          <w:sz w:val="24"/>
          <w:szCs w:val="24"/>
        </w:rPr>
        <w:t>di regole poste, in ultima istanza, a garanzia della certezza del diritto.</w:t>
      </w:r>
    </w:p>
    <w:sectPr w:rsidR="004E6B05" w:rsidRPr="00534D82" w:rsidSect="00001AA0">
      <w:footerReference w:type="default" r:id="rId6"/>
      <w:pgSz w:w="11906" w:h="16838"/>
      <w:pgMar w:top="1701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FE" w:rsidRDefault="009F1EFE" w:rsidP="00001AA0">
      <w:pPr>
        <w:spacing w:after="0" w:line="240" w:lineRule="auto"/>
      </w:pPr>
      <w:r>
        <w:separator/>
      </w:r>
    </w:p>
  </w:endnote>
  <w:endnote w:type="continuationSeparator" w:id="0">
    <w:p w:rsidR="009F1EFE" w:rsidRDefault="009F1EFE" w:rsidP="0000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032280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001AA0" w:rsidRPr="00001AA0" w:rsidRDefault="00001AA0">
        <w:pPr>
          <w:pStyle w:val="Pidipagina"/>
          <w:jc w:val="center"/>
          <w:rPr>
            <w:rFonts w:ascii="Book Antiqua" w:hAnsi="Book Antiqua"/>
            <w:sz w:val="20"/>
            <w:szCs w:val="20"/>
          </w:rPr>
        </w:pPr>
        <w:r w:rsidRPr="00001AA0">
          <w:rPr>
            <w:rFonts w:ascii="Book Antiqua" w:hAnsi="Book Antiqua"/>
            <w:sz w:val="20"/>
            <w:szCs w:val="20"/>
          </w:rPr>
          <w:fldChar w:fldCharType="begin"/>
        </w:r>
        <w:r w:rsidRPr="00001AA0">
          <w:rPr>
            <w:rFonts w:ascii="Book Antiqua" w:hAnsi="Book Antiqua"/>
            <w:sz w:val="20"/>
            <w:szCs w:val="20"/>
          </w:rPr>
          <w:instrText>PAGE   \* MERGEFORMAT</w:instrText>
        </w:r>
        <w:r w:rsidRPr="00001AA0">
          <w:rPr>
            <w:rFonts w:ascii="Book Antiqua" w:hAnsi="Book Antiqua"/>
            <w:sz w:val="20"/>
            <w:szCs w:val="20"/>
          </w:rPr>
          <w:fldChar w:fldCharType="separate"/>
        </w:r>
        <w:r w:rsidR="004B7638">
          <w:rPr>
            <w:rFonts w:ascii="Book Antiqua" w:hAnsi="Book Antiqua"/>
            <w:noProof/>
            <w:sz w:val="20"/>
            <w:szCs w:val="20"/>
          </w:rPr>
          <w:t>1</w:t>
        </w:r>
        <w:r w:rsidRPr="00001AA0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001AA0" w:rsidRDefault="00001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FE" w:rsidRDefault="009F1EFE" w:rsidP="00001AA0">
      <w:pPr>
        <w:spacing w:after="0" w:line="240" w:lineRule="auto"/>
      </w:pPr>
      <w:r>
        <w:separator/>
      </w:r>
    </w:p>
  </w:footnote>
  <w:footnote w:type="continuationSeparator" w:id="0">
    <w:p w:rsidR="009F1EFE" w:rsidRDefault="009F1EFE" w:rsidP="0000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4"/>
    <w:rsid w:val="00001AA0"/>
    <w:rsid w:val="000110B5"/>
    <w:rsid w:val="00090A79"/>
    <w:rsid w:val="00097164"/>
    <w:rsid w:val="000B6607"/>
    <w:rsid w:val="000E340A"/>
    <w:rsid w:val="000F69B1"/>
    <w:rsid w:val="001059B3"/>
    <w:rsid w:val="0014226F"/>
    <w:rsid w:val="001722B5"/>
    <w:rsid w:val="001A3AF6"/>
    <w:rsid w:val="001B201B"/>
    <w:rsid w:val="001C30E0"/>
    <w:rsid w:val="00214895"/>
    <w:rsid w:val="0021733B"/>
    <w:rsid w:val="002307DF"/>
    <w:rsid w:val="002F775B"/>
    <w:rsid w:val="00356D1A"/>
    <w:rsid w:val="003C47BD"/>
    <w:rsid w:val="00420D5C"/>
    <w:rsid w:val="004B7638"/>
    <w:rsid w:val="004D4D0C"/>
    <w:rsid w:val="004E3C1A"/>
    <w:rsid w:val="004E6B05"/>
    <w:rsid w:val="00507AA4"/>
    <w:rsid w:val="00520833"/>
    <w:rsid w:val="00534D82"/>
    <w:rsid w:val="00536A6E"/>
    <w:rsid w:val="00587675"/>
    <w:rsid w:val="005B5B70"/>
    <w:rsid w:val="006007F0"/>
    <w:rsid w:val="00651B6B"/>
    <w:rsid w:val="006729BD"/>
    <w:rsid w:val="006F264C"/>
    <w:rsid w:val="007068DF"/>
    <w:rsid w:val="00761C57"/>
    <w:rsid w:val="008066A7"/>
    <w:rsid w:val="00815A63"/>
    <w:rsid w:val="00865438"/>
    <w:rsid w:val="00895862"/>
    <w:rsid w:val="008C41B9"/>
    <w:rsid w:val="008C41FD"/>
    <w:rsid w:val="009A0F2A"/>
    <w:rsid w:val="009F0555"/>
    <w:rsid w:val="009F1EFE"/>
    <w:rsid w:val="00A9550D"/>
    <w:rsid w:val="00AA6747"/>
    <w:rsid w:val="00AA761D"/>
    <w:rsid w:val="00AC55C6"/>
    <w:rsid w:val="00AD01CC"/>
    <w:rsid w:val="00AF27EF"/>
    <w:rsid w:val="00B06510"/>
    <w:rsid w:val="00B75A89"/>
    <w:rsid w:val="00BD2E0C"/>
    <w:rsid w:val="00C117D7"/>
    <w:rsid w:val="00C9642B"/>
    <w:rsid w:val="00CA05B6"/>
    <w:rsid w:val="00CC0B90"/>
    <w:rsid w:val="00D2067C"/>
    <w:rsid w:val="00D35DFE"/>
    <w:rsid w:val="00DF2034"/>
    <w:rsid w:val="00E20855"/>
    <w:rsid w:val="00E753F2"/>
    <w:rsid w:val="00E77268"/>
    <w:rsid w:val="00E95959"/>
    <w:rsid w:val="00EB0213"/>
    <w:rsid w:val="00EE6080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49FF-0015-4602-8DB3-60CF7ED7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AA0"/>
  </w:style>
  <w:style w:type="paragraph" w:styleId="Pidipagina">
    <w:name w:val="footer"/>
    <w:basedOn w:val="Normale"/>
    <w:link w:val="PidipaginaCarattere"/>
    <w:uiPriority w:val="99"/>
    <w:unhideWhenUsed/>
    <w:rsid w:val="0000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 Capo</dc:creator>
  <cp:keywords/>
  <dc:description/>
  <cp:lastModifiedBy>Cdd</cp:lastModifiedBy>
  <cp:revision>2</cp:revision>
  <cp:lastPrinted>2019-02-06T08:03:00Z</cp:lastPrinted>
  <dcterms:created xsi:type="dcterms:W3CDTF">2019-02-06T08:04:00Z</dcterms:created>
  <dcterms:modified xsi:type="dcterms:W3CDTF">2019-02-06T08:04:00Z</dcterms:modified>
</cp:coreProperties>
</file>