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391" w:rsidRPr="001C1391" w:rsidRDefault="001C1391" w:rsidP="001C1391">
      <w:pPr>
        <w:pStyle w:val="primapaginaaudizioni"/>
        <w:rPr>
          <w:rFonts w:ascii="Times New Roman" w:hAnsi="Times New Roman" w:cs="Times New Roman"/>
        </w:rPr>
      </w:pPr>
      <w:bookmarkStart w:id="0" w:name="_GoBack"/>
      <w:bookmarkEnd w:id="0"/>
      <w:r w:rsidRPr="001C1391">
        <w:rPr>
          <w:rFonts w:ascii="Times New Roman" w:hAnsi="Times New Roman" w:cs="Times New Roman"/>
        </w:rPr>
        <w:t>Proposta di legge A.C. 687. Delega al Governo per riordinare e potenziare le misure a sostegno dei figli a carico attraverso l’assegno unico e la dote unica per i servizi</w:t>
      </w:r>
    </w:p>
    <w:p w:rsidR="001C1391" w:rsidRPr="001C1391" w:rsidRDefault="001C1391" w:rsidP="001C1391">
      <w:pPr>
        <w:pStyle w:val="primapaginaaudizioni"/>
        <w:rPr>
          <w:rFonts w:ascii="Times New Roman" w:hAnsi="Times New Roman" w:cs="Times New Roman"/>
          <w:color w:val="000000"/>
          <w:sz w:val="32"/>
          <w:szCs w:val="32"/>
        </w:rPr>
      </w:pPr>
    </w:p>
    <w:p w:rsidR="001C1391" w:rsidRPr="001C1391" w:rsidRDefault="001C1391" w:rsidP="001C1391">
      <w:pPr>
        <w:pStyle w:val="primapaginaaudizioni"/>
        <w:rPr>
          <w:rFonts w:ascii="Times New Roman" w:hAnsi="Times New Roman" w:cs="Times New Roman"/>
          <w:sz w:val="30"/>
          <w:szCs w:val="30"/>
        </w:rPr>
      </w:pPr>
      <w:r w:rsidRPr="001C1391">
        <w:rPr>
          <w:rFonts w:ascii="Times New Roman" w:hAnsi="Times New Roman" w:cs="Times New Roman"/>
          <w:sz w:val="30"/>
          <w:szCs w:val="30"/>
        </w:rPr>
        <w:t>Audizione del Dott. Corrado Bonifazi</w:t>
      </w:r>
    </w:p>
    <w:p w:rsidR="001C1391" w:rsidRPr="001C1391" w:rsidRDefault="001C1391" w:rsidP="001C1391">
      <w:pPr>
        <w:pStyle w:val="primapaginaaudizioni"/>
        <w:rPr>
          <w:rFonts w:ascii="Times New Roman" w:hAnsi="Times New Roman" w:cs="Times New Roman"/>
          <w:sz w:val="22"/>
          <w:szCs w:val="22"/>
        </w:rPr>
      </w:pPr>
      <w:r w:rsidRPr="001C1391">
        <w:rPr>
          <w:rFonts w:ascii="Times New Roman" w:hAnsi="Times New Roman" w:cs="Times New Roman"/>
          <w:sz w:val="30"/>
          <w:szCs w:val="30"/>
        </w:rPr>
        <w:t>Dirigente di ricerca del CNR presso l’Istituto di ricerche sulla popolazione e le politiche sociali (CNR-IRPPS)</w:t>
      </w:r>
    </w:p>
    <w:p w:rsidR="001C1391" w:rsidRPr="007F6D49" w:rsidRDefault="001C1391" w:rsidP="001C1391">
      <w:pPr>
        <w:pStyle w:val="primapaginaaudizioni"/>
        <w:rPr>
          <w:rFonts w:asciiTheme="majorHAnsi" w:hAnsiTheme="majorHAnsi" w:cstheme="majorHAnsi"/>
          <w:color w:val="000000"/>
          <w:sz w:val="27"/>
          <w:szCs w:val="27"/>
        </w:rPr>
      </w:pPr>
    </w:p>
    <w:p w:rsidR="001C1391" w:rsidRPr="001C1391" w:rsidRDefault="001C1391" w:rsidP="001C1391">
      <w:pPr>
        <w:pStyle w:val="primapaginaaudizioni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1C1391">
        <w:rPr>
          <w:rFonts w:ascii="Times New Roman" w:hAnsi="Times New Roman" w:cs="Times New Roman"/>
          <w:bCs/>
          <w:color w:val="000000"/>
          <w:sz w:val="27"/>
          <w:szCs w:val="27"/>
        </w:rPr>
        <w:t>XII Commissione (Affari sociali)</w:t>
      </w:r>
      <w:r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</w:t>
      </w:r>
      <w:r w:rsidRPr="001C1391">
        <w:rPr>
          <w:rFonts w:ascii="Times New Roman" w:hAnsi="Times New Roman" w:cs="Times New Roman"/>
          <w:bCs/>
          <w:color w:val="000000"/>
          <w:sz w:val="27"/>
          <w:szCs w:val="27"/>
        </w:rPr>
        <w:t>Camera dei Deputati</w:t>
      </w:r>
    </w:p>
    <w:p w:rsidR="007711F8" w:rsidRDefault="001C1391" w:rsidP="001C1391">
      <w:pPr>
        <w:ind w:left="2832" w:firstLine="708"/>
        <w:rPr>
          <w:bCs/>
          <w:color w:val="000000"/>
          <w:sz w:val="27"/>
          <w:szCs w:val="27"/>
        </w:rPr>
      </w:pPr>
      <w:r w:rsidRPr="001C1391">
        <w:rPr>
          <w:bCs/>
          <w:color w:val="000000"/>
          <w:sz w:val="27"/>
          <w:szCs w:val="27"/>
        </w:rPr>
        <w:t xml:space="preserve">Roma, </w:t>
      </w:r>
      <w:r>
        <w:rPr>
          <w:bCs/>
          <w:color w:val="000000"/>
          <w:sz w:val="27"/>
          <w:szCs w:val="27"/>
        </w:rPr>
        <w:t>16</w:t>
      </w:r>
      <w:r w:rsidRPr="001C1391">
        <w:rPr>
          <w:bCs/>
          <w:color w:val="000000"/>
          <w:sz w:val="27"/>
          <w:szCs w:val="27"/>
        </w:rPr>
        <w:t xml:space="preserve"> ottobre 2019</w:t>
      </w:r>
    </w:p>
    <w:p w:rsidR="00DD070F" w:rsidRDefault="00DD070F" w:rsidP="001C1391">
      <w:pPr>
        <w:ind w:left="2832" w:firstLine="708"/>
        <w:rPr>
          <w:bCs/>
          <w:color w:val="000000"/>
          <w:sz w:val="27"/>
          <w:szCs w:val="27"/>
        </w:rPr>
      </w:pPr>
    </w:p>
    <w:p w:rsidR="00DD070F" w:rsidRDefault="00DD070F" w:rsidP="00DD070F">
      <w:pPr>
        <w:jc w:val="both"/>
        <w:rPr>
          <w:bCs/>
          <w:color w:val="000000"/>
          <w:sz w:val="27"/>
          <w:szCs w:val="27"/>
        </w:rPr>
      </w:pPr>
    </w:p>
    <w:p w:rsidR="00DD070F" w:rsidRDefault="00DD070F" w:rsidP="00DD070F">
      <w:pPr>
        <w:jc w:val="both"/>
        <w:rPr>
          <w:bCs/>
          <w:color w:val="000000"/>
          <w:sz w:val="27"/>
          <w:szCs w:val="27"/>
        </w:rPr>
      </w:pPr>
    </w:p>
    <w:p w:rsidR="00DD070F" w:rsidRPr="00DD070F" w:rsidRDefault="00DD070F" w:rsidP="00DD070F">
      <w:pPr>
        <w:pStyle w:val="Paragrafoelenco"/>
        <w:numPr>
          <w:ilvl w:val="0"/>
          <w:numId w:val="1"/>
        </w:numPr>
        <w:spacing w:line="360" w:lineRule="auto"/>
        <w:jc w:val="both"/>
        <w:rPr>
          <w:i/>
        </w:rPr>
      </w:pPr>
      <w:r>
        <w:rPr>
          <w:i/>
        </w:rPr>
        <w:t>Introduzione</w:t>
      </w:r>
    </w:p>
    <w:p w:rsidR="00DD070F" w:rsidRDefault="00DD070F" w:rsidP="00DD070F">
      <w:pPr>
        <w:spacing w:line="360" w:lineRule="auto"/>
        <w:jc w:val="both"/>
        <w:rPr>
          <w:i/>
        </w:rPr>
      </w:pPr>
    </w:p>
    <w:p w:rsidR="00B56133" w:rsidRDefault="00DD070F" w:rsidP="00B56133">
      <w:pPr>
        <w:spacing w:line="360" w:lineRule="auto"/>
        <w:ind w:firstLine="360"/>
        <w:jc w:val="both"/>
      </w:pPr>
      <w:r>
        <w:t xml:space="preserve">La Proposta di legge in esame, volta a </w:t>
      </w:r>
      <w:r w:rsidRPr="00DD070F">
        <w:t>riordinare e potenziare le misure a sostegno dei figli a carico</w:t>
      </w:r>
      <w:r>
        <w:t xml:space="preserve">, interviene su un aspetto cruciale del presente e del futuro della società italiana. </w:t>
      </w:r>
      <w:r w:rsidR="00B56133" w:rsidRPr="00B56133">
        <w:t xml:space="preserve">Negli ultimi cinquanta anni la popolazione italiana ha </w:t>
      </w:r>
      <w:r w:rsidR="00B56133">
        <w:t xml:space="preserve">infatti </w:t>
      </w:r>
      <w:r w:rsidR="00B56133" w:rsidRPr="00B56133">
        <w:t>registrato profondi cambiamenti che ne hanno radicalmente modificato la struttura. Dal punto di vista demografico, le grandi trasformazioni che l’hanno interessata sono note: caduta della natalità e della fecondità (arrivata a livelli tra i più bassi al mondo); nuovi modelli di formazione delle famiglie; invecchiamento della popolazione; crescita dell’immigrazione straniera; evoluzione del ruolo della donna nella società. L’immagine di un’Italia costituita in maggioranza da famiglie numerose appartiene ormai ad un lontano passato.</w:t>
      </w:r>
    </w:p>
    <w:p w:rsidR="00AC3817" w:rsidRDefault="00B56133" w:rsidP="00AC3817">
      <w:pPr>
        <w:spacing w:line="360" w:lineRule="auto"/>
        <w:ind w:firstLine="360"/>
        <w:jc w:val="both"/>
      </w:pPr>
      <w:r>
        <w:t xml:space="preserve">Si tratta di dinamiche che non riguardano solo l’Italia ma che interessano praticamente tutti i paesi europei, anche se con intensità e ricadute fortemente differenziate. </w:t>
      </w:r>
      <w:r w:rsidR="00FD23CC">
        <w:t xml:space="preserve">In questa sede si vogliono portare all’attenzione della </w:t>
      </w:r>
      <w:r w:rsidR="00FD23CC">
        <w:rPr>
          <w:bCs/>
        </w:rPr>
        <w:t xml:space="preserve">Commissione Affari sociali </w:t>
      </w:r>
      <w:r w:rsidR="00FD23CC">
        <w:rPr>
          <w:bCs/>
        </w:rPr>
        <w:lastRenderedPageBreak/>
        <w:t>della</w:t>
      </w:r>
      <w:r w:rsidR="00FD23CC" w:rsidRPr="00FD23CC">
        <w:rPr>
          <w:bCs/>
        </w:rPr>
        <w:t xml:space="preserve"> Camera dei Deputati</w:t>
      </w:r>
      <w:r w:rsidR="00FD23CC">
        <w:rPr>
          <w:bCs/>
        </w:rPr>
        <w:t xml:space="preserve"> </w:t>
      </w:r>
      <w:r w:rsidR="00AC3817">
        <w:rPr>
          <w:bCs/>
        </w:rPr>
        <w:t>alcuni</w:t>
      </w:r>
      <w:r w:rsidR="00FD23CC">
        <w:t xml:space="preserve"> risultati </w:t>
      </w:r>
      <w:r w:rsidR="00AC3817" w:rsidRPr="00AC3817">
        <w:t xml:space="preserve">dell’Accordo di collaborazione tra </w:t>
      </w:r>
      <w:r w:rsidR="00AC3817">
        <w:t>l’</w:t>
      </w:r>
      <w:r w:rsidR="00AC3817" w:rsidRPr="00AC3817">
        <w:t>Istituto di Ricerche sulla Popolazione e le Politiche Sociali del CNR (CNR-IRPPS) e il Dipartimento per le Politiche della Famiglia (DiPoFam) della Presidenza del Consi</w:t>
      </w:r>
      <w:r w:rsidR="00AC3817">
        <w:t>glio dei Ministri in materia di “</w:t>
      </w:r>
      <w:r w:rsidR="00AC3817" w:rsidRPr="00AC3817">
        <w:t>Politiche familiari e demografiche: contesto europeo e realtà italiana</w:t>
      </w:r>
      <w:r w:rsidR="00AC3817">
        <w:rPr>
          <w:i/>
        </w:rPr>
        <w:t>”</w:t>
      </w:r>
      <w:r w:rsidR="00362739">
        <w:rPr>
          <w:rStyle w:val="Rimandonotaapidipagina"/>
          <w:i/>
        </w:rPr>
        <w:footnoteReference w:id="1"/>
      </w:r>
      <w:r w:rsidR="00AC3817">
        <w:t>.</w:t>
      </w:r>
      <w:r w:rsidR="008D1594">
        <w:t xml:space="preserve"> Risultati che </w:t>
      </w:r>
      <w:r w:rsidR="000659D0">
        <w:t>si spera possa</w:t>
      </w:r>
      <w:r w:rsidR="008D1594">
        <w:t xml:space="preserve">no </w:t>
      </w:r>
      <w:r w:rsidR="000659D0">
        <w:t xml:space="preserve">risultare utili ai lavori </w:t>
      </w:r>
      <w:r w:rsidR="008D1594">
        <w:t xml:space="preserve">della Commissione. </w:t>
      </w:r>
    </w:p>
    <w:p w:rsidR="000659D0" w:rsidRDefault="000659D0" w:rsidP="00AC3817">
      <w:pPr>
        <w:spacing w:line="360" w:lineRule="auto"/>
        <w:ind w:firstLine="360"/>
        <w:jc w:val="both"/>
      </w:pPr>
    </w:p>
    <w:p w:rsidR="000659D0" w:rsidRDefault="000659D0" w:rsidP="00AC3817">
      <w:pPr>
        <w:spacing w:line="360" w:lineRule="auto"/>
        <w:ind w:firstLine="360"/>
        <w:jc w:val="both"/>
      </w:pPr>
    </w:p>
    <w:p w:rsidR="000659D0" w:rsidRPr="00AC3817" w:rsidRDefault="000659D0" w:rsidP="00AC3817">
      <w:pPr>
        <w:spacing w:line="360" w:lineRule="auto"/>
        <w:ind w:firstLine="360"/>
        <w:jc w:val="both"/>
      </w:pPr>
    </w:p>
    <w:p w:rsidR="00B56133" w:rsidRDefault="00FD23CC" w:rsidP="00FD23CC">
      <w:pPr>
        <w:pStyle w:val="Paragrafoelenco"/>
        <w:numPr>
          <w:ilvl w:val="0"/>
          <w:numId w:val="1"/>
        </w:numPr>
        <w:spacing w:line="360" w:lineRule="auto"/>
        <w:jc w:val="both"/>
        <w:rPr>
          <w:i/>
        </w:rPr>
      </w:pPr>
      <w:r w:rsidRPr="00FD23CC">
        <w:rPr>
          <w:i/>
        </w:rPr>
        <w:t xml:space="preserve">Il </w:t>
      </w:r>
      <w:r>
        <w:rPr>
          <w:i/>
        </w:rPr>
        <w:t>contesto demografico italiano nel quadro europeo</w:t>
      </w:r>
      <w:r w:rsidR="00B56133" w:rsidRPr="00FD23CC">
        <w:rPr>
          <w:i/>
        </w:rPr>
        <w:t xml:space="preserve"> </w:t>
      </w:r>
    </w:p>
    <w:p w:rsidR="000659D0" w:rsidRDefault="000659D0" w:rsidP="00DF2B4B">
      <w:pPr>
        <w:spacing w:line="360" w:lineRule="auto"/>
        <w:ind w:firstLine="360"/>
        <w:jc w:val="both"/>
      </w:pPr>
    </w:p>
    <w:p w:rsidR="008D1594" w:rsidRDefault="009C011A" w:rsidP="00DF2B4B">
      <w:pPr>
        <w:spacing w:line="360" w:lineRule="auto"/>
        <w:ind w:firstLine="360"/>
        <w:jc w:val="both"/>
        <w:rPr>
          <w:sz w:val="22"/>
          <w:szCs w:val="22"/>
        </w:rPr>
      </w:pPr>
      <w:r w:rsidRPr="009C011A">
        <w:t>In termini di fecondità, l’Italia c</w:t>
      </w:r>
      <w:r>
        <w:t>on 1,32</w:t>
      </w:r>
      <w:r w:rsidRPr="009C011A">
        <w:t xml:space="preserve"> figli per donna si attesta sotto la media </w:t>
      </w:r>
      <w:r>
        <w:t>dell’Unione Europea (UE) a 28 di 1,59</w:t>
      </w:r>
      <w:r w:rsidRPr="009C011A">
        <w:t xml:space="preserve">. A partire dalla seconda metà degli anni Settanta il tasso di fecondità totale </w:t>
      </w:r>
      <w:r w:rsidR="00664325">
        <w:t xml:space="preserve">(TFT) </w:t>
      </w:r>
      <w:r w:rsidR="00362739">
        <w:t xml:space="preserve">italiano </w:t>
      </w:r>
      <w:r w:rsidRPr="009C011A">
        <w:t>è sceso al di sotto del livello di sostituzione di 2,1 figli e da almeno trent’anni presenta valori tra i più bassi del Continente. Il minimo storico è stato toccato nel 1995 con 1,19 figli per donna e la ripresa successiva, interrottasi per altro con la crisi economica, deve molto alle nascite da genitori stranieri. Del resto, è solo la straordinaria crescita dell’immigrazione straniera, registrata tra il 1990 e l’inizio della crisi economica, ad aver impedito che la popolazione iniziasse a diminuire, contrastando un saldo naturale negativo, rallentando il processo di invecchiamento e la diminuzione della popolazione in età lavorativa. Ciò nonostante siamo uno dei paesi più vecchi al mondo e il perdurare della crisi economica ha ridotto il contributo demografico dell’immigrazione.</w:t>
      </w:r>
      <w:r w:rsidR="00DF2B4B" w:rsidRPr="00DF2B4B">
        <w:rPr>
          <w:sz w:val="22"/>
          <w:szCs w:val="22"/>
        </w:rPr>
        <w:t xml:space="preserve"> </w:t>
      </w:r>
    </w:p>
    <w:p w:rsidR="00DF2B4B" w:rsidRPr="00DF2B4B" w:rsidRDefault="00DF2B4B" w:rsidP="00DF2B4B">
      <w:pPr>
        <w:spacing w:line="360" w:lineRule="auto"/>
        <w:ind w:firstLine="360"/>
        <w:jc w:val="both"/>
      </w:pPr>
      <w:r w:rsidRPr="00DF2B4B">
        <w:lastRenderedPageBreak/>
        <w:t>La crisi economica ha avuto effetti differenti sulle dinamiche demografiche. In Francia e nel Regno Unito si è registrata solo una debole riduzione della natalità, mentre in Italia e in Spagna la natalità si è fortemente ridotta come l’immigrazione. In Germania, invece, negli anni della crisi è aumentata l’immigrazione ed è cresciuta la natalità.</w:t>
      </w:r>
    </w:p>
    <w:p w:rsidR="00DF2B4B" w:rsidRPr="00DF2B4B" w:rsidRDefault="00DF2B4B" w:rsidP="00DF2B4B">
      <w:pPr>
        <w:spacing w:line="360" w:lineRule="auto"/>
        <w:ind w:firstLine="360"/>
        <w:jc w:val="both"/>
        <w:rPr>
          <w:lang w:val="pt-BR"/>
        </w:rPr>
      </w:pPr>
      <w:r w:rsidRPr="00DF2B4B">
        <w:t>L’analisi della fecondità per generazioni ha e</w:t>
      </w:r>
      <w:r w:rsidRPr="00DF2B4B">
        <w:rPr>
          <w:lang w:val="pt-BR"/>
        </w:rPr>
        <w:t xml:space="preserve">videnziato che nei paesi che hanno messo in campo politiche “family-friendly” non si sono verificati cambiamenti importanti nella struttura delle famiglie con figli. Diversa è la situazione nei paesi che non hanno attuato tali politiche. Nei paesi germanofoni si è avuta una dicotomizzazione tra famiglie ampie e senza-figli e nei paesi del Sud Europa si è diffusa la rinuncia alla procreazione. </w:t>
      </w:r>
      <w:r w:rsidRPr="00DF2B4B">
        <w:t>In Italia, in particolare, la fecondità delle generazioni si è ridotta da una media di 2,3 figli per le donne nate all’inizio degli anni ‘30 a una media prossima a 1,3 figli per donna per le generazioni che stanno per completare la loro vita riproduttiva. A questo calo ha contribuito</w:t>
      </w:r>
      <w:r w:rsidRPr="00DF2B4B">
        <w:rPr>
          <w:lang w:val="pt-BR"/>
        </w:rPr>
        <w:t xml:space="preserve"> la drastica diminuzione nell’incidenza delle donne con tre o più figli (dal 36,2 al 10,4%) e la crescita nella quota delle donne rimaste senza figli (dal 13,8 al 25,4%) o con un figlio (dal 17,5 al 28%). </w:t>
      </w:r>
    </w:p>
    <w:p w:rsidR="00DF2B4B" w:rsidRPr="00DF2B4B" w:rsidRDefault="00DF2B4B" w:rsidP="00DF2B4B">
      <w:pPr>
        <w:spacing w:line="360" w:lineRule="auto"/>
        <w:ind w:firstLine="360"/>
        <w:jc w:val="both"/>
      </w:pPr>
      <w:r w:rsidRPr="00DF2B4B">
        <w:t>La situazione demografica italiana si presenta particolarmente preoccupante, per la presenza di diverse distorsioni strutturali – diminuzione donne in età feconda, contenuto livello di fecondità, quota elevata di anziani - che sono destinate a produrre per molto tempo un ammontare di decessi superiore a quello dei nati, una riduzione dell’ammontare della popolazione, un ricambio insufficiente nelle età lavorative e un calo dell’ampiezza delle nuove generazioni.</w:t>
      </w:r>
    </w:p>
    <w:p w:rsidR="00DF2B4B" w:rsidRPr="00DF2B4B" w:rsidRDefault="00DF2B4B" w:rsidP="00DF2B4B">
      <w:pPr>
        <w:spacing w:line="360" w:lineRule="auto"/>
        <w:ind w:firstLine="360"/>
        <w:jc w:val="both"/>
      </w:pPr>
      <w:r w:rsidRPr="00DF2B4B">
        <w:t>È in atto un processo di frammentazione e semplificazione delle strutture familiari, con una forte crescita delle famiglie formate da una sola persona, più che raddoppiate nell’ultimo trentennio (da 3,8 a 8 milioni). Nello stesso periodo sono aumentate le famiglie nucleari (+1 milione), sono diminuite le coppie con figli (-1,5 milioni), cresciute quelle senza figli (+1,5 milioni) e i nuclei monogenitore (+1 milione). Le famiglie con almeno un componente straniero sono diventate 2,1 milioni pari all’8% del totale.</w:t>
      </w:r>
    </w:p>
    <w:p w:rsidR="00DF2B4B" w:rsidRPr="00DF2B4B" w:rsidRDefault="00DF2B4B" w:rsidP="00DF2B4B">
      <w:pPr>
        <w:spacing w:line="360" w:lineRule="auto"/>
        <w:ind w:firstLine="360"/>
        <w:jc w:val="both"/>
      </w:pPr>
      <w:r w:rsidRPr="00DF2B4B">
        <w:t xml:space="preserve">Continuano a diminuire le famiglie numerose con cinque e più componenti, che negli anni ‘70 erano oltre 3,4 milioni, una per ogni 5 famiglie, e oggi sono 1,4 milioni, una per ogni 17 famiglie. Famiglie che mostrano, per altro, un maggiore rischio </w:t>
      </w:r>
      <w:r w:rsidRPr="00DF2B4B">
        <w:lastRenderedPageBreak/>
        <w:t xml:space="preserve">di povertà ed esclusione sociale. Nel complesso, le famiglie con tre figli sono 902mila, 133mila sono le famiglie con quattro figli e appena 30mila quelle con cinque o più figli. </w:t>
      </w:r>
    </w:p>
    <w:p w:rsidR="009C011A" w:rsidRDefault="009C011A" w:rsidP="00DF2B4B">
      <w:pPr>
        <w:spacing w:line="360" w:lineRule="auto"/>
        <w:jc w:val="both"/>
      </w:pPr>
    </w:p>
    <w:p w:rsidR="00DF2B4B" w:rsidRDefault="00DF2B4B" w:rsidP="00DF2B4B">
      <w:pPr>
        <w:pStyle w:val="Paragrafoelenco"/>
        <w:numPr>
          <w:ilvl w:val="0"/>
          <w:numId w:val="1"/>
        </w:numPr>
        <w:spacing w:line="360" w:lineRule="auto"/>
        <w:jc w:val="both"/>
        <w:rPr>
          <w:i/>
        </w:rPr>
      </w:pPr>
      <w:r>
        <w:rPr>
          <w:i/>
        </w:rPr>
        <w:t xml:space="preserve">Alcune conseguenze della bassa fecondità </w:t>
      </w:r>
    </w:p>
    <w:p w:rsidR="00362739" w:rsidRPr="00DF2B4B" w:rsidRDefault="00362739" w:rsidP="00362739">
      <w:pPr>
        <w:pStyle w:val="Paragrafoelenco"/>
        <w:spacing w:line="360" w:lineRule="auto"/>
        <w:jc w:val="both"/>
        <w:rPr>
          <w:i/>
        </w:rPr>
      </w:pPr>
    </w:p>
    <w:p w:rsidR="00F0068B" w:rsidRDefault="00F0068B" w:rsidP="00F0068B">
      <w:pPr>
        <w:spacing w:line="360" w:lineRule="auto"/>
        <w:ind w:firstLine="360"/>
        <w:jc w:val="both"/>
      </w:pPr>
      <w:r>
        <w:t xml:space="preserve">Tutti questi processi hanno in realtà riguardato l’intera Europa e hanno visto una radicale trasformazione della demografia del continente, </w:t>
      </w:r>
      <w:r w:rsidR="000659D0">
        <w:t xml:space="preserve">entrata pienamente in quella che è </w:t>
      </w:r>
      <w:r w:rsidR="00664325">
        <w:t>conosciuta</w:t>
      </w:r>
      <w:r>
        <w:t xml:space="preserve"> come “Seconda transizione demografica” e che </w:t>
      </w:r>
      <w:r w:rsidR="000659D0">
        <w:t xml:space="preserve">è strettamente legata a </w:t>
      </w:r>
      <w:r>
        <w:t>tutti gli altri profondi cambiamenti comportamentali e sociali</w:t>
      </w:r>
      <w:r w:rsidR="00664325">
        <w:t xml:space="preserve"> registrati in questi anni</w:t>
      </w:r>
      <w:r>
        <w:t>.</w:t>
      </w:r>
    </w:p>
    <w:p w:rsidR="009C011A" w:rsidRPr="009C011A" w:rsidRDefault="009C011A" w:rsidP="009C011A">
      <w:pPr>
        <w:spacing w:line="360" w:lineRule="auto"/>
        <w:ind w:firstLine="360"/>
        <w:jc w:val="both"/>
      </w:pPr>
      <w:r w:rsidRPr="009C011A">
        <w:t xml:space="preserve">Negli ultimi decenni la distanza </w:t>
      </w:r>
      <w:r w:rsidR="00664325">
        <w:t xml:space="preserve">del TFT </w:t>
      </w:r>
      <w:r w:rsidRPr="009C011A">
        <w:t xml:space="preserve">dal livello di sostituzione </w:t>
      </w:r>
      <w:r>
        <w:t xml:space="preserve">nei paesi europei </w:t>
      </w:r>
      <w:r w:rsidRPr="009C011A">
        <w:t>è stata più o meno ampia, con ricadute sul piano demografico di diversa intensità. La stessa letteratura demografica ha cercato di differenziare le situazioni, individuando quattro fasce: una in cui i TFT sono moderatamente bassi (</w:t>
      </w:r>
      <w:r w:rsidRPr="009C011A">
        <w:rPr>
          <w:i/>
        </w:rPr>
        <w:t>moderate levels</w:t>
      </w:r>
      <w:r w:rsidRPr="009C011A">
        <w:t>), stando tra 1,7 e 2 figli per donna; una con valori bassi tra 1,5 e 1,7; la terza con livelli molto bassi (</w:t>
      </w:r>
      <w:r w:rsidRPr="009C011A">
        <w:rPr>
          <w:i/>
        </w:rPr>
        <w:t>very low level</w:t>
      </w:r>
      <w:r w:rsidRPr="009C011A">
        <w:t xml:space="preserve">), tra 1,5 e 1,3; l’ultima di </w:t>
      </w:r>
      <w:r w:rsidRPr="009C011A">
        <w:rPr>
          <w:i/>
        </w:rPr>
        <w:t>lowest-low level</w:t>
      </w:r>
      <w:r w:rsidRPr="009C011A">
        <w:t>, in cui si scende sotto 1,3.</w:t>
      </w:r>
      <w:r>
        <w:t xml:space="preserve"> </w:t>
      </w:r>
      <w:r w:rsidRPr="009C011A">
        <w:t xml:space="preserve">L’ampiezza degli effetti sulla struttura per età è ovviamente direttamente proporzionale </w:t>
      </w:r>
      <w:r>
        <w:t>alla fascia di appartenenza: i</w:t>
      </w:r>
      <w:r w:rsidRPr="009C011A">
        <w:t>n quella con i valori più elevati gli sq</w:t>
      </w:r>
      <w:r>
        <w:t xml:space="preserve">uilibri nella struttura per età sono minori ma aumentano </w:t>
      </w:r>
      <w:r w:rsidRPr="009C011A">
        <w:t xml:space="preserve">scendendo nelle fasce sottostanti. Le differenze tra paesi appaiono notevoli anche limitandosi a considerarne solo alcuni (Fig. 1). </w:t>
      </w:r>
    </w:p>
    <w:p w:rsidR="009C011A" w:rsidRPr="009C011A" w:rsidRDefault="009C011A" w:rsidP="009C011A">
      <w:pPr>
        <w:spacing w:line="360" w:lineRule="auto"/>
        <w:ind w:firstLine="360"/>
        <w:jc w:val="both"/>
      </w:pPr>
    </w:p>
    <w:p w:rsidR="009C011A" w:rsidRPr="002B2372" w:rsidRDefault="009C011A" w:rsidP="009C011A">
      <w:pPr>
        <w:spacing w:line="360" w:lineRule="auto"/>
        <w:ind w:firstLine="360"/>
        <w:jc w:val="both"/>
        <w:rPr>
          <w:sz w:val="20"/>
          <w:szCs w:val="20"/>
        </w:rPr>
      </w:pPr>
      <w:r w:rsidRPr="002B2372">
        <w:rPr>
          <w:sz w:val="20"/>
          <w:szCs w:val="20"/>
        </w:rPr>
        <w:t>Fig. 1 – TFT in alcuni paesi europei, 1990-2017 (Numero medio di figli per donna)</w:t>
      </w:r>
    </w:p>
    <w:p w:rsidR="009C011A" w:rsidRPr="009C011A" w:rsidRDefault="00845A44" w:rsidP="009C011A">
      <w:pPr>
        <w:spacing w:line="360" w:lineRule="auto"/>
        <w:ind w:firstLine="360"/>
        <w:jc w:val="both"/>
      </w:pPr>
      <w:r>
        <w:rPr>
          <w:noProof/>
        </w:rPr>
        <w:lastRenderedPageBreak/>
        <w:drawing>
          <wp:inline distT="0" distB="0" distL="0" distR="0" wp14:anchorId="4E42B0C9">
            <wp:extent cx="3430800" cy="2016000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800" cy="2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011A" w:rsidRPr="009C011A" w:rsidRDefault="009C011A" w:rsidP="009C011A">
      <w:pPr>
        <w:spacing w:line="360" w:lineRule="auto"/>
        <w:ind w:firstLine="360"/>
        <w:jc w:val="both"/>
        <w:rPr>
          <w:sz w:val="20"/>
          <w:szCs w:val="20"/>
        </w:rPr>
      </w:pPr>
      <w:r w:rsidRPr="002B2372">
        <w:rPr>
          <w:sz w:val="20"/>
          <w:szCs w:val="20"/>
        </w:rPr>
        <w:t>Fonte:</w:t>
      </w:r>
      <w:r w:rsidRPr="009C011A">
        <w:rPr>
          <w:sz w:val="20"/>
          <w:szCs w:val="20"/>
        </w:rPr>
        <w:t xml:space="preserve"> dati Eurostat, con integrazioni da dati nazionali.</w:t>
      </w:r>
    </w:p>
    <w:p w:rsidR="009C011A" w:rsidRPr="009C011A" w:rsidRDefault="009C011A" w:rsidP="009C011A">
      <w:pPr>
        <w:spacing w:line="360" w:lineRule="auto"/>
        <w:ind w:firstLine="360"/>
        <w:jc w:val="both"/>
      </w:pPr>
    </w:p>
    <w:p w:rsidR="009C011A" w:rsidRPr="009C011A" w:rsidRDefault="009C011A" w:rsidP="009C011A">
      <w:pPr>
        <w:spacing w:line="360" w:lineRule="auto"/>
        <w:ind w:firstLine="360"/>
        <w:jc w:val="both"/>
      </w:pPr>
      <w:r w:rsidRPr="009C011A">
        <w:t>Francia, Regno Unito e Svezia sono, ad esempio, quasi sempre rientrati nella fascia di fecondità moderatamente bassa con valori tra 1,7 e 2 figli per donna. Con un andamento più “accidentato” per la Svezia, dove ha pesato il ‘mini baby-boom’ della fine degli anni ottanta e dei primi anni novanta, legato soprattutto ai cambiamenti nella cadenza del fenomeno</w:t>
      </w:r>
      <w:r w:rsidRPr="009C011A">
        <w:rPr>
          <w:lang w:val="pt-BR"/>
        </w:rPr>
        <w:t>.</w:t>
      </w:r>
      <w:r w:rsidRPr="009C011A">
        <w:t xml:space="preserve"> Comune ai tre paesi è il calo, più contenuto in Francia, dell’indicatore congiunturale di fecondità a partire dalla crisi economica del 2008. Gli altri tre paesi esaminati, invece, si collocano per la maggior parte degli anni considerati nella fascia di fecondità molto bassa (tra 1,3 e 1,5), con passaggi di durata più o meno ampia in quella di </w:t>
      </w:r>
      <w:r w:rsidRPr="009C011A">
        <w:rPr>
          <w:i/>
        </w:rPr>
        <w:t>lowest-low fertility</w:t>
      </w:r>
      <w:r w:rsidRPr="009C011A">
        <w:t>. Nel caso ungherese è evidente l’effetto del processo di transizione all’economia di mercato con un calo brusco e sensibile della fecondità. Gli anni più recenti vedono un netto aumento dei valori sia nel paese magiaro che in Germania: in entrambi i casi gli ultimi dati sono sopra la soglia degli 1,5 figli, segnalando una maggiore capacità di assorbire gli effetti negativi della crisi e politiche di incentivazione delle nascite che, in Germania, si sono sommate agli effetti di una consistente immigrazione. Per l’Italia, invece, la ripresa della fecondità si è interrotta bruscamente con la crisi del 2008 e i valori sono scesi sino a 1,32 figli per donna nel 2017.</w:t>
      </w:r>
    </w:p>
    <w:p w:rsidR="00845A44" w:rsidRDefault="00845A44" w:rsidP="00845A44">
      <w:pPr>
        <w:spacing w:line="360" w:lineRule="auto"/>
        <w:ind w:firstLine="360"/>
        <w:jc w:val="both"/>
        <w:rPr>
          <w:iCs/>
        </w:rPr>
      </w:pPr>
      <w:r>
        <w:rPr>
          <w:iCs/>
        </w:rPr>
        <w:t xml:space="preserve">Come si vede, </w:t>
      </w:r>
      <w:r w:rsidRPr="00845A44">
        <w:rPr>
          <w:iCs/>
        </w:rPr>
        <w:t xml:space="preserve">in tutti i paesi </w:t>
      </w:r>
      <w:r>
        <w:rPr>
          <w:iCs/>
        </w:rPr>
        <w:t xml:space="preserve">considerati vi è stato </w:t>
      </w:r>
      <w:r w:rsidRPr="00845A44">
        <w:rPr>
          <w:iCs/>
        </w:rPr>
        <w:t>un più o meno ampio allontanamento dal livello di fecondità che assicura nel tempo la sostituzione delle generazioni dei genitori con quelle dei figli.</w:t>
      </w:r>
      <w:r>
        <w:rPr>
          <w:iCs/>
        </w:rPr>
        <w:t xml:space="preserve"> Nel nostro paese,</w:t>
      </w:r>
      <w:r w:rsidRPr="00845A44">
        <w:rPr>
          <w:iCs/>
        </w:rPr>
        <w:t xml:space="preserve"> ma non solo, il disallineamento è </w:t>
      </w:r>
      <w:r>
        <w:rPr>
          <w:iCs/>
        </w:rPr>
        <w:t xml:space="preserve">stato ed è </w:t>
      </w:r>
      <w:r w:rsidRPr="00845A44">
        <w:rPr>
          <w:iCs/>
        </w:rPr>
        <w:t xml:space="preserve">particolarmente largo e le conseguenze sono e saranno nei prossimi anni più intense e più difficili da gestire. È </w:t>
      </w:r>
      <w:r w:rsidRPr="00845A44">
        <w:rPr>
          <w:iCs/>
        </w:rPr>
        <w:lastRenderedPageBreak/>
        <w:t>infatti evidente che più è bassa la fecondità, minori sono le dimensioni delle nuove generazioni e più ampi sono gli squilibri che vengono a crearsi nella struttura per età di una popolazione, con la conseguente necessità di intervenire su tutti quei meccanismi sociali ed economici che sono stati creati e pensati quando vi erano meno anziani, più giovani e più persone in età da lavoro.</w:t>
      </w:r>
    </w:p>
    <w:p w:rsidR="00D87463" w:rsidRPr="00D87463" w:rsidRDefault="00D87463" w:rsidP="00D87463">
      <w:pPr>
        <w:spacing w:line="360" w:lineRule="auto"/>
        <w:ind w:firstLine="360"/>
        <w:jc w:val="both"/>
        <w:rPr>
          <w:iCs/>
        </w:rPr>
      </w:pPr>
      <w:r w:rsidRPr="00D87463">
        <w:rPr>
          <w:iCs/>
        </w:rPr>
        <w:t>La crisi economica avviatasi nel 2008 e riaccesasi nel 2011 ha colpito con particolare durezza l’Italia e gli altri paesi mediterranei dell’Unione Europea, con effetti evidentissimi sulla natalità e la fecondità. D’altra parte sono stati proprio i giovani a risentire maggiormente degli effetti della recessione, in un contesto come quello italiano che già non brillava per attenzione a una fascia d’età che per la riproduzione di una popolazione è essenziale. Non solo, il perdurare ormai quarantennale della bassa fecondità ci ha fatto ormai entrare in quella trappola demografica che mette insieme tassi contenuti e dimensioni declinanti della popolazione femminile in età riproduttiva, con l’inevitabile risultato di un calo vistoso nelle dimensioni delle nuove generazioni.</w:t>
      </w:r>
    </w:p>
    <w:p w:rsidR="00AC3817" w:rsidRPr="00AC3817" w:rsidRDefault="005F1D54" w:rsidP="00AC3817">
      <w:pPr>
        <w:spacing w:line="360" w:lineRule="auto"/>
        <w:ind w:firstLine="360"/>
        <w:jc w:val="both"/>
        <w:rPr>
          <w:iCs/>
        </w:rPr>
      </w:pPr>
      <w:r w:rsidRPr="005F1D54">
        <w:rPr>
          <w:iCs/>
        </w:rPr>
        <w:t>Un quadro preoccupante, di sempre più</w:t>
      </w:r>
      <w:r>
        <w:rPr>
          <w:iCs/>
        </w:rPr>
        <w:t xml:space="preserve"> accentuato declino </w:t>
      </w:r>
      <w:r w:rsidR="00DF2B4B">
        <w:rPr>
          <w:iCs/>
        </w:rPr>
        <w:t>e le cui conseguenze si manifestano già da qualche anno con la diminuzione della popolazione totale. N</w:t>
      </w:r>
      <w:r w:rsidR="00DF2B4B" w:rsidRPr="00DF2B4B">
        <w:rPr>
          <w:iCs/>
        </w:rPr>
        <w:t>el 2018</w:t>
      </w:r>
      <w:r w:rsidR="00362739">
        <w:rPr>
          <w:iCs/>
        </w:rPr>
        <w:t>, ad esempio,</w:t>
      </w:r>
      <w:r w:rsidR="00DF2B4B" w:rsidRPr="00DF2B4B">
        <w:rPr>
          <w:iCs/>
        </w:rPr>
        <w:t xml:space="preserve"> solo </w:t>
      </w:r>
      <w:r w:rsidR="00DF2B4B">
        <w:rPr>
          <w:iCs/>
        </w:rPr>
        <w:t xml:space="preserve">nel </w:t>
      </w:r>
      <w:r w:rsidR="00DF2B4B" w:rsidRPr="00DF2B4B">
        <w:rPr>
          <w:iCs/>
        </w:rPr>
        <w:t xml:space="preserve">Trentino Alto Adige </w:t>
      </w:r>
      <w:r w:rsidR="00DF2B4B">
        <w:rPr>
          <w:iCs/>
        </w:rPr>
        <w:t xml:space="preserve">si sono ancora </w:t>
      </w:r>
      <w:r w:rsidR="00DF2B4B" w:rsidRPr="00DF2B4B">
        <w:rPr>
          <w:iCs/>
        </w:rPr>
        <w:t>registra</w:t>
      </w:r>
      <w:r w:rsidR="00DF2B4B">
        <w:rPr>
          <w:iCs/>
        </w:rPr>
        <w:t>ti</w:t>
      </w:r>
      <w:r w:rsidR="00DF2B4B" w:rsidRPr="00DF2B4B">
        <w:rPr>
          <w:iCs/>
        </w:rPr>
        <w:t xml:space="preserve"> più nati che morti, mentre tutte le altre regioni hanno segnato saldi naturali negativi</w:t>
      </w:r>
      <w:r w:rsidR="00DF2B4B">
        <w:rPr>
          <w:iCs/>
        </w:rPr>
        <w:t xml:space="preserve">, con un minimo del </w:t>
      </w:r>
      <w:r w:rsidR="00DF2B4B" w:rsidRPr="00F75DE0">
        <w:t xml:space="preserve">−1‰ </w:t>
      </w:r>
      <w:r w:rsidR="00DF2B4B">
        <w:t xml:space="preserve">in </w:t>
      </w:r>
      <w:r w:rsidR="00DF2B4B" w:rsidRPr="00F75DE0">
        <w:t xml:space="preserve">Campania </w:t>
      </w:r>
      <w:r w:rsidR="00DF2B4B">
        <w:t xml:space="preserve">e un massimo del </w:t>
      </w:r>
      <w:r w:rsidR="00DF2B4B" w:rsidRPr="00F75DE0">
        <w:t xml:space="preserve">−8,5‰ </w:t>
      </w:r>
      <w:r w:rsidR="00DF2B4B">
        <w:t xml:space="preserve">in </w:t>
      </w:r>
      <w:r w:rsidR="00DF2B4B" w:rsidRPr="00F75DE0">
        <w:t>Liguria</w:t>
      </w:r>
      <w:r w:rsidR="00DF2B4B">
        <w:rPr>
          <w:iCs/>
        </w:rPr>
        <w:t xml:space="preserve">. </w:t>
      </w:r>
      <w:bookmarkStart w:id="1" w:name="_Hlk20632422"/>
      <w:r w:rsidR="00AC3817" w:rsidRPr="00AC3817">
        <w:rPr>
          <w:iCs/>
        </w:rPr>
        <w:t>Si innesca, così, una spirale decrescente che ha pesanti conseguenze su molti aspetti della vita delle persone e delle famiglie, nonché sul funzionamento dell’economia e dell’intera società.</w:t>
      </w:r>
      <w:bookmarkEnd w:id="1"/>
    </w:p>
    <w:p w:rsidR="00AC3817" w:rsidRPr="00AC3817" w:rsidRDefault="00AC3817" w:rsidP="00AC3817">
      <w:pPr>
        <w:spacing w:line="360" w:lineRule="auto"/>
        <w:ind w:firstLine="360"/>
        <w:jc w:val="both"/>
        <w:rPr>
          <w:iCs/>
        </w:rPr>
      </w:pPr>
      <w:r w:rsidRPr="00AC3817">
        <w:rPr>
          <w:iCs/>
        </w:rPr>
        <w:t xml:space="preserve">Le conseguenze sono: un invecchiamento e poi un calo del potenziale di forza lavoro; un aumento della domanda di cura e di assistenza da parte della massa di anziani; un appesantimento dei rapporti nei sistemi pensionistici a ripartizione; la probabile diminuzione della domanda interna di beni e di servizi a causa dell’invecchiamento dei consumatori e della possibile diminuzione del loro potere d’acquisto o il suo dirottamento su esigenze sanitarie e d’ausilio. Inoltre, la denatalità e il rinvio nell’età dell’eventuale procreazione comportano famiglie di dimensioni ridotte, spesso unipersonali, con conseguenti difficoltà di auto-aiuto o di supporto da parte di familiari più prossimi. Solitudine e mancanza di affetti sono il probabile risultato in molti dei </w:t>
      </w:r>
      <w:r w:rsidRPr="00AC3817">
        <w:rPr>
          <w:iCs/>
        </w:rPr>
        <w:lastRenderedPageBreak/>
        <w:t>sopravviventi nella loro anzianità e vecchiaia. Sul versante dei giovani e di quelli in età centrale, invece, il rinvio nella formazione di una famiglia e l’assenza o scarsità di figli limita le ragioni dei rapporti familiari con i genitori, i quali a loro volta, proprio a causa della loro età ormai avanzata, possono trovare difficili da svolgere le funzioni surrogatorie di nonni.</w:t>
      </w:r>
    </w:p>
    <w:p w:rsidR="00AC3817" w:rsidRDefault="00AC3817" w:rsidP="00AC3817">
      <w:pPr>
        <w:spacing w:line="360" w:lineRule="auto"/>
        <w:ind w:firstLine="360"/>
        <w:jc w:val="both"/>
      </w:pPr>
      <w:r w:rsidRPr="00AC3817">
        <w:rPr>
          <w:iCs/>
        </w:rPr>
        <w:t xml:space="preserve">Si può dire che il quadro demografico e socio-economico qui tratteggiato è presente in quasi tutte le parti d’Europa. Tuttavia, le forme e la gravità dei vari problemi si differenzia in misura rilevante, così come sono rilevanti le differenze nella consapevolezza dei problemi che ne conseguono e nella messa in campo di interventi per contrastarli. Inoltre, sono stati diversi i tempi e i percorsi seguiti per giungere alla situazione attuale. </w:t>
      </w:r>
      <w:r w:rsidRPr="00F75DE0">
        <w:t xml:space="preserve">Inutile dire che anche sotto </w:t>
      </w:r>
      <w:r w:rsidR="00E64B4E">
        <w:t xml:space="preserve">il profilo dell’invecchiamento </w:t>
      </w:r>
      <w:r w:rsidRPr="00F75DE0">
        <w:t>il nostro paese presenta una delle situazioni più problematiche.</w:t>
      </w:r>
      <w:r w:rsidR="00E64B4E">
        <w:t xml:space="preserve"> Gli effetti della bassissima fecondità sulla struttura per età si stanno però ormai manifestando in tutte le classi di età: è significativo che tra oggi </w:t>
      </w:r>
      <w:r w:rsidR="008D1594">
        <w:t>e il 204</w:t>
      </w:r>
      <w:r w:rsidR="00E64B4E">
        <w:t xml:space="preserve">0 l’Italia registrerà la più ampia diminuzione della popolazione in età lavorativa, in termini assoluti e relativi, tra i sei paesi europei considerati (Tab. 1). </w:t>
      </w:r>
    </w:p>
    <w:p w:rsidR="00AB4EE2" w:rsidRDefault="00AB4EE2" w:rsidP="00AB4EE2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Tab. 1 – Variazioni della popolazione in età lavorativa </w:t>
      </w:r>
      <w:r w:rsidR="00E64B4E">
        <w:rPr>
          <w:sz w:val="20"/>
          <w:szCs w:val="20"/>
        </w:rPr>
        <w:t xml:space="preserve">(20-64) </w:t>
      </w:r>
      <w:r>
        <w:rPr>
          <w:sz w:val="20"/>
          <w:szCs w:val="20"/>
        </w:rPr>
        <w:t>in alcuni paesi europei, 2020-40</w:t>
      </w:r>
    </w:p>
    <w:p w:rsidR="00AB4EE2" w:rsidRPr="00AB4EE2" w:rsidRDefault="00AB4EE2" w:rsidP="00AB4EE2">
      <w:pPr>
        <w:spacing w:line="360" w:lineRule="auto"/>
        <w:contextualSpacing/>
        <w:jc w:val="both"/>
        <w:rPr>
          <w:iCs/>
          <w:sz w:val="20"/>
          <w:szCs w:val="20"/>
        </w:rPr>
      </w:pPr>
      <w:r>
        <w:rPr>
          <w:sz w:val="20"/>
          <w:szCs w:val="20"/>
        </w:rPr>
        <w:tab/>
        <w:t>(Valori assoluti in milioni)</w:t>
      </w:r>
    </w:p>
    <w:tbl>
      <w:tblPr>
        <w:tblW w:w="8961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8"/>
        <w:gridCol w:w="727"/>
        <w:gridCol w:w="967"/>
        <w:gridCol w:w="1060"/>
        <w:gridCol w:w="921"/>
        <w:gridCol w:w="1328"/>
        <w:gridCol w:w="962"/>
        <w:gridCol w:w="1418"/>
      </w:tblGrid>
      <w:tr w:rsidR="003651C4" w:rsidRPr="00AC3817" w:rsidTr="003651C4">
        <w:trPr>
          <w:trHeight w:val="302"/>
        </w:trPr>
        <w:tc>
          <w:tcPr>
            <w:tcW w:w="1578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3651C4" w:rsidRPr="00AC3817" w:rsidRDefault="003651C4" w:rsidP="00AC38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C381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Paese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3651C4" w:rsidRPr="00AC3817" w:rsidRDefault="003651C4" w:rsidP="00AB4E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C381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51C4" w:rsidRPr="00AC3817" w:rsidRDefault="003651C4" w:rsidP="00AB4E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C381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2040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51C4" w:rsidRDefault="003651C4" w:rsidP="00AB4E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C381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Variazione totale</w:t>
            </w:r>
          </w:p>
          <w:p w:rsidR="003651C4" w:rsidRPr="00AC3817" w:rsidRDefault="003651C4" w:rsidP="00AB4E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C381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(2020-2040, v.a.)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51C4" w:rsidRDefault="003651C4" w:rsidP="00AB4E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C381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Variazione totale </w:t>
            </w:r>
          </w:p>
          <w:p w:rsidR="003651C4" w:rsidRPr="00AC3817" w:rsidRDefault="003651C4" w:rsidP="00AB4E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C381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(2020-2040, %)</w:t>
            </w:r>
          </w:p>
        </w:tc>
      </w:tr>
      <w:tr w:rsidR="003651C4" w:rsidRPr="00AC3817" w:rsidTr="003651C4">
        <w:trPr>
          <w:trHeight w:val="302"/>
        </w:trPr>
        <w:tc>
          <w:tcPr>
            <w:tcW w:w="157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3651C4" w:rsidRPr="00AC3817" w:rsidRDefault="003651C4" w:rsidP="00AC38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3651C4" w:rsidRPr="00AC3817" w:rsidRDefault="003651C4" w:rsidP="00AB4E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51C4" w:rsidRPr="00AC3817" w:rsidRDefault="003651C4" w:rsidP="00AB4E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C381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Con Mig.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51C4" w:rsidRPr="00AC3817" w:rsidRDefault="003651C4" w:rsidP="00AB4E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C381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Senza Mig.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51C4" w:rsidRPr="00AC3817" w:rsidRDefault="003651C4" w:rsidP="00AB4E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C381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Con Mig.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51C4" w:rsidRPr="00AC3817" w:rsidRDefault="003651C4" w:rsidP="00AB4E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C381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Senza Mig.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51C4" w:rsidRPr="00AC3817" w:rsidRDefault="003651C4" w:rsidP="00AB4E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C381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Con Mig.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51C4" w:rsidRPr="00AC3817" w:rsidRDefault="003651C4" w:rsidP="00AB4E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C381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Senza Mig.</w:t>
            </w:r>
          </w:p>
        </w:tc>
      </w:tr>
      <w:tr w:rsidR="00AB4EE2" w:rsidRPr="00AC3817" w:rsidTr="00362739">
        <w:trPr>
          <w:trHeight w:val="302"/>
        </w:trPr>
        <w:tc>
          <w:tcPr>
            <w:tcW w:w="15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3817" w:rsidRPr="00AC3817" w:rsidRDefault="00AC3817" w:rsidP="00AC38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C381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Svezia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3817" w:rsidRPr="00AC3817" w:rsidRDefault="00E64B4E" w:rsidP="00E64B4E">
            <w:pPr>
              <w:autoSpaceDE w:val="0"/>
              <w:autoSpaceDN w:val="0"/>
              <w:adjustRightInd w:val="0"/>
              <w:ind w:firstLine="113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</w:t>
            </w:r>
            <w:r w:rsidR="00AC3817" w:rsidRPr="00AC381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5,7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3817" w:rsidRPr="00AC3817" w:rsidRDefault="00AC3817" w:rsidP="00E64B4E">
            <w:pPr>
              <w:autoSpaceDE w:val="0"/>
              <w:autoSpaceDN w:val="0"/>
              <w:adjustRightInd w:val="0"/>
              <w:ind w:firstLine="113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C381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3817" w:rsidRPr="00AC3817" w:rsidRDefault="00E64B4E" w:rsidP="00E64B4E">
            <w:pPr>
              <w:autoSpaceDE w:val="0"/>
              <w:autoSpaceDN w:val="0"/>
              <w:adjustRightInd w:val="0"/>
              <w:ind w:firstLine="113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</w:t>
            </w:r>
            <w:r w:rsidR="00AC3817" w:rsidRPr="00AC381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5,5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3817" w:rsidRPr="00AC3817" w:rsidRDefault="00AC3817" w:rsidP="00E64B4E">
            <w:pPr>
              <w:autoSpaceDE w:val="0"/>
              <w:autoSpaceDN w:val="0"/>
              <w:adjustRightInd w:val="0"/>
              <w:ind w:firstLine="113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C381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3817" w:rsidRPr="00AC3817" w:rsidRDefault="00AC3817" w:rsidP="00E64B4E">
            <w:pPr>
              <w:autoSpaceDE w:val="0"/>
              <w:autoSpaceDN w:val="0"/>
              <w:adjustRightInd w:val="0"/>
              <w:ind w:firstLine="113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C381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-0,3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3817" w:rsidRPr="00AC3817" w:rsidRDefault="00E64B4E" w:rsidP="00E64B4E">
            <w:pPr>
              <w:autoSpaceDE w:val="0"/>
              <w:autoSpaceDN w:val="0"/>
              <w:adjustRightInd w:val="0"/>
              <w:ind w:firstLine="113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AC3817" w:rsidRPr="00AC381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3817" w:rsidRPr="00AC3817" w:rsidRDefault="00E64B4E" w:rsidP="00E64B4E">
            <w:pPr>
              <w:autoSpaceDE w:val="0"/>
              <w:autoSpaceDN w:val="0"/>
              <w:adjustRightInd w:val="0"/>
              <w:ind w:firstLine="113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AC3817" w:rsidRPr="00AC381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-4,7</w:t>
            </w:r>
          </w:p>
        </w:tc>
      </w:tr>
      <w:tr w:rsidR="00AB4EE2" w:rsidRPr="00AC3817" w:rsidTr="00AB4EE2">
        <w:trPr>
          <w:trHeight w:val="302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AC3817" w:rsidRPr="00AC3817" w:rsidRDefault="00AC3817" w:rsidP="00AC38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C381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Regno Unito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AC3817" w:rsidRPr="00AC3817" w:rsidRDefault="00AC3817" w:rsidP="00E64B4E">
            <w:pPr>
              <w:autoSpaceDE w:val="0"/>
              <w:autoSpaceDN w:val="0"/>
              <w:adjustRightInd w:val="0"/>
              <w:ind w:firstLine="113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C381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39,5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AC3817" w:rsidRPr="00AC3817" w:rsidRDefault="00AC3817" w:rsidP="00E64B4E">
            <w:pPr>
              <w:autoSpaceDE w:val="0"/>
              <w:autoSpaceDN w:val="0"/>
              <w:adjustRightInd w:val="0"/>
              <w:ind w:firstLine="113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C381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39,8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AC3817" w:rsidRPr="00AC3817" w:rsidRDefault="00AC3817" w:rsidP="00E64B4E">
            <w:pPr>
              <w:autoSpaceDE w:val="0"/>
              <w:autoSpaceDN w:val="0"/>
              <w:adjustRightInd w:val="0"/>
              <w:ind w:firstLine="113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C381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37,1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AC3817" w:rsidRPr="00AC3817" w:rsidRDefault="00AC3817" w:rsidP="00E64B4E">
            <w:pPr>
              <w:autoSpaceDE w:val="0"/>
              <w:autoSpaceDN w:val="0"/>
              <w:adjustRightInd w:val="0"/>
              <w:ind w:firstLine="113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C381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AC3817" w:rsidRPr="00AC3817" w:rsidRDefault="00AC3817" w:rsidP="00E64B4E">
            <w:pPr>
              <w:autoSpaceDE w:val="0"/>
              <w:autoSpaceDN w:val="0"/>
              <w:adjustRightInd w:val="0"/>
              <w:ind w:firstLine="113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C381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-2,4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AC3817" w:rsidRPr="00AC3817" w:rsidRDefault="00E64B4E" w:rsidP="00E64B4E">
            <w:pPr>
              <w:autoSpaceDE w:val="0"/>
              <w:autoSpaceDN w:val="0"/>
              <w:adjustRightInd w:val="0"/>
              <w:ind w:firstLine="113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AC3817" w:rsidRPr="00AC381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C3817" w:rsidRPr="00AC3817" w:rsidRDefault="00E64B4E" w:rsidP="00E64B4E">
            <w:pPr>
              <w:autoSpaceDE w:val="0"/>
              <w:autoSpaceDN w:val="0"/>
              <w:adjustRightInd w:val="0"/>
              <w:ind w:firstLine="113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AC3817" w:rsidRPr="00AC381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-6,1</w:t>
            </w:r>
          </w:p>
        </w:tc>
      </w:tr>
      <w:tr w:rsidR="00AB4EE2" w:rsidRPr="00AC3817" w:rsidTr="00AB4EE2">
        <w:trPr>
          <w:trHeight w:val="302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AC3817" w:rsidRPr="00AC3817" w:rsidRDefault="00AC3817" w:rsidP="00AC38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C381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Francia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AC3817" w:rsidRPr="00AC3817" w:rsidRDefault="00AC3817" w:rsidP="00E64B4E">
            <w:pPr>
              <w:autoSpaceDE w:val="0"/>
              <w:autoSpaceDN w:val="0"/>
              <w:adjustRightInd w:val="0"/>
              <w:ind w:firstLine="113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C381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36,3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AC3817" w:rsidRPr="00AC3817" w:rsidRDefault="00AC3817" w:rsidP="00E64B4E">
            <w:pPr>
              <w:autoSpaceDE w:val="0"/>
              <w:autoSpaceDN w:val="0"/>
              <w:adjustRightInd w:val="0"/>
              <w:ind w:firstLine="113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C381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35,1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AC3817" w:rsidRPr="00AC3817" w:rsidRDefault="00AC3817" w:rsidP="00E64B4E">
            <w:pPr>
              <w:autoSpaceDE w:val="0"/>
              <w:autoSpaceDN w:val="0"/>
              <w:adjustRightInd w:val="0"/>
              <w:ind w:firstLine="113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C381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34,0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AC3817" w:rsidRPr="00AC3817" w:rsidRDefault="00AC3817" w:rsidP="00E64B4E">
            <w:pPr>
              <w:autoSpaceDE w:val="0"/>
              <w:autoSpaceDN w:val="0"/>
              <w:adjustRightInd w:val="0"/>
              <w:ind w:firstLine="113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C381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-1,3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AC3817" w:rsidRPr="00AC3817" w:rsidRDefault="00AC3817" w:rsidP="00E64B4E">
            <w:pPr>
              <w:autoSpaceDE w:val="0"/>
              <w:autoSpaceDN w:val="0"/>
              <w:adjustRightInd w:val="0"/>
              <w:ind w:firstLine="113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C381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-2,3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AC3817" w:rsidRPr="00AC3817" w:rsidRDefault="00E64B4E" w:rsidP="00E64B4E">
            <w:pPr>
              <w:autoSpaceDE w:val="0"/>
              <w:autoSpaceDN w:val="0"/>
              <w:adjustRightInd w:val="0"/>
              <w:ind w:firstLine="113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AC3817" w:rsidRPr="00AC381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-3,5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C3817" w:rsidRPr="00AC3817" w:rsidRDefault="00E64B4E" w:rsidP="00E64B4E">
            <w:pPr>
              <w:autoSpaceDE w:val="0"/>
              <w:autoSpaceDN w:val="0"/>
              <w:adjustRightInd w:val="0"/>
              <w:ind w:firstLine="113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AC3817" w:rsidRPr="00AC381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-6,3</w:t>
            </w:r>
          </w:p>
        </w:tc>
      </w:tr>
      <w:tr w:rsidR="00AB4EE2" w:rsidRPr="00AC3817" w:rsidTr="00AB4EE2">
        <w:trPr>
          <w:trHeight w:val="302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AC3817" w:rsidRPr="00AC3817" w:rsidRDefault="00AC3817" w:rsidP="00AC38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C381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Ungheria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AC3817" w:rsidRPr="00AC3817" w:rsidRDefault="00E64B4E" w:rsidP="00E64B4E">
            <w:pPr>
              <w:autoSpaceDE w:val="0"/>
              <w:autoSpaceDN w:val="0"/>
              <w:adjustRightInd w:val="0"/>
              <w:ind w:firstLine="113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</w:t>
            </w:r>
            <w:r w:rsidR="00AC3817" w:rsidRPr="00AC381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5,8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AC3817" w:rsidRPr="00AC3817" w:rsidRDefault="00E64B4E" w:rsidP="00E64B4E">
            <w:pPr>
              <w:autoSpaceDE w:val="0"/>
              <w:autoSpaceDN w:val="0"/>
              <w:adjustRightInd w:val="0"/>
              <w:ind w:firstLine="113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</w:t>
            </w:r>
            <w:r w:rsidR="00AC3817" w:rsidRPr="00AC381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AC3817" w:rsidRPr="00AC3817" w:rsidRDefault="00E64B4E" w:rsidP="00E64B4E">
            <w:pPr>
              <w:autoSpaceDE w:val="0"/>
              <w:autoSpaceDN w:val="0"/>
              <w:adjustRightInd w:val="0"/>
              <w:ind w:firstLine="113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</w:t>
            </w:r>
            <w:r w:rsidR="00AC3817" w:rsidRPr="00AC381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4,9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AC3817" w:rsidRPr="00AC3817" w:rsidRDefault="00AC3817" w:rsidP="00E64B4E">
            <w:pPr>
              <w:autoSpaceDE w:val="0"/>
              <w:autoSpaceDN w:val="0"/>
              <w:adjustRightInd w:val="0"/>
              <w:ind w:firstLine="113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C381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-0,8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AC3817" w:rsidRPr="00AC3817" w:rsidRDefault="00AC3817" w:rsidP="00E64B4E">
            <w:pPr>
              <w:autoSpaceDE w:val="0"/>
              <w:autoSpaceDN w:val="0"/>
              <w:adjustRightInd w:val="0"/>
              <w:ind w:firstLine="113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C381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-0,9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AC3817" w:rsidRPr="00AC3817" w:rsidRDefault="00AC3817" w:rsidP="00E64B4E">
            <w:pPr>
              <w:autoSpaceDE w:val="0"/>
              <w:autoSpaceDN w:val="0"/>
              <w:adjustRightInd w:val="0"/>
              <w:ind w:firstLine="113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C381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-14,1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C3817" w:rsidRPr="00AC3817" w:rsidRDefault="00AC3817" w:rsidP="00E64B4E">
            <w:pPr>
              <w:autoSpaceDE w:val="0"/>
              <w:autoSpaceDN w:val="0"/>
              <w:adjustRightInd w:val="0"/>
              <w:ind w:firstLine="113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C381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-15,9</w:t>
            </w:r>
          </w:p>
        </w:tc>
      </w:tr>
      <w:tr w:rsidR="00AB4EE2" w:rsidRPr="00AC3817" w:rsidTr="00362739">
        <w:trPr>
          <w:trHeight w:val="302"/>
        </w:trPr>
        <w:tc>
          <w:tcPr>
            <w:tcW w:w="1578" w:type="dxa"/>
            <w:tcBorders>
              <w:top w:val="nil"/>
              <w:left w:val="nil"/>
              <w:right w:val="nil"/>
            </w:tcBorders>
          </w:tcPr>
          <w:p w:rsidR="00AC3817" w:rsidRPr="00AC3817" w:rsidRDefault="00AC3817" w:rsidP="00AC38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C381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Germania</w:t>
            </w:r>
          </w:p>
        </w:tc>
        <w:tc>
          <w:tcPr>
            <w:tcW w:w="727" w:type="dxa"/>
            <w:tcBorders>
              <w:top w:val="nil"/>
              <w:left w:val="nil"/>
              <w:right w:val="nil"/>
            </w:tcBorders>
          </w:tcPr>
          <w:p w:rsidR="00AC3817" w:rsidRPr="00AC3817" w:rsidRDefault="00AC3817" w:rsidP="00E64B4E">
            <w:pPr>
              <w:autoSpaceDE w:val="0"/>
              <w:autoSpaceDN w:val="0"/>
              <w:adjustRightInd w:val="0"/>
              <w:ind w:firstLine="113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C381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49,8</w:t>
            </w:r>
          </w:p>
        </w:tc>
        <w:tc>
          <w:tcPr>
            <w:tcW w:w="967" w:type="dxa"/>
            <w:tcBorders>
              <w:top w:val="nil"/>
              <w:left w:val="nil"/>
              <w:right w:val="nil"/>
            </w:tcBorders>
          </w:tcPr>
          <w:p w:rsidR="00AC3817" w:rsidRPr="00AC3817" w:rsidRDefault="00AC3817" w:rsidP="00E64B4E">
            <w:pPr>
              <w:autoSpaceDE w:val="0"/>
              <w:autoSpaceDN w:val="0"/>
              <w:adjustRightInd w:val="0"/>
              <w:ind w:firstLine="113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C381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42,9</w:t>
            </w: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</w:tcPr>
          <w:p w:rsidR="00AC3817" w:rsidRPr="00AC3817" w:rsidRDefault="00AC3817" w:rsidP="00E64B4E">
            <w:pPr>
              <w:autoSpaceDE w:val="0"/>
              <w:autoSpaceDN w:val="0"/>
              <w:adjustRightInd w:val="0"/>
              <w:ind w:firstLine="113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C381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40,3</w:t>
            </w:r>
          </w:p>
        </w:tc>
        <w:tc>
          <w:tcPr>
            <w:tcW w:w="921" w:type="dxa"/>
            <w:tcBorders>
              <w:top w:val="nil"/>
              <w:left w:val="nil"/>
              <w:right w:val="nil"/>
            </w:tcBorders>
          </w:tcPr>
          <w:p w:rsidR="00AC3817" w:rsidRPr="00AC3817" w:rsidRDefault="00AC3817" w:rsidP="00E64B4E">
            <w:pPr>
              <w:autoSpaceDE w:val="0"/>
              <w:autoSpaceDN w:val="0"/>
              <w:adjustRightInd w:val="0"/>
              <w:ind w:firstLine="113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C381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-6,9</w:t>
            </w:r>
          </w:p>
        </w:tc>
        <w:tc>
          <w:tcPr>
            <w:tcW w:w="1328" w:type="dxa"/>
            <w:tcBorders>
              <w:top w:val="nil"/>
              <w:left w:val="nil"/>
              <w:right w:val="nil"/>
            </w:tcBorders>
          </w:tcPr>
          <w:p w:rsidR="00AC3817" w:rsidRPr="00AC3817" w:rsidRDefault="00AC3817" w:rsidP="00E64B4E">
            <w:pPr>
              <w:autoSpaceDE w:val="0"/>
              <w:autoSpaceDN w:val="0"/>
              <w:adjustRightInd w:val="0"/>
              <w:ind w:firstLine="113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C381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-9,5</w:t>
            </w:r>
          </w:p>
        </w:tc>
        <w:tc>
          <w:tcPr>
            <w:tcW w:w="962" w:type="dxa"/>
            <w:tcBorders>
              <w:top w:val="nil"/>
              <w:left w:val="nil"/>
              <w:right w:val="nil"/>
            </w:tcBorders>
          </w:tcPr>
          <w:p w:rsidR="00AC3817" w:rsidRPr="00AC3817" w:rsidRDefault="00AC3817" w:rsidP="00E64B4E">
            <w:pPr>
              <w:autoSpaceDE w:val="0"/>
              <w:autoSpaceDN w:val="0"/>
              <w:adjustRightInd w:val="0"/>
              <w:ind w:firstLine="113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C381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-13,9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AC3817" w:rsidRPr="00AC3817" w:rsidRDefault="00AC3817" w:rsidP="00E64B4E">
            <w:pPr>
              <w:autoSpaceDE w:val="0"/>
              <w:autoSpaceDN w:val="0"/>
              <w:adjustRightInd w:val="0"/>
              <w:ind w:firstLine="113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C381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-19,0</w:t>
            </w:r>
          </w:p>
        </w:tc>
      </w:tr>
      <w:tr w:rsidR="00AB4EE2" w:rsidRPr="00AC3817" w:rsidTr="00362739">
        <w:trPr>
          <w:trHeight w:val="302"/>
        </w:trPr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3817" w:rsidRPr="00AC3817" w:rsidRDefault="00AC3817" w:rsidP="00AC38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C381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Italia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3817" w:rsidRPr="00AC3817" w:rsidRDefault="00AC3817" w:rsidP="00E64B4E">
            <w:pPr>
              <w:autoSpaceDE w:val="0"/>
              <w:autoSpaceDN w:val="0"/>
              <w:adjustRightInd w:val="0"/>
              <w:ind w:firstLine="113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C381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35,6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3817" w:rsidRPr="00AC3817" w:rsidRDefault="00AC3817" w:rsidP="00E64B4E">
            <w:pPr>
              <w:autoSpaceDE w:val="0"/>
              <w:autoSpaceDN w:val="0"/>
              <w:adjustRightInd w:val="0"/>
              <w:ind w:firstLine="113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C381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3817" w:rsidRPr="00AC3817" w:rsidRDefault="00AC3817" w:rsidP="00E64B4E">
            <w:pPr>
              <w:autoSpaceDE w:val="0"/>
              <w:autoSpaceDN w:val="0"/>
              <w:adjustRightInd w:val="0"/>
              <w:ind w:firstLine="113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C381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3817" w:rsidRPr="00AC3817" w:rsidRDefault="00AC3817" w:rsidP="00E64B4E">
            <w:pPr>
              <w:autoSpaceDE w:val="0"/>
              <w:autoSpaceDN w:val="0"/>
              <w:adjustRightInd w:val="0"/>
              <w:ind w:firstLine="113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C381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-6,3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3817" w:rsidRPr="00AC3817" w:rsidRDefault="00AC3817" w:rsidP="00E64B4E">
            <w:pPr>
              <w:autoSpaceDE w:val="0"/>
              <w:autoSpaceDN w:val="0"/>
              <w:adjustRightInd w:val="0"/>
              <w:ind w:firstLine="113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C381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-8,0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3817" w:rsidRPr="00AC3817" w:rsidRDefault="00AC3817" w:rsidP="00E64B4E">
            <w:pPr>
              <w:autoSpaceDE w:val="0"/>
              <w:autoSpaceDN w:val="0"/>
              <w:adjustRightInd w:val="0"/>
              <w:ind w:firstLine="113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C381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-17,7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3817" w:rsidRPr="00AC3817" w:rsidRDefault="00AC3817" w:rsidP="00E64B4E">
            <w:pPr>
              <w:autoSpaceDE w:val="0"/>
              <w:autoSpaceDN w:val="0"/>
              <w:adjustRightInd w:val="0"/>
              <w:ind w:firstLine="113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C381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-22,5</w:t>
            </w:r>
          </w:p>
        </w:tc>
      </w:tr>
    </w:tbl>
    <w:p w:rsidR="005F1D54" w:rsidRDefault="00AB4EE2" w:rsidP="005F1D54">
      <w:pPr>
        <w:spacing w:line="360" w:lineRule="auto"/>
        <w:ind w:firstLine="36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Fonte: elaborazioni su dati United Nations 2019.</w:t>
      </w:r>
    </w:p>
    <w:p w:rsidR="00AB4EE2" w:rsidRDefault="00AB4EE2" w:rsidP="005F1D54">
      <w:pPr>
        <w:spacing w:line="360" w:lineRule="auto"/>
        <w:ind w:firstLine="360"/>
        <w:jc w:val="both"/>
        <w:rPr>
          <w:iCs/>
          <w:sz w:val="20"/>
          <w:szCs w:val="20"/>
        </w:rPr>
      </w:pPr>
    </w:p>
    <w:p w:rsidR="002B2372" w:rsidRDefault="002B2372" w:rsidP="002B2372">
      <w:pPr>
        <w:spacing w:line="360" w:lineRule="auto"/>
        <w:jc w:val="both"/>
      </w:pPr>
      <w:r>
        <w:t xml:space="preserve">Un confronto tra Italia e Svezia (Fig. 2) può </w:t>
      </w:r>
      <w:r w:rsidR="000659D0">
        <w:t xml:space="preserve">aiutare a comprendere la </w:t>
      </w:r>
      <w:r>
        <w:t xml:space="preserve">relazione </w:t>
      </w:r>
      <w:r w:rsidR="000659D0">
        <w:t xml:space="preserve">attuale </w:t>
      </w:r>
      <w:r>
        <w:t xml:space="preserve">tra fecondità e lavoro delle donne. </w:t>
      </w:r>
      <w:r w:rsidR="000659D0">
        <w:t>Infatti, a</w:t>
      </w:r>
      <w:r>
        <w:t xml:space="preserve">l contrario della Svezia e di altri paesi europei, in Italia l’associazione negativa tra tasso di occupazione femminile e tasso di fecondità totale non si è ancora invertita. Il tasso di occupazione femminile del nostro paese è aumentato in questi anni, ma si colloca ancora poco al di sopra del 50% mentre in Svezia si approssima all’80% e questo ampio scarto nella </w:t>
      </w:r>
      <w:r>
        <w:lastRenderedPageBreak/>
        <w:t xml:space="preserve">partecipazione delle donne alle attività lavorative si accompagna, situazione inimmaginabile sino a qualche decennio fa, una altrettanto larga differenza nei tassi di fecondità sempre a vantaggio del paese scandinavo.  </w:t>
      </w:r>
    </w:p>
    <w:p w:rsidR="002B2372" w:rsidRPr="00940BB0" w:rsidRDefault="002B2372" w:rsidP="002B2372">
      <w:pPr>
        <w:spacing w:after="120"/>
        <w:contextualSpacing/>
        <w:jc w:val="both"/>
        <w:rPr>
          <w:sz w:val="20"/>
          <w:szCs w:val="20"/>
        </w:rPr>
      </w:pPr>
      <w:r w:rsidRPr="00940BB0">
        <w:rPr>
          <w:sz w:val="20"/>
          <w:szCs w:val="20"/>
        </w:rPr>
        <w:t>Fig. 2 – Tasso di occupazione femminile (15-64 anni,</w:t>
      </w:r>
      <w:r>
        <w:rPr>
          <w:sz w:val="20"/>
          <w:szCs w:val="20"/>
        </w:rPr>
        <w:t xml:space="preserve"> valore percentuale, </w:t>
      </w:r>
      <w:r w:rsidRPr="00940BB0">
        <w:rPr>
          <w:sz w:val="20"/>
          <w:szCs w:val="20"/>
        </w:rPr>
        <w:t>scala di sinistra) e tasso di fecondità totale (</w:t>
      </w:r>
      <w:r>
        <w:rPr>
          <w:sz w:val="20"/>
          <w:szCs w:val="20"/>
        </w:rPr>
        <w:t xml:space="preserve">numero medio di figli per donna, </w:t>
      </w:r>
      <w:r w:rsidRPr="00940BB0">
        <w:rPr>
          <w:sz w:val="20"/>
          <w:szCs w:val="20"/>
        </w:rPr>
        <w:t xml:space="preserve">scala di destra), Svezia e Italia, </w:t>
      </w:r>
      <w:r>
        <w:rPr>
          <w:sz w:val="20"/>
          <w:szCs w:val="20"/>
        </w:rPr>
        <w:t>1996-2015</w:t>
      </w:r>
    </w:p>
    <w:p w:rsidR="002B2372" w:rsidRDefault="002B2372" w:rsidP="002B2372">
      <w:pPr>
        <w:spacing w:line="320" w:lineRule="atLeast"/>
        <w:jc w:val="both"/>
        <w:rPr>
          <w:smallCaps/>
          <w:lang w:val="en-US"/>
        </w:rPr>
      </w:pPr>
      <w:r>
        <w:rPr>
          <w:smallCaps/>
          <w:noProof/>
        </w:rPr>
        <w:drawing>
          <wp:inline distT="0" distB="0" distL="0" distR="0" wp14:anchorId="13661345">
            <wp:extent cx="3438000" cy="20592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000" cy="205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2372" w:rsidRDefault="002B2372" w:rsidP="002B2372">
      <w:pPr>
        <w:spacing w:line="320" w:lineRule="atLeast"/>
        <w:jc w:val="both"/>
        <w:rPr>
          <w:sz w:val="20"/>
          <w:szCs w:val="20"/>
        </w:rPr>
      </w:pPr>
      <w:r w:rsidRPr="00B82810">
        <w:rPr>
          <w:sz w:val="20"/>
          <w:szCs w:val="20"/>
        </w:rPr>
        <w:t xml:space="preserve">Fonte: </w:t>
      </w:r>
      <w:r>
        <w:rPr>
          <w:sz w:val="20"/>
          <w:szCs w:val="20"/>
        </w:rPr>
        <w:t xml:space="preserve">dati </w:t>
      </w:r>
      <w:r w:rsidRPr="00B82810">
        <w:rPr>
          <w:sz w:val="20"/>
          <w:szCs w:val="20"/>
        </w:rPr>
        <w:t>Eurostat</w:t>
      </w:r>
      <w:r>
        <w:rPr>
          <w:sz w:val="20"/>
          <w:szCs w:val="20"/>
        </w:rPr>
        <w:t>.</w:t>
      </w:r>
    </w:p>
    <w:p w:rsidR="00E64B4E" w:rsidRPr="00AB4EE2" w:rsidRDefault="00E64B4E" w:rsidP="005F1D54">
      <w:pPr>
        <w:spacing w:line="360" w:lineRule="auto"/>
        <w:ind w:firstLine="360"/>
        <w:jc w:val="both"/>
        <w:rPr>
          <w:iCs/>
          <w:sz w:val="20"/>
          <w:szCs w:val="20"/>
        </w:rPr>
      </w:pPr>
    </w:p>
    <w:p w:rsidR="005F1D54" w:rsidRPr="005F1D54" w:rsidRDefault="005F1D54" w:rsidP="005F1D54">
      <w:pPr>
        <w:pStyle w:val="Paragrafoelenco"/>
        <w:numPr>
          <w:ilvl w:val="0"/>
          <w:numId w:val="1"/>
        </w:numPr>
        <w:spacing w:line="360" w:lineRule="auto"/>
        <w:jc w:val="both"/>
        <w:rPr>
          <w:i/>
          <w:iCs/>
        </w:rPr>
      </w:pPr>
      <w:r>
        <w:rPr>
          <w:i/>
          <w:iCs/>
        </w:rPr>
        <w:t>L’impatto sulla fecondità delle politiche familiari</w:t>
      </w:r>
    </w:p>
    <w:p w:rsidR="000659D0" w:rsidRDefault="000659D0" w:rsidP="003373DE">
      <w:pPr>
        <w:spacing w:line="360" w:lineRule="auto"/>
        <w:ind w:firstLine="360"/>
        <w:jc w:val="both"/>
      </w:pPr>
    </w:p>
    <w:p w:rsidR="003373DE" w:rsidRDefault="003373DE" w:rsidP="003373DE">
      <w:pPr>
        <w:spacing w:line="360" w:lineRule="auto"/>
        <w:ind w:firstLine="360"/>
        <w:jc w:val="both"/>
      </w:pPr>
      <w:r>
        <w:t xml:space="preserve">I risultati degli studi sull’effetto delle politiche familiari e demografiche sono differenziati. Generalmente, i dati macro individuano una relazione positiva tra politiche per la famiglia e fecondità, mentre i dati micro rivelano dinamiche più complesse. In particolare, l’effetto delle politiche non sempre è positivo: spesso è assai contenuto, difficilmente isolabile da altri fattori socio-demografici e contestuali e osservabile più sulla cadenza che sull’intensità delle nascite. Quest’ultimo aspetto significa che le politiche, più che modificare le intenzioni e i comportamenti di fecondità delle coppie – spingendole a mettere al mondo uno o più figli – accelerano dei meccanismi di fecondità che sono precedenti all’introduzione della misura specifica, e che sono il frutto di preferenze, ambienti, culture, politiche, istituzioni e in generale di processi di lungo-termine. </w:t>
      </w:r>
    </w:p>
    <w:p w:rsidR="003373DE" w:rsidRDefault="003373DE" w:rsidP="003373DE">
      <w:pPr>
        <w:spacing w:line="360" w:lineRule="auto"/>
        <w:ind w:firstLine="360"/>
        <w:jc w:val="both"/>
      </w:pPr>
      <w:r>
        <w:t xml:space="preserve">In tal senso, è importante anche sottolineare la differenza tra trasferimenti monetari ed erogazione di servizi per l’assistenza all’infanzia: questi ultimi sono in grado di influenzare in maniera più significativa i comportamenti di fecondità delle coppie, </w:t>
      </w:r>
      <w:r>
        <w:lastRenderedPageBreak/>
        <w:t xml:space="preserve">ma soprattutto di creare quelli condizioni indispensabili ad un cambiamento sociale e culturale permanente, che è necessario se si vuole incidere effettivamente sui livelli di fecondità. Come è stato recentemente osservato a livello europeo e per un intervallo di tempo che permette di tenere conto della recente crisi economica (2003-2011), i servizi per l’assistenza formale alla prima infanzia (0-3 anni) hanno un effetto positivo sulla transizione al secondo figlio, a differenza dei trasferimenti monetari alle famiglie e dei congedi familiari, che invece non avrebbero alcun effetto. L’effetto positivo dei servizi per l’assistenza all’infanzia sulla fecondità si amplifica in presenza di coppie a doppio reddito e con alti livelli di istruzione, a dimostrazione del fatto che il sostegno pubblico alla conciliazione lavoro-famiglia – attraverso l’offerta di servizi per la prima infanzia, e naturalmente la stabilizzazione della posizione lavorativa prima e dopo la nascita di un figlio – ha un impatto positivo sulla fecondità, quindi sulla dimensione della famiglia. Anche in Italia, sia con dati macro, che con dati micro, è stato osservato che l’erogazione di servizi pubblici per l’assistenza all’infanzia incide positivamente sulla fecondità. Al contrario, i trasferimenti monetari non hanno effetto sulla nascita del primo figlio o hanno un effetto limitato alle nascite di ordine superiore al primo e alle donne meno istruite, che quindi occupano segmenti del mercato del lavoro meno qualificati. </w:t>
      </w:r>
    </w:p>
    <w:p w:rsidR="003373DE" w:rsidRDefault="003373DE" w:rsidP="003373DE">
      <w:pPr>
        <w:spacing w:line="360" w:lineRule="auto"/>
        <w:ind w:firstLine="360"/>
        <w:jc w:val="both"/>
      </w:pPr>
      <w:r>
        <w:t>Infine, gli studi sull’effetto sulla fecondità dell’equità di genere all’interno della famiglia, seppur ancora limitati, sia per la scarsità di dati adeguati, sia perché vi è bisogno di tempo prima che i cambiamenti culturali e antropologici siano in grado di influenzare efficacemente le intenzioni e i comportamenti di fecondità delle coppie e, dunque, siano effettivamente misurabili, mettono in luce che un più ampio coinvolgimento dei padri nei lavori domestici e soprattutto nella cura dei figli incide positivamente sulle intenzioni e i comportamenti di fecondità delle coppie</w:t>
      </w:r>
      <w:r w:rsidR="008D1594">
        <w:t>.</w:t>
      </w:r>
      <w:r>
        <w:t xml:space="preserve"> </w:t>
      </w:r>
    </w:p>
    <w:p w:rsidR="003373DE" w:rsidRDefault="003373DE" w:rsidP="000659D0">
      <w:pPr>
        <w:spacing w:line="360" w:lineRule="auto"/>
        <w:ind w:firstLine="360"/>
        <w:jc w:val="both"/>
      </w:pPr>
      <w:r>
        <w:t xml:space="preserve">Come detto, l’analisi sistematica della letteratura sull’effetto delle politiche familiari e demografiche sulla fecondità permette di individuare delle </w:t>
      </w:r>
      <w:r w:rsidRPr="003373DE">
        <w:rPr>
          <w:i/>
        </w:rPr>
        <w:t>best-practices</w:t>
      </w:r>
      <w:r>
        <w:t xml:space="preserve"> nelle esperienze di alcuni paesi europei e in particolare nell’esperienza di Francia, Svezia, Norvegia, Finlandia, più recentemente, Germania e in Trentino Alto Adige in Italia. </w:t>
      </w:r>
      <w:r w:rsidR="000659D0">
        <w:t xml:space="preserve"> In generale, l</w:t>
      </w:r>
      <w:r>
        <w:t>’impatto positivo sulla fecondità dell’uso esteso dei congedi parentali e della disponibilità di servizi per l’assistenza all’infanzia è stato documentato</w:t>
      </w:r>
      <w:r w:rsidR="000659D0">
        <w:t xml:space="preserve"> in diversi paesi</w:t>
      </w:r>
      <w:r>
        <w:t xml:space="preserve">. Al potenziamento dell’offerta pubblica, all’integrazione flessibile con l’offerta privata, alla continua </w:t>
      </w:r>
      <w:r>
        <w:lastRenderedPageBreak/>
        <w:t>attenzione alla qualità e alla progressiva riduzione dei costi dei servizi, vanno aggiunti un ambiente positivo che sostiene la partecipazione femminile al mercato del lavoro e che informa e sensibilizza circa gli strumenti disponibili per realizzare un’efficiente conciliazione tra vita lavorativa e vita privata.</w:t>
      </w:r>
    </w:p>
    <w:p w:rsidR="00362739" w:rsidRPr="00362739" w:rsidRDefault="003373DE" w:rsidP="00362739">
      <w:pPr>
        <w:spacing w:line="360" w:lineRule="auto"/>
        <w:ind w:firstLine="360"/>
        <w:jc w:val="both"/>
      </w:pPr>
      <w:r>
        <w:t>Anche in Italia, vi è un esempio di best-practice, proveniente dalla regione Trentino Alto Adige, dalla provincia autonoma di Trento e dalla provincia di Bolzano, dove si registrano dei valori del TFT superiori alla media italiana e pari rispettivamente a 1,62, 1,49 e 1,74 figli per donna nel 2017, quando i vicini Veneto e Friuli-Venezia Giulia si fermano a 1,36 e a 1,31.</w:t>
      </w:r>
      <w:r w:rsidR="00362739">
        <w:t xml:space="preserve"> </w:t>
      </w:r>
      <w:r w:rsidR="00362739" w:rsidRPr="00362739">
        <w:t>In particolare, per quanto riguarda il nostro paese, il cosiddetto “modello Trentino”, che coinvolge anche le iniziative di politiche “</w:t>
      </w:r>
      <w:r w:rsidR="00362739" w:rsidRPr="00362739">
        <w:rPr>
          <w:i/>
        </w:rPr>
        <w:t>family friendly</w:t>
      </w:r>
      <w:r w:rsidR="00362739" w:rsidRPr="00362739">
        <w:t xml:space="preserve">” della provincia di Bolzano, è </w:t>
      </w:r>
      <w:r w:rsidR="00362739">
        <w:t xml:space="preserve">da </w:t>
      </w:r>
      <w:r w:rsidR="00362739" w:rsidRPr="00362739">
        <w:t>considera</w:t>
      </w:r>
      <w:r w:rsidR="00362739">
        <w:t>re</w:t>
      </w:r>
      <w:r w:rsidR="00362739" w:rsidRPr="00362739">
        <w:t xml:space="preserve"> un modello virtuoso </w:t>
      </w:r>
      <w:r w:rsidR="00362739">
        <w:t xml:space="preserve">che potrebbe essere </w:t>
      </w:r>
      <w:r w:rsidR="00362739" w:rsidRPr="00362739">
        <w:t>diff</w:t>
      </w:r>
      <w:r w:rsidR="00362739">
        <w:t>uso</w:t>
      </w:r>
      <w:r w:rsidR="00362739" w:rsidRPr="00362739">
        <w:t xml:space="preserve"> in altre regioni e province italiane.</w:t>
      </w:r>
    </w:p>
    <w:p w:rsidR="003373DE" w:rsidRPr="00606048" w:rsidRDefault="000659D0" w:rsidP="003373DE">
      <w:pPr>
        <w:spacing w:line="360" w:lineRule="auto"/>
        <w:ind w:firstLine="360"/>
        <w:jc w:val="both"/>
      </w:pPr>
      <w:r>
        <w:t>In generale, intervenire sulle politiche familiari per rafforzare il sostegno pubblico alla natalità appare quanto mai opportuno</w:t>
      </w:r>
      <w:r w:rsidR="00606048">
        <w:t xml:space="preserve">, perché la </w:t>
      </w:r>
      <w:r w:rsidR="00606048">
        <w:rPr>
          <w:i/>
        </w:rPr>
        <w:t xml:space="preserve">questione demografica </w:t>
      </w:r>
      <w:r w:rsidR="00606048">
        <w:t xml:space="preserve">rappresenta uno dei grandi temi che il nostro paese deve affrontare. In questo senso, razionalizzare, semplificare e dare soprattutto vita a interventi stabili nel tempo, su cui coppie e famiglie possono contare nel lungo periodo, rappresenta un passo importante di una strada che sarà però lunga e tutt’altro che agevole. </w:t>
      </w:r>
    </w:p>
    <w:p w:rsidR="00DD070F" w:rsidRPr="00DD070F" w:rsidRDefault="00DD070F" w:rsidP="00DD070F">
      <w:pPr>
        <w:spacing w:line="360" w:lineRule="auto"/>
        <w:ind w:firstLine="360"/>
        <w:jc w:val="both"/>
      </w:pPr>
      <w:r>
        <w:t xml:space="preserve">  </w:t>
      </w:r>
    </w:p>
    <w:sectPr w:rsidR="00DD070F" w:rsidRPr="00DD070F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AFD" w:rsidRDefault="00D65AFD" w:rsidP="00983F6B">
      <w:r>
        <w:separator/>
      </w:r>
    </w:p>
  </w:endnote>
  <w:endnote w:type="continuationSeparator" w:id="0">
    <w:p w:rsidR="00D65AFD" w:rsidRDefault="00D65AFD" w:rsidP="00983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5450755"/>
      <w:docPartObj>
        <w:docPartGallery w:val="Page Numbers (Bottom of Page)"/>
        <w:docPartUnique/>
      </w:docPartObj>
    </w:sdtPr>
    <w:sdtEndPr/>
    <w:sdtContent>
      <w:p w:rsidR="00983F6B" w:rsidRDefault="00983F6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F8A">
          <w:rPr>
            <w:noProof/>
          </w:rPr>
          <w:t>1</w:t>
        </w:r>
        <w:r>
          <w:fldChar w:fldCharType="end"/>
        </w:r>
      </w:p>
    </w:sdtContent>
  </w:sdt>
  <w:p w:rsidR="00983F6B" w:rsidRDefault="00983F6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AFD" w:rsidRDefault="00D65AFD" w:rsidP="00983F6B">
      <w:r>
        <w:separator/>
      </w:r>
    </w:p>
  </w:footnote>
  <w:footnote w:type="continuationSeparator" w:id="0">
    <w:p w:rsidR="00D65AFD" w:rsidRDefault="00D65AFD" w:rsidP="00983F6B">
      <w:r>
        <w:continuationSeparator/>
      </w:r>
    </w:p>
  </w:footnote>
  <w:footnote w:id="1">
    <w:p w:rsidR="00362739" w:rsidRPr="008446CC" w:rsidRDefault="00362739" w:rsidP="00362739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Il gruppo di ricerca del </w:t>
      </w:r>
      <w:r w:rsidRPr="00362739">
        <w:t xml:space="preserve">CNR-IRPPS era diretto da C. Bonifazi </w:t>
      </w:r>
      <w:r>
        <w:t xml:space="preserve">e formato da </w:t>
      </w:r>
      <w:r w:rsidRPr="00362739">
        <w:t xml:space="preserve">A. Buonomo, M. G. Caruso, M. Crisci, S. degli Uberti, </w:t>
      </w:r>
      <w:r w:rsidRPr="00362739">
        <w:rPr>
          <w:iCs/>
        </w:rPr>
        <w:t xml:space="preserve">L. Di Censi, </w:t>
      </w:r>
      <w:r w:rsidRPr="00362739">
        <w:t>G. Gesano, F. Heins,</w:t>
      </w:r>
      <w:r w:rsidRPr="00362739">
        <w:rPr>
          <w:iCs/>
        </w:rPr>
        <w:t xml:space="preserve"> </w:t>
      </w:r>
      <w:r w:rsidRPr="00362739">
        <w:t>A. Paparusso, A. Pelliccia, G. Ponzini,</w:t>
      </w:r>
      <w:r w:rsidRPr="00362739">
        <w:rPr>
          <w:iCs/>
        </w:rPr>
        <w:t xml:space="preserve"> G. B. Sgritta</w:t>
      </w:r>
      <w:r w:rsidRPr="00362739">
        <w:t>, S. Strozza, M. Vitiello.</w:t>
      </w:r>
      <w:r w:rsidRPr="008446CC">
        <w:t xml:space="preserve"> </w:t>
      </w:r>
    </w:p>
    <w:p w:rsidR="00362739" w:rsidRDefault="00362739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6135"/>
    <w:multiLevelType w:val="hybridMultilevel"/>
    <w:tmpl w:val="858CD18E"/>
    <w:lvl w:ilvl="0" w:tplc="9AF41C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391"/>
    <w:rsid w:val="000659D0"/>
    <w:rsid w:val="00093334"/>
    <w:rsid w:val="00134CA9"/>
    <w:rsid w:val="001C1391"/>
    <w:rsid w:val="001F515B"/>
    <w:rsid w:val="002B2372"/>
    <w:rsid w:val="003373DE"/>
    <w:rsid w:val="00362739"/>
    <w:rsid w:val="003651C4"/>
    <w:rsid w:val="003B5127"/>
    <w:rsid w:val="004926BF"/>
    <w:rsid w:val="005E4A0A"/>
    <w:rsid w:val="005F1D54"/>
    <w:rsid w:val="00606048"/>
    <w:rsid w:val="00664325"/>
    <w:rsid w:val="007711F8"/>
    <w:rsid w:val="00845A44"/>
    <w:rsid w:val="008D1594"/>
    <w:rsid w:val="00983F6B"/>
    <w:rsid w:val="009C011A"/>
    <w:rsid w:val="00AB4EE2"/>
    <w:rsid w:val="00AC3817"/>
    <w:rsid w:val="00AE093F"/>
    <w:rsid w:val="00B5316E"/>
    <w:rsid w:val="00B56133"/>
    <w:rsid w:val="00B56F8A"/>
    <w:rsid w:val="00D65AFD"/>
    <w:rsid w:val="00D87463"/>
    <w:rsid w:val="00DD070F"/>
    <w:rsid w:val="00DF2B4B"/>
    <w:rsid w:val="00E64B4E"/>
    <w:rsid w:val="00F0068B"/>
    <w:rsid w:val="00FD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91664-7C89-41E0-9FC4-BAF9B617E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imapaginaaudizioni">
    <w:name w:val="prima pagina audizioni"/>
    <w:basedOn w:val="Normale"/>
    <w:qFormat/>
    <w:rsid w:val="001C1391"/>
    <w:pPr>
      <w:overflowPunct w:val="0"/>
      <w:autoSpaceDE w:val="0"/>
      <w:autoSpaceDN w:val="0"/>
      <w:adjustRightInd w:val="0"/>
      <w:spacing w:after="80" w:line="280" w:lineRule="exact"/>
      <w:jc w:val="center"/>
    </w:pPr>
    <w:rPr>
      <w:rFonts w:ascii="Calibri" w:eastAsiaTheme="minorHAnsi" w:hAnsi="Calibri" w:cs="Calibri"/>
      <w:b/>
      <w:sz w:val="31"/>
      <w:szCs w:val="31"/>
    </w:rPr>
  </w:style>
  <w:style w:type="paragraph" w:styleId="Paragrafoelenco">
    <w:name w:val="List Paragraph"/>
    <w:basedOn w:val="Normale"/>
    <w:uiPriority w:val="34"/>
    <w:qFormat/>
    <w:rsid w:val="00DD070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83F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3F6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83F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3F6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aliases w:val="Footnote Text Char,Footnote Text Char Char,Char Char Char Char, Char Char Char Char"/>
    <w:basedOn w:val="Normale"/>
    <w:link w:val="TestonotaapidipaginaCarattere"/>
    <w:uiPriority w:val="99"/>
    <w:unhideWhenUsed/>
    <w:rsid w:val="00362739"/>
    <w:rPr>
      <w:sz w:val="20"/>
      <w:szCs w:val="20"/>
    </w:rPr>
  </w:style>
  <w:style w:type="character" w:customStyle="1" w:styleId="TestonotaapidipaginaCarattere">
    <w:name w:val="Testo nota a piè di pagina Carattere"/>
    <w:aliases w:val="Footnote Text Char Carattere,Footnote Text Char Char Carattere,Char Char Char Char Carattere, Char Char Char Char Carattere"/>
    <w:basedOn w:val="Carpredefinitoparagrafo"/>
    <w:link w:val="Testonotaapidipagina"/>
    <w:uiPriority w:val="99"/>
    <w:rsid w:val="0036273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627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4E811-9D7F-47A6-B8E3-BF38927D6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2924</Words>
  <Characters>16667</Characters>
  <Application>Microsoft Office Word</Application>
  <DocSecurity>4</DocSecurity>
  <Lines>138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Cdd</cp:lastModifiedBy>
  <cp:revision>2</cp:revision>
  <cp:lastPrinted>2019-10-15T10:22:00Z</cp:lastPrinted>
  <dcterms:created xsi:type="dcterms:W3CDTF">2019-10-16T08:10:00Z</dcterms:created>
  <dcterms:modified xsi:type="dcterms:W3CDTF">2019-10-16T08:10:00Z</dcterms:modified>
</cp:coreProperties>
</file>