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0B25" w14:textId="77777777" w:rsidR="00AE428E" w:rsidRPr="00FD6F39" w:rsidRDefault="00585914" w:rsidP="00DB321A">
      <w:pPr>
        <w:pStyle w:val="Nomesociet"/>
        <w:tabs>
          <w:tab w:val="left" w:pos="284"/>
        </w:tabs>
        <w:jc w:val="right"/>
        <w:rPr>
          <w:rFonts w:ascii="Franklin Gothic Medium" w:hAnsi="Franklin Gothic Medium"/>
          <w:b/>
          <w:color w:val="5F5F5F"/>
          <w:sz w:val="40"/>
        </w:rPr>
      </w:pPr>
      <w:r w:rsidRPr="00FD6F39">
        <w:rPr>
          <w:rFonts w:ascii="Franklin Gothic Medium" w:hAnsi="Franklin Gothic Medium"/>
          <w:b/>
          <w:noProof/>
          <w:color w:val="5F5F5F"/>
          <w:sz w:val="40"/>
          <w:lang w:eastAsia="it-IT"/>
        </w:rPr>
        <w:drawing>
          <wp:anchor distT="0" distB="0" distL="114300" distR="114300" simplePos="0" relativeHeight="251657728" behindDoc="0" locked="0" layoutInCell="1" allowOverlap="0" wp14:anchorId="1EB2D503" wp14:editId="4DA28ADD">
            <wp:simplePos x="0" y="0"/>
            <wp:positionH relativeFrom="column">
              <wp:posOffset>1663065</wp:posOffset>
            </wp:positionH>
            <wp:positionV relativeFrom="page">
              <wp:posOffset>464820</wp:posOffset>
            </wp:positionV>
            <wp:extent cx="2339975" cy="96456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9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F36DF" w14:textId="77777777" w:rsidR="00AE428E" w:rsidRPr="00FD6F39" w:rsidRDefault="00AE428E" w:rsidP="00DB321A">
      <w:pPr>
        <w:tabs>
          <w:tab w:val="left" w:pos="284"/>
        </w:tabs>
        <w:rPr>
          <w:sz w:val="24"/>
          <w:szCs w:val="24"/>
        </w:rPr>
      </w:pPr>
    </w:p>
    <w:p w14:paraId="66B8FE33" w14:textId="77777777" w:rsidR="00CC154B" w:rsidRPr="00FD6F39" w:rsidRDefault="00CC154B" w:rsidP="00DB321A">
      <w:pPr>
        <w:tabs>
          <w:tab w:val="left" w:pos="284"/>
        </w:tabs>
        <w:rPr>
          <w:sz w:val="24"/>
          <w:szCs w:val="24"/>
        </w:rPr>
      </w:pPr>
    </w:p>
    <w:p w14:paraId="61FCC7A9" w14:textId="77777777" w:rsidR="00CC154B" w:rsidRPr="00FD6F39" w:rsidRDefault="00CC154B" w:rsidP="00DB321A">
      <w:pPr>
        <w:tabs>
          <w:tab w:val="left" w:pos="284"/>
        </w:tabs>
        <w:rPr>
          <w:sz w:val="24"/>
          <w:szCs w:val="24"/>
        </w:rPr>
      </w:pPr>
    </w:p>
    <w:p w14:paraId="39849621" w14:textId="77777777" w:rsidR="005C18F4" w:rsidRPr="00FD6F39" w:rsidRDefault="005C18F4" w:rsidP="00DB321A">
      <w:pPr>
        <w:tabs>
          <w:tab w:val="left" w:pos="284"/>
        </w:tabs>
        <w:rPr>
          <w:sz w:val="24"/>
          <w:szCs w:val="24"/>
        </w:rPr>
      </w:pPr>
    </w:p>
    <w:p w14:paraId="2E8053DE" w14:textId="77777777" w:rsidR="00954AF2" w:rsidRPr="00FD6F39" w:rsidRDefault="00954AF2" w:rsidP="00DB321A">
      <w:pPr>
        <w:tabs>
          <w:tab w:val="left" w:pos="284"/>
        </w:tabs>
        <w:rPr>
          <w:sz w:val="24"/>
          <w:szCs w:val="24"/>
        </w:rPr>
      </w:pPr>
    </w:p>
    <w:p w14:paraId="0C1E4A5C" w14:textId="77777777" w:rsidR="00954AF2" w:rsidRPr="00FD6F39" w:rsidRDefault="00954AF2" w:rsidP="00DB321A">
      <w:pPr>
        <w:tabs>
          <w:tab w:val="left" w:pos="284"/>
        </w:tabs>
        <w:rPr>
          <w:sz w:val="24"/>
          <w:szCs w:val="24"/>
        </w:rPr>
      </w:pPr>
    </w:p>
    <w:p w14:paraId="011775AE" w14:textId="77777777" w:rsidR="00AE428E" w:rsidRPr="00FD6F39" w:rsidRDefault="00AE428E" w:rsidP="00DB321A">
      <w:pPr>
        <w:tabs>
          <w:tab w:val="left" w:pos="284"/>
        </w:tabs>
        <w:rPr>
          <w:sz w:val="24"/>
          <w:szCs w:val="24"/>
        </w:rPr>
      </w:pPr>
    </w:p>
    <w:p w14:paraId="7C0A47E8" w14:textId="77777777" w:rsidR="00585914" w:rsidRPr="00FD6F39" w:rsidRDefault="00585914" w:rsidP="00585914">
      <w:pPr>
        <w:pStyle w:val="Corpotesto"/>
        <w:widowControl w:val="0"/>
        <w:jc w:val="center"/>
        <w:rPr>
          <w:b/>
          <w:bCs/>
          <w:sz w:val="36"/>
          <w:szCs w:val="36"/>
        </w:rPr>
      </w:pPr>
      <w:r w:rsidRPr="00FD6F39">
        <w:rPr>
          <w:b/>
          <w:bCs/>
          <w:sz w:val="36"/>
          <w:szCs w:val="36"/>
        </w:rPr>
        <w:t xml:space="preserve">Audizione informale </w:t>
      </w:r>
    </w:p>
    <w:p w14:paraId="31759C39" w14:textId="77777777" w:rsidR="009770F4" w:rsidRPr="00FD6F39" w:rsidRDefault="009770F4" w:rsidP="00585914">
      <w:pPr>
        <w:pStyle w:val="Corpotesto"/>
        <w:widowControl w:val="0"/>
        <w:jc w:val="center"/>
        <w:rPr>
          <w:b/>
          <w:bCs/>
          <w:sz w:val="36"/>
          <w:szCs w:val="36"/>
        </w:rPr>
      </w:pPr>
      <w:r w:rsidRPr="00FD6F39">
        <w:rPr>
          <w:b/>
          <w:bCs/>
          <w:sz w:val="36"/>
          <w:szCs w:val="36"/>
        </w:rPr>
        <w:t>Dott. Vladimiro Giacché</w:t>
      </w:r>
    </w:p>
    <w:p w14:paraId="07F70F5A" w14:textId="77777777" w:rsidR="009770F4" w:rsidRPr="00FD6F39" w:rsidRDefault="009770F4" w:rsidP="00585914">
      <w:pPr>
        <w:pStyle w:val="Corpotesto"/>
        <w:widowControl w:val="0"/>
        <w:jc w:val="center"/>
        <w:rPr>
          <w:b/>
          <w:bCs/>
          <w:sz w:val="36"/>
          <w:szCs w:val="36"/>
        </w:rPr>
      </w:pPr>
      <w:r w:rsidRPr="00FD6F39">
        <w:rPr>
          <w:b/>
          <w:bCs/>
          <w:sz w:val="36"/>
          <w:szCs w:val="36"/>
        </w:rPr>
        <w:t>Presidente del Centro Europa Ricerche</w:t>
      </w:r>
    </w:p>
    <w:p w14:paraId="2C149E9A" w14:textId="77777777" w:rsidR="00585914" w:rsidRPr="00FD6F39" w:rsidRDefault="009770F4" w:rsidP="00585914">
      <w:pPr>
        <w:pStyle w:val="Corpotesto"/>
        <w:widowControl w:val="0"/>
        <w:jc w:val="center"/>
        <w:rPr>
          <w:b/>
          <w:bCs/>
          <w:sz w:val="36"/>
          <w:szCs w:val="40"/>
        </w:rPr>
      </w:pPr>
      <w:r w:rsidRPr="00FD6F39">
        <w:rPr>
          <w:b/>
          <w:bCs/>
          <w:sz w:val="36"/>
          <w:szCs w:val="40"/>
        </w:rPr>
        <w:t>p</w:t>
      </w:r>
      <w:r w:rsidR="00585914" w:rsidRPr="00FD6F39">
        <w:rPr>
          <w:b/>
          <w:bCs/>
          <w:sz w:val="36"/>
          <w:szCs w:val="40"/>
        </w:rPr>
        <w:t>resso le</w:t>
      </w:r>
    </w:p>
    <w:p w14:paraId="2E15488C" w14:textId="77777777" w:rsidR="00585914" w:rsidRPr="00FD6F39" w:rsidRDefault="00585914" w:rsidP="00585914">
      <w:pPr>
        <w:pStyle w:val="Corpotesto"/>
        <w:widowControl w:val="0"/>
        <w:tabs>
          <w:tab w:val="left" w:pos="8460"/>
        </w:tabs>
        <w:jc w:val="center"/>
        <w:rPr>
          <w:b/>
          <w:bCs/>
          <w:sz w:val="36"/>
          <w:szCs w:val="36"/>
        </w:rPr>
      </w:pPr>
      <w:r w:rsidRPr="00FD6F39">
        <w:rPr>
          <w:b/>
          <w:bCs/>
          <w:sz w:val="36"/>
          <w:szCs w:val="36"/>
        </w:rPr>
        <w:t>Commissioni riunite V e XIV della Camera dei Deputati</w:t>
      </w:r>
    </w:p>
    <w:p w14:paraId="018CEB18" w14:textId="77777777" w:rsidR="00585914" w:rsidRPr="00FD6F39" w:rsidRDefault="00585914" w:rsidP="00585914">
      <w:pPr>
        <w:pStyle w:val="Corpotesto"/>
        <w:widowControl w:val="0"/>
        <w:jc w:val="center"/>
        <w:rPr>
          <w:sz w:val="32"/>
          <w:szCs w:val="32"/>
        </w:rPr>
      </w:pPr>
    </w:p>
    <w:p w14:paraId="1623AF18" w14:textId="77777777" w:rsidR="00585914" w:rsidRPr="00FD6F39" w:rsidRDefault="009770F4" w:rsidP="00585914">
      <w:pPr>
        <w:pStyle w:val="Corpotesto"/>
        <w:widowControl w:val="0"/>
        <w:ind w:left="-227" w:right="-227"/>
        <w:jc w:val="center"/>
        <w:rPr>
          <w:b/>
          <w:bCs/>
          <w:sz w:val="36"/>
          <w:szCs w:val="36"/>
        </w:rPr>
      </w:pPr>
      <w:r w:rsidRPr="00FD6F39">
        <w:rPr>
          <w:b/>
          <w:bCs/>
          <w:sz w:val="36"/>
          <w:szCs w:val="36"/>
        </w:rPr>
        <w:t>“Il f</w:t>
      </w:r>
      <w:r w:rsidR="00585914" w:rsidRPr="00FD6F39">
        <w:rPr>
          <w:b/>
          <w:bCs/>
          <w:sz w:val="36"/>
          <w:szCs w:val="36"/>
        </w:rPr>
        <w:t>unzionamento del Meccanismo europeo di stabilità (MES) e le sue prospettive di riforma”</w:t>
      </w:r>
    </w:p>
    <w:p w14:paraId="7200E81C" w14:textId="77777777" w:rsidR="00585914" w:rsidRPr="00FD6F39" w:rsidRDefault="00585914" w:rsidP="00585914">
      <w:pPr>
        <w:rPr>
          <w:sz w:val="20"/>
          <w:szCs w:val="24"/>
        </w:rPr>
      </w:pPr>
    </w:p>
    <w:p w14:paraId="27D56EF3" w14:textId="77777777" w:rsidR="0036611D" w:rsidRPr="00FD6F39" w:rsidRDefault="0036611D" w:rsidP="00DB321A">
      <w:pPr>
        <w:tabs>
          <w:tab w:val="left" w:pos="284"/>
        </w:tabs>
        <w:rPr>
          <w:sz w:val="24"/>
          <w:szCs w:val="24"/>
        </w:rPr>
      </w:pPr>
      <w:bookmarkStart w:id="0" w:name="_GoBack"/>
      <w:bookmarkEnd w:id="0"/>
    </w:p>
    <w:p w14:paraId="420E2A62" w14:textId="77777777" w:rsidR="00954AF2" w:rsidRPr="00FD6F39" w:rsidRDefault="00954AF2" w:rsidP="00DB321A">
      <w:pPr>
        <w:tabs>
          <w:tab w:val="left" w:pos="284"/>
        </w:tabs>
        <w:rPr>
          <w:sz w:val="24"/>
          <w:szCs w:val="24"/>
        </w:rPr>
      </w:pPr>
    </w:p>
    <w:p w14:paraId="347CBDBB" w14:textId="77777777" w:rsidR="00954AF2" w:rsidRPr="00FD6F39" w:rsidRDefault="00954AF2" w:rsidP="00DB321A">
      <w:pPr>
        <w:tabs>
          <w:tab w:val="left" w:pos="284"/>
        </w:tabs>
        <w:rPr>
          <w:sz w:val="24"/>
          <w:szCs w:val="24"/>
        </w:rPr>
      </w:pPr>
    </w:p>
    <w:p w14:paraId="30877764" w14:textId="77777777" w:rsidR="00AE428E" w:rsidRPr="00FD6F39" w:rsidRDefault="00AE428E" w:rsidP="00DB321A">
      <w:pPr>
        <w:tabs>
          <w:tab w:val="left" w:pos="284"/>
        </w:tabs>
        <w:rPr>
          <w:sz w:val="24"/>
          <w:szCs w:val="24"/>
        </w:rPr>
      </w:pPr>
    </w:p>
    <w:p w14:paraId="57FC039B" w14:textId="77777777" w:rsidR="00231815" w:rsidRPr="00FD6F39" w:rsidRDefault="00231815" w:rsidP="00DB321A">
      <w:pPr>
        <w:tabs>
          <w:tab w:val="left" w:pos="284"/>
        </w:tabs>
        <w:rPr>
          <w:sz w:val="24"/>
          <w:szCs w:val="24"/>
        </w:rPr>
      </w:pPr>
    </w:p>
    <w:p w14:paraId="7A2327B3" w14:textId="77777777" w:rsidR="00585914" w:rsidRPr="00FD6F39" w:rsidRDefault="00585914" w:rsidP="00DB321A">
      <w:pPr>
        <w:tabs>
          <w:tab w:val="left" w:pos="284"/>
        </w:tabs>
        <w:rPr>
          <w:sz w:val="24"/>
          <w:szCs w:val="24"/>
        </w:rPr>
      </w:pPr>
    </w:p>
    <w:p w14:paraId="31B6E86D" w14:textId="77777777" w:rsidR="00585914" w:rsidRPr="00FD6F39" w:rsidRDefault="00585914" w:rsidP="00DB321A">
      <w:pPr>
        <w:tabs>
          <w:tab w:val="left" w:pos="284"/>
        </w:tabs>
        <w:rPr>
          <w:sz w:val="24"/>
          <w:szCs w:val="24"/>
        </w:rPr>
      </w:pPr>
    </w:p>
    <w:p w14:paraId="50FF74BD" w14:textId="77777777" w:rsidR="00585914" w:rsidRPr="00FD6F39" w:rsidRDefault="00585914" w:rsidP="00DB321A">
      <w:pPr>
        <w:tabs>
          <w:tab w:val="left" w:pos="284"/>
        </w:tabs>
        <w:rPr>
          <w:sz w:val="24"/>
          <w:szCs w:val="24"/>
        </w:rPr>
      </w:pPr>
    </w:p>
    <w:p w14:paraId="732E5A03" w14:textId="77777777" w:rsidR="00585914" w:rsidRPr="00FD6F39" w:rsidRDefault="00585914" w:rsidP="00DB321A">
      <w:pPr>
        <w:tabs>
          <w:tab w:val="left" w:pos="284"/>
        </w:tabs>
        <w:rPr>
          <w:sz w:val="24"/>
          <w:szCs w:val="24"/>
        </w:rPr>
      </w:pPr>
    </w:p>
    <w:p w14:paraId="54401FBF" w14:textId="77777777" w:rsidR="00231815" w:rsidRPr="00FD6F39" w:rsidRDefault="00231815" w:rsidP="00DB321A">
      <w:pPr>
        <w:tabs>
          <w:tab w:val="left" w:pos="284"/>
        </w:tabs>
        <w:rPr>
          <w:sz w:val="24"/>
          <w:szCs w:val="24"/>
        </w:rPr>
      </w:pPr>
    </w:p>
    <w:p w14:paraId="3B0EC990" w14:textId="77777777" w:rsidR="009C71EC" w:rsidRPr="00FD6F39" w:rsidRDefault="009C71EC" w:rsidP="00DB321A">
      <w:pPr>
        <w:tabs>
          <w:tab w:val="left" w:pos="284"/>
        </w:tabs>
        <w:rPr>
          <w:sz w:val="24"/>
          <w:szCs w:val="24"/>
        </w:rPr>
      </w:pPr>
    </w:p>
    <w:p w14:paraId="415777B9" w14:textId="77777777" w:rsidR="0025049B" w:rsidRPr="00FD6F39" w:rsidRDefault="0025049B" w:rsidP="00DB321A">
      <w:pPr>
        <w:tabs>
          <w:tab w:val="left" w:pos="284"/>
        </w:tabs>
        <w:rPr>
          <w:sz w:val="24"/>
          <w:szCs w:val="24"/>
        </w:rPr>
      </w:pPr>
    </w:p>
    <w:p w14:paraId="5398C8F3" w14:textId="77777777" w:rsidR="0025049B" w:rsidRPr="00FD6F39" w:rsidRDefault="0025049B" w:rsidP="00DB321A">
      <w:pPr>
        <w:tabs>
          <w:tab w:val="left" w:pos="284"/>
        </w:tabs>
        <w:rPr>
          <w:sz w:val="24"/>
          <w:szCs w:val="24"/>
        </w:rPr>
      </w:pPr>
    </w:p>
    <w:p w14:paraId="2761FCD4" w14:textId="77777777" w:rsidR="00AE428E" w:rsidRPr="00FD6F39" w:rsidRDefault="00AE428E" w:rsidP="00DB321A">
      <w:pPr>
        <w:tabs>
          <w:tab w:val="left" w:pos="284"/>
        </w:tabs>
        <w:rPr>
          <w:sz w:val="24"/>
          <w:szCs w:val="24"/>
        </w:rPr>
      </w:pPr>
    </w:p>
    <w:p w14:paraId="752D0FBA" w14:textId="77777777" w:rsidR="00CC154B" w:rsidRPr="00FD6F39" w:rsidRDefault="00585914" w:rsidP="00DB321A">
      <w:pPr>
        <w:pStyle w:val="Pidipagina"/>
        <w:keepLines w:val="0"/>
        <w:widowControl w:val="0"/>
        <w:pBdr>
          <w:top w:val="none" w:sz="0" w:space="0" w:color="auto"/>
        </w:pBdr>
        <w:tabs>
          <w:tab w:val="clear" w:pos="4320"/>
          <w:tab w:val="clear" w:pos="8640"/>
          <w:tab w:val="left" w:pos="284"/>
        </w:tabs>
        <w:spacing w:line="320" w:lineRule="exact"/>
        <w:rPr>
          <w:rFonts w:ascii="Garamond" w:hAnsi="Garamond"/>
          <w:b/>
          <w:spacing w:val="6"/>
          <w:sz w:val="32"/>
          <w:szCs w:val="24"/>
        </w:rPr>
      </w:pPr>
      <w:r w:rsidRPr="00FD6F39">
        <w:rPr>
          <w:rFonts w:ascii="Garamond" w:hAnsi="Garamond"/>
          <w:b/>
          <w:spacing w:val="6"/>
          <w:sz w:val="32"/>
          <w:szCs w:val="24"/>
        </w:rPr>
        <w:t>20 Novembre</w:t>
      </w:r>
      <w:r w:rsidR="0070272A" w:rsidRPr="00FD6F39">
        <w:rPr>
          <w:rFonts w:ascii="Garamond" w:hAnsi="Garamond"/>
          <w:b/>
          <w:spacing w:val="6"/>
          <w:sz w:val="32"/>
          <w:szCs w:val="24"/>
        </w:rPr>
        <w:t xml:space="preserve"> </w:t>
      </w:r>
      <w:r w:rsidR="00CC154B" w:rsidRPr="00FD6F39">
        <w:rPr>
          <w:rFonts w:ascii="Garamond" w:hAnsi="Garamond"/>
          <w:b/>
          <w:spacing w:val="6"/>
          <w:sz w:val="32"/>
          <w:szCs w:val="24"/>
        </w:rPr>
        <w:t>20</w:t>
      </w:r>
      <w:r w:rsidR="0070272A" w:rsidRPr="00FD6F39">
        <w:rPr>
          <w:rFonts w:ascii="Garamond" w:hAnsi="Garamond"/>
          <w:b/>
          <w:spacing w:val="6"/>
          <w:sz w:val="32"/>
          <w:szCs w:val="24"/>
        </w:rPr>
        <w:t>1</w:t>
      </w:r>
      <w:r w:rsidRPr="00FD6F39">
        <w:rPr>
          <w:rFonts w:ascii="Garamond" w:hAnsi="Garamond"/>
          <w:b/>
          <w:spacing w:val="6"/>
          <w:sz w:val="32"/>
          <w:szCs w:val="24"/>
        </w:rPr>
        <w:t>9</w:t>
      </w:r>
    </w:p>
    <w:p w14:paraId="5CC1540C" w14:textId="77777777" w:rsidR="00CF4091" w:rsidRPr="00FD6F39" w:rsidRDefault="00CF4091" w:rsidP="00DB321A">
      <w:pPr>
        <w:pStyle w:val="Mittente"/>
        <w:tabs>
          <w:tab w:val="left" w:pos="284"/>
        </w:tabs>
        <w:rPr>
          <w:rFonts w:ascii="Arial Narrow" w:hAnsi="Arial Narrow"/>
          <w:spacing w:val="6"/>
        </w:rPr>
      </w:pPr>
    </w:p>
    <w:p w14:paraId="7FC22566" w14:textId="77777777" w:rsidR="00CF4091" w:rsidRPr="00FD6F39" w:rsidRDefault="00CF4091" w:rsidP="00DB321A">
      <w:pPr>
        <w:pStyle w:val="Mittente"/>
        <w:tabs>
          <w:tab w:val="left" w:pos="284"/>
        </w:tabs>
        <w:rPr>
          <w:rFonts w:ascii="Arial Narrow" w:hAnsi="Arial Narrow"/>
          <w:spacing w:val="6"/>
        </w:rPr>
      </w:pPr>
    </w:p>
    <w:p w14:paraId="5621C07A" w14:textId="77777777" w:rsidR="00CF4091" w:rsidRPr="00FD6F39" w:rsidRDefault="00CF4091" w:rsidP="00DB321A">
      <w:pPr>
        <w:pStyle w:val="Mittente"/>
        <w:tabs>
          <w:tab w:val="left" w:pos="284"/>
        </w:tabs>
        <w:rPr>
          <w:rFonts w:ascii="Arial Narrow" w:hAnsi="Arial Narrow"/>
          <w:spacing w:val="6"/>
        </w:rPr>
      </w:pPr>
    </w:p>
    <w:p w14:paraId="67E1DD10" w14:textId="77777777" w:rsidR="00CF4091" w:rsidRPr="00FD6F39" w:rsidRDefault="00CF4091" w:rsidP="00DB321A">
      <w:pPr>
        <w:pStyle w:val="Mittente"/>
        <w:tabs>
          <w:tab w:val="left" w:pos="284"/>
        </w:tabs>
        <w:rPr>
          <w:rFonts w:ascii="Arial Narrow" w:hAnsi="Arial Narrow"/>
          <w:spacing w:val="6"/>
        </w:rPr>
      </w:pPr>
    </w:p>
    <w:p w14:paraId="5EEA995C" w14:textId="77777777" w:rsidR="00CF4091" w:rsidRPr="00FD6F39" w:rsidRDefault="00CF4091" w:rsidP="00DB321A">
      <w:pPr>
        <w:pStyle w:val="Mittente"/>
        <w:tabs>
          <w:tab w:val="left" w:pos="284"/>
        </w:tabs>
        <w:rPr>
          <w:rFonts w:ascii="Arial Narrow" w:hAnsi="Arial Narrow"/>
          <w:spacing w:val="6"/>
        </w:rPr>
      </w:pPr>
    </w:p>
    <w:p w14:paraId="690A437F" w14:textId="77777777" w:rsidR="00CF4091" w:rsidRPr="00FD6F39" w:rsidRDefault="00CF4091" w:rsidP="00DB321A">
      <w:pPr>
        <w:pStyle w:val="Mittente"/>
        <w:tabs>
          <w:tab w:val="left" w:pos="284"/>
        </w:tabs>
        <w:rPr>
          <w:rFonts w:ascii="Arial Narrow" w:hAnsi="Arial Narrow"/>
          <w:spacing w:val="6"/>
        </w:rPr>
      </w:pPr>
    </w:p>
    <w:p w14:paraId="49CC609D" w14:textId="77777777" w:rsidR="000A208B" w:rsidRPr="00FD6F39" w:rsidRDefault="000A208B" w:rsidP="00DB321A">
      <w:pPr>
        <w:pStyle w:val="Mittente"/>
        <w:tabs>
          <w:tab w:val="left" w:pos="284"/>
        </w:tabs>
        <w:rPr>
          <w:rFonts w:ascii="Arial Narrow" w:hAnsi="Arial Narrow"/>
          <w:spacing w:val="6"/>
        </w:rPr>
        <w:sectPr w:rsidR="000A208B" w:rsidRPr="00FD6F39" w:rsidSect="0099130E">
          <w:pgSz w:w="11907" w:h="16839"/>
          <w:pgMar w:top="1797" w:right="1701" w:bottom="1701" w:left="1701" w:header="958" w:footer="958" w:gutter="0"/>
          <w:pgNumType w:fmt="lowerRoman" w:start="1"/>
          <w:cols w:space="720"/>
          <w:titlePg/>
          <w:docGrid w:linePitch="52"/>
        </w:sectPr>
      </w:pPr>
    </w:p>
    <w:p w14:paraId="40A33C14" w14:textId="77777777" w:rsidR="00DB321A" w:rsidRPr="00FD6F39" w:rsidRDefault="00DB321A" w:rsidP="00DB321A">
      <w:pPr>
        <w:widowControl w:val="0"/>
        <w:tabs>
          <w:tab w:val="left" w:pos="284"/>
        </w:tabs>
        <w:spacing w:after="120" w:line="360" w:lineRule="auto"/>
        <w:jc w:val="both"/>
        <w:rPr>
          <w:rFonts w:ascii="Trebuchet MS" w:hAnsi="Trebuchet MS"/>
          <w:sz w:val="24"/>
          <w:szCs w:val="24"/>
        </w:rPr>
      </w:pPr>
    </w:p>
    <w:p w14:paraId="5144AB53" w14:textId="77777777" w:rsidR="001E0D45" w:rsidRPr="00FD6F39" w:rsidRDefault="001E0D45" w:rsidP="00CE67D9">
      <w:pPr>
        <w:widowControl w:val="0"/>
        <w:spacing w:after="120" w:line="360" w:lineRule="auto"/>
        <w:jc w:val="both"/>
        <w:rPr>
          <w:sz w:val="25"/>
          <w:szCs w:val="25"/>
        </w:rPr>
      </w:pPr>
      <w:r w:rsidRPr="00FD6F39">
        <w:rPr>
          <w:sz w:val="25"/>
          <w:szCs w:val="25"/>
        </w:rPr>
        <w:t>Nel commentare la proposta di riforma del MES</w:t>
      </w:r>
      <w:r w:rsidR="00123C03" w:rsidRPr="00FD6F39">
        <w:rPr>
          <w:sz w:val="25"/>
          <w:szCs w:val="25"/>
        </w:rPr>
        <w:t>,</w:t>
      </w:r>
      <w:r w:rsidRPr="00FD6F39">
        <w:rPr>
          <w:sz w:val="25"/>
          <w:szCs w:val="25"/>
        </w:rPr>
        <w:t xml:space="preserve"> è utile premettere che l’Italia, secondo il noto studio di Reinhart e Rogoff, appartie</w:t>
      </w:r>
      <w:r w:rsidR="00367B13">
        <w:rPr>
          <w:sz w:val="25"/>
          <w:szCs w:val="25"/>
        </w:rPr>
        <w:t>ne al novero dei paesi che non sono mai incorsi</w:t>
      </w:r>
      <w:r w:rsidRPr="00FD6F39">
        <w:rPr>
          <w:sz w:val="25"/>
          <w:szCs w:val="25"/>
        </w:rPr>
        <w:t xml:space="preserve"> in un default del debito </w:t>
      </w:r>
      <w:r w:rsidR="005E1F89" w:rsidRPr="00FD6F39">
        <w:rPr>
          <w:sz w:val="25"/>
          <w:szCs w:val="25"/>
        </w:rPr>
        <w:t xml:space="preserve">pubblico </w:t>
      </w:r>
      <w:r w:rsidRPr="00FD6F39">
        <w:rPr>
          <w:sz w:val="25"/>
          <w:szCs w:val="25"/>
        </w:rPr>
        <w:t xml:space="preserve">in tempi di pace. Non altrettanto può dirsi di altre economie dell’Eurozona, quali in primis la Germania, ma anche l’Austria, </w:t>
      </w:r>
      <w:r w:rsidR="0010270A" w:rsidRPr="00FD6F39">
        <w:rPr>
          <w:sz w:val="25"/>
          <w:szCs w:val="25"/>
        </w:rPr>
        <w:t>i</w:t>
      </w:r>
      <w:r w:rsidRPr="00FD6F39">
        <w:rPr>
          <w:sz w:val="25"/>
          <w:szCs w:val="25"/>
        </w:rPr>
        <w:t>l Portogallo, la Spagna e</w:t>
      </w:r>
      <w:r w:rsidR="0010270A" w:rsidRPr="00FD6F39">
        <w:rPr>
          <w:sz w:val="25"/>
          <w:szCs w:val="25"/>
        </w:rPr>
        <w:t xml:space="preserve"> </w:t>
      </w:r>
      <w:r w:rsidRPr="00FD6F39">
        <w:rPr>
          <w:sz w:val="25"/>
          <w:szCs w:val="25"/>
        </w:rPr>
        <w:t xml:space="preserve">la Grecia. Il medesimo studio permette inoltre di constatare come il default del debito di paesi economicamente avanzati sia un fenomeno estremamente raro e anzi mai verificatosi, con la </w:t>
      </w:r>
      <w:r w:rsidR="00CF4091" w:rsidRPr="00FD6F39">
        <w:rPr>
          <w:sz w:val="25"/>
          <w:szCs w:val="25"/>
        </w:rPr>
        <w:t>sola</w:t>
      </w:r>
      <w:r w:rsidRPr="00FD6F39">
        <w:rPr>
          <w:sz w:val="25"/>
          <w:szCs w:val="25"/>
        </w:rPr>
        <w:t xml:space="preserve"> eccezione della Grecia, negli ultimi 65 anni.</w:t>
      </w:r>
      <w:r w:rsidR="007108D8" w:rsidRPr="00FD6F39">
        <w:rPr>
          <w:rStyle w:val="Rimandonotaapidipagina"/>
          <w:szCs w:val="25"/>
        </w:rPr>
        <w:t xml:space="preserve"> </w:t>
      </w:r>
      <w:r w:rsidR="007108D8" w:rsidRPr="00FD6F39">
        <w:rPr>
          <w:rStyle w:val="Rimandonotaapidipagina"/>
          <w:szCs w:val="25"/>
        </w:rPr>
        <w:footnoteReference w:id="1"/>
      </w:r>
    </w:p>
    <w:p w14:paraId="526D63BF" w14:textId="77777777" w:rsidR="001E0D45" w:rsidRPr="00FD6F39" w:rsidRDefault="0025253B" w:rsidP="00CE67D9">
      <w:pPr>
        <w:widowControl w:val="0"/>
        <w:spacing w:after="120" w:line="360" w:lineRule="auto"/>
        <w:jc w:val="both"/>
        <w:rPr>
          <w:sz w:val="25"/>
          <w:szCs w:val="25"/>
        </w:rPr>
      </w:pPr>
      <w:r w:rsidRPr="00FD6F39">
        <w:rPr>
          <w:sz w:val="25"/>
          <w:szCs w:val="25"/>
        </w:rPr>
        <w:t>È</w:t>
      </w:r>
      <w:r w:rsidR="001E0D45" w:rsidRPr="00FD6F39">
        <w:rPr>
          <w:sz w:val="25"/>
          <w:szCs w:val="25"/>
        </w:rPr>
        <w:t xml:space="preserve"> importante tenere a mente questi dati di base, perché nella proposta di riforma del MES</w:t>
      </w:r>
      <w:r w:rsidR="00123C03" w:rsidRPr="00FD6F39">
        <w:rPr>
          <w:sz w:val="25"/>
          <w:szCs w:val="25"/>
        </w:rPr>
        <w:t xml:space="preserve"> </w:t>
      </w:r>
      <w:r w:rsidR="001E0D45" w:rsidRPr="00FD6F39">
        <w:rPr>
          <w:sz w:val="25"/>
          <w:szCs w:val="25"/>
        </w:rPr>
        <w:t xml:space="preserve">l’attenzione appare concentrata soprattutto sull’eventualità di un rischio sistemico generato, all’interno dell’Eurozona, dal default del debito </w:t>
      </w:r>
      <w:r w:rsidR="005E1F89" w:rsidRPr="00FD6F39">
        <w:rPr>
          <w:sz w:val="25"/>
          <w:szCs w:val="25"/>
        </w:rPr>
        <w:t xml:space="preserve">pubblico </w:t>
      </w:r>
      <w:r w:rsidR="001E0D45" w:rsidRPr="00FD6F39">
        <w:rPr>
          <w:sz w:val="25"/>
          <w:szCs w:val="25"/>
        </w:rPr>
        <w:t xml:space="preserve">di uno dei paesi membri. Da questo punto di vista, il MES costituisce un ulteriore rafforzamento delle regole che disciplinano la politica di bilancio dei paesi dell’Eurozona, muovendosi in </w:t>
      </w:r>
      <w:r w:rsidR="005E1F89" w:rsidRPr="00FD6F39">
        <w:rPr>
          <w:sz w:val="25"/>
          <w:szCs w:val="25"/>
        </w:rPr>
        <w:t xml:space="preserve">perfetta </w:t>
      </w:r>
      <w:r w:rsidR="001E0D45" w:rsidRPr="00FD6F39">
        <w:rPr>
          <w:sz w:val="25"/>
          <w:szCs w:val="25"/>
        </w:rPr>
        <w:t>linea di continuità con le modifiche apportate al Patto di stabilità nel 2012.</w:t>
      </w:r>
    </w:p>
    <w:p w14:paraId="499872FF" w14:textId="381613D0" w:rsidR="00DE1206" w:rsidRPr="00FD6F39" w:rsidRDefault="001E0D45" w:rsidP="00CE67D9">
      <w:pPr>
        <w:widowControl w:val="0"/>
        <w:spacing w:after="120" w:line="360" w:lineRule="auto"/>
        <w:jc w:val="both"/>
        <w:rPr>
          <w:sz w:val="25"/>
          <w:szCs w:val="25"/>
        </w:rPr>
      </w:pPr>
      <w:r w:rsidRPr="00FD6F39">
        <w:rPr>
          <w:sz w:val="25"/>
          <w:szCs w:val="25"/>
        </w:rPr>
        <w:t xml:space="preserve">Alla luce di simile impostazione, e prima di scendere nella valutazione dei dettagli più tecnici, </w:t>
      </w:r>
      <w:r w:rsidR="00327DAE" w:rsidRPr="00FD6F39">
        <w:rPr>
          <w:sz w:val="25"/>
          <w:szCs w:val="25"/>
        </w:rPr>
        <w:t xml:space="preserve">sui quali posso anticipare </w:t>
      </w:r>
      <w:r w:rsidR="00C37C4E" w:rsidRPr="00FD6F39">
        <w:rPr>
          <w:sz w:val="25"/>
          <w:szCs w:val="25"/>
        </w:rPr>
        <w:t xml:space="preserve">sin d’ora </w:t>
      </w:r>
      <w:r w:rsidR="00327DAE" w:rsidRPr="00FD6F39">
        <w:rPr>
          <w:sz w:val="25"/>
          <w:szCs w:val="25"/>
        </w:rPr>
        <w:t xml:space="preserve">di condividere le </w:t>
      </w:r>
      <w:r w:rsidR="00C37C4E" w:rsidRPr="00FD6F39">
        <w:rPr>
          <w:sz w:val="25"/>
          <w:szCs w:val="25"/>
        </w:rPr>
        <w:t>argomentate</w:t>
      </w:r>
      <w:r w:rsidR="00327DAE" w:rsidRPr="00FD6F39">
        <w:rPr>
          <w:sz w:val="25"/>
          <w:szCs w:val="25"/>
        </w:rPr>
        <w:t xml:space="preserve"> perplessità già espresse in questa sede dal prof. Gia</w:t>
      </w:r>
      <w:r w:rsidR="00466290">
        <w:rPr>
          <w:sz w:val="25"/>
          <w:szCs w:val="25"/>
        </w:rPr>
        <w:t>mpaolo</w:t>
      </w:r>
      <w:r w:rsidR="00327DAE" w:rsidRPr="00FD6F39">
        <w:rPr>
          <w:sz w:val="25"/>
          <w:szCs w:val="25"/>
        </w:rPr>
        <w:t xml:space="preserve"> Galli,</w:t>
      </w:r>
      <w:r w:rsidR="004639BC" w:rsidRPr="00FD6F39">
        <w:rPr>
          <w:rStyle w:val="Rimandonotaapidipagina"/>
          <w:szCs w:val="25"/>
        </w:rPr>
        <w:footnoteReference w:id="2"/>
      </w:r>
      <w:r w:rsidR="00327DAE" w:rsidRPr="00FD6F39">
        <w:rPr>
          <w:sz w:val="25"/>
          <w:szCs w:val="25"/>
        </w:rPr>
        <w:t xml:space="preserve"> </w:t>
      </w:r>
      <w:r w:rsidRPr="00FD6F39">
        <w:rPr>
          <w:sz w:val="25"/>
          <w:szCs w:val="25"/>
        </w:rPr>
        <w:t>occorre porsi due domande di fondo</w:t>
      </w:r>
      <w:r w:rsidR="00DE1206" w:rsidRPr="00FD6F39">
        <w:rPr>
          <w:sz w:val="25"/>
          <w:szCs w:val="25"/>
        </w:rPr>
        <w:t xml:space="preserve">: il MES </w:t>
      </w:r>
    </w:p>
    <w:p w14:paraId="78808DF4" w14:textId="77777777" w:rsidR="00DE1206" w:rsidRPr="00FD6F39" w:rsidRDefault="00DE1206" w:rsidP="00CE67D9">
      <w:pPr>
        <w:widowControl w:val="0"/>
        <w:spacing w:after="120" w:line="360" w:lineRule="auto"/>
        <w:jc w:val="both"/>
        <w:rPr>
          <w:sz w:val="25"/>
          <w:szCs w:val="25"/>
        </w:rPr>
      </w:pPr>
      <w:r w:rsidRPr="00FD6F39">
        <w:rPr>
          <w:sz w:val="25"/>
          <w:szCs w:val="25"/>
        </w:rPr>
        <w:t xml:space="preserve">1. è utile all’Eurozona? </w:t>
      </w:r>
    </w:p>
    <w:p w14:paraId="76D2CA5D" w14:textId="77777777" w:rsidR="00DE1206" w:rsidRPr="00FD6F39" w:rsidRDefault="00DE1206" w:rsidP="00CE67D9">
      <w:pPr>
        <w:widowControl w:val="0"/>
        <w:spacing w:after="120" w:line="360" w:lineRule="auto"/>
        <w:jc w:val="both"/>
        <w:rPr>
          <w:sz w:val="25"/>
          <w:szCs w:val="25"/>
        </w:rPr>
      </w:pPr>
      <w:r w:rsidRPr="00FD6F39">
        <w:rPr>
          <w:sz w:val="25"/>
          <w:szCs w:val="25"/>
        </w:rPr>
        <w:t xml:space="preserve">2. è utile all’Italia? </w:t>
      </w:r>
    </w:p>
    <w:p w14:paraId="0FAA5463" w14:textId="77777777" w:rsidR="00F510F2" w:rsidRPr="00FD6F39" w:rsidRDefault="00501EC9" w:rsidP="00CE67D9">
      <w:pPr>
        <w:widowControl w:val="0"/>
        <w:spacing w:after="120" w:line="360" w:lineRule="auto"/>
        <w:jc w:val="both"/>
        <w:rPr>
          <w:sz w:val="25"/>
          <w:szCs w:val="25"/>
        </w:rPr>
      </w:pPr>
      <w:r w:rsidRPr="00FD6F39">
        <w:rPr>
          <w:sz w:val="25"/>
          <w:szCs w:val="25"/>
        </w:rPr>
        <w:lastRenderedPageBreak/>
        <w:t xml:space="preserve">1. </w:t>
      </w:r>
      <w:r w:rsidR="008F1879">
        <w:rPr>
          <w:i/>
          <w:sz w:val="25"/>
          <w:szCs w:val="25"/>
        </w:rPr>
        <w:t>P</w:t>
      </w:r>
      <w:r w:rsidR="001E0D45" w:rsidRPr="00FD6F39">
        <w:rPr>
          <w:i/>
          <w:sz w:val="25"/>
          <w:szCs w:val="25"/>
        </w:rPr>
        <w:t xml:space="preserve">rima </w:t>
      </w:r>
      <w:r w:rsidR="008F1879">
        <w:rPr>
          <w:i/>
          <w:sz w:val="25"/>
          <w:szCs w:val="25"/>
        </w:rPr>
        <w:t>domanda</w:t>
      </w:r>
      <w:r w:rsidR="001E0D45" w:rsidRPr="00FD6F39">
        <w:rPr>
          <w:sz w:val="25"/>
          <w:szCs w:val="25"/>
        </w:rPr>
        <w:t xml:space="preserve">: </w:t>
      </w:r>
      <w:r w:rsidR="001E0D45" w:rsidRPr="00FD6F39">
        <w:rPr>
          <w:i/>
          <w:sz w:val="25"/>
          <w:szCs w:val="25"/>
        </w:rPr>
        <w:t xml:space="preserve">il MES, nella formulazione che viene proposta, è utile all’Eurozona? </w:t>
      </w:r>
    </w:p>
    <w:p w14:paraId="14742485" w14:textId="77777777" w:rsidR="001E0D45" w:rsidRDefault="001E0D45" w:rsidP="00CE67D9">
      <w:pPr>
        <w:widowControl w:val="0"/>
        <w:spacing w:after="120" w:line="360" w:lineRule="auto"/>
        <w:jc w:val="both"/>
        <w:rPr>
          <w:sz w:val="25"/>
          <w:szCs w:val="25"/>
        </w:rPr>
      </w:pPr>
      <w:r w:rsidRPr="00FD6F39">
        <w:rPr>
          <w:sz w:val="25"/>
          <w:szCs w:val="25"/>
        </w:rPr>
        <w:t>Per rispondere occorre innanzitutto verificare in quale misura il debito pubblico</w:t>
      </w:r>
      <w:r w:rsidR="00501EC9" w:rsidRPr="00FD6F39">
        <w:rPr>
          <w:sz w:val="25"/>
          <w:szCs w:val="25"/>
        </w:rPr>
        <w:t xml:space="preserve"> </w:t>
      </w:r>
      <w:r w:rsidRPr="00FD6F39">
        <w:rPr>
          <w:sz w:val="25"/>
          <w:szCs w:val="25"/>
        </w:rPr>
        <w:t xml:space="preserve">- ma più in generale </w:t>
      </w:r>
      <w:r w:rsidR="001B7EB5" w:rsidRPr="00FD6F39">
        <w:rPr>
          <w:sz w:val="25"/>
          <w:szCs w:val="25"/>
        </w:rPr>
        <w:t>i problemi inerenti al</w:t>
      </w:r>
      <w:r w:rsidRPr="00FD6F39">
        <w:rPr>
          <w:sz w:val="25"/>
          <w:szCs w:val="25"/>
        </w:rPr>
        <w:t>la disciplina di bilancio</w:t>
      </w:r>
      <w:r w:rsidR="00501EC9" w:rsidRPr="00FD6F39">
        <w:rPr>
          <w:sz w:val="25"/>
          <w:szCs w:val="25"/>
        </w:rPr>
        <w:t xml:space="preserve"> </w:t>
      </w:r>
      <w:r w:rsidRPr="00FD6F39">
        <w:rPr>
          <w:sz w:val="25"/>
          <w:szCs w:val="25"/>
        </w:rPr>
        <w:t>- costituisca</w:t>
      </w:r>
      <w:r w:rsidR="001B7EB5" w:rsidRPr="00FD6F39">
        <w:rPr>
          <w:sz w:val="25"/>
          <w:szCs w:val="25"/>
        </w:rPr>
        <w:t>no</w:t>
      </w:r>
      <w:r w:rsidRPr="00FD6F39">
        <w:rPr>
          <w:sz w:val="25"/>
          <w:szCs w:val="25"/>
        </w:rPr>
        <w:t xml:space="preserve"> oggi un fattore di rischio per la moneta unica. Si considerino i dati della Tabella 1, dove sono illustra</w:t>
      </w:r>
      <w:r w:rsidR="00501EC9" w:rsidRPr="00FD6F39">
        <w:rPr>
          <w:sz w:val="25"/>
          <w:szCs w:val="25"/>
        </w:rPr>
        <w:t>t</w:t>
      </w:r>
      <w:r w:rsidRPr="00FD6F39">
        <w:rPr>
          <w:sz w:val="25"/>
          <w:szCs w:val="25"/>
        </w:rPr>
        <w:t>i i risultati di alcune semplici regressioni riferite ai venti anni di funzionamento della moneta unica. Come termini di confronto si utilizzano gli Stati Uniti, che sono un riferimento naturale per l’analisi compar</w:t>
      </w:r>
      <w:r w:rsidR="00501EC9" w:rsidRPr="00FD6F39">
        <w:rPr>
          <w:sz w:val="25"/>
          <w:szCs w:val="25"/>
        </w:rPr>
        <w:t>a</w:t>
      </w:r>
      <w:r w:rsidRPr="00FD6F39">
        <w:rPr>
          <w:sz w:val="25"/>
          <w:szCs w:val="25"/>
        </w:rPr>
        <w:t>ta delle dinamiche economiche, e il Regno Unito, che a seguito della Brexit si appresta a diventare un ineludibile ter</w:t>
      </w:r>
      <w:r w:rsidR="007108D8" w:rsidRPr="00FD6F39">
        <w:rPr>
          <w:sz w:val="25"/>
          <w:szCs w:val="25"/>
        </w:rPr>
        <w:t>mine di paragone per l’Eurozona</w:t>
      </w:r>
      <w:r w:rsidR="00123C03" w:rsidRPr="00FD6F39">
        <w:rPr>
          <w:sz w:val="25"/>
          <w:szCs w:val="25"/>
        </w:rPr>
        <w:t>.</w:t>
      </w:r>
    </w:p>
    <w:p w14:paraId="46A9D1E4" w14:textId="77777777" w:rsidR="005A6782" w:rsidRDefault="005A6782" w:rsidP="005A6782">
      <w:pPr>
        <w:widowControl w:val="0"/>
        <w:spacing w:line="120" w:lineRule="atLeast"/>
        <w:jc w:val="both"/>
        <w:rPr>
          <w:sz w:val="25"/>
          <w:szCs w:val="25"/>
        </w:rPr>
      </w:pPr>
    </w:p>
    <w:p w14:paraId="7BE5EDEB" w14:textId="444473A0" w:rsidR="005A6782" w:rsidRPr="000433D3" w:rsidRDefault="000433D3" w:rsidP="00CE67D9">
      <w:pPr>
        <w:widowControl w:val="0"/>
        <w:spacing w:after="120" w:line="360" w:lineRule="auto"/>
        <w:jc w:val="both"/>
        <w:rPr>
          <w:sz w:val="25"/>
          <w:szCs w:val="25"/>
        </w:rPr>
      </w:pPr>
      <w:r w:rsidRPr="000433D3">
        <w:rPr>
          <w:noProof/>
          <w:lang w:eastAsia="it-IT"/>
        </w:rPr>
        <w:drawing>
          <wp:inline distT="0" distB="0" distL="0" distR="0" wp14:anchorId="5CD1270F" wp14:editId="5E36CEF1">
            <wp:extent cx="4852224" cy="38160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224" cy="3816000"/>
                    </a:xfrm>
                    <a:prstGeom prst="rect">
                      <a:avLst/>
                    </a:prstGeom>
                    <a:noFill/>
                    <a:ln>
                      <a:noFill/>
                    </a:ln>
                  </pic:spPr>
                </pic:pic>
              </a:graphicData>
            </a:graphic>
          </wp:inline>
        </w:drawing>
      </w:r>
    </w:p>
    <w:p w14:paraId="3EE54542" w14:textId="77777777" w:rsidR="005A6782" w:rsidRDefault="005A6782" w:rsidP="005A6782">
      <w:pPr>
        <w:widowControl w:val="0"/>
        <w:spacing w:line="240" w:lineRule="atLeast"/>
        <w:jc w:val="both"/>
        <w:rPr>
          <w:sz w:val="25"/>
          <w:szCs w:val="25"/>
        </w:rPr>
      </w:pPr>
    </w:p>
    <w:p w14:paraId="7C9EDC99" w14:textId="77777777" w:rsidR="00677AF5" w:rsidRPr="00FD6F39" w:rsidRDefault="00123C03" w:rsidP="00CE67D9">
      <w:pPr>
        <w:widowControl w:val="0"/>
        <w:spacing w:after="120" w:line="360" w:lineRule="auto"/>
        <w:jc w:val="both"/>
        <w:rPr>
          <w:sz w:val="25"/>
          <w:szCs w:val="25"/>
        </w:rPr>
      </w:pPr>
      <w:r w:rsidRPr="00FD6F39">
        <w:rPr>
          <w:sz w:val="25"/>
          <w:szCs w:val="25"/>
        </w:rPr>
        <w:t>Venendo al commento dei risultati, p</w:t>
      </w:r>
      <w:r w:rsidR="001E0D45" w:rsidRPr="00FD6F39">
        <w:rPr>
          <w:sz w:val="25"/>
          <w:szCs w:val="25"/>
        </w:rPr>
        <w:t xml:space="preserve">er quanto riguarda il deficit pubblico, la proiezione lineare indica come nell’Eurozona sia stato registrato un coefficiente di </w:t>
      </w:r>
      <w:r w:rsidR="00D11607" w:rsidRPr="00FD6F39">
        <w:rPr>
          <w:sz w:val="25"/>
          <w:szCs w:val="25"/>
        </w:rPr>
        <w:lastRenderedPageBreak/>
        <w:t>trend negativo per 0.</w:t>
      </w:r>
      <w:r w:rsidR="001E0D45" w:rsidRPr="00FD6F39">
        <w:rPr>
          <w:sz w:val="25"/>
          <w:szCs w:val="25"/>
        </w:rPr>
        <w:t xml:space="preserve">044 punti, che in venti anni ha portato a ridurre il livello di </w:t>
      </w:r>
      <w:r w:rsidR="007108D8" w:rsidRPr="00FD6F39">
        <w:rPr>
          <w:sz w:val="25"/>
          <w:szCs w:val="25"/>
        </w:rPr>
        <w:t>deficit pubblico</w:t>
      </w:r>
      <w:r w:rsidR="001E0D45" w:rsidRPr="00FD6F39">
        <w:rPr>
          <w:sz w:val="25"/>
          <w:szCs w:val="25"/>
        </w:rPr>
        <w:t xml:space="preserve"> sul Pil dello 0,7%. Sia gli Stati Uniti, sia il Regno Unito hanno registrato andamenti di segno opposto, con coefficienti </w:t>
      </w:r>
      <w:r w:rsidR="00D11607" w:rsidRPr="00FD6F39">
        <w:rPr>
          <w:sz w:val="25"/>
          <w:szCs w:val="25"/>
        </w:rPr>
        <w:t xml:space="preserve">di trend positivi </w:t>
      </w:r>
      <w:r w:rsidR="001E0D45" w:rsidRPr="00FD6F39">
        <w:rPr>
          <w:sz w:val="25"/>
          <w:szCs w:val="25"/>
        </w:rPr>
        <w:t>nell’ordine dei due decimi di punto e un incremento del disavanzo superiore nell’un caso al 6% e nell’ordine del 3% nell’altro caso. Pochi dubbi si possono avere quindi sul fatto che l’Eurozona si sia attenuta, nel suo insieme, ai precetti della disciplina di bilancio.</w:t>
      </w:r>
    </w:p>
    <w:p w14:paraId="12C05802" w14:textId="77777777" w:rsidR="001E0D45" w:rsidRPr="00FD6F39" w:rsidRDefault="001E0D45" w:rsidP="00CE67D9">
      <w:pPr>
        <w:widowControl w:val="0"/>
        <w:spacing w:after="120" w:line="360" w:lineRule="auto"/>
        <w:jc w:val="both"/>
        <w:rPr>
          <w:sz w:val="25"/>
          <w:szCs w:val="25"/>
        </w:rPr>
      </w:pPr>
      <w:r w:rsidRPr="00FD6F39">
        <w:rPr>
          <w:sz w:val="25"/>
          <w:szCs w:val="25"/>
        </w:rPr>
        <w:t xml:space="preserve">Questo si è riflesso sulle dinamiche del debito, più favorevoli nell’Eurozona che negli altri due paesi. I risultati della regressione mostrano infatti come il debito abbia seguito nell’area a moneta unica una traiettoria di crescita con un coefficiente </w:t>
      </w:r>
      <w:r w:rsidR="00D11607" w:rsidRPr="00FD6F39">
        <w:rPr>
          <w:sz w:val="25"/>
          <w:szCs w:val="25"/>
        </w:rPr>
        <w:t xml:space="preserve">di trend </w:t>
      </w:r>
      <w:r w:rsidRPr="00FD6F39">
        <w:rPr>
          <w:sz w:val="25"/>
          <w:szCs w:val="25"/>
        </w:rPr>
        <w:t xml:space="preserve">pari a 1.5 punti, meno della metà di quanto osservato negli Stati Uniti e nel Regno Unito. Di fatto, negli ultimi venti anni il debito pubblico è aumentato nell’Eurozona di circa 16 punti in quota di Pil, a fronte dei quasi 52 e 46 punti di Stati Uniti e Regno Unito. Anche da questo punto vista l’area della moneta unica si conferma caratterizzata da un rigore delle politiche di bilancio maggiore che nei paesi anglosassoni. </w:t>
      </w:r>
    </w:p>
    <w:p w14:paraId="77FCF2CE" w14:textId="77777777" w:rsidR="001E0D45" w:rsidRPr="00FD6F39" w:rsidRDefault="001E0D45" w:rsidP="00CE67D9">
      <w:pPr>
        <w:widowControl w:val="0"/>
        <w:spacing w:after="120" w:line="360" w:lineRule="auto"/>
        <w:jc w:val="both"/>
        <w:rPr>
          <w:sz w:val="25"/>
          <w:szCs w:val="25"/>
        </w:rPr>
      </w:pPr>
      <w:r w:rsidRPr="00FD6F39">
        <w:rPr>
          <w:sz w:val="25"/>
          <w:szCs w:val="25"/>
        </w:rPr>
        <w:t xml:space="preserve">Ciò nonostante, il debito è aumentato anche nell’Eurozona e questo fatto sta spingendo verso l’adozione di meccanismi di controllo ancora più stringenti, </w:t>
      </w:r>
      <w:r w:rsidR="00501EC9" w:rsidRPr="00FD6F39">
        <w:rPr>
          <w:sz w:val="25"/>
          <w:szCs w:val="25"/>
        </w:rPr>
        <w:t>obiettivo a cui mira appunto</w:t>
      </w:r>
      <w:r w:rsidRPr="00FD6F39">
        <w:rPr>
          <w:sz w:val="25"/>
          <w:szCs w:val="25"/>
        </w:rPr>
        <w:t xml:space="preserve"> la riforma del MES. In sostanza, si ritiene che, non essendo stato conseguito l’obiettivo di riduzione del debito, debba </w:t>
      </w:r>
      <w:r w:rsidR="00123C03" w:rsidRPr="00FD6F39">
        <w:rPr>
          <w:sz w:val="25"/>
          <w:szCs w:val="25"/>
        </w:rPr>
        <w:t xml:space="preserve">essere </w:t>
      </w:r>
      <w:r w:rsidRPr="00FD6F39">
        <w:rPr>
          <w:sz w:val="25"/>
          <w:szCs w:val="25"/>
        </w:rPr>
        <w:t>rafforza</w:t>
      </w:r>
      <w:r w:rsidR="00123C03" w:rsidRPr="00FD6F39">
        <w:rPr>
          <w:sz w:val="25"/>
          <w:szCs w:val="25"/>
        </w:rPr>
        <w:t>ta</w:t>
      </w:r>
      <w:r w:rsidRPr="00FD6F39">
        <w:rPr>
          <w:sz w:val="25"/>
          <w:szCs w:val="25"/>
        </w:rPr>
        <w:t xml:space="preserve"> la disciplina dei paesi membri. Si compie qui, tuttavia, un errore di analisi che non dovrebbe essere avallato. </w:t>
      </w:r>
      <w:r w:rsidR="0025253B" w:rsidRPr="00FD6F39">
        <w:rPr>
          <w:sz w:val="25"/>
          <w:szCs w:val="25"/>
        </w:rPr>
        <w:t xml:space="preserve">È </w:t>
      </w:r>
      <w:r w:rsidRPr="00FD6F39">
        <w:rPr>
          <w:sz w:val="25"/>
          <w:szCs w:val="25"/>
        </w:rPr>
        <w:t xml:space="preserve">noto che la dinamica del debito dipende da due fattori: dalla capacità di conservare saggi di incremento del Pil nominale superiori a quelli dell’indebitamento </w:t>
      </w:r>
      <w:r w:rsidR="007108D8" w:rsidRPr="00FD6F39">
        <w:rPr>
          <w:sz w:val="25"/>
          <w:szCs w:val="25"/>
        </w:rPr>
        <w:t xml:space="preserve">primario </w:t>
      </w:r>
      <w:r w:rsidRPr="00FD6F39">
        <w:rPr>
          <w:sz w:val="25"/>
          <w:szCs w:val="25"/>
        </w:rPr>
        <w:t xml:space="preserve">e dal livello dei tassi di interesse. Il ruolo assunto da questi elementi nel guidare l’andamento del debito europeo è anch’esso riportato nella tabella 1, sempre seguendo </w:t>
      </w:r>
      <w:r w:rsidR="00123C03" w:rsidRPr="00FD6F39">
        <w:rPr>
          <w:sz w:val="25"/>
          <w:szCs w:val="25"/>
        </w:rPr>
        <w:t>l</w:t>
      </w:r>
      <w:r w:rsidRPr="00FD6F39">
        <w:rPr>
          <w:sz w:val="25"/>
          <w:szCs w:val="25"/>
        </w:rPr>
        <w:t xml:space="preserve">a tecnica della regressione lineare. </w:t>
      </w:r>
      <w:r w:rsidR="0025253B" w:rsidRPr="00FD6F39">
        <w:rPr>
          <w:sz w:val="25"/>
          <w:szCs w:val="25"/>
        </w:rPr>
        <w:t xml:space="preserve">È </w:t>
      </w:r>
      <w:r w:rsidRPr="00FD6F39">
        <w:rPr>
          <w:sz w:val="25"/>
          <w:szCs w:val="25"/>
        </w:rPr>
        <w:t>immediato osservare come:</w:t>
      </w:r>
    </w:p>
    <w:p w14:paraId="3DFBBDE0" w14:textId="77777777" w:rsidR="001E0D45" w:rsidRPr="00FD6F39" w:rsidRDefault="001E0D45" w:rsidP="00CE67D9">
      <w:pPr>
        <w:pStyle w:val="Paragrafoelenco"/>
        <w:widowControl w:val="0"/>
        <w:numPr>
          <w:ilvl w:val="0"/>
          <w:numId w:val="43"/>
        </w:numPr>
        <w:spacing w:after="120" w:line="360" w:lineRule="auto"/>
        <w:jc w:val="both"/>
        <w:rPr>
          <w:rFonts w:ascii="Garamond" w:hAnsi="Garamond"/>
          <w:sz w:val="25"/>
          <w:szCs w:val="25"/>
        </w:rPr>
      </w:pPr>
      <w:r w:rsidRPr="00F045FC">
        <w:rPr>
          <w:rFonts w:ascii="Garamond" w:hAnsi="Garamond"/>
          <w:i/>
          <w:sz w:val="25"/>
          <w:szCs w:val="25"/>
        </w:rPr>
        <w:t xml:space="preserve">dal lato dei tassi di interesse la dinamica europea sia stata del tutto simile a quella di </w:t>
      </w:r>
      <w:r w:rsidRPr="00F045FC">
        <w:rPr>
          <w:rFonts w:ascii="Garamond" w:hAnsi="Garamond"/>
          <w:i/>
          <w:sz w:val="25"/>
          <w:szCs w:val="25"/>
        </w:rPr>
        <w:lastRenderedPageBreak/>
        <w:t>Stati Uniti e Regno Unito</w:t>
      </w:r>
      <w:r w:rsidRPr="00FD6F39">
        <w:rPr>
          <w:rFonts w:ascii="Garamond" w:hAnsi="Garamond"/>
          <w:sz w:val="25"/>
          <w:szCs w:val="25"/>
        </w:rPr>
        <w:t xml:space="preserve">, </w:t>
      </w:r>
      <w:r w:rsidR="00123C03" w:rsidRPr="00FD6F39">
        <w:rPr>
          <w:rFonts w:ascii="Garamond" w:hAnsi="Garamond"/>
          <w:sz w:val="25"/>
          <w:szCs w:val="25"/>
        </w:rPr>
        <w:t xml:space="preserve">con la riduzione dei rendimenti che ha favorito </w:t>
      </w:r>
      <w:r w:rsidRPr="00FD6F39">
        <w:rPr>
          <w:rFonts w:ascii="Garamond" w:hAnsi="Garamond"/>
          <w:sz w:val="25"/>
          <w:szCs w:val="25"/>
        </w:rPr>
        <w:t xml:space="preserve">una discesa del debito, con coefficienti </w:t>
      </w:r>
      <w:r w:rsidR="00D11607" w:rsidRPr="00FD6F39">
        <w:rPr>
          <w:rFonts w:ascii="Garamond" w:hAnsi="Garamond"/>
          <w:sz w:val="25"/>
          <w:szCs w:val="25"/>
        </w:rPr>
        <w:t xml:space="preserve">di trend </w:t>
      </w:r>
      <w:r w:rsidRPr="00FD6F39">
        <w:rPr>
          <w:rFonts w:ascii="Garamond" w:hAnsi="Garamond"/>
          <w:sz w:val="25"/>
          <w:szCs w:val="25"/>
        </w:rPr>
        <w:t xml:space="preserve">compresi fra </w:t>
      </w:r>
      <w:r w:rsidR="00D11607" w:rsidRPr="00FD6F39">
        <w:rPr>
          <w:rFonts w:ascii="Garamond" w:hAnsi="Garamond"/>
          <w:sz w:val="25"/>
          <w:szCs w:val="25"/>
        </w:rPr>
        <w:t>-</w:t>
      </w:r>
      <w:r w:rsidRPr="00FD6F39">
        <w:rPr>
          <w:rFonts w:ascii="Garamond" w:hAnsi="Garamond"/>
          <w:sz w:val="25"/>
          <w:szCs w:val="25"/>
        </w:rPr>
        <w:t xml:space="preserve">0.06 e </w:t>
      </w:r>
      <w:r w:rsidR="00D11607" w:rsidRPr="00FD6F39">
        <w:rPr>
          <w:rFonts w:ascii="Garamond" w:hAnsi="Garamond"/>
          <w:sz w:val="25"/>
          <w:szCs w:val="25"/>
        </w:rPr>
        <w:t>-</w:t>
      </w:r>
      <w:r w:rsidRPr="00FD6F39">
        <w:rPr>
          <w:rFonts w:ascii="Garamond" w:hAnsi="Garamond"/>
          <w:sz w:val="25"/>
          <w:szCs w:val="25"/>
        </w:rPr>
        <w:t xml:space="preserve">0.1 e un contributo </w:t>
      </w:r>
      <w:r w:rsidR="007108D8" w:rsidRPr="00FD6F39">
        <w:rPr>
          <w:rFonts w:ascii="Garamond" w:hAnsi="Garamond"/>
          <w:sz w:val="25"/>
          <w:szCs w:val="25"/>
        </w:rPr>
        <w:t xml:space="preserve">alla riduzione del debito </w:t>
      </w:r>
      <w:r w:rsidRPr="00FD6F39">
        <w:rPr>
          <w:rFonts w:ascii="Garamond" w:hAnsi="Garamond"/>
          <w:sz w:val="25"/>
          <w:szCs w:val="25"/>
        </w:rPr>
        <w:t>salito nei venti anni d</w:t>
      </w:r>
      <w:r w:rsidR="00123C03" w:rsidRPr="00FD6F39">
        <w:rPr>
          <w:rFonts w:ascii="Garamond" w:hAnsi="Garamond"/>
          <w:sz w:val="25"/>
          <w:szCs w:val="25"/>
        </w:rPr>
        <w:t>i quasi l’</w:t>
      </w:r>
      <w:r w:rsidRPr="00FD6F39">
        <w:rPr>
          <w:rFonts w:ascii="Garamond" w:hAnsi="Garamond"/>
          <w:sz w:val="25"/>
          <w:szCs w:val="25"/>
        </w:rPr>
        <w:t>1,</w:t>
      </w:r>
      <w:r w:rsidR="00123C03" w:rsidRPr="00FD6F39">
        <w:rPr>
          <w:rFonts w:ascii="Garamond" w:hAnsi="Garamond"/>
          <w:sz w:val="25"/>
          <w:szCs w:val="25"/>
        </w:rPr>
        <w:t>5</w:t>
      </w:r>
      <w:r w:rsidRPr="00FD6F39">
        <w:rPr>
          <w:rFonts w:ascii="Garamond" w:hAnsi="Garamond"/>
          <w:sz w:val="25"/>
          <w:szCs w:val="25"/>
        </w:rPr>
        <w:t>% in quota di Pil;</w:t>
      </w:r>
    </w:p>
    <w:p w14:paraId="7DB009B8" w14:textId="77777777" w:rsidR="001E0D45" w:rsidRPr="00FD6F39" w:rsidRDefault="001E0D45" w:rsidP="00CE67D9">
      <w:pPr>
        <w:pStyle w:val="Paragrafoelenco"/>
        <w:widowControl w:val="0"/>
        <w:numPr>
          <w:ilvl w:val="0"/>
          <w:numId w:val="43"/>
        </w:numPr>
        <w:spacing w:after="120" w:line="360" w:lineRule="auto"/>
        <w:jc w:val="both"/>
        <w:rPr>
          <w:rFonts w:ascii="Garamond" w:hAnsi="Garamond"/>
          <w:sz w:val="25"/>
          <w:szCs w:val="25"/>
        </w:rPr>
      </w:pPr>
      <w:r w:rsidRPr="00F045FC">
        <w:rPr>
          <w:rFonts w:ascii="Garamond" w:hAnsi="Garamond"/>
          <w:i/>
          <w:sz w:val="25"/>
          <w:szCs w:val="25"/>
        </w:rPr>
        <w:t>dal lato della crescita del Pil, si sia invece determinata una dinamica opposta rispetto agli Stati Uniti e al Regno Unito</w:t>
      </w:r>
      <w:r w:rsidRPr="00FD6F39">
        <w:rPr>
          <w:rFonts w:ascii="Garamond" w:hAnsi="Garamond"/>
          <w:sz w:val="25"/>
          <w:szCs w:val="25"/>
        </w:rPr>
        <w:t>. In questi due paesi, infatti, il contributo del Pil alla riduzione del debito è aumentato con un coefficiente</w:t>
      </w:r>
      <w:r w:rsidR="00D11607" w:rsidRPr="00FD6F39">
        <w:rPr>
          <w:rFonts w:ascii="Garamond" w:hAnsi="Garamond"/>
          <w:sz w:val="25"/>
          <w:szCs w:val="25"/>
        </w:rPr>
        <w:t xml:space="preserve"> di trend </w:t>
      </w:r>
      <w:r w:rsidRPr="00FD6F39">
        <w:rPr>
          <w:rFonts w:ascii="Garamond" w:hAnsi="Garamond"/>
          <w:sz w:val="25"/>
          <w:szCs w:val="25"/>
        </w:rPr>
        <w:t xml:space="preserve">di 0.09 e </w:t>
      </w:r>
      <w:r w:rsidR="00D11607" w:rsidRPr="00FD6F39">
        <w:rPr>
          <w:rFonts w:ascii="Garamond" w:hAnsi="Garamond"/>
          <w:sz w:val="25"/>
          <w:szCs w:val="25"/>
        </w:rPr>
        <w:t xml:space="preserve">un valore </w:t>
      </w:r>
      <w:r w:rsidRPr="00FD6F39">
        <w:rPr>
          <w:rFonts w:ascii="Garamond" w:hAnsi="Garamond"/>
          <w:sz w:val="25"/>
          <w:szCs w:val="25"/>
        </w:rPr>
        <w:t xml:space="preserve">dello 0,5% e dell’1%, rispettivamente, in quota di Pil; nell’Eurozona, al contrario, si è registrata un’inversione del contributo del Pil, che nel periodo ha determinato un </w:t>
      </w:r>
      <w:r w:rsidRPr="00FD6F39">
        <w:rPr>
          <w:rFonts w:ascii="Garamond" w:hAnsi="Garamond"/>
          <w:i/>
          <w:sz w:val="25"/>
          <w:szCs w:val="25"/>
        </w:rPr>
        <w:t>aumento</w:t>
      </w:r>
      <w:r w:rsidR="00501EC9" w:rsidRPr="00FD6F39">
        <w:rPr>
          <w:rFonts w:ascii="Garamond" w:hAnsi="Garamond"/>
          <w:i/>
          <w:sz w:val="25"/>
          <w:szCs w:val="25"/>
        </w:rPr>
        <w:t xml:space="preserve"> </w:t>
      </w:r>
      <w:r w:rsidRPr="00FD6F39">
        <w:rPr>
          <w:rFonts w:ascii="Garamond" w:hAnsi="Garamond"/>
          <w:sz w:val="25"/>
          <w:szCs w:val="25"/>
        </w:rPr>
        <w:t xml:space="preserve">- non una riduzione- del debito, con un coefficiente </w:t>
      </w:r>
      <w:r w:rsidR="00D11607" w:rsidRPr="00FD6F39">
        <w:rPr>
          <w:rFonts w:ascii="Garamond" w:hAnsi="Garamond"/>
          <w:sz w:val="25"/>
          <w:szCs w:val="25"/>
        </w:rPr>
        <w:t xml:space="preserve">di trend </w:t>
      </w:r>
      <w:r w:rsidRPr="00FD6F39">
        <w:rPr>
          <w:rFonts w:ascii="Garamond" w:hAnsi="Garamond"/>
          <w:sz w:val="25"/>
          <w:szCs w:val="25"/>
        </w:rPr>
        <w:t xml:space="preserve">di 0.03 e un valore in quota di Pil pari allo 0.9%. </w:t>
      </w:r>
    </w:p>
    <w:p w14:paraId="6571E5C2" w14:textId="77777777" w:rsidR="001E0D45" w:rsidRPr="00FD6F39" w:rsidRDefault="001E0D45" w:rsidP="00CE67D9">
      <w:pPr>
        <w:widowControl w:val="0"/>
        <w:spacing w:after="120" w:line="360" w:lineRule="auto"/>
        <w:jc w:val="both"/>
        <w:rPr>
          <w:sz w:val="25"/>
          <w:szCs w:val="25"/>
        </w:rPr>
      </w:pPr>
      <w:r w:rsidRPr="00FD6F39">
        <w:rPr>
          <w:i/>
          <w:sz w:val="25"/>
          <w:szCs w:val="25"/>
        </w:rPr>
        <w:t xml:space="preserve">Si noti che l’effetto inverso riscontrato per il Pil si </w:t>
      </w:r>
      <w:r w:rsidR="00123C03" w:rsidRPr="00FD6F39">
        <w:rPr>
          <w:i/>
          <w:sz w:val="25"/>
          <w:szCs w:val="25"/>
        </w:rPr>
        <w:t>è</w:t>
      </w:r>
      <w:r w:rsidRPr="00FD6F39">
        <w:rPr>
          <w:i/>
          <w:sz w:val="25"/>
          <w:szCs w:val="25"/>
        </w:rPr>
        <w:t xml:space="preserve"> determinato nonostante, come si è visto, l’Eurozona abbia ridotto, al contrario di quanto abbiano fatto Stati Uniti e Regno Unito, il livello del deficit pubblico</w:t>
      </w:r>
      <w:r w:rsidRPr="00FD6F39">
        <w:rPr>
          <w:sz w:val="25"/>
          <w:szCs w:val="25"/>
        </w:rPr>
        <w:t xml:space="preserve">. L’elaborazione ci dice quindi che </w:t>
      </w:r>
      <w:r w:rsidRPr="00FD6F39">
        <w:rPr>
          <w:i/>
          <w:sz w:val="25"/>
          <w:szCs w:val="25"/>
        </w:rPr>
        <w:t>il rallentamento del Pil nominale è stato, in proporzione, più accentuato di quanto non sia stat</w:t>
      </w:r>
      <w:r w:rsidR="00D11607" w:rsidRPr="00FD6F39">
        <w:rPr>
          <w:i/>
          <w:sz w:val="25"/>
          <w:szCs w:val="25"/>
        </w:rPr>
        <w:t>o</w:t>
      </w:r>
      <w:r w:rsidRPr="00FD6F39">
        <w:rPr>
          <w:i/>
          <w:sz w:val="25"/>
          <w:szCs w:val="25"/>
        </w:rPr>
        <w:t xml:space="preserve"> il miglioramento del saldo di bilancio, traducendosi in un effetto di segno negativo</w:t>
      </w:r>
      <w:r w:rsidRPr="00FD6F39">
        <w:rPr>
          <w:sz w:val="25"/>
          <w:szCs w:val="25"/>
        </w:rPr>
        <w:t xml:space="preserve">. Questo è appunto un derivato dell’inefficienza del modello di politica europeo, che evidentemente si presta ad essere superato non chiedendo una disciplina di bilancio ancora maggiore, bensì recuperando saggi di crescita più robusti. La proposta di riforma del MES si concentra invece sul solo primo aspetto e va dunque in direzione di accentuare, </w:t>
      </w:r>
      <w:r w:rsidR="00501EC9" w:rsidRPr="00FD6F39">
        <w:rPr>
          <w:sz w:val="25"/>
          <w:szCs w:val="25"/>
        </w:rPr>
        <w:t>anziché</w:t>
      </w:r>
      <w:r w:rsidRPr="00FD6F39">
        <w:rPr>
          <w:sz w:val="25"/>
          <w:szCs w:val="25"/>
        </w:rPr>
        <w:t xml:space="preserve"> ridurre, tale inefficienza. </w:t>
      </w:r>
    </w:p>
    <w:p w14:paraId="5D881E83" w14:textId="77777777" w:rsidR="00150E64" w:rsidRPr="00FD6F39" w:rsidRDefault="00123C03" w:rsidP="00CE67D9">
      <w:pPr>
        <w:widowControl w:val="0"/>
        <w:spacing w:after="120" w:line="360" w:lineRule="auto"/>
        <w:jc w:val="both"/>
        <w:rPr>
          <w:sz w:val="25"/>
          <w:szCs w:val="25"/>
        </w:rPr>
      </w:pPr>
      <w:r w:rsidRPr="00FD6F39">
        <w:rPr>
          <w:sz w:val="25"/>
          <w:szCs w:val="25"/>
        </w:rPr>
        <w:t>L’ultima colonna della tabella 1 richiama</w:t>
      </w:r>
      <w:r w:rsidR="00B24B63" w:rsidRPr="00FD6F39">
        <w:rPr>
          <w:sz w:val="25"/>
          <w:szCs w:val="25"/>
        </w:rPr>
        <w:t>, a tal proposito, le evoluzioni registrate dai saldi delle partite correnti, il cui accumulo sappiamo essere diventat</w:t>
      </w:r>
      <w:r w:rsidR="00D11607" w:rsidRPr="00FD6F39">
        <w:rPr>
          <w:sz w:val="25"/>
          <w:szCs w:val="25"/>
        </w:rPr>
        <w:t>o</w:t>
      </w:r>
      <w:r w:rsidR="00B24B63" w:rsidRPr="00FD6F39">
        <w:rPr>
          <w:sz w:val="25"/>
          <w:szCs w:val="25"/>
        </w:rPr>
        <w:t xml:space="preserve"> elemento fondante del modello europeo. L’estrapolazione dei trend ventennali mostra le dinamiche opposte osservate nell’area della moneta unica, dove il coefficiente di trend è positivo e pari a 0.2, e nel Regno Unito, dove si ha un valore negativo pari </w:t>
      </w:r>
      <w:r w:rsidR="00B24B63" w:rsidRPr="00FD6F39">
        <w:rPr>
          <w:sz w:val="25"/>
          <w:szCs w:val="25"/>
        </w:rPr>
        <w:lastRenderedPageBreak/>
        <w:t xml:space="preserve">a 0.14. Il coefficiente di trend risulta positivo anche negli Stati Uniti (0.12), con un valore comunque pari a circa la metà di quello dell’Eurozona e, soprattutto, determinatosi in un contesto di permanente disavanzo e non di accumuli di surplus. Tanto che nei venti anni gli Stati Uniti hanno sostanzialmente conservato invariato il deficit di parte corrente, che è invece peggiorato di quasi 2 punti </w:t>
      </w:r>
      <w:r w:rsidR="00150E64" w:rsidRPr="00FD6F39">
        <w:rPr>
          <w:sz w:val="25"/>
          <w:szCs w:val="25"/>
        </w:rPr>
        <w:t xml:space="preserve">in quota di Pil </w:t>
      </w:r>
      <w:r w:rsidR="00B24B63" w:rsidRPr="00FD6F39">
        <w:rPr>
          <w:sz w:val="25"/>
          <w:szCs w:val="25"/>
        </w:rPr>
        <w:t>nel Regno Unito</w:t>
      </w:r>
      <w:r w:rsidR="00150E64" w:rsidRPr="00FD6F39">
        <w:rPr>
          <w:sz w:val="25"/>
          <w:szCs w:val="25"/>
        </w:rPr>
        <w:t>, mentre nell’Eurozona si è avuto un aumento di 3 punti del surplus.</w:t>
      </w:r>
    </w:p>
    <w:p w14:paraId="4A077C07" w14:textId="77777777" w:rsidR="006E73D5" w:rsidRPr="00FD6F39" w:rsidRDefault="007108D8" w:rsidP="00CE67D9">
      <w:pPr>
        <w:widowControl w:val="0"/>
        <w:spacing w:after="120" w:line="360" w:lineRule="auto"/>
        <w:jc w:val="both"/>
        <w:rPr>
          <w:sz w:val="25"/>
          <w:szCs w:val="25"/>
        </w:rPr>
      </w:pPr>
      <w:r w:rsidRPr="00FD6F39">
        <w:rPr>
          <w:sz w:val="25"/>
          <w:szCs w:val="25"/>
        </w:rPr>
        <w:t xml:space="preserve">In questi anni è quindi aumentata in Eurozona la dipendenza dalla crescita della domanda estera. A tale dipendenza </w:t>
      </w:r>
      <w:r w:rsidR="00150E64" w:rsidRPr="00FD6F39">
        <w:rPr>
          <w:sz w:val="25"/>
          <w:szCs w:val="25"/>
        </w:rPr>
        <w:t xml:space="preserve">si fa </w:t>
      </w:r>
      <w:r w:rsidRPr="00FD6F39">
        <w:rPr>
          <w:sz w:val="25"/>
          <w:szCs w:val="25"/>
        </w:rPr>
        <w:t>indirettamente</w:t>
      </w:r>
      <w:r w:rsidR="00150E64" w:rsidRPr="00FD6F39">
        <w:rPr>
          <w:sz w:val="25"/>
          <w:szCs w:val="25"/>
        </w:rPr>
        <w:t xml:space="preserve"> riferimento nella proposta di riforma del MES, laddove si richiama anche l’assenza di squilibri macroeconomici come pre-condizione per l’accesso alla </w:t>
      </w:r>
      <w:r w:rsidR="00C37C4E" w:rsidRPr="00FD6F39">
        <w:rPr>
          <w:sz w:val="25"/>
          <w:szCs w:val="25"/>
        </w:rPr>
        <w:t xml:space="preserve">linea </w:t>
      </w:r>
      <w:r w:rsidR="00150E64" w:rsidRPr="00FD6F39">
        <w:rPr>
          <w:sz w:val="25"/>
          <w:szCs w:val="25"/>
        </w:rPr>
        <w:t xml:space="preserve">di </w:t>
      </w:r>
      <w:r w:rsidR="00C37C4E" w:rsidRPr="00FD6F39">
        <w:rPr>
          <w:sz w:val="25"/>
          <w:szCs w:val="25"/>
        </w:rPr>
        <w:t>c</w:t>
      </w:r>
      <w:r w:rsidR="00150E64" w:rsidRPr="00FD6F39">
        <w:rPr>
          <w:sz w:val="25"/>
          <w:szCs w:val="25"/>
        </w:rPr>
        <w:t xml:space="preserve">redito </w:t>
      </w:r>
      <w:r w:rsidR="00C37C4E" w:rsidRPr="00FD6F39">
        <w:rPr>
          <w:sz w:val="25"/>
          <w:szCs w:val="25"/>
        </w:rPr>
        <w:t>c</w:t>
      </w:r>
      <w:r w:rsidR="00150E64" w:rsidRPr="00FD6F39">
        <w:rPr>
          <w:sz w:val="25"/>
          <w:szCs w:val="25"/>
        </w:rPr>
        <w:t xml:space="preserve">ondizionale </w:t>
      </w:r>
      <w:r w:rsidR="00C37C4E" w:rsidRPr="00FD6F39">
        <w:rPr>
          <w:sz w:val="25"/>
          <w:szCs w:val="25"/>
        </w:rPr>
        <w:t>p</w:t>
      </w:r>
      <w:r w:rsidR="00150E64" w:rsidRPr="00FD6F39">
        <w:rPr>
          <w:sz w:val="25"/>
          <w:szCs w:val="25"/>
        </w:rPr>
        <w:t>recauzionale.</w:t>
      </w:r>
      <w:r w:rsidR="00C37C4E" w:rsidRPr="00FD6F39">
        <w:rPr>
          <w:rStyle w:val="Rimandonotaapidipagina"/>
          <w:szCs w:val="25"/>
        </w:rPr>
        <w:footnoteReference w:id="3"/>
      </w:r>
      <w:r w:rsidR="00150E64" w:rsidRPr="00FD6F39">
        <w:rPr>
          <w:sz w:val="25"/>
          <w:szCs w:val="25"/>
        </w:rPr>
        <w:t xml:space="preserve"> Si tratta tuttavia di un richiamo nettamente sottodimensionato rispetto all’attenzione prestata agli indicatori di finanza pubblica. Sebbene questa sproporzione possa sembrare ovvia, dal momento che, come detto, si vuole associare il MES alla presenza di rischi </w:t>
      </w:r>
      <w:r w:rsidR="00C37C4E" w:rsidRPr="00FD6F39">
        <w:rPr>
          <w:sz w:val="25"/>
          <w:szCs w:val="25"/>
        </w:rPr>
        <w:t xml:space="preserve">inerenti al </w:t>
      </w:r>
      <w:r w:rsidR="00150E64" w:rsidRPr="00FD6F39">
        <w:rPr>
          <w:sz w:val="25"/>
          <w:szCs w:val="25"/>
        </w:rPr>
        <w:t xml:space="preserve">debito pubblico, </w:t>
      </w:r>
      <w:r w:rsidR="00501EC9" w:rsidRPr="00FD6F39">
        <w:rPr>
          <w:sz w:val="25"/>
          <w:szCs w:val="25"/>
        </w:rPr>
        <w:t xml:space="preserve">essa </w:t>
      </w:r>
      <w:r w:rsidR="002745BB" w:rsidRPr="00FD6F39">
        <w:rPr>
          <w:sz w:val="25"/>
          <w:szCs w:val="25"/>
        </w:rPr>
        <w:t>rappresenta invece</w:t>
      </w:r>
      <w:r w:rsidR="00150E64" w:rsidRPr="00FD6F39">
        <w:rPr>
          <w:sz w:val="25"/>
          <w:szCs w:val="25"/>
        </w:rPr>
        <w:t xml:space="preserve"> un ennesimo errore di prospettiva </w:t>
      </w:r>
      <w:r w:rsidR="006E73D5" w:rsidRPr="00FD6F39">
        <w:rPr>
          <w:sz w:val="25"/>
          <w:szCs w:val="25"/>
        </w:rPr>
        <w:t>nell’impostazione della politica economica europea.</w:t>
      </w:r>
    </w:p>
    <w:p w14:paraId="1C2DFCB9" w14:textId="77777777" w:rsidR="00C32F31" w:rsidRDefault="006E73D5" w:rsidP="00CE67D9">
      <w:pPr>
        <w:widowControl w:val="0"/>
        <w:spacing w:after="120" w:line="360" w:lineRule="auto"/>
        <w:jc w:val="both"/>
        <w:rPr>
          <w:sz w:val="25"/>
          <w:szCs w:val="25"/>
        </w:rPr>
      </w:pPr>
      <w:r w:rsidRPr="00FD6F39">
        <w:rPr>
          <w:sz w:val="25"/>
          <w:szCs w:val="25"/>
        </w:rPr>
        <w:t>Mentre, infatti, la discussione continua a essere portata sui presunti rischi di crisi del debito, le dinamiche dell’economia europea stanno subendo i contraccolpi del repentino tracollo degli scambi internazionali. I dati del CPB Trade Monitor, riportati nel grafico 1, segnalano come gli scambi mondiali siano in contrazione dallo scorso giugno.</w:t>
      </w:r>
    </w:p>
    <w:p w14:paraId="2B45196E" w14:textId="77777777" w:rsidR="00B47169" w:rsidRDefault="00B47169" w:rsidP="00CE67D9">
      <w:pPr>
        <w:widowControl w:val="0"/>
        <w:spacing w:after="120" w:line="360" w:lineRule="auto"/>
        <w:jc w:val="both"/>
        <w:rPr>
          <w:sz w:val="25"/>
          <w:szCs w:val="25"/>
        </w:rPr>
      </w:pPr>
      <w:r w:rsidRPr="00FD6F39">
        <w:rPr>
          <w:noProof/>
          <w:lang w:eastAsia="it-IT"/>
        </w:rPr>
        <w:lastRenderedPageBreak/>
        <w:drawing>
          <wp:inline distT="0" distB="0" distL="0" distR="0" wp14:anchorId="6DE3F26D" wp14:editId="5CD8372F">
            <wp:extent cx="4360848" cy="324000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848" cy="3240000"/>
                    </a:xfrm>
                    <a:prstGeom prst="rect">
                      <a:avLst/>
                    </a:prstGeom>
                    <a:noFill/>
                    <a:ln>
                      <a:noFill/>
                    </a:ln>
                  </pic:spPr>
                </pic:pic>
              </a:graphicData>
            </a:graphic>
          </wp:inline>
        </w:drawing>
      </w:r>
    </w:p>
    <w:p w14:paraId="14ED4ABC" w14:textId="77777777" w:rsidR="00B47169" w:rsidRDefault="00B47169" w:rsidP="00CE67D9">
      <w:pPr>
        <w:widowControl w:val="0"/>
        <w:spacing w:after="120" w:line="360" w:lineRule="auto"/>
        <w:jc w:val="both"/>
        <w:rPr>
          <w:sz w:val="25"/>
          <w:szCs w:val="25"/>
        </w:rPr>
      </w:pPr>
    </w:p>
    <w:p w14:paraId="6E58C37E" w14:textId="77777777" w:rsidR="00662E94" w:rsidRPr="00FD6F39" w:rsidRDefault="006E73D5" w:rsidP="00CE67D9">
      <w:pPr>
        <w:widowControl w:val="0"/>
        <w:spacing w:after="120" w:line="360" w:lineRule="auto"/>
        <w:jc w:val="both"/>
        <w:rPr>
          <w:sz w:val="25"/>
          <w:szCs w:val="25"/>
        </w:rPr>
      </w:pPr>
      <w:r w:rsidRPr="00FD6F39">
        <w:rPr>
          <w:sz w:val="25"/>
          <w:szCs w:val="25"/>
        </w:rPr>
        <w:t xml:space="preserve">Nella media annua, il commercio mondiale registrerà quest’anno una variazione negativa nell’ordine dello 0,5%, che si confronta con gli aumenti </w:t>
      </w:r>
      <w:r w:rsidR="00D11607" w:rsidRPr="00FD6F39">
        <w:rPr>
          <w:sz w:val="25"/>
          <w:szCs w:val="25"/>
        </w:rPr>
        <w:t xml:space="preserve">del </w:t>
      </w:r>
      <w:r w:rsidRPr="00FD6F39">
        <w:rPr>
          <w:sz w:val="25"/>
          <w:szCs w:val="25"/>
        </w:rPr>
        <w:t>3,4</w:t>
      </w:r>
      <w:r w:rsidR="00DB6708" w:rsidRPr="00FD6F39">
        <w:rPr>
          <w:sz w:val="25"/>
          <w:szCs w:val="25"/>
        </w:rPr>
        <w:t>%</w:t>
      </w:r>
      <w:r w:rsidRPr="00FD6F39">
        <w:rPr>
          <w:sz w:val="25"/>
          <w:szCs w:val="25"/>
        </w:rPr>
        <w:t xml:space="preserve"> e del 4,7% registrati, rispettivamente, nel 2018 e 2017. L’impatto sull’economia europea di questa contrazione è frontale. In Germania, la produzione industriale segna, al netto del settore automobilistico, flessioni nell’ordine del 4,5%; in Italia gli ultimi dati indicano che la contrazio</w:t>
      </w:r>
      <w:r w:rsidR="006F4114" w:rsidRPr="00FD6F39">
        <w:rPr>
          <w:sz w:val="25"/>
          <w:szCs w:val="25"/>
        </w:rPr>
        <w:t>n</w:t>
      </w:r>
      <w:r w:rsidRPr="00FD6F39">
        <w:rPr>
          <w:sz w:val="25"/>
          <w:szCs w:val="25"/>
        </w:rPr>
        <w:t xml:space="preserve">e ha superato il 2%. Dal lato delle esportazioni, </w:t>
      </w:r>
      <w:r w:rsidR="0020703B" w:rsidRPr="00FD6F39">
        <w:rPr>
          <w:sz w:val="25"/>
          <w:szCs w:val="25"/>
        </w:rPr>
        <w:t xml:space="preserve">le rilevazioni di </w:t>
      </w:r>
      <w:r w:rsidR="002745BB" w:rsidRPr="00FD6F39">
        <w:rPr>
          <w:sz w:val="25"/>
          <w:szCs w:val="25"/>
        </w:rPr>
        <w:t>c</w:t>
      </w:r>
      <w:r w:rsidR="0020703B" w:rsidRPr="00FD6F39">
        <w:rPr>
          <w:sz w:val="25"/>
          <w:szCs w:val="25"/>
        </w:rPr>
        <w:t>ontabilità nazionale misurano per la Germania un incremento, tra l’ultimo trimestre del 2018 e il secondo trimestre del 2019, di appena lo 0,4%, rispetto a</w:t>
      </w:r>
      <w:r w:rsidR="00DB6708" w:rsidRPr="00FD6F39">
        <w:rPr>
          <w:sz w:val="25"/>
          <w:szCs w:val="25"/>
        </w:rPr>
        <w:t>l</w:t>
      </w:r>
      <w:r w:rsidR="0020703B" w:rsidRPr="00FD6F39">
        <w:rPr>
          <w:sz w:val="25"/>
          <w:szCs w:val="25"/>
        </w:rPr>
        <w:t xml:space="preserve"> 4,2% che si registrava un anno fa. In Italia la tenuta dell’export è maggiore, ma si è pur sempre scesi, negli ult</w:t>
      </w:r>
      <w:r w:rsidR="00662E94" w:rsidRPr="00FD6F39">
        <w:rPr>
          <w:sz w:val="25"/>
          <w:szCs w:val="25"/>
        </w:rPr>
        <w:t>i</w:t>
      </w:r>
      <w:r w:rsidR="0020703B" w:rsidRPr="00FD6F39">
        <w:rPr>
          <w:sz w:val="25"/>
          <w:szCs w:val="25"/>
        </w:rPr>
        <w:t>mi tre trimestri, da un incremento del 3,3% a uno del 2,4%.</w:t>
      </w:r>
      <w:r w:rsidRPr="00FD6F39">
        <w:rPr>
          <w:sz w:val="25"/>
          <w:szCs w:val="25"/>
        </w:rPr>
        <w:t xml:space="preserve"> </w:t>
      </w:r>
      <w:r w:rsidR="00662E94" w:rsidRPr="00FD6F39">
        <w:rPr>
          <w:sz w:val="25"/>
          <w:szCs w:val="25"/>
        </w:rPr>
        <w:t xml:space="preserve">Evidente è poi l’effetto contagio che sta derivando anche al nostro paese dal rallentamento della Germania e degli altri paesi della moneta unica: secondo i dati Istat di fonte doganale, nei primi nove mesi del 2019 il valore delle </w:t>
      </w:r>
      <w:r w:rsidR="00DB6708" w:rsidRPr="00FD6F39">
        <w:rPr>
          <w:sz w:val="25"/>
          <w:szCs w:val="25"/>
        </w:rPr>
        <w:t xml:space="preserve">nostre </w:t>
      </w:r>
      <w:r w:rsidR="00662E94" w:rsidRPr="00FD6F39">
        <w:rPr>
          <w:sz w:val="25"/>
          <w:szCs w:val="25"/>
        </w:rPr>
        <w:t xml:space="preserve">esportazioni verso l’Unione europea e </w:t>
      </w:r>
      <w:r w:rsidR="00C32F31">
        <w:rPr>
          <w:sz w:val="25"/>
          <w:szCs w:val="25"/>
        </w:rPr>
        <w:t xml:space="preserve">verso </w:t>
      </w:r>
      <w:r w:rsidR="00662E94" w:rsidRPr="00FD6F39">
        <w:rPr>
          <w:sz w:val="25"/>
          <w:szCs w:val="25"/>
        </w:rPr>
        <w:t xml:space="preserve">i Paesi extra-europei è </w:t>
      </w:r>
      <w:r w:rsidR="00662E94" w:rsidRPr="00FD6F39">
        <w:rPr>
          <w:sz w:val="25"/>
          <w:szCs w:val="25"/>
        </w:rPr>
        <w:lastRenderedPageBreak/>
        <w:t>aumentato dell’1.4% e del 2,5%; verso la sola area euro l’incremento si è arrestato allo 0,4%.</w:t>
      </w:r>
    </w:p>
    <w:p w14:paraId="5E50B7A0" w14:textId="77777777" w:rsidR="00D11607" w:rsidRPr="00FD6F39" w:rsidRDefault="00662E94" w:rsidP="00CE67D9">
      <w:pPr>
        <w:widowControl w:val="0"/>
        <w:spacing w:after="120" w:line="360" w:lineRule="auto"/>
        <w:jc w:val="both"/>
        <w:rPr>
          <w:sz w:val="25"/>
          <w:szCs w:val="25"/>
        </w:rPr>
      </w:pPr>
      <w:r w:rsidRPr="00FD6F39">
        <w:rPr>
          <w:sz w:val="25"/>
          <w:szCs w:val="25"/>
        </w:rPr>
        <w:t xml:space="preserve">Le previsioni al ribasso delle organizzazioni internazionali fanno ritenere che la fase di rallentamento del commercio mondiale non sia esaurita, essendo </w:t>
      </w:r>
      <w:r w:rsidR="002745BB" w:rsidRPr="00FD6F39">
        <w:rPr>
          <w:sz w:val="25"/>
          <w:szCs w:val="25"/>
        </w:rPr>
        <w:t xml:space="preserve">per </w:t>
      </w:r>
      <w:r w:rsidRPr="00FD6F39">
        <w:rPr>
          <w:sz w:val="25"/>
          <w:szCs w:val="25"/>
        </w:rPr>
        <w:t>contro aumentata la probabilità che nel corso del 2020 si verifichi una recessione globale. La particolare esposizione dell’Eurozona alle fasi di rallentamento del commercio mondiale fa sì che proprio fra i paesi della moneta unica il ripiegamento del ciclo economico possa essere più pronunciato.</w:t>
      </w:r>
    </w:p>
    <w:p w14:paraId="32E5145D" w14:textId="77777777" w:rsidR="00DD47FE" w:rsidRPr="00FD6F39" w:rsidRDefault="00662E94" w:rsidP="00CE67D9">
      <w:pPr>
        <w:widowControl w:val="0"/>
        <w:spacing w:after="120" w:line="360" w:lineRule="auto"/>
        <w:jc w:val="both"/>
        <w:rPr>
          <w:sz w:val="25"/>
          <w:szCs w:val="25"/>
        </w:rPr>
      </w:pPr>
      <w:r w:rsidRPr="00F045FC">
        <w:rPr>
          <w:i/>
          <w:sz w:val="25"/>
          <w:szCs w:val="25"/>
        </w:rPr>
        <w:t xml:space="preserve">La discussione sulla riforma del MES non può prescindere da questa possibile evoluzione degli scambi mondiali e </w:t>
      </w:r>
      <w:r w:rsidR="006717DD" w:rsidRPr="00F045FC">
        <w:rPr>
          <w:i/>
          <w:sz w:val="25"/>
          <w:szCs w:val="25"/>
        </w:rPr>
        <w:t>del ciclo di crescita, perché si tratta di fattori che incidono direttamente anche sulle prospettive delle finanze pubbliche</w:t>
      </w:r>
      <w:r w:rsidR="006717DD" w:rsidRPr="00FD6F39">
        <w:rPr>
          <w:sz w:val="25"/>
          <w:szCs w:val="25"/>
        </w:rPr>
        <w:t xml:space="preserve">. In termini tecnici, ci troviamo </w:t>
      </w:r>
      <w:r w:rsidR="00D11607" w:rsidRPr="00FD6F39">
        <w:rPr>
          <w:sz w:val="25"/>
          <w:szCs w:val="25"/>
        </w:rPr>
        <w:t xml:space="preserve">nuovamente </w:t>
      </w:r>
      <w:r w:rsidR="006717DD" w:rsidRPr="00FD6F39">
        <w:rPr>
          <w:sz w:val="25"/>
          <w:szCs w:val="25"/>
        </w:rPr>
        <w:t xml:space="preserve">di fronte al tipico problema di uno shock simmetrico (la contrazione degli scambi mondiali) che può generare effetti asimmetrici sulle singole economie. </w:t>
      </w:r>
      <w:r w:rsidR="006717DD" w:rsidRPr="00FD6F39">
        <w:rPr>
          <w:i/>
          <w:sz w:val="25"/>
          <w:szCs w:val="25"/>
        </w:rPr>
        <w:t>Di fronte a un indebolimento delle previsioni di crescita</w:t>
      </w:r>
      <w:r w:rsidR="006717DD" w:rsidRPr="00FD6F39">
        <w:rPr>
          <w:sz w:val="25"/>
          <w:szCs w:val="25"/>
        </w:rPr>
        <w:t xml:space="preserve">, i mercati potrebbero adottare un comportamento di </w:t>
      </w:r>
      <w:r w:rsidR="006717DD" w:rsidRPr="00FD6F39">
        <w:rPr>
          <w:i/>
          <w:sz w:val="25"/>
          <w:szCs w:val="25"/>
        </w:rPr>
        <w:t>“flight to quality”</w:t>
      </w:r>
      <w:r w:rsidR="006717DD" w:rsidRPr="00FD6F39">
        <w:rPr>
          <w:sz w:val="25"/>
          <w:szCs w:val="25"/>
        </w:rPr>
        <w:t xml:space="preserve"> e penalizzare quindi i paesi con maggiore livello di debito pubblico, come è l’Italia. Ciò, sia chiaro, indipendentemente dall’effettiva capacità del sistema economico di contrastare lo shock di origine, </w:t>
      </w:r>
      <w:r w:rsidR="002745BB" w:rsidRPr="00FD6F39">
        <w:rPr>
          <w:sz w:val="25"/>
          <w:szCs w:val="25"/>
        </w:rPr>
        <w:t xml:space="preserve">capacità </w:t>
      </w:r>
      <w:r w:rsidR="006717DD" w:rsidRPr="00FD6F39">
        <w:rPr>
          <w:sz w:val="25"/>
          <w:szCs w:val="25"/>
        </w:rPr>
        <w:t>che pure al momento</w:t>
      </w:r>
      <w:r w:rsidR="00327DAE" w:rsidRPr="00FD6F39">
        <w:rPr>
          <w:sz w:val="25"/>
          <w:szCs w:val="25"/>
        </w:rPr>
        <w:t xml:space="preserve"> – giova precisarlo –</w:t>
      </w:r>
      <w:r w:rsidR="006717DD" w:rsidRPr="00FD6F39">
        <w:rPr>
          <w:sz w:val="25"/>
          <w:szCs w:val="25"/>
        </w:rPr>
        <w:t xml:space="preserve"> </w:t>
      </w:r>
      <w:r w:rsidR="00DB6708" w:rsidRPr="00FD6F39">
        <w:rPr>
          <w:sz w:val="25"/>
          <w:szCs w:val="25"/>
        </w:rPr>
        <w:t xml:space="preserve">appare </w:t>
      </w:r>
      <w:r w:rsidR="006717DD" w:rsidRPr="00FD6F39">
        <w:rPr>
          <w:sz w:val="25"/>
          <w:szCs w:val="25"/>
        </w:rPr>
        <w:t xml:space="preserve">essere maggiore in Italia che in Germania, come </w:t>
      </w:r>
      <w:r w:rsidR="00DD47FE" w:rsidRPr="00FD6F39">
        <w:rPr>
          <w:sz w:val="25"/>
          <w:szCs w:val="25"/>
        </w:rPr>
        <w:t xml:space="preserve">mostrano </w:t>
      </w:r>
      <w:r w:rsidR="006717DD" w:rsidRPr="00FD6F39">
        <w:rPr>
          <w:sz w:val="25"/>
          <w:szCs w:val="25"/>
        </w:rPr>
        <w:t>gli appena richiamati dati di produzione e commercio estero, appunto migliori in Italia che in Germania</w:t>
      </w:r>
      <w:r w:rsidR="00DD47FE" w:rsidRPr="00FD6F39">
        <w:rPr>
          <w:sz w:val="25"/>
          <w:szCs w:val="25"/>
        </w:rPr>
        <w:t>.</w:t>
      </w:r>
    </w:p>
    <w:p w14:paraId="194AEF81" w14:textId="659D1D48" w:rsidR="00DD47FE" w:rsidRDefault="00DD47FE" w:rsidP="00CE67D9">
      <w:pPr>
        <w:widowControl w:val="0"/>
        <w:spacing w:after="120" w:line="360" w:lineRule="auto"/>
        <w:jc w:val="both"/>
        <w:rPr>
          <w:sz w:val="25"/>
          <w:szCs w:val="25"/>
        </w:rPr>
      </w:pPr>
      <w:r w:rsidRPr="00FD6F39">
        <w:rPr>
          <w:sz w:val="25"/>
          <w:szCs w:val="25"/>
        </w:rPr>
        <w:t xml:space="preserve">L’esigenza di individuare meccanismi che consentissero di compensare gli effetti asimmetrici generati da uno shock comune è </w:t>
      </w:r>
      <w:r w:rsidR="00EF041B">
        <w:rPr>
          <w:sz w:val="25"/>
          <w:szCs w:val="25"/>
        </w:rPr>
        <w:t>stato il maggiore problema con c</w:t>
      </w:r>
      <w:r w:rsidRPr="00FD6F39">
        <w:rPr>
          <w:sz w:val="25"/>
          <w:szCs w:val="25"/>
        </w:rPr>
        <w:t>ui si è confrontato, fin dalle origini</w:t>
      </w:r>
      <w:r w:rsidR="002745BB" w:rsidRPr="00FD6F39">
        <w:rPr>
          <w:sz w:val="25"/>
          <w:szCs w:val="25"/>
        </w:rPr>
        <w:t>,</w:t>
      </w:r>
      <w:r w:rsidRPr="00FD6F39">
        <w:rPr>
          <w:sz w:val="25"/>
          <w:szCs w:val="25"/>
        </w:rPr>
        <w:t xml:space="preserve"> il processo di costruzione della moneta unica. Ad oggi questo problema</w:t>
      </w:r>
      <w:r w:rsidR="007108D8" w:rsidRPr="00FD6F39">
        <w:rPr>
          <w:sz w:val="25"/>
          <w:szCs w:val="25"/>
        </w:rPr>
        <w:t xml:space="preserve"> </w:t>
      </w:r>
      <w:r w:rsidRPr="00FD6F39">
        <w:rPr>
          <w:sz w:val="25"/>
          <w:szCs w:val="25"/>
        </w:rPr>
        <w:t xml:space="preserve">non può dirsi risolto. Elaborazioni condotte dal CER col metodo della cluster analysis evidenziano come a fine 2018 fosse ancora possibile separare statisticamente, al pari di quanto avveniva nel </w:t>
      </w:r>
      <w:r w:rsidR="007108D8" w:rsidRPr="00FD6F39">
        <w:rPr>
          <w:sz w:val="25"/>
          <w:szCs w:val="25"/>
        </w:rPr>
        <w:t>199</w:t>
      </w:r>
      <w:r w:rsidRPr="00FD6F39">
        <w:rPr>
          <w:sz w:val="25"/>
          <w:szCs w:val="25"/>
        </w:rPr>
        <w:t>9, il gruppo delle nazioni mediterranee da quelle della</w:t>
      </w:r>
      <w:r w:rsidR="00D11607" w:rsidRPr="00FD6F39">
        <w:rPr>
          <w:sz w:val="25"/>
          <w:szCs w:val="25"/>
        </w:rPr>
        <w:t xml:space="preserve"> </w:t>
      </w:r>
      <w:r w:rsidR="002745BB" w:rsidRPr="00FD6F39">
        <w:rPr>
          <w:sz w:val="25"/>
          <w:szCs w:val="25"/>
        </w:rPr>
        <w:t>cosiddetta “</w:t>
      </w:r>
      <w:r w:rsidRPr="00FD6F39">
        <w:rPr>
          <w:sz w:val="25"/>
          <w:szCs w:val="25"/>
        </w:rPr>
        <w:t>core Europe</w:t>
      </w:r>
      <w:r w:rsidR="002745BB" w:rsidRPr="00FD6F39">
        <w:rPr>
          <w:sz w:val="25"/>
          <w:szCs w:val="25"/>
        </w:rPr>
        <w:t>”</w:t>
      </w:r>
      <w:r w:rsidRPr="00FD6F39">
        <w:rPr>
          <w:sz w:val="25"/>
          <w:szCs w:val="25"/>
        </w:rPr>
        <w:t xml:space="preserve">, a conferma del fatto che </w:t>
      </w:r>
      <w:r w:rsidRPr="00FD6F39">
        <w:rPr>
          <w:sz w:val="25"/>
          <w:szCs w:val="25"/>
        </w:rPr>
        <w:lastRenderedPageBreak/>
        <w:t>nessun progresso è stato compiuto nel senso di una riduzione di questo tipo di rischio.</w:t>
      </w:r>
      <w:r w:rsidR="00DB35EB" w:rsidRPr="00FD6F39">
        <w:rPr>
          <w:sz w:val="25"/>
          <w:szCs w:val="25"/>
        </w:rPr>
        <w:t xml:space="preserve"> E’ forse venuto il momento di prendere atto che la soluzione data a questo problema, consistente nell’avviare un processo di </w:t>
      </w:r>
      <w:r w:rsidR="00E44067" w:rsidRPr="00FD6F39">
        <w:rPr>
          <w:sz w:val="25"/>
          <w:szCs w:val="25"/>
        </w:rPr>
        <w:t xml:space="preserve">generalizzazione del modello </w:t>
      </w:r>
      <w:r w:rsidR="00E44067" w:rsidRPr="00FD6F39">
        <w:rPr>
          <w:i/>
          <w:sz w:val="25"/>
          <w:szCs w:val="25"/>
        </w:rPr>
        <w:t>export driven</w:t>
      </w:r>
      <w:r w:rsidR="00E44067" w:rsidRPr="00FD6F39">
        <w:rPr>
          <w:sz w:val="25"/>
          <w:szCs w:val="25"/>
        </w:rPr>
        <w:t xml:space="preserve"> tedesco, considerato tale da</w:t>
      </w:r>
      <w:r w:rsidR="00DB35EB" w:rsidRPr="00FD6F39">
        <w:rPr>
          <w:sz w:val="25"/>
          <w:szCs w:val="25"/>
        </w:rPr>
        <w:t xml:space="preserve"> </w:t>
      </w:r>
      <w:r w:rsidR="00E44067" w:rsidRPr="00FD6F39">
        <w:rPr>
          <w:sz w:val="25"/>
          <w:szCs w:val="25"/>
        </w:rPr>
        <w:t xml:space="preserve">poter </w:t>
      </w:r>
      <w:r w:rsidR="00DB35EB" w:rsidRPr="00FD6F39">
        <w:rPr>
          <w:sz w:val="25"/>
          <w:szCs w:val="25"/>
        </w:rPr>
        <w:t xml:space="preserve">rendere simili tutti i paesi dell’Eurozona e per questa via scongiurare l’eventualità di shock asimmetrici, non ha dato i frutti sperati. </w:t>
      </w:r>
      <w:r w:rsidR="00E44067" w:rsidRPr="00FD6F39">
        <w:rPr>
          <w:sz w:val="25"/>
          <w:szCs w:val="25"/>
        </w:rPr>
        <w:t>Né si può pensare di procedere introducendo quasi per inerzia sempre nuovi elementi di rigidità</w:t>
      </w:r>
      <w:r w:rsidR="00CF52E3" w:rsidRPr="00FD6F39">
        <w:rPr>
          <w:sz w:val="25"/>
          <w:szCs w:val="25"/>
        </w:rPr>
        <w:t xml:space="preserve"> e sempre nuove condizionalità nelle politiche economiche e di bilancio.</w:t>
      </w:r>
      <w:r w:rsidR="00E44067" w:rsidRPr="00FD6F39">
        <w:rPr>
          <w:sz w:val="25"/>
          <w:szCs w:val="25"/>
        </w:rPr>
        <w:t xml:space="preserve"> </w:t>
      </w:r>
      <w:r w:rsidR="00DB35EB" w:rsidRPr="00FD6F39">
        <w:rPr>
          <w:sz w:val="25"/>
          <w:szCs w:val="25"/>
        </w:rPr>
        <w:t>Occorre, in altre parole, uscire da una trappola evoluzionista che, nonostante gli evidenti fallimenti, continua a incentrare ogni innovazione istituzionale dell’area sul principio originario dell</w:t>
      </w:r>
      <w:r w:rsidR="00CF52E3" w:rsidRPr="00FD6F39">
        <w:rPr>
          <w:sz w:val="25"/>
          <w:szCs w:val="25"/>
        </w:rPr>
        <w:t xml:space="preserve">’assimilazione a un presunto modello “migliore” – </w:t>
      </w:r>
      <w:r w:rsidR="002E721E" w:rsidRPr="00FD6F39">
        <w:rPr>
          <w:sz w:val="25"/>
          <w:szCs w:val="25"/>
        </w:rPr>
        <w:t xml:space="preserve">un </w:t>
      </w:r>
      <w:r w:rsidR="00CF52E3" w:rsidRPr="00FD6F39">
        <w:rPr>
          <w:sz w:val="25"/>
          <w:szCs w:val="25"/>
        </w:rPr>
        <w:t>modello che peraltro sta proprio in questi mesi incontrando i propri limiti strutturali</w:t>
      </w:r>
      <w:r w:rsidR="00DB35EB" w:rsidRPr="00FD6F39">
        <w:rPr>
          <w:sz w:val="25"/>
          <w:szCs w:val="25"/>
        </w:rPr>
        <w:t>.</w:t>
      </w:r>
    </w:p>
    <w:p w14:paraId="577941AD" w14:textId="77777777" w:rsidR="004E42A3" w:rsidRPr="00FD6F39" w:rsidRDefault="004E42A3" w:rsidP="00CE67D9">
      <w:pPr>
        <w:widowControl w:val="0"/>
        <w:spacing w:after="120" w:line="360" w:lineRule="auto"/>
        <w:jc w:val="both"/>
        <w:rPr>
          <w:sz w:val="25"/>
          <w:szCs w:val="25"/>
        </w:rPr>
      </w:pPr>
    </w:p>
    <w:p w14:paraId="6AD2F8C9" w14:textId="77777777" w:rsidR="00D11607" w:rsidRPr="00FD6F39" w:rsidRDefault="00DB6708" w:rsidP="00DB6708">
      <w:pPr>
        <w:widowControl w:val="0"/>
        <w:spacing w:after="120" w:line="360" w:lineRule="auto"/>
        <w:jc w:val="both"/>
        <w:rPr>
          <w:i/>
          <w:sz w:val="25"/>
          <w:szCs w:val="25"/>
        </w:rPr>
      </w:pPr>
      <w:r w:rsidRPr="00FD6F39">
        <w:rPr>
          <w:sz w:val="25"/>
          <w:szCs w:val="25"/>
        </w:rPr>
        <w:t xml:space="preserve">2. </w:t>
      </w:r>
      <w:r w:rsidR="00DD47FE" w:rsidRPr="00FD6F39">
        <w:rPr>
          <w:sz w:val="25"/>
          <w:szCs w:val="25"/>
        </w:rPr>
        <w:t xml:space="preserve">Si pone qui la </w:t>
      </w:r>
      <w:r w:rsidR="00DD47FE" w:rsidRPr="00FD6F39">
        <w:rPr>
          <w:i/>
          <w:sz w:val="25"/>
          <w:szCs w:val="25"/>
        </w:rPr>
        <w:t>seconda domanda</w:t>
      </w:r>
      <w:r w:rsidR="00DD47FE" w:rsidRPr="00FD6F39">
        <w:rPr>
          <w:sz w:val="25"/>
          <w:szCs w:val="25"/>
        </w:rPr>
        <w:t xml:space="preserve"> </w:t>
      </w:r>
      <w:r w:rsidR="00D11607" w:rsidRPr="00FD6F39">
        <w:rPr>
          <w:sz w:val="25"/>
          <w:szCs w:val="25"/>
        </w:rPr>
        <w:t>a cui dobbiamo dare risposta</w:t>
      </w:r>
      <w:r w:rsidR="00DD47FE" w:rsidRPr="00FD6F39">
        <w:rPr>
          <w:sz w:val="25"/>
          <w:szCs w:val="25"/>
        </w:rPr>
        <w:t xml:space="preserve">: </w:t>
      </w:r>
      <w:r w:rsidR="00DD47FE" w:rsidRPr="00FD6F39">
        <w:rPr>
          <w:i/>
          <w:sz w:val="25"/>
          <w:szCs w:val="25"/>
        </w:rPr>
        <w:t xml:space="preserve">la </w:t>
      </w:r>
      <w:r w:rsidR="00DB35EB" w:rsidRPr="00FD6F39">
        <w:rPr>
          <w:i/>
          <w:sz w:val="25"/>
          <w:szCs w:val="25"/>
        </w:rPr>
        <w:t xml:space="preserve">proposta di </w:t>
      </w:r>
      <w:r w:rsidR="00DD47FE" w:rsidRPr="00FD6F39">
        <w:rPr>
          <w:i/>
          <w:sz w:val="25"/>
          <w:szCs w:val="25"/>
        </w:rPr>
        <w:t xml:space="preserve">riforma del MES </w:t>
      </w:r>
      <w:r w:rsidR="00DB35EB" w:rsidRPr="00FD6F39">
        <w:rPr>
          <w:i/>
          <w:sz w:val="25"/>
          <w:szCs w:val="25"/>
        </w:rPr>
        <w:t xml:space="preserve">può apportare benefici all’Italia? </w:t>
      </w:r>
    </w:p>
    <w:p w14:paraId="3A9F1774" w14:textId="77777777" w:rsidR="00E649CE" w:rsidRPr="00FD6F39" w:rsidRDefault="00DB35EB" w:rsidP="00DB35EB">
      <w:pPr>
        <w:widowControl w:val="0"/>
        <w:spacing w:after="120" w:line="360" w:lineRule="auto"/>
        <w:jc w:val="both"/>
        <w:rPr>
          <w:sz w:val="25"/>
          <w:szCs w:val="25"/>
        </w:rPr>
      </w:pPr>
      <w:r w:rsidRPr="00FD6F39">
        <w:rPr>
          <w:sz w:val="25"/>
          <w:szCs w:val="25"/>
        </w:rPr>
        <w:t>Al momento di aderire alla moneta unica, consistenti sembravano essere i benefici che l’abbandono della sovranità</w:t>
      </w:r>
      <w:r w:rsidR="00956AEC" w:rsidRPr="00FD6F39">
        <w:rPr>
          <w:sz w:val="25"/>
          <w:szCs w:val="25"/>
        </w:rPr>
        <w:t xml:space="preserve"> </w:t>
      </w:r>
      <w:r w:rsidRPr="00FD6F39">
        <w:rPr>
          <w:sz w:val="25"/>
          <w:szCs w:val="25"/>
        </w:rPr>
        <w:t xml:space="preserve">monetaria </w:t>
      </w:r>
      <w:r w:rsidR="00956AEC" w:rsidRPr="00FD6F39">
        <w:rPr>
          <w:sz w:val="25"/>
          <w:szCs w:val="25"/>
        </w:rPr>
        <w:t>a</w:t>
      </w:r>
      <w:r w:rsidRPr="00FD6F39">
        <w:rPr>
          <w:sz w:val="25"/>
          <w:szCs w:val="25"/>
        </w:rPr>
        <w:t>v</w:t>
      </w:r>
      <w:r w:rsidR="00956AEC" w:rsidRPr="00FD6F39">
        <w:rPr>
          <w:sz w:val="25"/>
          <w:szCs w:val="25"/>
        </w:rPr>
        <w:t>r</w:t>
      </w:r>
      <w:r w:rsidRPr="00FD6F39">
        <w:rPr>
          <w:sz w:val="25"/>
          <w:szCs w:val="25"/>
        </w:rPr>
        <w:t>ebbe portato in termini di stabilità dell’inflazione e di</w:t>
      </w:r>
      <w:r w:rsidR="00956AEC" w:rsidRPr="00FD6F39">
        <w:rPr>
          <w:sz w:val="25"/>
          <w:szCs w:val="25"/>
        </w:rPr>
        <w:t xml:space="preserve"> maggiore disciplina di bilancio. Per larga misura, così è stato fino al</w:t>
      </w:r>
      <w:r w:rsidR="00F510F2" w:rsidRPr="00FD6F39">
        <w:rPr>
          <w:sz w:val="25"/>
          <w:szCs w:val="25"/>
        </w:rPr>
        <w:t>la crisi e in particolare fino al</w:t>
      </w:r>
      <w:r w:rsidR="00956AEC" w:rsidRPr="00FD6F39">
        <w:rPr>
          <w:sz w:val="25"/>
          <w:szCs w:val="25"/>
        </w:rPr>
        <w:t xml:space="preserve"> 2011</w:t>
      </w:r>
      <w:r w:rsidR="00F510F2" w:rsidRPr="00FD6F39">
        <w:rPr>
          <w:sz w:val="25"/>
          <w:szCs w:val="25"/>
        </w:rPr>
        <w:t xml:space="preserve">, allorché </w:t>
      </w:r>
      <w:r w:rsidR="00956AEC" w:rsidRPr="00FD6F39">
        <w:rPr>
          <w:sz w:val="25"/>
          <w:szCs w:val="25"/>
        </w:rPr>
        <w:t>l’esplos</w:t>
      </w:r>
      <w:r w:rsidR="00DB6708" w:rsidRPr="00FD6F39">
        <w:rPr>
          <w:sz w:val="25"/>
          <w:szCs w:val="25"/>
        </w:rPr>
        <w:t>i</w:t>
      </w:r>
      <w:r w:rsidR="00956AEC" w:rsidRPr="00FD6F39">
        <w:rPr>
          <w:sz w:val="25"/>
          <w:szCs w:val="25"/>
        </w:rPr>
        <w:t>one de</w:t>
      </w:r>
      <w:r w:rsidR="00DB6708" w:rsidRPr="00FD6F39">
        <w:rPr>
          <w:sz w:val="25"/>
          <w:szCs w:val="25"/>
        </w:rPr>
        <w:t>lla cosiddetta crisi de</w:t>
      </w:r>
      <w:r w:rsidR="00F510F2" w:rsidRPr="00FD6F39">
        <w:rPr>
          <w:sz w:val="25"/>
          <w:szCs w:val="25"/>
        </w:rPr>
        <w:t>i</w:t>
      </w:r>
      <w:r w:rsidR="00956AEC" w:rsidRPr="00FD6F39">
        <w:rPr>
          <w:sz w:val="25"/>
          <w:szCs w:val="25"/>
        </w:rPr>
        <w:t xml:space="preserve"> debiti sovrani </w:t>
      </w:r>
      <w:r w:rsidR="00DB6708" w:rsidRPr="00FD6F39">
        <w:rPr>
          <w:sz w:val="25"/>
          <w:szCs w:val="25"/>
        </w:rPr>
        <w:t>– che era in verità una crisi da squilibri delle bilance commerciali, come sappiamo almeno dal 2013</w:t>
      </w:r>
      <w:r w:rsidR="00DB6708" w:rsidRPr="00FD6F39">
        <w:rPr>
          <w:rStyle w:val="Rimandonotaapidipagina"/>
          <w:szCs w:val="25"/>
        </w:rPr>
        <w:footnoteReference w:id="4"/>
      </w:r>
      <w:r w:rsidR="00DB6708" w:rsidRPr="00FD6F39">
        <w:rPr>
          <w:sz w:val="25"/>
          <w:szCs w:val="25"/>
        </w:rPr>
        <w:t xml:space="preserve"> - </w:t>
      </w:r>
      <w:r w:rsidR="00956AEC" w:rsidRPr="00FD6F39">
        <w:rPr>
          <w:sz w:val="25"/>
          <w:szCs w:val="25"/>
        </w:rPr>
        <w:t xml:space="preserve">ha svelato gli enormi costi </w:t>
      </w:r>
      <w:r w:rsidR="00417534" w:rsidRPr="00FD6F39">
        <w:rPr>
          <w:sz w:val="25"/>
          <w:szCs w:val="25"/>
        </w:rPr>
        <w:t>derivanti dall’aver anteposto l’unione monetaria a una preventiva convergenza delle economie</w:t>
      </w:r>
      <w:r w:rsidR="00956AEC" w:rsidRPr="00FD6F39">
        <w:rPr>
          <w:sz w:val="25"/>
          <w:szCs w:val="25"/>
        </w:rPr>
        <w:t xml:space="preserve">. Da parte </w:t>
      </w:r>
      <w:r w:rsidR="00DB6708" w:rsidRPr="00FD6F39">
        <w:rPr>
          <w:sz w:val="25"/>
          <w:szCs w:val="25"/>
        </w:rPr>
        <w:t xml:space="preserve">dell’Unione Europea </w:t>
      </w:r>
      <w:r w:rsidR="00956AEC" w:rsidRPr="00FD6F39">
        <w:rPr>
          <w:sz w:val="25"/>
          <w:szCs w:val="25"/>
        </w:rPr>
        <w:t xml:space="preserve">sono stati compiuti, </w:t>
      </w:r>
      <w:r w:rsidR="00B378D3" w:rsidRPr="00FD6F39">
        <w:rPr>
          <w:sz w:val="25"/>
          <w:szCs w:val="25"/>
        </w:rPr>
        <w:t>negli</w:t>
      </w:r>
      <w:r w:rsidR="00956AEC" w:rsidRPr="00FD6F39">
        <w:rPr>
          <w:sz w:val="25"/>
          <w:szCs w:val="25"/>
        </w:rPr>
        <w:t xml:space="preserve"> anni</w:t>
      </w:r>
      <w:r w:rsidR="00B378D3" w:rsidRPr="00FD6F39">
        <w:rPr>
          <w:sz w:val="25"/>
          <w:szCs w:val="25"/>
        </w:rPr>
        <w:t xml:space="preserve"> della crisi</w:t>
      </w:r>
      <w:r w:rsidR="00956AEC" w:rsidRPr="00FD6F39">
        <w:rPr>
          <w:sz w:val="25"/>
          <w:szCs w:val="25"/>
        </w:rPr>
        <w:t xml:space="preserve">, </w:t>
      </w:r>
      <w:r w:rsidR="00327DAE" w:rsidRPr="00FD6F39">
        <w:rPr>
          <w:sz w:val="25"/>
          <w:szCs w:val="25"/>
        </w:rPr>
        <w:t xml:space="preserve">gravi </w:t>
      </w:r>
      <w:r w:rsidR="00956AEC" w:rsidRPr="00FD6F39">
        <w:rPr>
          <w:sz w:val="25"/>
          <w:szCs w:val="25"/>
        </w:rPr>
        <w:t xml:space="preserve">errori di politica economica: purtroppo </w:t>
      </w:r>
      <w:r w:rsidR="00E649CE" w:rsidRPr="00FD6F39">
        <w:rPr>
          <w:sz w:val="25"/>
          <w:szCs w:val="25"/>
        </w:rPr>
        <w:t>la proposta di riforma del MES</w:t>
      </w:r>
      <w:r w:rsidR="00DB6708" w:rsidRPr="00FD6F39">
        <w:rPr>
          <w:sz w:val="25"/>
          <w:szCs w:val="25"/>
        </w:rPr>
        <w:t xml:space="preserve"> ora in discussione</w:t>
      </w:r>
      <w:r w:rsidR="00E649CE" w:rsidRPr="00FD6F39">
        <w:rPr>
          <w:sz w:val="25"/>
          <w:szCs w:val="25"/>
        </w:rPr>
        <w:t xml:space="preserve"> </w:t>
      </w:r>
      <w:r w:rsidR="00E649CE" w:rsidRPr="00FD6F39">
        <w:rPr>
          <w:sz w:val="25"/>
          <w:szCs w:val="25"/>
        </w:rPr>
        <w:lastRenderedPageBreak/>
        <w:t xml:space="preserve">sembra muoversi in quello stesso solco. </w:t>
      </w:r>
    </w:p>
    <w:p w14:paraId="04538E4B" w14:textId="1113C8F2" w:rsidR="00011ED8" w:rsidRPr="00FD6F39" w:rsidRDefault="00E649CE" w:rsidP="00DB35EB">
      <w:pPr>
        <w:widowControl w:val="0"/>
        <w:spacing w:after="120" w:line="360" w:lineRule="auto"/>
        <w:jc w:val="both"/>
        <w:rPr>
          <w:sz w:val="25"/>
          <w:szCs w:val="25"/>
        </w:rPr>
      </w:pPr>
      <w:r w:rsidRPr="00FD6F39">
        <w:rPr>
          <w:sz w:val="25"/>
          <w:szCs w:val="25"/>
        </w:rPr>
        <w:t>Consideriamo a tal riguardo gli strumenti di assistenza finanziaria che si vorrebbe introdurre. Vi è una distinzione ex-ante fra una linea di credito precauzionale e una a condizioni rafforzate: la prima sarebbe concessa laddove risultino rispettate una serie di condizioni, fra le quali l’avere un debito pubblico sostenibile; la seconda sarebbe invece riservata, ma meglio sarebbe dire “inflitta”, ai paesi che non possano fregiarsi di condizioni economiche e finanziarie solide.</w:t>
      </w:r>
      <w:r w:rsidR="002E721E" w:rsidRPr="00FD6F39">
        <w:rPr>
          <w:rStyle w:val="Rimandonotaapidipagina"/>
          <w:szCs w:val="25"/>
        </w:rPr>
        <w:footnoteReference w:id="5"/>
      </w:r>
      <w:r w:rsidRPr="00FD6F39">
        <w:rPr>
          <w:sz w:val="25"/>
          <w:szCs w:val="25"/>
        </w:rPr>
        <w:t xml:space="preserve"> Ossia, i nuovi strumenti di sostegno finanziario dell’Eurozona si baserebbero </w:t>
      </w:r>
      <w:r w:rsidRPr="00FD6F39">
        <w:rPr>
          <w:i/>
          <w:sz w:val="25"/>
          <w:szCs w:val="25"/>
        </w:rPr>
        <w:t>ab origine</w:t>
      </w:r>
      <w:r w:rsidRPr="00FD6F39">
        <w:rPr>
          <w:sz w:val="25"/>
          <w:szCs w:val="25"/>
        </w:rPr>
        <w:t xml:space="preserve"> su una distinzione fra buoni e cattivi</w:t>
      </w:r>
      <w:r w:rsidR="00B378D3" w:rsidRPr="00FD6F39">
        <w:rPr>
          <w:sz w:val="25"/>
          <w:szCs w:val="25"/>
        </w:rPr>
        <w:t>,</w:t>
      </w:r>
      <w:r w:rsidRPr="00FD6F39">
        <w:rPr>
          <w:sz w:val="25"/>
          <w:szCs w:val="25"/>
        </w:rPr>
        <w:t xml:space="preserve"> e non è difficile immaginare dove verrebbe collocata l’Italia</w:t>
      </w:r>
      <w:r w:rsidR="00417534" w:rsidRPr="00FD6F39">
        <w:rPr>
          <w:sz w:val="25"/>
          <w:szCs w:val="25"/>
        </w:rPr>
        <w:t>, attesi gli indicatori proposti</w:t>
      </w:r>
      <w:r w:rsidRPr="00FD6F39">
        <w:rPr>
          <w:sz w:val="25"/>
          <w:szCs w:val="25"/>
        </w:rPr>
        <w:t>. Bast</w:t>
      </w:r>
      <w:r w:rsidR="00B378D3" w:rsidRPr="00FD6F39">
        <w:rPr>
          <w:sz w:val="25"/>
          <w:szCs w:val="25"/>
        </w:rPr>
        <w:t>i</w:t>
      </w:r>
      <w:r w:rsidRPr="00FD6F39">
        <w:rPr>
          <w:sz w:val="25"/>
          <w:szCs w:val="25"/>
        </w:rPr>
        <w:t xml:space="preserve"> considerare i quattro criteri di finanza pubblica di cui si dovrebbe tenere conto: non essere sottop</w:t>
      </w:r>
      <w:r w:rsidR="00011ED8" w:rsidRPr="00FD6F39">
        <w:rPr>
          <w:sz w:val="25"/>
          <w:szCs w:val="25"/>
        </w:rPr>
        <w:t>o</w:t>
      </w:r>
      <w:r w:rsidRPr="00FD6F39">
        <w:rPr>
          <w:sz w:val="25"/>
          <w:szCs w:val="25"/>
        </w:rPr>
        <w:t>sti a procedura per disavanzi eccessivi; un deficit inferiore al 3% del Pil</w:t>
      </w:r>
      <w:r w:rsidR="00011ED8" w:rsidRPr="00FD6F39">
        <w:rPr>
          <w:sz w:val="25"/>
          <w:szCs w:val="25"/>
        </w:rPr>
        <w:t>; un saldo di bilancio strutturale pari o superiore al valore minimo di riferimento; un rapporto fra debito e Pil inferiore al 60% o comunque in riduzione di 1/20 annuo</w:t>
      </w:r>
      <w:r w:rsidR="00417534" w:rsidRPr="00FD6F39">
        <w:rPr>
          <w:sz w:val="25"/>
          <w:szCs w:val="25"/>
        </w:rPr>
        <w:t xml:space="preserve"> della parte eccedente il 60% del pil</w:t>
      </w:r>
      <w:r w:rsidR="00011ED8" w:rsidRPr="00FD6F39">
        <w:rPr>
          <w:sz w:val="25"/>
          <w:szCs w:val="25"/>
        </w:rPr>
        <w:t>.</w:t>
      </w:r>
      <w:r w:rsidR="00085CD5" w:rsidRPr="00FD6F39">
        <w:rPr>
          <w:rStyle w:val="Rimandonotaapidipagina"/>
          <w:szCs w:val="25"/>
        </w:rPr>
        <w:footnoteReference w:id="6"/>
      </w:r>
      <w:r w:rsidR="00011ED8" w:rsidRPr="00FD6F39">
        <w:rPr>
          <w:sz w:val="25"/>
          <w:szCs w:val="25"/>
        </w:rPr>
        <w:t xml:space="preserve"> </w:t>
      </w:r>
      <w:r w:rsidR="00417534" w:rsidRPr="00FD6F39">
        <w:rPr>
          <w:sz w:val="25"/>
          <w:szCs w:val="25"/>
        </w:rPr>
        <w:t>Come si vede, questo set di condizioni (</w:t>
      </w:r>
      <w:r w:rsidR="00417534" w:rsidRPr="00FD6F39">
        <w:rPr>
          <w:i/>
          <w:sz w:val="25"/>
          <w:szCs w:val="25"/>
        </w:rPr>
        <w:t>ciascuna</w:t>
      </w:r>
      <w:r w:rsidR="00417534" w:rsidRPr="00FD6F39">
        <w:rPr>
          <w:sz w:val="25"/>
          <w:szCs w:val="25"/>
        </w:rPr>
        <w:t xml:space="preserve"> delle quali è condizione </w:t>
      </w:r>
      <w:r w:rsidR="00417534" w:rsidRPr="00FD6F39">
        <w:rPr>
          <w:i/>
          <w:sz w:val="25"/>
          <w:szCs w:val="25"/>
        </w:rPr>
        <w:t>necessaria</w:t>
      </w:r>
      <w:r w:rsidR="00417534" w:rsidRPr="00FD6F39">
        <w:rPr>
          <w:sz w:val="25"/>
          <w:szCs w:val="25"/>
        </w:rPr>
        <w:t xml:space="preserve"> per accedere al sostegno finanziario) contiene anche una delle regole più controverse e meno difendibili del Fiscal Compact</w:t>
      </w:r>
      <w:r w:rsidR="00B378D3" w:rsidRPr="00FD6F39">
        <w:rPr>
          <w:sz w:val="25"/>
          <w:szCs w:val="25"/>
        </w:rPr>
        <w:t xml:space="preserve"> (l’ultima citata)</w:t>
      </w:r>
      <w:r w:rsidR="00417534" w:rsidRPr="00FD6F39">
        <w:rPr>
          <w:sz w:val="25"/>
          <w:szCs w:val="25"/>
        </w:rPr>
        <w:t xml:space="preserve">. In ogni caso, questo set di regole prefigura già chiaramente il risultato per quanto riguarda il nostro Paese: </w:t>
      </w:r>
      <w:r w:rsidR="00011ED8" w:rsidRPr="00FD6F39">
        <w:rPr>
          <w:sz w:val="25"/>
          <w:szCs w:val="25"/>
        </w:rPr>
        <w:t>in caso di necessità il sostegno finanziario concesso all’Italia si sposterebbe verso il canale “</w:t>
      </w:r>
      <w:r w:rsidR="00EF041B">
        <w:rPr>
          <w:sz w:val="25"/>
          <w:szCs w:val="25"/>
        </w:rPr>
        <w:t>cattivo</w:t>
      </w:r>
      <w:r w:rsidR="00011ED8" w:rsidRPr="00FD6F39">
        <w:rPr>
          <w:sz w:val="25"/>
          <w:szCs w:val="25"/>
        </w:rPr>
        <w:t>”, quello subordinato all’accettazione di pesanti condizionalità</w:t>
      </w:r>
      <w:r w:rsidR="00417534" w:rsidRPr="00FD6F39">
        <w:rPr>
          <w:sz w:val="25"/>
          <w:szCs w:val="25"/>
        </w:rPr>
        <w:t>,</w:t>
      </w:r>
      <w:r w:rsidR="00011ED8" w:rsidRPr="00FD6F39">
        <w:rPr>
          <w:sz w:val="25"/>
          <w:szCs w:val="25"/>
        </w:rPr>
        <w:t xml:space="preserve"> che possono anche giungere a una vera e propria ristrutturazione del debito.</w:t>
      </w:r>
      <w:r w:rsidR="003B58F7" w:rsidRPr="00FD6F39">
        <w:rPr>
          <w:sz w:val="25"/>
          <w:szCs w:val="25"/>
        </w:rPr>
        <w:t xml:space="preserve"> La ristrutturazione del debito, esplicitamente contemplata nel Preambolo,</w:t>
      </w:r>
      <w:r w:rsidR="003B58F7" w:rsidRPr="00FD6F39">
        <w:rPr>
          <w:rStyle w:val="Rimandonotaapidipagina"/>
          <w:szCs w:val="25"/>
        </w:rPr>
        <w:footnoteReference w:id="7"/>
      </w:r>
      <w:r w:rsidR="003B58F7" w:rsidRPr="00FD6F39">
        <w:rPr>
          <w:sz w:val="25"/>
          <w:szCs w:val="25"/>
        </w:rPr>
        <w:t xml:space="preserve"> è ora resa </w:t>
      </w:r>
      <w:r w:rsidR="003B58F7" w:rsidRPr="00FD6F39">
        <w:rPr>
          <w:sz w:val="25"/>
          <w:szCs w:val="25"/>
        </w:rPr>
        <w:lastRenderedPageBreak/>
        <w:t xml:space="preserve">più semplice dalla creazione di “single-limb CACs” (clausole contrattuali che permettono di aggregare più titoli del debito pubblico e ristrutturarli con voto unico dei creditori) per </w:t>
      </w:r>
      <w:r w:rsidR="00085CD5" w:rsidRPr="00FD6F39">
        <w:rPr>
          <w:sz w:val="25"/>
          <w:szCs w:val="25"/>
        </w:rPr>
        <w:t xml:space="preserve">tutti </w:t>
      </w:r>
      <w:r w:rsidR="003B58F7" w:rsidRPr="00FD6F39">
        <w:rPr>
          <w:sz w:val="25"/>
          <w:szCs w:val="25"/>
        </w:rPr>
        <w:t>i titoli con durata maggiore di 1 anno emessi a partire dal 1° gennaio 2022.</w:t>
      </w:r>
      <w:r w:rsidR="003B58F7" w:rsidRPr="00FD6F39">
        <w:rPr>
          <w:rStyle w:val="Rimandonotaapidipagina"/>
          <w:szCs w:val="25"/>
        </w:rPr>
        <w:footnoteReference w:id="8"/>
      </w:r>
      <w:r w:rsidR="003B58F7" w:rsidRPr="00FD6F39">
        <w:rPr>
          <w:sz w:val="25"/>
          <w:szCs w:val="25"/>
        </w:rPr>
        <w:t xml:space="preserve"> </w:t>
      </w:r>
      <w:r w:rsidR="004639BC" w:rsidRPr="00FD6F39">
        <w:rPr>
          <w:sz w:val="25"/>
          <w:szCs w:val="25"/>
        </w:rPr>
        <w:t>Ma, soprattutto, la ristrutturazione preventiva del debito, se questo non è giudicato sostenibile dal MES, diviene di fatto una precondizione per accedere al “soccorso” dello stesso MES.</w:t>
      </w:r>
      <w:r w:rsidR="006C502F" w:rsidRPr="00FD6F39">
        <w:rPr>
          <w:rStyle w:val="Rimandonotaapidipagina"/>
          <w:szCs w:val="25"/>
        </w:rPr>
        <w:footnoteReference w:id="9"/>
      </w:r>
      <w:r w:rsidR="004639BC" w:rsidRPr="00FD6F39">
        <w:rPr>
          <w:sz w:val="25"/>
          <w:szCs w:val="25"/>
        </w:rPr>
        <w:t xml:space="preserve"> </w:t>
      </w:r>
    </w:p>
    <w:p w14:paraId="14867BDC" w14:textId="77777777" w:rsidR="00011ED8" w:rsidRPr="00FD6F39" w:rsidRDefault="00011ED8" w:rsidP="00DB35EB">
      <w:pPr>
        <w:widowControl w:val="0"/>
        <w:spacing w:after="120" w:line="360" w:lineRule="auto"/>
        <w:jc w:val="both"/>
        <w:rPr>
          <w:sz w:val="25"/>
          <w:szCs w:val="25"/>
        </w:rPr>
      </w:pPr>
      <w:r w:rsidRPr="00FD6F39">
        <w:rPr>
          <w:sz w:val="25"/>
          <w:szCs w:val="25"/>
        </w:rPr>
        <w:t>Ma</w:t>
      </w:r>
      <w:r w:rsidR="00B378D3" w:rsidRPr="00FD6F39">
        <w:rPr>
          <w:sz w:val="25"/>
          <w:szCs w:val="25"/>
        </w:rPr>
        <w:t>,</w:t>
      </w:r>
      <w:r w:rsidRPr="00FD6F39">
        <w:rPr>
          <w:sz w:val="25"/>
          <w:szCs w:val="25"/>
        </w:rPr>
        <w:t xml:space="preserve"> se così </w:t>
      </w:r>
      <w:r w:rsidR="00B378D3" w:rsidRPr="00FD6F39">
        <w:rPr>
          <w:sz w:val="25"/>
          <w:szCs w:val="25"/>
        </w:rPr>
        <w:t>stanno le cose</w:t>
      </w:r>
      <w:r w:rsidRPr="00FD6F39">
        <w:rPr>
          <w:sz w:val="25"/>
          <w:szCs w:val="25"/>
        </w:rPr>
        <w:t xml:space="preserve">, quale vantaggio dovrebbe avere il nostro paese dalla definizione di strumenti di assistenza che non paiono avere nessun elemento migliorativo rispetto a quanto già ordinariamente offerto, ad esempio, dal FMI? E quale vantaggio c’è nell’accettare che si trasmettano ai mercati puntuali criteri sulla base dei quali verificare la probabilità che un paese sia ammesso alla strumentazione “buona” piuttosto che a quella “cattiva”, prefigurandosi al contrario un serissimo rischio di speculazione al ribasso sui nostri titoli di Stato? </w:t>
      </w:r>
      <w:r w:rsidR="00863636" w:rsidRPr="00FD6F39">
        <w:rPr>
          <w:sz w:val="25"/>
          <w:szCs w:val="25"/>
        </w:rPr>
        <w:t>Ma soprattutto, qual</w:t>
      </w:r>
      <w:r w:rsidR="00417534" w:rsidRPr="00FD6F39">
        <w:rPr>
          <w:sz w:val="25"/>
          <w:szCs w:val="25"/>
        </w:rPr>
        <w:t xml:space="preserve"> </w:t>
      </w:r>
      <w:r w:rsidR="00863636" w:rsidRPr="00FD6F39">
        <w:rPr>
          <w:sz w:val="25"/>
          <w:szCs w:val="25"/>
        </w:rPr>
        <w:t>è la r</w:t>
      </w:r>
      <w:r w:rsidR="00DC7776" w:rsidRPr="00FD6F39">
        <w:rPr>
          <w:sz w:val="25"/>
          <w:szCs w:val="25"/>
        </w:rPr>
        <w:t xml:space="preserve">agione che dovrebbe portare ad accettare strumenti di sostegno che </w:t>
      </w:r>
      <w:r w:rsidR="00417534" w:rsidRPr="00FD6F39">
        <w:rPr>
          <w:sz w:val="25"/>
          <w:szCs w:val="25"/>
        </w:rPr>
        <w:t>sembrano</w:t>
      </w:r>
      <w:r w:rsidR="00DC7776" w:rsidRPr="00FD6F39">
        <w:rPr>
          <w:sz w:val="25"/>
          <w:szCs w:val="25"/>
        </w:rPr>
        <w:t xml:space="preserve"> pensati per penalizzare maggiormente proprio chi di quel sostegno potrebbe avere maggiore bisogno? </w:t>
      </w:r>
    </w:p>
    <w:p w14:paraId="064A6BA3" w14:textId="77777777" w:rsidR="00054417" w:rsidRPr="00FD6F39" w:rsidRDefault="00054417" w:rsidP="00DB35EB">
      <w:pPr>
        <w:widowControl w:val="0"/>
        <w:spacing w:after="120" w:line="360" w:lineRule="auto"/>
        <w:jc w:val="both"/>
        <w:rPr>
          <w:sz w:val="25"/>
          <w:szCs w:val="25"/>
        </w:rPr>
      </w:pPr>
      <w:r w:rsidRPr="00FD6F39">
        <w:rPr>
          <w:sz w:val="25"/>
          <w:szCs w:val="25"/>
        </w:rPr>
        <w:t xml:space="preserve">Lo Stato italiano </w:t>
      </w:r>
      <w:r w:rsidR="00DC7776" w:rsidRPr="00FD6F39">
        <w:rPr>
          <w:sz w:val="25"/>
          <w:szCs w:val="25"/>
        </w:rPr>
        <w:t>spende per</w:t>
      </w:r>
      <w:r w:rsidRPr="00FD6F39">
        <w:rPr>
          <w:sz w:val="25"/>
          <w:szCs w:val="25"/>
        </w:rPr>
        <w:t xml:space="preserve"> </w:t>
      </w:r>
      <w:r w:rsidR="00DC7776" w:rsidRPr="00FD6F39">
        <w:rPr>
          <w:sz w:val="25"/>
          <w:szCs w:val="25"/>
        </w:rPr>
        <w:t>interessi</w:t>
      </w:r>
      <w:r w:rsidRPr="00FD6F39">
        <w:rPr>
          <w:sz w:val="25"/>
          <w:szCs w:val="25"/>
        </w:rPr>
        <w:t xml:space="preserve"> quasi il doppio di quanto non spenda per investimenti pubblici. Prioritaria è dunque l’esigenza di ritornare su un sentiero di rientro del debito pubblico, come già è stato nel primo decennio di moneta unica. </w:t>
      </w:r>
    </w:p>
    <w:p w14:paraId="700FEEFB" w14:textId="77777777" w:rsidR="00B378D3" w:rsidRPr="00FD6F39" w:rsidRDefault="00054417" w:rsidP="00B641E2">
      <w:pPr>
        <w:widowControl w:val="0"/>
        <w:spacing w:after="120" w:line="360" w:lineRule="auto"/>
        <w:jc w:val="both"/>
        <w:rPr>
          <w:sz w:val="25"/>
          <w:szCs w:val="25"/>
        </w:rPr>
      </w:pPr>
      <w:r w:rsidRPr="00FD6F39">
        <w:rPr>
          <w:sz w:val="25"/>
          <w:szCs w:val="25"/>
        </w:rPr>
        <w:t>Deve però essere chiaro che la riforma del MES non è un meccanismo facilitatore in tal senso. Al contrario, così come sono stati predisposti, gli strumenti di assistenza finanziaria sembrano perfetti per innescare una nuova crisi del debito, perseverando in tal modo nei gravi errori del 2011-12.</w:t>
      </w:r>
      <w:r w:rsidR="003C3435" w:rsidRPr="00FD6F39">
        <w:rPr>
          <w:sz w:val="25"/>
          <w:szCs w:val="25"/>
        </w:rPr>
        <w:t xml:space="preserve"> Si può </w:t>
      </w:r>
      <w:r w:rsidR="00EF041B">
        <w:rPr>
          <w:sz w:val="25"/>
          <w:szCs w:val="25"/>
        </w:rPr>
        <w:t xml:space="preserve">inoltre </w:t>
      </w:r>
      <w:r w:rsidR="003C3435" w:rsidRPr="00FD6F39">
        <w:rPr>
          <w:sz w:val="25"/>
          <w:szCs w:val="25"/>
        </w:rPr>
        <w:t xml:space="preserve">osservare come </w:t>
      </w:r>
      <w:r w:rsidR="007E23EF" w:rsidRPr="00FD6F39">
        <w:rPr>
          <w:sz w:val="25"/>
          <w:szCs w:val="25"/>
        </w:rPr>
        <w:lastRenderedPageBreak/>
        <w:t xml:space="preserve">anche </w:t>
      </w:r>
      <w:r w:rsidR="003C3435" w:rsidRPr="00FD6F39">
        <w:rPr>
          <w:sz w:val="25"/>
          <w:szCs w:val="25"/>
        </w:rPr>
        <w:t>le proposte recentemente avanzate dal ministro delle finanze tedesco, Olaf Scholz, in relazione al completamento dell’Unione bancaria</w:t>
      </w:r>
      <w:r w:rsidR="006C502F" w:rsidRPr="00FD6F39">
        <w:rPr>
          <w:sz w:val="25"/>
          <w:szCs w:val="25"/>
        </w:rPr>
        <w:t xml:space="preserve"> europea (UBE)</w:t>
      </w:r>
      <w:r w:rsidR="003C3435" w:rsidRPr="00FD6F39">
        <w:rPr>
          <w:sz w:val="25"/>
          <w:szCs w:val="25"/>
        </w:rPr>
        <w:t xml:space="preserve"> risultino </w:t>
      </w:r>
      <w:r w:rsidR="00566CE4" w:rsidRPr="00FD6F39">
        <w:rPr>
          <w:sz w:val="25"/>
          <w:szCs w:val="25"/>
        </w:rPr>
        <w:t>nei fatti</w:t>
      </w:r>
      <w:r w:rsidR="003C3435" w:rsidRPr="00FD6F39">
        <w:rPr>
          <w:sz w:val="25"/>
          <w:szCs w:val="25"/>
        </w:rPr>
        <w:t xml:space="preserve"> convergenti con quelle </w:t>
      </w:r>
      <w:r w:rsidR="006C502F" w:rsidRPr="00FD6F39">
        <w:rPr>
          <w:sz w:val="25"/>
          <w:szCs w:val="25"/>
        </w:rPr>
        <w:t>riferite al MES</w:t>
      </w:r>
      <w:r w:rsidR="003C3435" w:rsidRPr="00FD6F39">
        <w:rPr>
          <w:sz w:val="25"/>
          <w:szCs w:val="25"/>
        </w:rPr>
        <w:t xml:space="preserve">: </w:t>
      </w:r>
      <w:r w:rsidR="00B378D3" w:rsidRPr="00FD6F39">
        <w:rPr>
          <w:sz w:val="25"/>
          <w:szCs w:val="25"/>
        </w:rPr>
        <w:t>esse prevedono infatti</w:t>
      </w:r>
      <w:r w:rsidR="003C3435" w:rsidRPr="00FD6F39">
        <w:rPr>
          <w:sz w:val="25"/>
          <w:szCs w:val="25"/>
        </w:rPr>
        <w:t xml:space="preserve"> meccanismi di penalizzazione del possesso di titoli di Stato in funzione del rating di questi ultimi e della loro concentrazione nel portafoglio delle banche del Paese emittente. </w:t>
      </w:r>
    </w:p>
    <w:p w14:paraId="2E4FF7D0" w14:textId="77777777" w:rsidR="00B04A11" w:rsidRPr="00FD6F39" w:rsidRDefault="00B04A11" w:rsidP="00B641E2">
      <w:pPr>
        <w:widowControl w:val="0"/>
        <w:spacing w:after="120" w:line="360" w:lineRule="auto"/>
        <w:jc w:val="both"/>
        <w:rPr>
          <w:sz w:val="25"/>
          <w:szCs w:val="25"/>
        </w:rPr>
      </w:pPr>
      <w:r w:rsidRPr="00FD6F39">
        <w:rPr>
          <w:sz w:val="25"/>
          <w:szCs w:val="25"/>
        </w:rPr>
        <w:t xml:space="preserve">Non è difficile prevedere che con buona probabilità </w:t>
      </w:r>
      <w:r w:rsidR="003C3435" w:rsidRPr="00FD6F39">
        <w:rPr>
          <w:sz w:val="25"/>
          <w:szCs w:val="25"/>
        </w:rPr>
        <w:t xml:space="preserve">il combinato disposto delle </w:t>
      </w:r>
      <w:r w:rsidR="004D2321" w:rsidRPr="00FD6F39">
        <w:rPr>
          <w:sz w:val="25"/>
          <w:szCs w:val="25"/>
        </w:rPr>
        <w:t xml:space="preserve">modifiche </w:t>
      </w:r>
      <w:r w:rsidR="000A2D47" w:rsidRPr="00FD6F39">
        <w:rPr>
          <w:sz w:val="25"/>
          <w:szCs w:val="25"/>
        </w:rPr>
        <w:t>in discussione</w:t>
      </w:r>
      <w:r w:rsidRPr="00FD6F39">
        <w:rPr>
          <w:sz w:val="25"/>
          <w:szCs w:val="25"/>
        </w:rPr>
        <w:t>, rispettivamente, per il Trattato riguardante il MES e per quello relativo all’UBE</w:t>
      </w:r>
      <w:r w:rsidR="00B378D3" w:rsidRPr="00FD6F39">
        <w:rPr>
          <w:sz w:val="25"/>
          <w:szCs w:val="25"/>
        </w:rPr>
        <w:t xml:space="preserve"> </w:t>
      </w:r>
      <w:r w:rsidR="007E23EF" w:rsidRPr="00FD6F39">
        <w:rPr>
          <w:sz w:val="25"/>
          <w:szCs w:val="25"/>
        </w:rPr>
        <w:t xml:space="preserve">– se approvate come in proposta – </w:t>
      </w:r>
      <w:r w:rsidRPr="00FD6F39">
        <w:rPr>
          <w:sz w:val="25"/>
          <w:szCs w:val="25"/>
        </w:rPr>
        <w:t>ingenererà</w:t>
      </w:r>
      <w:r w:rsidR="004D2321" w:rsidRPr="00FD6F39">
        <w:rPr>
          <w:sz w:val="25"/>
          <w:szCs w:val="25"/>
        </w:rPr>
        <w:t xml:space="preserve"> una forte pressione al ribasso sui titoli di Stato emessi dalla Repubblica Italiana</w:t>
      </w:r>
      <w:r w:rsidRPr="00FD6F39">
        <w:rPr>
          <w:sz w:val="25"/>
          <w:szCs w:val="25"/>
        </w:rPr>
        <w:t>: una pressione</w:t>
      </w:r>
      <w:r w:rsidR="00566CE4" w:rsidRPr="00FD6F39">
        <w:rPr>
          <w:sz w:val="25"/>
          <w:szCs w:val="25"/>
        </w:rPr>
        <w:t xml:space="preserve"> innescata dal mutamento delle aspettative degli investitori </w:t>
      </w:r>
      <w:r w:rsidRPr="00FD6F39">
        <w:rPr>
          <w:sz w:val="25"/>
          <w:szCs w:val="25"/>
        </w:rPr>
        <w:t>(circa le possibilità di ristrutturazione del debito italiano da un lato, circa la presumibile minore domanda per i nos</w:t>
      </w:r>
      <w:r w:rsidR="000A2D47" w:rsidRPr="00FD6F39">
        <w:rPr>
          <w:sz w:val="25"/>
          <w:szCs w:val="25"/>
        </w:rPr>
        <w:t>tri titoli di Stato dall’altro), destinata ad autoalimentarsi a causa del</w:t>
      </w:r>
      <w:r w:rsidRPr="00FD6F39">
        <w:rPr>
          <w:sz w:val="25"/>
          <w:szCs w:val="25"/>
        </w:rPr>
        <w:t xml:space="preserve"> </w:t>
      </w:r>
      <w:r w:rsidR="00566CE4" w:rsidRPr="00FD6F39">
        <w:rPr>
          <w:sz w:val="25"/>
          <w:szCs w:val="25"/>
        </w:rPr>
        <w:t xml:space="preserve">ben noto meccanismo delle </w:t>
      </w:r>
      <w:r w:rsidR="00566CE4" w:rsidRPr="00FD6F39">
        <w:rPr>
          <w:i/>
          <w:sz w:val="25"/>
          <w:szCs w:val="25"/>
        </w:rPr>
        <w:t>self-fulfilling prophecies</w:t>
      </w:r>
      <w:r w:rsidR="00566CE4" w:rsidRPr="00FD6F39">
        <w:rPr>
          <w:sz w:val="25"/>
          <w:szCs w:val="25"/>
        </w:rPr>
        <w:t xml:space="preserve">. </w:t>
      </w:r>
    </w:p>
    <w:p w14:paraId="4CE2BE4E" w14:textId="77777777" w:rsidR="00DA66BD" w:rsidRPr="00FD6F39" w:rsidRDefault="00566CE4" w:rsidP="00B641E2">
      <w:pPr>
        <w:widowControl w:val="0"/>
        <w:spacing w:after="120" w:line="360" w:lineRule="auto"/>
        <w:jc w:val="both"/>
        <w:rPr>
          <w:rStyle w:val="Nessuno"/>
          <w:sz w:val="25"/>
          <w:szCs w:val="25"/>
        </w:rPr>
      </w:pPr>
      <w:r w:rsidRPr="00FD6F39">
        <w:rPr>
          <w:sz w:val="25"/>
          <w:szCs w:val="25"/>
        </w:rPr>
        <w:t xml:space="preserve">Non sarebbe la prima volta che il nostro Paese si trova a dover fronteggiare una crisi </w:t>
      </w:r>
      <w:r w:rsidRPr="00FD6F39">
        <w:rPr>
          <w:i/>
          <w:sz w:val="25"/>
          <w:szCs w:val="25"/>
        </w:rPr>
        <w:t>regulation driven</w:t>
      </w:r>
      <w:r w:rsidRPr="00FD6F39">
        <w:rPr>
          <w:sz w:val="25"/>
          <w:szCs w:val="25"/>
        </w:rPr>
        <w:t>. Per trovare un esempio nel passato recente</w:t>
      </w:r>
      <w:r w:rsidR="00795547" w:rsidRPr="00FD6F39">
        <w:rPr>
          <w:sz w:val="25"/>
          <w:szCs w:val="25"/>
        </w:rPr>
        <w:t xml:space="preserve"> </w:t>
      </w:r>
      <w:r w:rsidRPr="00FD6F39">
        <w:rPr>
          <w:sz w:val="25"/>
          <w:szCs w:val="25"/>
        </w:rPr>
        <w:t xml:space="preserve">è sufficiente pensare a quanto accaduto al nostro sistema bancario in occasione dell’avvio dell’Unione bancaria europea, ed in particolare dell’introduzione del meccanismo del “bail-in”. </w:t>
      </w:r>
      <w:r w:rsidR="00DA66BD" w:rsidRPr="00FD6F39">
        <w:rPr>
          <w:rStyle w:val="Nessuno"/>
          <w:sz w:val="25"/>
          <w:szCs w:val="25"/>
        </w:rPr>
        <w:t xml:space="preserve">In effetti, </w:t>
      </w:r>
      <w:r w:rsidR="00DA66BD" w:rsidRPr="00FD6F39">
        <w:rPr>
          <w:rStyle w:val="Nessuno"/>
          <w:bCs/>
          <w:sz w:val="25"/>
          <w:szCs w:val="25"/>
        </w:rPr>
        <w:t>tra fine novembre 2015 e l’11 febbraio 2016</w:t>
      </w:r>
      <w:r w:rsidR="00DA66BD" w:rsidRPr="00FD6F39">
        <w:rPr>
          <w:rStyle w:val="Nessuno"/>
          <w:sz w:val="25"/>
          <w:szCs w:val="25"/>
        </w:rPr>
        <w:t xml:space="preserve">, ossia dallo stop </w:t>
      </w:r>
      <w:r w:rsidR="00795547" w:rsidRPr="00FD6F39">
        <w:rPr>
          <w:rStyle w:val="Nessuno"/>
          <w:sz w:val="25"/>
          <w:szCs w:val="25"/>
        </w:rPr>
        <w:t xml:space="preserve">(verosimilmente illegittimo) </w:t>
      </w:r>
      <w:r w:rsidR="00DA66BD" w:rsidRPr="00FD6F39">
        <w:rPr>
          <w:rStyle w:val="Nessuno"/>
          <w:sz w:val="25"/>
          <w:szCs w:val="25"/>
        </w:rPr>
        <w:t xml:space="preserve">della Commissione Europea all’intervento del fondo interbancario di tutela dei depositi (FITD) per salvare 4 banche locali – che quindi sono state avviate alla risoluzione </w:t>
      </w:r>
      <w:r w:rsidR="00795547" w:rsidRPr="00FD6F39">
        <w:rPr>
          <w:rStyle w:val="Nessuno"/>
          <w:sz w:val="25"/>
          <w:szCs w:val="25"/>
        </w:rPr>
        <w:t>–</w:t>
      </w:r>
      <w:r w:rsidR="00DA66BD" w:rsidRPr="00FD6F39">
        <w:rPr>
          <w:rStyle w:val="Nessuno"/>
          <w:sz w:val="25"/>
          <w:szCs w:val="25"/>
        </w:rPr>
        <w:t xml:space="preserve"> alle prime settimane successive all’entrata in vigore del bail-in, </w:t>
      </w:r>
      <w:r w:rsidR="00DA66BD" w:rsidRPr="00FD6F39">
        <w:rPr>
          <w:rStyle w:val="Nessuno"/>
          <w:bCs/>
          <w:sz w:val="25"/>
          <w:szCs w:val="25"/>
        </w:rPr>
        <w:t xml:space="preserve">sono </w:t>
      </w:r>
      <w:r w:rsidR="00795547" w:rsidRPr="00FD6F39">
        <w:rPr>
          <w:rStyle w:val="Nessuno"/>
          <w:bCs/>
          <w:sz w:val="25"/>
          <w:szCs w:val="25"/>
        </w:rPr>
        <w:t>andati persi</w:t>
      </w:r>
      <w:r w:rsidR="00DA66BD" w:rsidRPr="00FD6F39">
        <w:rPr>
          <w:rStyle w:val="Nessuno"/>
          <w:bCs/>
          <w:sz w:val="25"/>
          <w:szCs w:val="25"/>
        </w:rPr>
        <w:t xml:space="preserve"> 46 miliardi di capitalizzazione di borsa dei titoli bancari su un totale di 134,6: un crollo del 35%</w:t>
      </w:r>
      <w:r w:rsidR="00DA66BD" w:rsidRPr="00FD6F39">
        <w:rPr>
          <w:rStyle w:val="Nessuno"/>
          <w:sz w:val="25"/>
          <w:szCs w:val="25"/>
        </w:rPr>
        <w:t xml:space="preserve">. </w:t>
      </w:r>
    </w:p>
    <w:p w14:paraId="31AB84B6" w14:textId="77777777" w:rsidR="00054417" w:rsidRPr="00FD6F39" w:rsidRDefault="00566CE4" w:rsidP="00DB35EB">
      <w:pPr>
        <w:widowControl w:val="0"/>
        <w:spacing w:after="120" w:line="360" w:lineRule="auto"/>
        <w:jc w:val="both"/>
        <w:rPr>
          <w:sz w:val="25"/>
          <w:szCs w:val="25"/>
        </w:rPr>
      </w:pPr>
      <w:r w:rsidRPr="00FD6F39">
        <w:rPr>
          <w:sz w:val="25"/>
          <w:szCs w:val="25"/>
        </w:rPr>
        <w:t>Questo solo esempio è sufficiente a renderci consapevoli dell’importanza d</w:t>
      </w:r>
      <w:r w:rsidR="005A6E49" w:rsidRPr="00FD6F39">
        <w:rPr>
          <w:sz w:val="25"/>
          <w:szCs w:val="25"/>
        </w:rPr>
        <w:t xml:space="preserve">el richiamo alla cautela esplicitato dal governatore della Banca d’Italia, </w:t>
      </w:r>
      <w:r w:rsidR="00B04A11" w:rsidRPr="00FD6F39">
        <w:rPr>
          <w:sz w:val="25"/>
          <w:szCs w:val="25"/>
        </w:rPr>
        <w:t xml:space="preserve">dott. </w:t>
      </w:r>
      <w:r w:rsidR="005A6E49" w:rsidRPr="00FD6F39">
        <w:rPr>
          <w:sz w:val="25"/>
          <w:szCs w:val="25"/>
        </w:rPr>
        <w:t>Ignazio Visco, il 15 novembre scorso</w:t>
      </w:r>
      <w:r w:rsidR="00F70104" w:rsidRPr="00FD6F39">
        <w:rPr>
          <w:sz w:val="25"/>
          <w:szCs w:val="25"/>
        </w:rPr>
        <w:t xml:space="preserve">, </w:t>
      </w:r>
      <w:r w:rsidR="005A6E49" w:rsidRPr="00FD6F39">
        <w:rPr>
          <w:sz w:val="25"/>
          <w:szCs w:val="25"/>
        </w:rPr>
        <w:t>in relazione al</w:t>
      </w:r>
      <w:r w:rsidR="00795547" w:rsidRPr="00FD6F39">
        <w:rPr>
          <w:sz w:val="25"/>
          <w:szCs w:val="25"/>
        </w:rPr>
        <w:t>le proposte di modifica del MES;</w:t>
      </w:r>
      <w:r w:rsidR="005A6E49" w:rsidRPr="00FD6F39">
        <w:rPr>
          <w:sz w:val="25"/>
          <w:szCs w:val="25"/>
        </w:rPr>
        <w:t xml:space="preserve"> </w:t>
      </w:r>
      <w:r w:rsidR="00F70104" w:rsidRPr="00FD6F39">
        <w:rPr>
          <w:sz w:val="25"/>
          <w:szCs w:val="25"/>
        </w:rPr>
        <w:t xml:space="preserve">in </w:t>
      </w:r>
      <w:r w:rsidR="00F70104" w:rsidRPr="00FD6F39">
        <w:rPr>
          <w:sz w:val="25"/>
          <w:szCs w:val="25"/>
        </w:rPr>
        <w:lastRenderedPageBreak/>
        <w:t>merito a</w:t>
      </w:r>
      <w:r w:rsidR="00795547" w:rsidRPr="00FD6F39">
        <w:rPr>
          <w:sz w:val="25"/>
          <w:szCs w:val="25"/>
        </w:rPr>
        <w:t xml:space="preserve"> tali modifiche</w:t>
      </w:r>
      <w:r w:rsidR="00F70104" w:rsidRPr="00FD6F39">
        <w:rPr>
          <w:sz w:val="25"/>
          <w:szCs w:val="25"/>
        </w:rPr>
        <w:t xml:space="preserve"> </w:t>
      </w:r>
      <w:r w:rsidR="00795547" w:rsidRPr="00FD6F39">
        <w:rPr>
          <w:sz w:val="25"/>
          <w:szCs w:val="25"/>
        </w:rPr>
        <w:t>egli</w:t>
      </w:r>
      <w:r w:rsidR="00F70104" w:rsidRPr="00FD6F39">
        <w:rPr>
          <w:sz w:val="25"/>
          <w:szCs w:val="25"/>
        </w:rPr>
        <w:t xml:space="preserve"> </w:t>
      </w:r>
      <w:r w:rsidR="005A6E49" w:rsidRPr="00FD6F39">
        <w:rPr>
          <w:sz w:val="25"/>
          <w:szCs w:val="25"/>
        </w:rPr>
        <w:t xml:space="preserve">ha </w:t>
      </w:r>
      <w:r w:rsidR="00F70104" w:rsidRPr="00FD6F39">
        <w:rPr>
          <w:sz w:val="25"/>
          <w:szCs w:val="25"/>
        </w:rPr>
        <w:t xml:space="preserve">tra l’altro </w:t>
      </w:r>
      <w:r w:rsidR="005A6E49" w:rsidRPr="00FD6F39">
        <w:rPr>
          <w:sz w:val="25"/>
          <w:szCs w:val="25"/>
        </w:rPr>
        <w:t xml:space="preserve">osservato come “i benefici modesti e incerti di un meccanismo di ristrutturazione del debito devono essere soppesati </w:t>
      </w:r>
      <w:r w:rsidR="00EF041B">
        <w:rPr>
          <w:sz w:val="25"/>
          <w:szCs w:val="25"/>
        </w:rPr>
        <w:t>ponendoli a</w:t>
      </w:r>
      <w:r w:rsidR="005A6E49" w:rsidRPr="00FD6F39">
        <w:rPr>
          <w:sz w:val="25"/>
          <w:szCs w:val="25"/>
        </w:rPr>
        <w:t xml:space="preserve"> confronto </w:t>
      </w:r>
      <w:r w:rsidR="00EF041B">
        <w:rPr>
          <w:sz w:val="25"/>
          <w:szCs w:val="25"/>
        </w:rPr>
        <w:t xml:space="preserve">con </w:t>
      </w:r>
      <w:r w:rsidR="005A6E49" w:rsidRPr="00FD6F39">
        <w:rPr>
          <w:sz w:val="25"/>
          <w:szCs w:val="25"/>
        </w:rPr>
        <w:t>l’enorme rischio che il mero annuncio della sua introduzione possa innescare una spirale perversa di aspettative di default, che possono dimostrarsi autorealizzantisi”.</w:t>
      </w:r>
      <w:r w:rsidR="005A6E49" w:rsidRPr="00FD6F39">
        <w:rPr>
          <w:rStyle w:val="Rimandonotaapidipagina"/>
          <w:szCs w:val="25"/>
        </w:rPr>
        <w:footnoteReference w:id="10"/>
      </w:r>
      <w:r w:rsidR="005A6E49" w:rsidRPr="00FD6F39">
        <w:rPr>
          <w:sz w:val="25"/>
          <w:szCs w:val="25"/>
        </w:rPr>
        <w:t xml:space="preserve"> </w:t>
      </w:r>
    </w:p>
    <w:p w14:paraId="1C0F13CF" w14:textId="77777777" w:rsidR="00DC7776" w:rsidRPr="00FD6F39" w:rsidRDefault="00F70104" w:rsidP="00DB35EB">
      <w:pPr>
        <w:widowControl w:val="0"/>
        <w:spacing w:after="120" w:line="360" w:lineRule="auto"/>
        <w:jc w:val="both"/>
        <w:rPr>
          <w:sz w:val="25"/>
          <w:szCs w:val="25"/>
        </w:rPr>
      </w:pPr>
      <w:r w:rsidRPr="00FD6F39">
        <w:rPr>
          <w:sz w:val="25"/>
          <w:szCs w:val="25"/>
        </w:rPr>
        <w:t>Dal punto di vista dell’Italia appare quindi assolutamente ragionevole richiedere modifiche radicali di impianto al</w:t>
      </w:r>
      <w:r w:rsidR="00054417" w:rsidRPr="00FD6F39">
        <w:rPr>
          <w:sz w:val="25"/>
          <w:szCs w:val="25"/>
        </w:rPr>
        <w:t>la proposta di riforma del MES, indican</w:t>
      </w:r>
      <w:r w:rsidR="003B0E1B" w:rsidRPr="00FD6F39">
        <w:rPr>
          <w:sz w:val="25"/>
          <w:szCs w:val="25"/>
        </w:rPr>
        <w:t>d</w:t>
      </w:r>
      <w:r w:rsidR="00054417" w:rsidRPr="00FD6F39">
        <w:rPr>
          <w:sz w:val="25"/>
          <w:szCs w:val="25"/>
        </w:rPr>
        <w:t>o la possibilità di concedere sostegno finanziario a bassa condizionalità per esigenze di finanza pubblica</w:t>
      </w:r>
      <w:r w:rsidR="00EF041B">
        <w:rPr>
          <w:sz w:val="25"/>
          <w:szCs w:val="25"/>
        </w:rPr>
        <w:t>,</w:t>
      </w:r>
      <w:r w:rsidR="00054417" w:rsidRPr="00FD6F39">
        <w:rPr>
          <w:sz w:val="25"/>
          <w:szCs w:val="25"/>
        </w:rPr>
        <w:t xml:space="preserve"> non laddove non si abbiano squilibri di quest’ult</w:t>
      </w:r>
      <w:r w:rsidR="00383D03" w:rsidRPr="00FD6F39">
        <w:rPr>
          <w:sz w:val="25"/>
          <w:szCs w:val="25"/>
        </w:rPr>
        <w:t>i</w:t>
      </w:r>
      <w:r w:rsidR="00054417" w:rsidRPr="00FD6F39">
        <w:rPr>
          <w:sz w:val="25"/>
          <w:szCs w:val="25"/>
        </w:rPr>
        <w:t>ma</w:t>
      </w:r>
      <w:r w:rsidR="0001412D" w:rsidRPr="00FD6F39">
        <w:rPr>
          <w:sz w:val="25"/>
          <w:szCs w:val="25"/>
        </w:rPr>
        <w:t>,</w:t>
      </w:r>
      <w:r w:rsidR="004A72AE" w:rsidRPr="00FD6F39">
        <w:rPr>
          <w:rStyle w:val="Rimandonotaapidipagina"/>
          <w:szCs w:val="25"/>
        </w:rPr>
        <w:footnoteReference w:id="11"/>
      </w:r>
      <w:r w:rsidR="00383D03" w:rsidRPr="00FD6F39">
        <w:rPr>
          <w:sz w:val="25"/>
          <w:szCs w:val="25"/>
        </w:rPr>
        <w:t xml:space="preserve"> bensì nel caso </w:t>
      </w:r>
      <w:r w:rsidR="00B04A11" w:rsidRPr="00FD6F39">
        <w:rPr>
          <w:sz w:val="25"/>
          <w:szCs w:val="25"/>
        </w:rPr>
        <w:t xml:space="preserve">in cui </w:t>
      </w:r>
      <w:r w:rsidR="00383D03" w:rsidRPr="00FD6F39">
        <w:rPr>
          <w:sz w:val="25"/>
          <w:szCs w:val="25"/>
        </w:rPr>
        <w:t xml:space="preserve">siano rispettati </w:t>
      </w:r>
      <w:r w:rsidR="00383D03" w:rsidRPr="00FD6F39">
        <w:rPr>
          <w:i/>
          <w:sz w:val="25"/>
          <w:szCs w:val="25"/>
        </w:rPr>
        <w:t xml:space="preserve">tutti gli altri </w:t>
      </w:r>
      <w:r w:rsidR="00383D03" w:rsidRPr="00FD6F39">
        <w:rPr>
          <w:sz w:val="25"/>
          <w:szCs w:val="25"/>
        </w:rPr>
        <w:t>criteri definiti al di fuori della sfera del deficit e del debito pubblico: l’assenza di squilibri macroeconomici eccessivi</w:t>
      </w:r>
      <w:r w:rsidR="00795547" w:rsidRPr="00FD6F39">
        <w:rPr>
          <w:sz w:val="25"/>
          <w:szCs w:val="25"/>
        </w:rPr>
        <w:t>,</w:t>
      </w:r>
      <w:r w:rsidR="00383D03" w:rsidRPr="00FD6F39">
        <w:rPr>
          <w:sz w:val="25"/>
          <w:szCs w:val="25"/>
        </w:rPr>
        <w:t xml:space="preserve"> una posizione sull’estero sostenibile</w:t>
      </w:r>
      <w:r w:rsidR="00795547" w:rsidRPr="00FD6F39">
        <w:rPr>
          <w:sz w:val="25"/>
          <w:szCs w:val="25"/>
        </w:rPr>
        <w:t>,</w:t>
      </w:r>
      <w:r w:rsidR="00383D03" w:rsidRPr="00FD6F39">
        <w:rPr>
          <w:sz w:val="25"/>
          <w:szCs w:val="25"/>
        </w:rPr>
        <w:t xml:space="preserve"> l’assenza di gravi vulnerabilità del sistema finanziario che mettano a repentaglio la stabilità finanziaria dell’area (</w:t>
      </w:r>
      <w:r w:rsidR="00795547" w:rsidRPr="00FD6F39">
        <w:rPr>
          <w:sz w:val="25"/>
          <w:szCs w:val="25"/>
        </w:rPr>
        <w:t xml:space="preserve">vulnerabilità </w:t>
      </w:r>
      <w:r w:rsidR="00383D03" w:rsidRPr="00FD6F39">
        <w:rPr>
          <w:sz w:val="25"/>
          <w:szCs w:val="25"/>
        </w:rPr>
        <w:t>che l’Italia non ha e che invece ha</w:t>
      </w:r>
      <w:r w:rsidR="0001412D" w:rsidRPr="00FD6F39">
        <w:rPr>
          <w:sz w:val="25"/>
          <w:szCs w:val="25"/>
        </w:rPr>
        <w:t>nno</w:t>
      </w:r>
      <w:r w:rsidR="00383D03" w:rsidRPr="00FD6F39">
        <w:rPr>
          <w:sz w:val="25"/>
          <w:szCs w:val="25"/>
        </w:rPr>
        <w:t xml:space="preserve"> la Germania e la Francia</w:t>
      </w:r>
      <w:r w:rsidR="00B04A11" w:rsidRPr="00FD6F39">
        <w:rPr>
          <w:sz w:val="25"/>
          <w:szCs w:val="25"/>
        </w:rPr>
        <w:t xml:space="preserve">, a motivo dell’ingentissimo ammontare di titoli finanziari illiquidi </w:t>
      </w:r>
      <w:r w:rsidR="00815796" w:rsidRPr="00FD6F39">
        <w:rPr>
          <w:sz w:val="25"/>
          <w:szCs w:val="25"/>
        </w:rPr>
        <w:t xml:space="preserve">e non valutati al </w:t>
      </w:r>
      <w:r w:rsidR="00815796" w:rsidRPr="00FD6F39">
        <w:rPr>
          <w:i/>
          <w:sz w:val="25"/>
          <w:szCs w:val="25"/>
        </w:rPr>
        <w:t>fair value</w:t>
      </w:r>
      <w:r w:rsidR="00815796" w:rsidRPr="00FD6F39">
        <w:rPr>
          <w:sz w:val="25"/>
          <w:szCs w:val="25"/>
        </w:rPr>
        <w:t xml:space="preserve"> </w:t>
      </w:r>
      <w:r w:rsidR="00B04A11" w:rsidRPr="00FD6F39">
        <w:rPr>
          <w:sz w:val="25"/>
          <w:szCs w:val="25"/>
        </w:rPr>
        <w:t>presenti nei portafogli delle rispettive banche</w:t>
      </w:r>
      <w:r w:rsidR="00383D03" w:rsidRPr="00FD6F39">
        <w:rPr>
          <w:sz w:val="25"/>
          <w:szCs w:val="25"/>
        </w:rPr>
        <w:t>)</w:t>
      </w:r>
      <w:r w:rsidR="00795547" w:rsidRPr="00FD6F39">
        <w:rPr>
          <w:sz w:val="25"/>
          <w:szCs w:val="25"/>
        </w:rPr>
        <w:t>,</w:t>
      </w:r>
      <w:r w:rsidR="00B04A11" w:rsidRPr="00FD6F39">
        <w:rPr>
          <w:rStyle w:val="Rimandonotaapidipagina"/>
          <w:szCs w:val="25"/>
        </w:rPr>
        <w:footnoteReference w:id="12"/>
      </w:r>
      <w:r w:rsidR="00383D03" w:rsidRPr="00FD6F39">
        <w:rPr>
          <w:sz w:val="25"/>
          <w:szCs w:val="25"/>
        </w:rPr>
        <w:t xml:space="preserve"> l’acces</w:t>
      </w:r>
      <w:r w:rsidR="00A97919" w:rsidRPr="00FD6F39">
        <w:rPr>
          <w:sz w:val="25"/>
          <w:szCs w:val="25"/>
        </w:rPr>
        <w:t>s</w:t>
      </w:r>
      <w:r w:rsidR="00383D03" w:rsidRPr="00FD6F39">
        <w:rPr>
          <w:sz w:val="25"/>
          <w:szCs w:val="25"/>
        </w:rPr>
        <w:t xml:space="preserve">o ai mercati </w:t>
      </w:r>
      <w:r w:rsidR="0001412D" w:rsidRPr="00FD6F39">
        <w:rPr>
          <w:sz w:val="25"/>
          <w:szCs w:val="25"/>
        </w:rPr>
        <w:t xml:space="preserve">internazionali </w:t>
      </w:r>
      <w:r w:rsidR="00383D03" w:rsidRPr="00FD6F39">
        <w:rPr>
          <w:sz w:val="25"/>
          <w:szCs w:val="25"/>
        </w:rPr>
        <w:t xml:space="preserve">dei capitali. </w:t>
      </w:r>
      <w:r w:rsidR="000D6C30" w:rsidRPr="00FD6F39">
        <w:rPr>
          <w:sz w:val="25"/>
          <w:szCs w:val="25"/>
        </w:rPr>
        <w:t xml:space="preserve">Questi </w:t>
      </w:r>
      <w:r w:rsidR="00383D03" w:rsidRPr="00FD6F39">
        <w:rPr>
          <w:sz w:val="25"/>
          <w:szCs w:val="25"/>
        </w:rPr>
        <w:t xml:space="preserve">criteri </w:t>
      </w:r>
      <w:r w:rsidR="000D6C30" w:rsidRPr="00FD6F39">
        <w:rPr>
          <w:sz w:val="25"/>
          <w:szCs w:val="25"/>
        </w:rPr>
        <w:t xml:space="preserve">sono </w:t>
      </w:r>
      <w:r w:rsidR="000D6C30" w:rsidRPr="00FD6F39">
        <w:rPr>
          <w:i/>
          <w:sz w:val="25"/>
          <w:szCs w:val="25"/>
        </w:rPr>
        <w:t>tutti</w:t>
      </w:r>
      <w:r w:rsidR="000D6C30" w:rsidRPr="00FD6F39">
        <w:rPr>
          <w:sz w:val="25"/>
          <w:szCs w:val="25"/>
        </w:rPr>
        <w:t xml:space="preserve"> </w:t>
      </w:r>
      <w:r w:rsidR="00383D03" w:rsidRPr="00FD6F39">
        <w:rPr>
          <w:sz w:val="25"/>
          <w:szCs w:val="25"/>
        </w:rPr>
        <w:t xml:space="preserve">pienamente rispettati oggi dal nostro paese.  </w:t>
      </w:r>
      <w:r w:rsidR="00054417" w:rsidRPr="00FD6F39">
        <w:rPr>
          <w:sz w:val="25"/>
          <w:szCs w:val="25"/>
        </w:rPr>
        <w:t xml:space="preserve"> </w:t>
      </w:r>
    </w:p>
    <w:p w14:paraId="0977AFF0" w14:textId="77777777" w:rsidR="00754027" w:rsidRPr="00FD6F39" w:rsidRDefault="00754027" w:rsidP="00754027">
      <w:pPr>
        <w:widowControl w:val="0"/>
        <w:spacing w:after="120" w:line="360" w:lineRule="auto"/>
        <w:jc w:val="both"/>
        <w:rPr>
          <w:sz w:val="25"/>
          <w:szCs w:val="25"/>
        </w:rPr>
      </w:pPr>
      <w:r w:rsidRPr="00FD6F39">
        <w:rPr>
          <w:sz w:val="25"/>
          <w:szCs w:val="25"/>
        </w:rPr>
        <w:t>È pertanto corretto, come ha fatto la Risoluzione 6/00076 approvata dalla Camera dei Deputati il 19 giugno scorso, sostenere l’</w:t>
      </w:r>
      <w:r w:rsidR="00795547" w:rsidRPr="00FD6F39">
        <w:rPr>
          <w:sz w:val="25"/>
          <w:szCs w:val="25"/>
        </w:rPr>
        <w:t>opportunità</w:t>
      </w:r>
      <w:r w:rsidRPr="00FD6F39">
        <w:rPr>
          <w:sz w:val="25"/>
          <w:szCs w:val="25"/>
        </w:rPr>
        <w:t xml:space="preserve"> dell’“inclusione, nelle </w:t>
      </w:r>
      <w:r w:rsidRPr="00FD6F39">
        <w:rPr>
          <w:sz w:val="25"/>
          <w:szCs w:val="25"/>
        </w:rPr>
        <w:lastRenderedPageBreak/>
        <w:t xml:space="preserve">condizionalità previste dal MES e da eventuali </w:t>
      </w:r>
      <w:r w:rsidR="00815796" w:rsidRPr="00FD6F39">
        <w:rPr>
          <w:sz w:val="25"/>
          <w:szCs w:val="25"/>
        </w:rPr>
        <w:t>ulteriori accordi in materia mo</w:t>
      </w:r>
      <w:r w:rsidRPr="00FD6F39">
        <w:rPr>
          <w:sz w:val="25"/>
          <w:szCs w:val="25"/>
        </w:rPr>
        <w:t>n</w:t>
      </w:r>
      <w:r w:rsidR="00815796" w:rsidRPr="00FD6F39">
        <w:rPr>
          <w:sz w:val="25"/>
          <w:szCs w:val="25"/>
        </w:rPr>
        <w:t>e</w:t>
      </w:r>
      <w:r w:rsidRPr="00FD6F39">
        <w:rPr>
          <w:sz w:val="25"/>
          <w:szCs w:val="25"/>
        </w:rPr>
        <w:t>taria e finanziaria, di un quadro di indicatori sufficientemente articolato, compatibile con quello sancito dal Regolamento (UE) n. 1176/2011, dove si consideri fra l’altro anche il livello del debito privato, oltre a quello pubblico, la consistenza della posizione debitoria netta sull’estero, e l’evoluzione, oltre che la consistenza, delle sofferenze bancarie, onde evitare che il nostro Paese sia escluso a priori dal</w:t>
      </w:r>
      <w:r w:rsidR="00815796" w:rsidRPr="00FD6F39">
        <w:rPr>
          <w:sz w:val="25"/>
          <w:szCs w:val="25"/>
        </w:rPr>
        <w:t>l</w:t>
      </w:r>
      <w:r w:rsidRPr="00FD6F39">
        <w:rPr>
          <w:sz w:val="25"/>
          <w:szCs w:val="25"/>
        </w:rPr>
        <w:t>e condizioni di accesso ai fondi cui contribuisce”.</w:t>
      </w:r>
      <w:r w:rsidRPr="00FD6F39">
        <w:rPr>
          <w:rStyle w:val="Rimandonotaapidipagina"/>
          <w:szCs w:val="25"/>
        </w:rPr>
        <w:footnoteReference w:id="13"/>
      </w:r>
    </w:p>
    <w:p w14:paraId="4FA54575" w14:textId="77777777" w:rsidR="00CF24A2" w:rsidRPr="00FD6F39" w:rsidRDefault="00CF24A2" w:rsidP="00754027">
      <w:pPr>
        <w:widowControl w:val="0"/>
        <w:spacing w:after="120" w:line="360" w:lineRule="auto"/>
        <w:jc w:val="both"/>
        <w:rPr>
          <w:sz w:val="25"/>
          <w:szCs w:val="25"/>
        </w:rPr>
      </w:pPr>
      <w:r w:rsidRPr="00FD6F39">
        <w:rPr>
          <w:sz w:val="25"/>
          <w:szCs w:val="25"/>
        </w:rPr>
        <w:t>Del pari condivisibile, alla luce di quanto sopra espresso, appare la parte della risoluzione in cui si impegna il governo “ad opporsi ad assetti</w:t>
      </w:r>
      <w:r w:rsidR="00815796" w:rsidRPr="00FD6F39">
        <w:rPr>
          <w:sz w:val="25"/>
          <w:szCs w:val="25"/>
        </w:rPr>
        <w:t xml:space="preserve"> normativi che finiscano per co</w:t>
      </w:r>
      <w:r w:rsidRPr="00FD6F39">
        <w:rPr>
          <w:sz w:val="25"/>
          <w:szCs w:val="25"/>
        </w:rPr>
        <w:t>stringere alcuni Paesi verso percorsi di ristrutturazione predefiniti e automatici, con sostanziale esautorazione del potere di elaborare in autonomia politiche economiche efficaci”, nonché</w:t>
      </w:r>
      <w:r w:rsidR="00EF041B">
        <w:rPr>
          <w:sz w:val="25"/>
          <w:szCs w:val="25"/>
        </w:rPr>
        <w:t>,</w:t>
      </w:r>
      <w:r w:rsidRPr="00FD6F39">
        <w:rPr>
          <w:sz w:val="25"/>
          <w:szCs w:val="25"/>
        </w:rPr>
        <w:t xml:space="preserve"> “in ordine alla riforma del Meccanismo Europeo di Stabilità, a non approvare modifiche che prevedano condizionalità che finiscano per penalizzare quegli Stati membri che più hanno bisogno di riforme strutturali e di investimenti”.</w:t>
      </w:r>
      <w:r w:rsidRPr="00FD6F39">
        <w:rPr>
          <w:rStyle w:val="Rimandonotaapidipagina"/>
          <w:szCs w:val="25"/>
        </w:rPr>
        <w:footnoteReference w:id="14"/>
      </w:r>
    </w:p>
    <w:p w14:paraId="7D897DFA" w14:textId="6D9C0E73" w:rsidR="00585914" w:rsidRPr="001E0D45" w:rsidRDefault="0098501D" w:rsidP="00451648">
      <w:pPr>
        <w:widowControl w:val="0"/>
        <w:spacing w:after="120" w:line="360" w:lineRule="auto"/>
        <w:jc w:val="both"/>
        <w:rPr>
          <w:sz w:val="25"/>
          <w:szCs w:val="25"/>
        </w:rPr>
      </w:pPr>
      <w:r w:rsidRPr="00FD6F39">
        <w:rPr>
          <w:sz w:val="25"/>
          <w:szCs w:val="25"/>
        </w:rPr>
        <w:t>Per quanto detto, qualora in sede di negoziato finale per la modifica del MES queste ragionevoli istanze espresse dal Parlamento italiano non siano tenute nel debito conto da parte dei nostri partner europei, si ritiene che i rischi impliciti siano di tale entità da sconsigliare la firma delle modifiche al Trattato MES da parte del Governo italiano.</w:t>
      </w:r>
    </w:p>
    <w:sectPr w:rsidR="00585914" w:rsidRPr="001E0D45" w:rsidSect="00B052FC">
      <w:headerReference w:type="default" r:id="rId11"/>
      <w:footerReference w:type="default" r:id="rId12"/>
      <w:headerReference w:type="first" r:id="rId13"/>
      <w:type w:val="continuous"/>
      <w:pgSz w:w="11907" w:h="16839" w:code="9"/>
      <w:pgMar w:top="3119" w:right="1985" w:bottom="2041" w:left="1985" w:header="907" w:footer="907" w:gutter="0"/>
      <w:pgNumType w:start="1"/>
      <w:cols w:space="720"/>
      <w:docGrid w:linePitch="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C2CF" w14:textId="77777777" w:rsidR="00293EF4" w:rsidRDefault="00293EF4">
      <w:r>
        <w:separator/>
      </w:r>
    </w:p>
  </w:endnote>
  <w:endnote w:type="continuationSeparator" w:id="0">
    <w:p w14:paraId="2FCD99C7" w14:textId="77777777" w:rsidR="00293EF4" w:rsidRDefault="0029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5F28" w14:textId="77777777" w:rsidR="00B04A11" w:rsidRPr="00CF7FBB" w:rsidRDefault="00B04A11" w:rsidP="00E7372F">
    <w:pPr>
      <w:pStyle w:val="Pidipagina"/>
      <w:pBdr>
        <w:top w:val="single" w:sz="6" w:space="3" w:color="5F5F5F"/>
      </w:pBdr>
      <w:jc w:val="right"/>
      <w:rPr>
        <w:rStyle w:val="Numeropagina"/>
        <w:sz w:val="14"/>
        <w:lang w:val="en-US"/>
      </w:rPr>
    </w:pPr>
    <w:r>
      <w:rPr>
        <w:b/>
        <w:noProof/>
        <w:sz w:val="14"/>
        <w:lang w:eastAsia="it-IT"/>
      </w:rPr>
      <w:drawing>
        <wp:anchor distT="0" distB="0" distL="114300" distR="114300" simplePos="0" relativeHeight="251657728" behindDoc="0" locked="0" layoutInCell="1" allowOverlap="0" wp14:anchorId="714320C0" wp14:editId="374C4AD4">
          <wp:simplePos x="0" y="0"/>
          <wp:positionH relativeFrom="column">
            <wp:posOffset>-16510</wp:posOffset>
          </wp:positionH>
          <wp:positionV relativeFrom="page">
            <wp:posOffset>9771380</wp:posOffset>
          </wp:positionV>
          <wp:extent cx="961390" cy="39624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E6DF4" w14:textId="7D5506BA" w:rsidR="00B04A11" w:rsidRPr="00E15F42" w:rsidRDefault="00B04A11" w:rsidP="00E7372F">
    <w:pPr>
      <w:pStyle w:val="Pidipagina"/>
      <w:pBdr>
        <w:top w:val="single" w:sz="6" w:space="3" w:color="5F5F5F"/>
      </w:pBdr>
      <w:jc w:val="right"/>
      <w:rPr>
        <w:rFonts w:ascii="Trebuchet MS" w:hAnsi="Trebuchet MS"/>
        <w:color w:val="5F5F5F"/>
        <w:lang w:val="en-US"/>
      </w:rPr>
    </w:pPr>
    <w:r w:rsidRPr="00E15F42">
      <w:rPr>
        <w:rStyle w:val="Numeropagina"/>
        <w:rFonts w:ascii="Trebuchet MS" w:hAnsi="Trebuchet MS"/>
        <w:color w:val="5F5F5F"/>
        <w:sz w:val="28"/>
        <w:lang w:val="en-US"/>
      </w:rPr>
      <w:fldChar w:fldCharType="begin"/>
    </w:r>
    <w:r w:rsidRPr="00E15F42">
      <w:rPr>
        <w:rStyle w:val="Numeropagina"/>
        <w:rFonts w:ascii="Trebuchet MS" w:hAnsi="Trebuchet MS"/>
        <w:color w:val="5F5F5F"/>
        <w:sz w:val="28"/>
        <w:lang w:val="en-US"/>
      </w:rPr>
      <w:instrText xml:space="preserve"> PAGE </w:instrText>
    </w:r>
    <w:r w:rsidRPr="00E15F42">
      <w:rPr>
        <w:rStyle w:val="Numeropagina"/>
        <w:rFonts w:ascii="Trebuchet MS" w:hAnsi="Trebuchet MS"/>
        <w:color w:val="5F5F5F"/>
        <w:sz w:val="28"/>
        <w:lang w:val="en-US"/>
      </w:rPr>
      <w:fldChar w:fldCharType="separate"/>
    </w:r>
    <w:r w:rsidR="00824D77">
      <w:rPr>
        <w:rStyle w:val="Numeropagina"/>
        <w:rFonts w:ascii="Trebuchet MS" w:hAnsi="Trebuchet MS"/>
        <w:noProof/>
        <w:color w:val="5F5F5F"/>
        <w:sz w:val="28"/>
        <w:lang w:val="en-US"/>
      </w:rPr>
      <w:t>1</w:t>
    </w:r>
    <w:r w:rsidRPr="00E15F42">
      <w:rPr>
        <w:rStyle w:val="Numeropagina"/>
        <w:rFonts w:ascii="Trebuchet MS" w:hAnsi="Trebuchet MS"/>
        <w:color w:val="5F5F5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3415" w14:textId="77777777" w:rsidR="00293EF4" w:rsidRPr="00825C1C" w:rsidRDefault="00293EF4" w:rsidP="00825C1C">
      <w:pPr>
        <w:pStyle w:val="Pidipagina"/>
        <w:pBdr>
          <w:top w:val="none" w:sz="0" w:space="0" w:color="auto"/>
        </w:pBdr>
        <w:spacing w:line="360" w:lineRule="auto"/>
        <w:rPr>
          <w:sz w:val="18"/>
        </w:rPr>
      </w:pPr>
    </w:p>
  </w:footnote>
  <w:footnote w:type="continuationSeparator" w:id="0">
    <w:p w14:paraId="42CF8ABB" w14:textId="77777777" w:rsidR="00293EF4" w:rsidRDefault="00293EF4">
      <w:r>
        <w:continuationSeparator/>
      </w:r>
    </w:p>
  </w:footnote>
  <w:footnote w:id="1">
    <w:p w14:paraId="04DF8235" w14:textId="77777777" w:rsidR="007108D8" w:rsidRPr="007108D8" w:rsidRDefault="007108D8" w:rsidP="007108D8">
      <w:pPr>
        <w:pStyle w:val="Testonotaapidipagina"/>
        <w:jc w:val="both"/>
      </w:pPr>
      <w:r>
        <w:rPr>
          <w:rStyle w:val="Rimandonotaapidipagina"/>
        </w:rPr>
        <w:footnoteRef/>
      </w:r>
      <w:r w:rsidRPr="00CF4091">
        <w:t xml:space="preserve"> C.M. Reinhart, K.S. Rogoff, </w:t>
      </w:r>
      <w:r w:rsidRPr="00CF4091">
        <w:rPr>
          <w:i/>
        </w:rPr>
        <w:t>Questa volta è diverso. Otto secoli di follia finanziaria</w:t>
      </w:r>
      <w:r>
        <w:t xml:space="preserve">, 2009, tr. it. </w:t>
      </w:r>
      <w:r w:rsidRPr="007108D8">
        <w:t>Milano, Il Saggiatore, 2010</w:t>
      </w:r>
      <w:r>
        <w:t xml:space="preserve">, </w:t>
      </w:r>
      <w:r>
        <w:rPr>
          <w:i/>
        </w:rPr>
        <w:t xml:space="preserve">passim; </w:t>
      </w:r>
      <w:r>
        <w:t>cfr. in particolare le tabelle 6.1. a p. 111, 10.2 a p. 170 e 10.4 a p. 174</w:t>
      </w:r>
      <w:r w:rsidRPr="007108D8">
        <w:t xml:space="preserve">. </w:t>
      </w:r>
    </w:p>
  </w:footnote>
  <w:footnote w:id="2">
    <w:p w14:paraId="0D92E0E8" w14:textId="77777777" w:rsidR="00B04A11" w:rsidRPr="004639BC" w:rsidRDefault="00B04A11">
      <w:pPr>
        <w:pStyle w:val="Testonotaapidipagina"/>
      </w:pPr>
      <w:r>
        <w:rPr>
          <w:rStyle w:val="Rimandonotaapidipagina"/>
        </w:rPr>
        <w:footnoteRef/>
      </w:r>
      <w:r w:rsidRPr="004639BC">
        <w:t xml:space="preserve"> </w:t>
      </w:r>
      <w:r w:rsidRPr="00B641E2">
        <w:t xml:space="preserve">G. Galli, </w:t>
      </w:r>
      <w:r w:rsidRPr="00B641E2">
        <w:rPr>
          <w:i/>
        </w:rPr>
        <w:t>Audizione presso le Commissioni riunite V e XIV della Camera dei Deputati</w:t>
      </w:r>
      <w:r>
        <w:t>, 6 novembre 2019.</w:t>
      </w:r>
    </w:p>
  </w:footnote>
  <w:footnote w:id="3">
    <w:p w14:paraId="56CAD9DB" w14:textId="77777777" w:rsidR="00B04A11" w:rsidRPr="00B641E2" w:rsidRDefault="00B04A11">
      <w:pPr>
        <w:pStyle w:val="Testonotaapidipagina"/>
        <w:rPr>
          <w:lang w:val="en-US"/>
        </w:rPr>
      </w:pPr>
      <w:r>
        <w:rPr>
          <w:rStyle w:val="Rimandonotaapidipagina"/>
        </w:rPr>
        <w:footnoteRef/>
      </w:r>
      <w:r w:rsidRPr="00677AF5">
        <w:rPr>
          <w:lang w:val="en-US"/>
        </w:rPr>
        <w:t xml:space="preserve"> Precautionary c</w:t>
      </w:r>
      <w:r>
        <w:rPr>
          <w:lang w:val="en-US"/>
        </w:rPr>
        <w:t xml:space="preserve">onditioned credit line (PCCL). </w:t>
      </w:r>
      <w:r w:rsidRPr="00C37C4E">
        <w:rPr>
          <w:lang w:val="en-US"/>
        </w:rPr>
        <w:t xml:space="preserve">La precondizione citata si trova </w:t>
      </w:r>
      <w:r w:rsidRPr="00B641E2">
        <w:rPr>
          <w:i/>
          <w:lang w:val="en-US"/>
        </w:rPr>
        <w:t>Changes introduced in the draft revised text of the ESMT</w:t>
      </w:r>
      <w:r w:rsidRPr="00B641E2">
        <w:rPr>
          <w:lang w:val="en-US"/>
        </w:rPr>
        <w:t xml:space="preserve"> (June 2019)</w:t>
      </w:r>
      <w:r>
        <w:rPr>
          <w:lang w:val="en-US"/>
        </w:rPr>
        <w:t>, Annex III, 1.b).</w:t>
      </w:r>
    </w:p>
  </w:footnote>
  <w:footnote w:id="4">
    <w:p w14:paraId="3F147B87" w14:textId="77777777" w:rsidR="00B04A11" w:rsidRPr="00B641E2" w:rsidRDefault="00B04A11" w:rsidP="00F510F2">
      <w:pPr>
        <w:pStyle w:val="Testonotaapidipagina"/>
        <w:jc w:val="both"/>
        <w:rPr>
          <w:lang w:val="en-US"/>
        </w:rPr>
      </w:pPr>
      <w:r>
        <w:rPr>
          <w:rStyle w:val="Rimandonotaapidipagina"/>
        </w:rPr>
        <w:footnoteRef/>
      </w:r>
      <w:r w:rsidRPr="00B641E2">
        <w:rPr>
          <w:lang w:val="en-US"/>
        </w:rPr>
        <w:t xml:space="preserve"> </w:t>
      </w:r>
      <w:r w:rsidRPr="00B641E2">
        <w:rPr>
          <w:i/>
          <w:szCs w:val="18"/>
          <w:lang w:val="en-US"/>
        </w:rPr>
        <w:t>The European Crisis and the role of the financial system</w:t>
      </w:r>
      <w:r>
        <w:rPr>
          <w:szCs w:val="18"/>
          <w:lang w:val="en-US"/>
        </w:rPr>
        <w:t xml:space="preserve">, speech by V. </w:t>
      </w:r>
      <w:r w:rsidRPr="00BE39EC">
        <w:rPr>
          <w:szCs w:val="18"/>
          <w:lang w:val="en-US"/>
        </w:rPr>
        <w:t>Constâncio,</w:t>
      </w:r>
      <w:r>
        <w:rPr>
          <w:szCs w:val="18"/>
          <w:lang w:val="en-US"/>
        </w:rPr>
        <w:t xml:space="preserve"> Vice President </w:t>
      </w:r>
      <w:r w:rsidRPr="00327DAE">
        <w:rPr>
          <w:szCs w:val="18"/>
          <w:lang w:val="en-US"/>
        </w:rPr>
        <w:t xml:space="preserve">of the ECB, </w:t>
      </w:r>
      <w:r w:rsidRPr="00B641E2">
        <w:rPr>
          <w:szCs w:val="18"/>
          <w:lang w:val="en-US"/>
        </w:rPr>
        <w:t>Bank of Greece conference on “The crisis in the eu</w:t>
      </w:r>
      <w:r w:rsidRPr="00327DAE">
        <w:rPr>
          <w:szCs w:val="18"/>
          <w:lang w:val="en-US"/>
        </w:rPr>
        <w:t xml:space="preserve">ro area”, </w:t>
      </w:r>
      <w:r w:rsidRPr="00B641E2">
        <w:rPr>
          <w:szCs w:val="18"/>
          <w:lang w:val="en-US"/>
        </w:rPr>
        <w:t>Athens, 23 May 2013</w:t>
      </w:r>
      <w:r w:rsidRPr="00B641E2">
        <w:rPr>
          <w:lang w:val="en-US"/>
        </w:rPr>
        <w:t>.</w:t>
      </w:r>
      <w:r>
        <w:rPr>
          <w:lang w:val="en-US"/>
        </w:rPr>
        <w:t xml:space="preserve"> </w:t>
      </w:r>
    </w:p>
  </w:footnote>
  <w:footnote w:id="5">
    <w:p w14:paraId="0FD3C323" w14:textId="77777777" w:rsidR="00B04A11" w:rsidRPr="00B641E2" w:rsidRDefault="00B04A11">
      <w:pPr>
        <w:pStyle w:val="Testonotaapidipagina"/>
        <w:rPr>
          <w:lang w:val="en-US"/>
        </w:rPr>
      </w:pPr>
      <w:r>
        <w:rPr>
          <w:rStyle w:val="Rimandonotaapidipagina"/>
        </w:rPr>
        <w:footnoteRef/>
      </w:r>
      <w:r w:rsidRPr="00B641E2">
        <w:rPr>
          <w:lang w:val="en-US"/>
        </w:rPr>
        <w:t xml:space="preserve"> </w:t>
      </w:r>
      <w:r w:rsidRPr="00B641E2">
        <w:rPr>
          <w:i/>
          <w:lang w:val="en-US"/>
        </w:rPr>
        <w:t>Changes introduced…</w:t>
      </w:r>
      <w:r>
        <w:rPr>
          <w:lang w:val="en-US"/>
        </w:rPr>
        <w:t>, cit., art. 14, Annex III.</w:t>
      </w:r>
    </w:p>
  </w:footnote>
  <w:footnote w:id="6">
    <w:p w14:paraId="49F1C811" w14:textId="77777777" w:rsidR="00085CD5" w:rsidRPr="00085CD5" w:rsidRDefault="00085CD5">
      <w:pPr>
        <w:pStyle w:val="Testonotaapidipagina"/>
        <w:rPr>
          <w:lang w:val="en-US"/>
        </w:rPr>
      </w:pPr>
      <w:r>
        <w:rPr>
          <w:rStyle w:val="Rimandonotaapidipagina"/>
        </w:rPr>
        <w:footnoteRef/>
      </w:r>
      <w:r w:rsidRPr="00085CD5">
        <w:rPr>
          <w:lang w:val="en-US"/>
        </w:rPr>
        <w:t xml:space="preserve"> </w:t>
      </w:r>
      <w:r w:rsidRPr="00B641E2">
        <w:rPr>
          <w:i/>
          <w:lang w:val="en-US"/>
        </w:rPr>
        <w:t>Changes introduced…</w:t>
      </w:r>
      <w:r>
        <w:rPr>
          <w:lang w:val="en-US"/>
        </w:rPr>
        <w:t>, cit., Annex III, 1.a).</w:t>
      </w:r>
    </w:p>
  </w:footnote>
  <w:footnote w:id="7">
    <w:p w14:paraId="5B951069" w14:textId="77777777" w:rsidR="00B04A11" w:rsidRPr="003B58F7" w:rsidRDefault="00B04A11" w:rsidP="00B641E2">
      <w:pPr>
        <w:pStyle w:val="Testonotaapidipagina"/>
        <w:jc w:val="both"/>
      </w:pPr>
      <w:r>
        <w:rPr>
          <w:rStyle w:val="Rimandonotaapidipagina"/>
        </w:rPr>
        <w:footnoteRef/>
      </w:r>
      <w:r w:rsidRPr="00B641E2">
        <w:rPr>
          <w:lang w:val="en-US"/>
        </w:rPr>
        <w:t xml:space="preserve"> </w:t>
      </w:r>
      <w:r w:rsidRPr="00B641E2">
        <w:rPr>
          <w:i/>
          <w:lang w:val="en-US"/>
        </w:rPr>
        <w:t>Changes introduced…</w:t>
      </w:r>
      <w:r>
        <w:rPr>
          <w:lang w:val="en-US"/>
        </w:rPr>
        <w:t xml:space="preserve">, cit., [Preambolo] 12B. </w:t>
      </w:r>
      <w:r w:rsidRPr="00B641E2">
        <w:t>Il prof. Galli osserva giustamente che l’espressione qui us</w:t>
      </w:r>
      <w:r>
        <w:t xml:space="preserve">ata, “Private Sector Involvement”, allorché fu adoperata da Angela Merkel e Nicholas Sarkozy il 18 ottobre 2010, “ebbe un effetto deflagrante sui mercati finanziari dell’eurozona” (G. Galli, </w:t>
      </w:r>
      <w:r w:rsidRPr="00B641E2">
        <w:rPr>
          <w:i/>
        </w:rPr>
        <w:t>Audizione…</w:t>
      </w:r>
      <w:r>
        <w:t>, cit., p. 6.</w:t>
      </w:r>
    </w:p>
  </w:footnote>
  <w:footnote w:id="8">
    <w:p w14:paraId="00A37CFE" w14:textId="77777777" w:rsidR="00B04A11" w:rsidRPr="00B641E2" w:rsidRDefault="00B04A11">
      <w:pPr>
        <w:pStyle w:val="Testonotaapidipagina"/>
        <w:rPr>
          <w:lang w:val="en-US"/>
        </w:rPr>
      </w:pPr>
      <w:r>
        <w:rPr>
          <w:rStyle w:val="Rimandonotaapidipagina"/>
        </w:rPr>
        <w:footnoteRef/>
      </w:r>
      <w:r w:rsidRPr="00B641E2">
        <w:rPr>
          <w:lang w:val="en-US"/>
        </w:rPr>
        <w:t xml:space="preserve"> </w:t>
      </w:r>
      <w:r w:rsidRPr="00BE39EC">
        <w:rPr>
          <w:i/>
          <w:lang w:val="en-US"/>
        </w:rPr>
        <w:t>Changes introduced…</w:t>
      </w:r>
      <w:r>
        <w:rPr>
          <w:i/>
          <w:lang w:val="en-US"/>
        </w:rPr>
        <w:t xml:space="preserve">, </w:t>
      </w:r>
      <w:r>
        <w:rPr>
          <w:lang w:val="en-US"/>
        </w:rPr>
        <w:t>cit., [Preambolo] 11, art. 12.4.</w:t>
      </w:r>
    </w:p>
  </w:footnote>
  <w:footnote w:id="9">
    <w:p w14:paraId="1AFEBE85" w14:textId="77777777" w:rsidR="00B04A11" w:rsidRPr="006C502F" w:rsidRDefault="00B04A11">
      <w:pPr>
        <w:pStyle w:val="Testonotaapidipagina"/>
      </w:pPr>
      <w:r>
        <w:rPr>
          <w:rStyle w:val="Rimandonotaapidipagina"/>
        </w:rPr>
        <w:footnoteRef/>
      </w:r>
      <w:r w:rsidRPr="006C502F">
        <w:t xml:space="preserve"> </w:t>
      </w:r>
      <w:r w:rsidRPr="00B641E2">
        <w:t xml:space="preserve">Anche su questo punto </w:t>
      </w:r>
      <w:r w:rsidR="00085CD5">
        <w:t>appaiono</w:t>
      </w:r>
      <w:r w:rsidRPr="00B641E2">
        <w:t xml:space="preserve"> condivisibili le osservazioni espress</w:t>
      </w:r>
      <w:r w:rsidR="00085CD5">
        <w:t>e</w:t>
      </w:r>
      <w:r w:rsidRPr="00B641E2">
        <w:t xml:space="preserve"> in G.</w:t>
      </w:r>
      <w:r>
        <w:t xml:space="preserve"> Galli, </w:t>
      </w:r>
      <w:r w:rsidRPr="00B641E2">
        <w:rPr>
          <w:i/>
        </w:rPr>
        <w:t>Audizione…</w:t>
      </w:r>
      <w:r>
        <w:t>, cit., pp. 3-4.</w:t>
      </w:r>
      <w:r w:rsidRPr="00B641E2">
        <w:t xml:space="preserve"> </w:t>
      </w:r>
    </w:p>
  </w:footnote>
  <w:footnote w:id="10">
    <w:p w14:paraId="39DFA82B" w14:textId="77777777" w:rsidR="00B04A11" w:rsidRPr="00B641E2" w:rsidRDefault="00B04A11">
      <w:pPr>
        <w:pStyle w:val="Testonotaapidipagina"/>
        <w:rPr>
          <w:lang w:val="en-US"/>
        </w:rPr>
      </w:pPr>
      <w:r>
        <w:rPr>
          <w:rStyle w:val="Rimandonotaapidipagina"/>
        </w:rPr>
        <w:footnoteRef/>
      </w:r>
      <w:r w:rsidRPr="00B641E2">
        <w:rPr>
          <w:lang w:val="en-US"/>
        </w:rPr>
        <w:t xml:space="preserve"> </w:t>
      </w:r>
      <w:r w:rsidRPr="00BE39EC">
        <w:rPr>
          <w:lang w:val="en-US"/>
        </w:rPr>
        <w:t xml:space="preserve">I. Visco, </w:t>
      </w:r>
      <w:r w:rsidRPr="006005C8">
        <w:rPr>
          <w:i/>
          <w:lang w:val="en-US"/>
        </w:rPr>
        <w:t>The Economic and Monetary Union: Time to Break the Deadlock</w:t>
      </w:r>
      <w:r w:rsidRPr="00BE39EC">
        <w:rPr>
          <w:lang w:val="en-US"/>
        </w:rPr>
        <w:t xml:space="preserve">, </w:t>
      </w:r>
      <w:r>
        <w:rPr>
          <w:lang w:val="en-US"/>
        </w:rPr>
        <w:t>keynote address, OMFIF-Banca d’Italia seminar “The future of the Euro area”, Rome, 15 november 2019.</w:t>
      </w:r>
    </w:p>
  </w:footnote>
  <w:footnote w:id="11">
    <w:p w14:paraId="54435346" w14:textId="77777777" w:rsidR="004A72AE" w:rsidRDefault="004A72AE" w:rsidP="004A72AE">
      <w:pPr>
        <w:pStyle w:val="Testonotaapidipagina"/>
        <w:jc w:val="both"/>
      </w:pPr>
      <w:r>
        <w:rPr>
          <w:rStyle w:val="Rimandonotaapidipagina"/>
        </w:rPr>
        <w:footnoteRef/>
      </w:r>
      <w:r>
        <w:t xml:space="preserve"> </w:t>
      </w:r>
      <w:r>
        <w:rPr>
          <w:szCs w:val="18"/>
        </w:rPr>
        <w:t>È lecito ravvisare in questo meccanismo</w:t>
      </w:r>
      <w:r w:rsidRPr="004A72AE">
        <w:rPr>
          <w:szCs w:val="18"/>
        </w:rPr>
        <w:t xml:space="preserve"> un rinnovato “comma 22”, per cui può chiedere sostegno per la finanza pubblica solo chi non h</w:t>
      </w:r>
      <w:r>
        <w:rPr>
          <w:szCs w:val="18"/>
        </w:rPr>
        <w:t>a problemi di finanza pubblica…</w:t>
      </w:r>
    </w:p>
  </w:footnote>
  <w:footnote w:id="12">
    <w:p w14:paraId="35DE77E7" w14:textId="77777777" w:rsidR="00B04A11" w:rsidRPr="00B04A11" w:rsidRDefault="00B04A11" w:rsidP="00B641E2">
      <w:pPr>
        <w:pStyle w:val="Testonotaapidipagina"/>
        <w:jc w:val="both"/>
      </w:pPr>
      <w:r>
        <w:rPr>
          <w:rStyle w:val="Rimandonotaapidipagina"/>
        </w:rPr>
        <w:footnoteRef/>
      </w:r>
      <w:r>
        <w:t xml:space="preserve"> </w:t>
      </w:r>
      <w:r w:rsidRPr="00B641E2">
        <w:rPr>
          <w:rStyle w:val="Nessuno"/>
          <w:bCs/>
          <w:szCs w:val="18"/>
        </w:rPr>
        <w:t>“Alla fine del 2016 le attività e le passività di Livello 2 e Livello 3 detenute dalle maggiori banche europee ammontavano complessivamente a 6.800 miliardi di euro, un valore circa 12 volte superiore a quello dei crediti deteriorati di tutte le banche dell’area dell’euro.</w:t>
      </w:r>
      <w:r w:rsidRPr="00B641E2">
        <w:rPr>
          <w:rStyle w:val="Nessuno"/>
          <w:szCs w:val="18"/>
        </w:rPr>
        <w:t xml:space="preserve"> Si tratta di rischi che non sarebbe lungimirante sottovalutare”</w:t>
      </w:r>
      <w:r w:rsidR="0098501D">
        <w:rPr>
          <w:rStyle w:val="Nessuno"/>
          <w:szCs w:val="18"/>
        </w:rPr>
        <w:t xml:space="preserve"> (Audizione presso la Camera dei Deputati del Vice Direttore Generale della Banca d’Italia F. Panetta, 10 maggio 2018). Ad oggi non vi è stato alcun serio derisking a tale riguardo, e il problema è ignorato anche nel</w:t>
      </w:r>
      <w:r w:rsidR="00815796">
        <w:rPr>
          <w:rStyle w:val="Nessuno"/>
          <w:szCs w:val="18"/>
        </w:rPr>
        <w:t xml:space="preserve"> contesto del</w:t>
      </w:r>
      <w:r w:rsidR="0098501D">
        <w:rPr>
          <w:rStyle w:val="Nessuno"/>
          <w:szCs w:val="18"/>
        </w:rPr>
        <w:t xml:space="preserve">le recenti proposte per il completamento dell’Unione bancaria avanzate dal ministro delle finanze tedesco Olaf Scholz. </w:t>
      </w:r>
    </w:p>
  </w:footnote>
  <w:footnote w:id="13">
    <w:p w14:paraId="32AA99BB" w14:textId="77777777" w:rsidR="00B04A11" w:rsidRDefault="00B04A11" w:rsidP="00754027">
      <w:pPr>
        <w:pStyle w:val="Testonotaapidipagina"/>
      </w:pPr>
      <w:r>
        <w:rPr>
          <w:rStyle w:val="Rimandonotaapidipagina"/>
        </w:rPr>
        <w:footnoteRef/>
      </w:r>
      <w:r>
        <w:t xml:space="preserve"> Atto Camera, Risoluzione in Asssemblea 6/00076, 19 giugno 2019, seduta n. 192.</w:t>
      </w:r>
    </w:p>
  </w:footnote>
  <w:footnote w:id="14">
    <w:p w14:paraId="55D87958" w14:textId="77777777" w:rsidR="00B04A11" w:rsidRDefault="00B04A11">
      <w:pPr>
        <w:pStyle w:val="Testonotaapidipagina"/>
      </w:pPr>
      <w:r>
        <w:rPr>
          <w:rStyle w:val="Rimandonotaapidipagina"/>
        </w:rPr>
        <w:footnoteRef/>
      </w:r>
      <w:r>
        <w:t xml:space="preserve"> Atto Camera, cit., punti 10) e 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1818" w14:textId="77777777" w:rsidR="00B04A11" w:rsidRPr="00E7372F" w:rsidRDefault="00B04A11" w:rsidP="00E7372F">
    <w:pPr>
      <w:pStyle w:val="Intestazione"/>
      <w:keepLines w:val="0"/>
      <w:widowControl w:val="0"/>
      <w:rPr>
        <w:rFonts w:ascii="Arial" w:hAnsi="Arial" w:cs="Arial"/>
        <w:sz w:val="24"/>
        <w:szCs w:val="24"/>
        <w:lang w:val="en-US"/>
      </w:rPr>
    </w:pPr>
  </w:p>
  <w:p w14:paraId="10063128" w14:textId="77777777" w:rsidR="00B04A11" w:rsidRPr="00E7372F" w:rsidRDefault="00B04A11" w:rsidP="00E7372F">
    <w:pPr>
      <w:pStyle w:val="Intestazione"/>
      <w:keepLines w:val="0"/>
      <w:widowControl w:val="0"/>
      <w:rPr>
        <w:rFonts w:ascii="Arial" w:hAnsi="Arial" w:cs="Arial"/>
        <w:sz w:val="24"/>
        <w:szCs w:val="24"/>
        <w:lang w:val="en-US"/>
      </w:rPr>
    </w:pPr>
  </w:p>
  <w:p w14:paraId="5898763D" w14:textId="77777777" w:rsidR="00B04A11" w:rsidRPr="00E7372F" w:rsidRDefault="00B04A11" w:rsidP="00E7372F">
    <w:pPr>
      <w:pStyle w:val="Intestazione"/>
      <w:keepLines w:val="0"/>
      <w:widowControl w:val="0"/>
      <w:rPr>
        <w:rFonts w:ascii="Arial" w:hAnsi="Arial" w:cs="Arial"/>
        <w:sz w:val="24"/>
        <w:szCs w:val="24"/>
        <w:lang w:val="en-US"/>
      </w:rPr>
    </w:pPr>
  </w:p>
  <w:p w14:paraId="6BFCF087" w14:textId="77777777" w:rsidR="00B04A11" w:rsidRDefault="00B04A11" w:rsidP="00E7372F">
    <w:pPr>
      <w:pStyle w:val="Intestazione"/>
      <w:keepLines w:val="0"/>
      <w:widowControl w:val="0"/>
      <w:pBdr>
        <w:bottom w:val="single" w:sz="6" w:space="1" w:color="5F5F5F"/>
      </w:pBdr>
      <w:rPr>
        <w:rFonts w:ascii="Arial" w:hAnsi="Arial" w:cs="Arial"/>
        <w:sz w:val="24"/>
        <w:szCs w:val="24"/>
        <w:lang w:val="en-US"/>
      </w:rPr>
    </w:pPr>
  </w:p>
  <w:p w14:paraId="61A45A3C" w14:textId="77777777" w:rsidR="00B04A11" w:rsidRPr="00E7372F" w:rsidRDefault="00B04A11" w:rsidP="00E7372F">
    <w:pPr>
      <w:pStyle w:val="Intestazione"/>
      <w:keepLines w:val="0"/>
      <w:widowControl w:val="0"/>
      <w:pBdr>
        <w:bottom w:val="single" w:sz="6" w:space="1" w:color="5F5F5F"/>
      </w:pBdr>
      <w:rPr>
        <w:rFonts w:ascii="Arial" w:hAnsi="Arial" w:cs="Arial"/>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025A" w14:textId="77777777" w:rsidR="00B04A11" w:rsidRDefault="00B04A11">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82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8EFD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B2CC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746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E88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AC5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0A3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CE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80F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49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620182F"/>
    <w:multiLevelType w:val="hybridMultilevel"/>
    <w:tmpl w:val="D174D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C36CE"/>
    <w:multiLevelType w:val="multilevel"/>
    <w:tmpl w:val="473E9D70"/>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773"/>
        </w:tabs>
        <w:ind w:left="1773" w:hanging="1065"/>
      </w:pPr>
      <w:rPr>
        <w:rFonts w:hint="default"/>
      </w:rPr>
    </w:lvl>
    <w:lvl w:ilvl="2">
      <w:start w:val="1"/>
      <w:numFmt w:val="decimal"/>
      <w:lvlText w:val="%1.%2.%3"/>
      <w:lvlJc w:val="left"/>
      <w:pPr>
        <w:tabs>
          <w:tab w:val="num" w:pos="2481"/>
        </w:tabs>
        <w:ind w:left="2481" w:hanging="1065"/>
      </w:pPr>
      <w:rPr>
        <w:rFonts w:hint="default"/>
      </w:rPr>
    </w:lvl>
    <w:lvl w:ilvl="3">
      <w:start w:val="1"/>
      <w:numFmt w:val="decimal"/>
      <w:lvlText w:val="%1.%2.%3.%4"/>
      <w:lvlJc w:val="left"/>
      <w:pPr>
        <w:tabs>
          <w:tab w:val="num" w:pos="3189"/>
        </w:tabs>
        <w:ind w:left="3189" w:hanging="106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0D0950CF"/>
    <w:multiLevelType w:val="hybridMultilevel"/>
    <w:tmpl w:val="D81074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0C8797E"/>
    <w:multiLevelType w:val="hybridMultilevel"/>
    <w:tmpl w:val="0820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47900"/>
    <w:multiLevelType w:val="hybridMultilevel"/>
    <w:tmpl w:val="C4663468"/>
    <w:lvl w:ilvl="0" w:tplc="E870B35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7" w15:restartNumberingAfterBreak="0">
    <w:nsid w:val="1B5C437A"/>
    <w:multiLevelType w:val="hybridMultilevel"/>
    <w:tmpl w:val="0F5ECE1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C1A632F"/>
    <w:multiLevelType w:val="hybridMultilevel"/>
    <w:tmpl w:val="B3FA0D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40597"/>
    <w:multiLevelType w:val="hybridMultilevel"/>
    <w:tmpl w:val="679A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8042DF"/>
    <w:multiLevelType w:val="hybridMultilevel"/>
    <w:tmpl w:val="6ACC7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Puntoelenco5"/>
      <w:lvlText w:val=""/>
      <w:lvlJc w:val="left"/>
      <w:pPr>
        <w:tabs>
          <w:tab w:val="num" w:pos="360"/>
        </w:tabs>
        <w:ind w:left="360" w:right="360" w:hanging="360"/>
      </w:pPr>
      <w:rPr>
        <w:rFonts w:ascii="Wingdings" w:hAnsi="Wingdings" w:hint="default"/>
      </w:rPr>
    </w:lvl>
  </w:abstractNum>
  <w:abstractNum w:abstractNumId="22" w15:restartNumberingAfterBreak="0">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3" w15:restartNumberingAfterBreak="0">
    <w:nsid w:val="591E2465"/>
    <w:multiLevelType w:val="multilevel"/>
    <w:tmpl w:val="F40ABC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345F1B"/>
    <w:multiLevelType w:val="hybridMultilevel"/>
    <w:tmpl w:val="94C853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36190"/>
    <w:multiLevelType w:val="singleLevel"/>
    <w:tmpl w:val="D7CE7166"/>
    <w:lvl w:ilvl="0">
      <w:start w:val="1"/>
      <w:numFmt w:val="bullet"/>
      <w:pStyle w:val="Puntoelenco"/>
      <w:lvlText w:val=""/>
      <w:lvlJc w:val="left"/>
      <w:pPr>
        <w:tabs>
          <w:tab w:val="num" w:pos="360"/>
        </w:tabs>
        <w:ind w:left="360" w:right="360" w:hanging="360"/>
      </w:pPr>
      <w:rPr>
        <w:rFonts w:ascii="Wingdings" w:hAnsi="Wingdings" w:hint="default"/>
      </w:rPr>
    </w:lvl>
  </w:abstractNum>
  <w:abstractNum w:abstractNumId="26" w15:restartNumberingAfterBreak="0">
    <w:nsid w:val="61B40642"/>
    <w:multiLevelType w:val="hybridMultilevel"/>
    <w:tmpl w:val="825EC192"/>
    <w:lvl w:ilvl="0" w:tplc="B8D67778">
      <w:start w:val="1"/>
      <w:numFmt w:val="decimal"/>
      <w:lvlText w:val="%1."/>
      <w:legacy w:legacy="1" w:legacySpace="0" w:legacyIndent="360"/>
      <w:lvlJc w:val="left"/>
      <w:pPr>
        <w:ind w:left="702" w:right="720" w:hanging="360"/>
      </w:pPr>
      <w:rPr>
        <w:rFonts w:ascii="Arial Black" w:hAnsi="Arial Black"/>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40DA9"/>
    <w:multiLevelType w:val="singleLevel"/>
    <w:tmpl w:val="B8D67778"/>
    <w:lvl w:ilvl="0">
      <w:start w:val="1"/>
      <w:numFmt w:val="decimal"/>
      <w:lvlText w:val="%1."/>
      <w:legacy w:legacy="1" w:legacySpace="0" w:legacyIndent="360"/>
      <w:lvlJc w:val="left"/>
      <w:pPr>
        <w:ind w:left="702" w:right="720" w:hanging="360"/>
      </w:pPr>
      <w:rPr>
        <w:rFonts w:ascii="Arial Black" w:hAnsi="Arial Black"/>
        <w:sz w:val="20"/>
      </w:rPr>
    </w:lvl>
  </w:abstractNum>
  <w:abstractNum w:abstractNumId="28" w15:restartNumberingAfterBreak="0">
    <w:nsid w:val="69495A64"/>
    <w:multiLevelType w:val="hybridMultilevel"/>
    <w:tmpl w:val="C07CDCA4"/>
    <w:lvl w:ilvl="0" w:tplc="032AAC8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241C6"/>
    <w:multiLevelType w:val="hybridMultilevel"/>
    <w:tmpl w:val="F7AE60F4"/>
    <w:lvl w:ilvl="0" w:tplc="2206BF42">
      <w:start w:val="1"/>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Symbo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Symbol"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6DC3668"/>
    <w:multiLevelType w:val="multilevel"/>
    <w:tmpl w:val="E15871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31" w15:restartNumberingAfterBreak="0">
    <w:nsid w:val="781A62C5"/>
    <w:multiLevelType w:val="hybridMultilevel"/>
    <w:tmpl w:val="EE2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22A82"/>
    <w:multiLevelType w:val="hybridMultilevel"/>
    <w:tmpl w:val="06287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5"/>
  </w:num>
  <w:num w:numId="13">
    <w:abstractNumId w:val="21"/>
  </w:num>
  <w:num w:numId="14">
    <w:abstractNumId w:val="21"/>
  </w:num>
  <w:num w:numId="15">
    <w:abstractNumId w:val="10"/>
  </w:num>
  <w:num w:numId="16">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17">
    <w:abstractNumId w:val="10"/>
    <w:lvlOverride w:ilvl="0">
      <w:lvl w:ilvl="0">
        <w:numFmt w:val="bullet"/>
        <w:lvlText w:val=""/>
        <w:legacy w:legacy="1" w:legacySpace="0" w:legacyIndent="360"/>
        <w:lvlJc w:val="left"/>
        <w:pPr>
          <w:ind w:left="360" w:right="360" w:hanging="360"/>
        </w:pPr>
        <w:rPr>
          <w:rFonts w:ascii="Wingdings" w:hAnsi="Wingdings"/>
          <w:sz w:val="24"/>
        </w:rPr>
      </w:lvl>
    </w:lvlOverride>
  </w:num>
  <w:num w:numId="18">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19">
    <w:abstractNumId w:val="10"/>
    <w:lvlOverride w:ilvl="0">
      <w:lvl w:ilvl="0">
        <w:numFmt w:val="bullet"/>
        <w:lvlText w:val=""/>
        <w:legacy w:legacy="1" w:legacySpace="0" w:legacyIndent="360"/>
        <w:lvlJc w:val="left"/>
        <w:pPr>
          <w:ind w:left="360" w:right="360" w:hanging="360"/>
        </w:pPr>
        <w:rPr>
          <w:rFonts w:ascii="Wingdings" w:hAnsi="Wingdings"/>
          <w:sz w:val="20"/>
        </w:rPr>
      </w:lvl>
    </w:lvlOverride>
  </w:num>
  <w:num w:numId="20">
    <w:abstractNumId w:val="10"/>
    <w:lvlOverride w:ilvl="0">
      <w:lvl w:ilvl="0">
        <w:numFmt w:val="bullet"/>
        <w:lvlText w:val=""/>
        <w:legacy w:legacy="1" w:legacySpace="0" w:legacyIndent="360"/>
        <w:lvlJc w:val="left"/>
        <w:pPr>
          <w:ind w:left="360" w:right="720" w:hanging="360"/>
        </w:pPr>
        <w:rPr>
          <w:rFonts w:ascii="Symbol" w:hAnsi="Symbol"/>
          <w:sz w:val="28"/>
        </w:rPr>
      </w:lvl>
    </w:lvlOverride>
  </w:num>
  <w:num w:numId="21">
    <w:abstractNumId w:val="16"/>
  </w:num>
  <w:num w:numId="22">
    <w:abstractNumId w:val="16"/>
    <w:lvlOverride w:ilvl="0">
      <w:startOverride w:val="1"/>
    </w:lvlOverride>
  </w:num>
  <w:num w:numId="23">
    <w:abstractNumId w:val="22"/>
  </w:num>
  <w:num w:numId="24">
    <w:abstractNumId w:val="22"/>
    <w:lvlOverride w:ilvl="0">
      <w:startOverride w:val="1"/>
    </w:lvlOverride>
  </w:num>
  <w:num w:numId="25">
    <w:abstractNumId w:val="27"/>
  </w:num>
  <w:num w:numId="26">
    <w:abstractNumId w:val="27"/>
    <w:lvlOverride w:ilvl="0">
      <w:startOverride w:val="1"/>
    </w:lvlOverride>
  </w:num>
  <w:num w:numId="27">
    <w:abstractNumId w:val="25"/>
  </w:num>
  <w:num w:numId="28">
    <w:abstractNumId w:val="25"/>
  </w:num>
  <w:num w:numId="29">
    <w:abstractNumId w:val="28"/>
  </w:num>
  <w:num w:numId="30">
    <w:abstractNumId w:val="23"/>
  </w:num>
  <w:num w:numId="31">
    <w:abstractNumId w:val="26"/>
  </w:num>
  <w:num w:numId="32">
    <w:abstractNumId w:val="30"/>
  </w:num>
  <w:num w:numId="33">
    <w:abstractNumId w:val="11"/>
  </w:num>
  <w:num w:numId="34">
    <w:abstractNumId w:val="24"/>
  </w:num>
  <w:num w:numId="35">
    <w:abstractNumId w:val="17"/>
  </w:num>
  <w:num w:numId="36">
    <w:abstractNumId w:val="18"/>
  </w:num>
  <w:num w:numId="37">
    <w:abstractNumId w:val="12"/>
  </w:num>
  <w:num w:numId="38">
    <w:abstractNumId w:val="13"/>
  </w:num>
  <w:num w:numId="39">
    <w:abstractNumId w:val="19"/>
  </w:num>
  <w:num w:numId="40">
    <w:abstractNumId w:val="29"/>
  </w:num>
  <w:num w:numId="41">
    <w:abstractNumId w:val="31"/>
  </w:num>
  <w:num w:numId="42">
    <w:abstractNumId w:val="20"/>
  </w:num>
  <w:num w:numId="43">
    <w:abstractNumId w:val="32"/>
  </w:num>
  <w:num w:numId="44">
    <w:abstractNumId w:val="1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9"/>
  <w:drawingGridVerticalSpacing w:val="2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CB"/>
    <w:rsid w:val="00007E0E"/>
    <w:rsid w:val="00011ED8"/>
    <w:rsid w:val="00013938"/>
    <w:rsid w:val="0001412D"/>
    <w:rsid w:val="00034B34"/>
    <w:rsid w:val="000433D3"/>
    <w:rsid w:val="00054417"/>
    <w:rsid w:val="00085CD5"/>
    <w:rsid w:val="00091252"/>
    <w:rsid w:val="000A208B"/>
    <w:rsid w:val="000A2D47"/>
    <w:rsid w:val="000B0F82"/>
    <w:rsid w:val="000B7753"/>
    <w:rsid w:val="000C161A"/>
    <w:rsid w:val="000C6BDA"/>
    <w:rsid w:val="000D5AB7"/>
    <w:rsid w:val="000D6C30"/>
    <w:rsid w:val="000E0A73"/>
    <w:rsid w:val="000F275E"/>
    <w:rsid w:val="0010270A"/>
    <w:rsid w:val="00116EBD"/>
    <w:rsid w:val="00123C03"/>
    <w:rsid w:val="00143940"/>
    <w:rsid w:val="00147F69"/>
    <w:rsid w:val="00150E64"/>
    <w:rsid w:val="00164E21"/>
    <w:rsid w:val="00167BC3"/>
    <w:rsid w:val="001856E0"/>
    <w:rsid w:val="00192BDB"/>
    <w:rsid w:val="00192ED9"/>
    <w:rsid w:val="001B163F"/>
    <w:rsid w:val="001B7EB5"/>
    <w:rsid w:val="001C4B8E"/>
    <w:rsid w:val="001C7534"/>
    <w:rsid w:val="001D47A0"/>
    <w:rsid w:val="001E0D45"/>
    <w:rsid w:val="001E6885"/>
    <w:rsid w:val="001F11AF"/>
    <w:rsid w:val="0020703B"/>
    <w:rsid w:val="002270FE"/>
    <w:rsid w:val="00231815"/>
    <w:rsid w:val="00232E96"/>
    <w:rsid w:val="0024278F"/>
    <w:rsid w:val="00246CAD"/>
    <w:rsid w:val="0025049B"/>
    <w:rsid w:val="00252323"/>
    <w:rsid w:val="0025253B"/>
    <w:rsid w:val="00261974"/>
    <w:rsid w:val="00265D78"/>
    <w:rsid w:val="002745BB"/>
    <w:rsid w:val="00293EF4"/>
    <w:rsid w:val="002A6604"/>
    <w:rsid w:val="002A66E9"/>
    <w:rsid w:val="002B6785"/>
    <w:rsid w:val="002C653B"/>
    <w:rsid w:val="002D5E61"/>
    <w:rsid w:val="002E3F75"/>
    <w:rsid w:val="002E721E"/>
    <w:rsid w:val="002F1ADA"/>
    <w:rsid w:val="003109A9"/>
    <w:rsid w:val="00311340"/>
    <w:rsid w:val="0031255A"/>
    <w:rsid w:val="00313EDD"/>
    <w:rsid w:val="00317B0A"/>
    <w:rsid w:val="00324315"/>
    <w:rsid w:val="0032612C"/>
    <w:rsid w:val="00327DAE"/>
    <w:rsid w:val="00331888"/>
    <w:rsid w:val="00336AAC"/>
    <w:rsid w:val="003420B1"/>
    <w:rsid w:val="00353A96"/>
    <w:rsid w:val="0036611D"/>
    <w:rsid w:val="003667BB"/>
    <w:rsid w:val="00367B13"/>
    <w:rsid w:val="00383D03"/>
    <w:rsid w:val="00393BD4"/>
    <w:rsid w:val="003B0E1B"/>
    <w:rsid w:val="003B58F7"/>
    <w:rsid w:val="003C0B29"/>
    <w:rsid w:val="003C3435"/>
    <w:rsid w:val="003F4154"/>
    <w:rsid w:val="00417534"/>
    <w:rsid w:val="00423062"/>
    <w:rsid w:val="004246EB"/>
    <w:rsid w:val="00443568"/>
    <w:rsid w:val="00451648"/>
    <w:rsid w:val="00456D6C"/>
    <w:rsid w:val="004639BC"/>
    <w:rsid w:val="00466290"/>
    <w:rsid w:val="004904D4"/>
    <w:rsid w:val="004A49C7"/>
    <w:rsid w:val="004A72AE"/>
    <w:rsid w:val="004B35DC"/>
    <w:rsid w:val="004B43AE"/>
    <w:rsid w:val="004D038E"/>
    <w:rsid w:val="004D2321"/>
    <w:rsid w:val="004D6FA6"/>
    <w:rsid w:val="004E11B9"/>
    <w:rsid w:val="004E42A3"/>
    <w:rsid w:val="00501C25"/>
    <w:rsid w:val="00501EC9"/>
    <w:rsid w:val="00534587"/>
    <w:rsid w:val="00545B0B"/>
    <w:rsid w:val="005622FE"/>
    <w:rsid w:val="00564657"/>
    <w:rsid w:val="00565F96"/>
    <w:rsid w:val="00566CE4"/>
    <w:rsid w:val="005774E2"/>
    <w:rsid w:val="005845E9"/>
    <w:rsid w:val="00585914"/>
    <w:rsid w:val="00586325"/>
    <w:rsid w:val="005A2474"/>
    <w:rsid w:val="005A6782"/>
    <w:rsid w:val="005A6E49"/>
    <w:rsid w:val="005C18F4"/>
    <w:rsid w:val="005E1F89"/>
    <w:rsid w:val="005F19F4"/>
    <w:rsid w:val="00615367"/>
    <w:rsid w:val="00662E94"/>
    <w:rsid w:val="00664F5F"/>
    <w:rsid w:val="006717DD"/>
    <w:rsid w:val="00673A5B"/>
    <w:rsid w:val="00673BF9"/>
    <w:rsid w:val="00677AF5"/>
    <w:rsid w:val="00683045"/>
    <w:rsid w:val="006C1E25"/>
    <w:rsid w:val="006C502F"/>
    <w:rsid w:val="006D06C3"/>
    <w:rsid w:val="006E6000"/>
    <w:rsid w:val="006E73D5"/>
    <w:rsid w:val="006F4114"/>
    <w:rsid w:val="006F5822"/>
    <w:rsid w:val="0070272A"/>
    <w:rsid w:val="00704512"/>
    <w:rsid w:val="007108D8"/>
    <w:rsid w:val="00745BA1"/>
    <w:rsid w:val="00754027"/>
    <w:rsid w:val="007720F9"/>
    <w:rsid w:val="00772A67"/>
    <w:rsid w:val="00795547"/>
    <w:rsid w:val="007C5B5A"/>
    <w:rsid w:val="007D436D"/>
    <w:rsid w:val="007E23EF"/>
    <w:rsid w:val="007F3485"/>
    <w:rsid w:val="00804C25"/>
    <w:rsid w:val="00815796"/>
    <w:rsid w:val="00824D77"/>
    <w:rsid w:val="00825C1C"/>
    <w:rsid w:val="00832688"/>
    <w:rsid w:val="00845991"/>
    <w:rsid w:val="00850CFC"/>
    <w:rsid w:val="00851C59"/>
    <w:rsid w:val="00863636"/>
    <w:rsid w:val="00872502"/>
    <w:rsid w:val="00895A03"/>
    <w:rsid w:val="008B7B66"/>
    <w:rsid w:val="008C4E64"/>
    <w:rsid w:val="008D15FE"/>
    <w:rsid w:val="008E35CE"/>
    <w:rsid w:val="008E3B98"/>
    <w:rsid w:val="008F1879"/>
    <w:rsid w:val="008F6516"/>
    <w:rsid w:val="00927B6E"/>
    <w:rsid w:val="00941BB1"/>
    <w:rsid w:val="00954AF2"/>
    <w:rsid w:val="00956AEC"/>
    <w:rsid w:val="00961244"/>
    <w:rsid w:val="00966357"/>
    <w:rsid w:val="00974DF0"/>
    <w:rsid w:val="009770F4"/>
    <w:rsid w:val="009823EE"/>
    <w:rsid w:val="0098501D"/>
    <w:rsid w:val="0099130E"/>
    <w:rsid w:val="00993F87"/>
    <w:rsid w:val="009940CB"/>
    <w:rsid w:val="009A1C5B"/>
    <w:rsid w:val="009B4234"/>
    <w:rsid w:val="009C0731"/>
    <w:rsid w:val="009C3A5A"/>
    <w:rsid w:val="009C71EC"/>
    <w:rsid w:val="009D2522"/>
    <w:rsid w:val="009D3E7A"/>
    <w:rsid w:val="00A00A58"/>
    <w:rsid w:val="00A065A7"/>
    <w:rsid w:val="00A065B2"/>
    <w:rsid w:val="00A1283E"/>
    <w:rsid w:val="00A24B69"/>
    <w:rsid w:val="00A51084"/>
    <w:rsid w:val="00A82CCE"/>
    <w:rsid w:val="00A84F79"/>
    <w:rsid w:val="00A97919"/>
    <w:rsid w:val="00AA14E3"/>
    <w:rsid w:val="00AE1838"/>
    <w:rsid w:val="00AE428E"/>
    <w:rsid w:val="00B04A11"/>
    <w:rsid w:val="00B052FC"/>
    <w:rsid w:val="00B24B63"/>
    <w:rsid w:val="00B378D3"/>
    <w:rsid w:val="00B44BD7"/>
    <w:rsid w:val="00B47169"/>
    <w:rsid w:val="00B55958"/>
    <w:rsid w:val="00B6371A"/>
    <w:rsid w:val="00B641E2"/>
    <w:rsid w:val="00B6761D"/>
    <w:rsid w:val="00B67645"/>
    <w:rsid w:val="00B928C5"/>
    <w:rsid w:val="00BF55ED"/>
    <w:rsid w:val="00C044FC"/>
    <w:rsid w:val="00C11048"/>
    <w:rsid w:val="00C32F31"/>
    <w:rsid w:val="00C3304D"/>
    <w:rsid w:val="00C37C4E"/>
    <w:rsid w:val="00C43EAC"/>
    <w:rsid w:val="00C47B46"/>
    <w:rsid w:val="00C510C8"/>
    <w:rsid w:val="00C62740"/>
    <w:rsid w:val="00C65D09"/>
    <w:rsid w:val="00C973C1"/>
    <w:rsid w:val="00CB1C25"/>
    <w:rsid w:val="00CC154B"/>
    <w:rsid w:val="00CC1CE3"/>
    <w:rsid w:val="00CC3FEB"/>
    <w:rsid w:val="00CD164B"/>
    <w:rsid w:val="00CD7021"/>
    <w:rsid w:val="00CE67D9"/>
    <w:rsid w:val="00CF24A2"/>
    <w:rsid w:val="00CF3B70"/>
    <w:rsid w:val="00CF4091"/>
    <w:rsid w:val="00CF52E3"/>
    <w:rsid w:val="00CF7FBB"/>
    <w:rsid w:val="00D038F7"/>
    <w:rsid w:val="00D10E3E"/>
    <w:rsid w:val="00D11607"/>
    <w:rsid w:val="00D240F6"/>
    <w:rsid w:val="00D278A7"/>
    <w:rsid w:val="00D427F6"/>
    <w:rsid w:val="00D42BF9"/>
    <w:rsid w:val="00D574CD"/>
    <w:rsid w:val="00D724F3"/>
    <w:rsid w:val="00D77A61"/>
    <w:rsid w:val="00D8555C"/>
    <w:rsid w:val="00D92763"/>
    <w:rsid w:val="00D93BEF"/>
    <w:rsid w:val="00DA57F3"/>
    <w:rsid w:val="00DA66BD"/>
    <w:rsid w:val="00DB321A"/>
    <w:rsid w:val="00DB35EB"/>
    <w:rsid w:val="00DB4C4F"/>
    <w:rsid w:val="00DB6708"/>
    <w:rsid w:val="00DC7776"/>
    <w:rsid w:val="00DD47FE"/>
    <w:rsid w:val="00DD60CB"/>
    <w:rsid w:val="00DE1206"/>
    <w:rsid w:val="00DE30E5"/>
    <w:rsid w:val="00E03429"/>
    <w:rsid w:val="00E15F42"/>
    <w:rsid w:val="00E402D0"/>
    <w:rsid w:val="00E44067"/>
    <w:rsid w:val="00E46460"/>
    <w:rsid w:val="00E46929"/>
    <w:rsid w:val="00E55337"/>
    <w:rsid w:val="00E56F9B"/>
    <w:rsid w:val="00E649CE"/>
    <w:rsid w:val="00E7372F"/>
    <w:rsid w:val="00EC4653"/>
    <w:rsid w:val="00ED21D0"/>
    <w:rsid w:val="00EE42E8"/>
    <w:rsid w:val="00EF041B"/>
    <w:rsid w:val="00EF2F39"/>
    <w:rsid w:val="00EF431A"/>
    <w:rsid w:val="00F045FC"/>
    <w:rsid w:val="00F14244"/>
    <w:rsid w:val="00F455FF"/>
    <w:rsid w:val="00F50534"/>
    <w:rsid w:val="00F510F2"/>
    <w:rsid w:val="00F523C1"/>
    <w:rsid w:val="00F70104"/>
    <w:rsid w:val="00F835EE"/>
    <w:rsid w:val="00F92D52"/>
    <w:rsid w:val="00FA0BC6"/>
    <w:rsid w:val="00FD6F39"/>
    <w:rsid w:val="00FE09CE"/>
    <w:rsid w:val="00FE2338"/>
    <w:rsid w:val="00FF2B58"/>
    <w:rsid w:val="00FF3C47"/>
    <w:rsid w:val="00FF4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034FFC"/>
  <w15:chartTrackingRefBased/>
  <w15:docId w15:val="{F4D57013-31AF-40E5-BC68-0B763F6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hAnsi="Garamond"/>
      <w:sz w:val="16"/>
      <w:lang w:eastAsia="en-US"/>
    </w:rPr>
  </w:style>
  <w:style w:type="paragraph" w:styleId="Titolo1">
    <w:name w:val="heading 1"/>
    <w:basedOn w:val="Normale"/>
    <w:next w:val="Corpotesto"/>
    <w:qFormat/>
    <w:pPr>
      <w:keepNext/>
      <w:spacing w:before="240" w:after="120"/>
      <w:outlineLvl w:val="0"/>
    </w:pPr>
    <w:rPr>
      <w:rFonts w:ascii="Arial Black" w:hAnsi="Arial Black"/>
      <w:color w:val="808080"/>
      <w:spacing w:val="-25"/>
      <w:kern w:val="28"/>
      <w:sz w:val="32"/>
    </w:rPr>
  </w:style>
  <w:style w:type="paragraph" w:styleId="Titolo2">
    <w:name w:val="heading 2"/>
    <w:basedOn w:val="Normale"/>
    <w:next w:val="Corpotesto"/>
    <w:qFormat/>
    <w:pPr>
      <w:keepNext/>
      <w:spacing w:line="240" w:lineRule="atLeast"/>
      <w:outlineLvl w:val="1"/>
    </w:pPr>
    <w:rPr>
      <w:rFonts w:ascii="Arial Black" w:hAnsi="Arial Black"/>
      <w:spacing w:val="-10"/>
      <w:kern w:val="28"/>
    </w:rPr>
  </w:style>
  <w:style w:type="paragraph" w:styleId="Titolo3">
    <w:name w:val="heading 3"/>
    <w:basedOn w:val="Normale"/>
    <w:next w:val="Corpotesto"/>
    <w:qFormat/>
    <w:pPr>
      <w:keepNext/>
      <w:outlineLvl w:val="2"/>
    </w:pPr>
    <w:rPr>
      <w:rFonts w:ascii="Arial Black" w:hAnsi="Arial Black"/>
      <w:spacing w:val="-5"/>
      <w:sz w:val="18"/>
    </w:rPr>
  </w:style>
  <w:style w:type="paragraph" w:styleId="Titolo4">
    <w:name w:val="heading 4"/>
    <w:basedOn w:val="Normale"/>
    <w:next w:val="Corpotesto"/>
    <w:qFormat/>
    <w:pPr>
      <w:keepNext/>
      <w:spacing w:after="240"/>
      <w:jc w:val="center"/>
      <w:outlineLvl w:val="3"/>
    </w:pPr>
    <w:rPr>
      <w:caps/>
      <w:spacing w:val="30"/>
    </w:rPr>
  </w:style>
  <w:style w:type="paragraph" w:styleId="Titolo5">
    <w:name w:val="heading 5"/>
    <w:basedOn w:val="Normale"/>
    <w:next w:val="Corpotesto"/>
    <w:qFormat/>
    <w:pPr>
      <w:keepNext/>
      <w:framePr w:w="1800" w:wrap="around" w:vAnchor="text" w:hAnchor="page" w:x="1201" w:y="1"/>
      <w:spacing w:before="40" w:after="240"/>
      <w:outlineLvl w:val="4"/>
    </w:pPr>
    <w:rPr>
      <w:rFonts w:ascii="Arial Black" w:hAnsi="Arial Black"/>
      <w:spacing w:val="-5"/>
      <w:sz w:val="18"/>
    </w:rPr>
  </w:style>
  <w:style w:type="paragraph" w:styleId="Titolo6">
    <w:name w:val="heading 6"/>
    <w:basedOn w:val="Normale"/>
    <w:next w:val="Corpotesto"/>
    <w:qFormat/>
    <w:pPr>
      <w:keepNext/>
      <w:framePr w:w="1800" w:wrap="around" w:vAnchor="text" w:hAnchor="page" w:x="1201" w:y="1"/>
      <w:outlineLvl w:val="5"/>
    </w:pPr>
  </w:style>
  <w:style w:type="paragraph" w:styleId="Titolo7">
    <w:name w:val="heading 7"/>
    <w:basedOn w:val="Normale"/>
    <w:next w:val="Corpotesto"/>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Titolo8">
    <w:name w:val="heading 8"/>
    <w:basedOn w:val="Normale"/>
    <w:next w:val="Corpotesto"/>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Titolo9">
    <w:name w:val="heading 9"/>
    <w:basedOn w:val="Normale"/>
    <w:next w:val="Corpotesto"/>
    <w:qFormat/>
    <w:pPr>
      <w:keepNext/>
      <w:spacing w:before="80" w:after="60"/>
      <w:outlineLvl w:val="8"/>
    </w:pPr>
    <w:rPr>
      <w:b/>
      <w:i/>
      <w:kern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240"/>
      <w:jc w:val="both"/>
    </w:pPr>
    <w:rPr>
      <w:spacing w:val="-5"/>
      <w:sz w:val="24"/>
    </w:rPr>
  </w:style>
  <w:style w:type="character" w:styleId="Enfasicorsivo">
    <w:name w:val="Emphasis"/>
    <w:qFormat/>
    <w:rPr>
      <w:rFonts w:ascii="Arial Black" w:hAnsi="Arial Black" w:hint="default"/>
      <w:i w:val="0"/>
      <w:iCs w:val="0"/>
      <w:sz w:val="18"/>
    </w:rPr>
  </w:style>
  <w:style w:type="paragraph" w:styleId="Indice1">
    <w:name w:val="index 1"/>
    <w:basedOn w:val="Normale"/>
    <w:semiHidden/>
    <w:pPr>
      <w:tabs>
        <w:tab w:val="right" w:leader="dot" w:pos="3960"/>
      </w:tabs>
      <w:spacing w:line="240" w:lineRule="atLeast"/>
      <w:ind w:left="720" w:hanging="720"/>
    </w:pPr>
    <w:rPr>
      <w:rFonts w:ascii="Arial Black" w:hAnsi="Arial Black"/>
      <w:sz w:val="15"/>
    </w:rPr>
  </w:style>
  <w:style w:type="paragraph" w:styleId="Indice2">
    <w:name w:val="index 2"/>
    <w:basedOn w:val="Normale"/>
    <w:semiHidden/>
    <w:pPr>
      <w:tabs>
        <w:tab w:val="right" w:leader="dot" w:pos="3960"/>
      </w:tabs>
      <w:spacing w:line="240" w:lineRule="atLeast"/>
      <w:ind w:left="180"/>
    </w:pPr>
    <w:rPr>
      <w:rFonts w:ascii="Arial Black" w:hAnsi="Arial Black"/>
      <w:sz w:val="15"/>
    </w:rPr>
  </w:style>
  <w:style w:type="paragraph" w:styleId="Indice3">
    <w:name w:val="index 3"/>
    <w:basedOn w:val="Normale"/>
    <w:semiHidden/>
    <w:pPr>
      <w:tabs>
        <w:tab w:val="right" w:leader="dot" w:pos="3960"/>
      </w:tabs>
      <w:spacing w:line="240" w:lineRule="atLeast"/>
      <w:ind w:left="180"/>
    </w:pPr>
    <w:rPr>
      <w:sz w:val="18"/>
    </w:rPr>
  </w:style>
  <w:style w:type="paragraph" w:styleId="Indice4">
    <w:name w:val="index 4"/>
    <w:basedOn w:val="Normale"/>
    <w:semiHidden/>
    <w:pPr>
      <w:tabs>
        <w:tab w:val="right" w:pos="3960"/>
      </w:tabs>
      <w:spacing w:line="240" w:lineRule="atLeast"/>
      <w:ind w:left="180"/>
    </w:pPr>
    <w:rPr>
      <w:sz w:val="18"/>
    </w:rPr>
  </w:style>
  <w:style w:type="paragraph" w:styleId="Indice5">
    <w:name w:val="index 5"/>
    <w:basedOn w:val="Normale"/>
    <w:semiHidden/>
    <w:pPr>
      <w:tabs>
        <w:tab w:val="right" w:pos="3960"/>
      </w:tabs>
      <w:spacing w:line="240" w:lineRule="atLeast"/>
      <w:ind w:left="180"/>
    </w:pPr>
    <w:rPr>
      <w:sz w:val="18"/>
    </w:rPr>
  </w:style>
  <w:style w:type="paragraph" w:styleId="Indice6">
    <w:name w:val="index 6"/>
    <w:basedOn w:val="Indice1"/>
    <w:next w:val="Normale"/>
    <w:semiHidden/>
    <w:pPr>
      <w:tabs>
        <w:tab w:val="right" w:leader="dot" w:pos="3600"/>
      </w:tabs>
      <w:ind w:left="960" w:hanging="160"/>
    </w:pPr>
  </w:style>
  <w:style w:type="paragraph" w:styleId="Indice7">
    <w:name w:val="index 7"/>
    <w:basedOn w:val="Indice1"/>
    <w:next w:val="Normale"/>
    <w:semiHidden/>
    <w:pPr>
      <w:tabs>
        <w:tab w:val="right" w:leader="dot" w:pos="3600"/>
      </w:tabs>
      <w:ind w:left="1120" w:hanging="160"/>
    </w:pPr>
  </w:style>
  <w:style w:type="paragraph" w:styleId="Indice8">
    <w:name w:val="index 8"/>
    <w:basedOn w:val="Normale"/>
    <w:next w:val="Normale"/>
    <w:semiHidden/>
    <w:pPr>
      <w:tabs>
        <w:tab w:val="right" w:leader="dot" w:pos="3600"/>
      </w:tabs>
      <w:ind w:left="1280" w:hanging="160"/>
    </w:pPr>
  </w:style>
  <w:style w:type="paragraph" w:styleId="Sommario1">
    <w:name w:val="toc 1"/>
    <w:basedOn w:val="Normale"/>
    <w:semiHidden/>
    <w:pPr>
      <w:tabs>
        <w:tab w:val="right" w:pos="3600"/>
      </w:tabs>
      <w:spacing w:line="320" w:lineRule="atLeast"/>
    </w:pPr>
    <w:rPr>
      <w:rFonts w:ascii="Arial Black" w:hAnsi="Arial Black"/>
      <w:sz w:val="15"/>
    </w:rPr>
  </w:style>
  <w:style w:type="paragraph" w:styleId="Sommario2">
    <w:name w:val="toc 2"/>
    <w:basedOn w:val="Sommario1"/>
    <w:semiHidden/>
  </w:style>
  <w:style w:type="paragraph" w:styleId="Sommario3">
    <w:name w:val="toc 3"/>
    <w:basedOn w:val="Normale"/>
    <w:next w:val="Normale"/>
    <w:semiHidden/>
    <w:pPr>
      <w:tabs>
        <w:tab w:val="right" w:pos="3600"/>
      </w:tabs>
      <w:spacing w:line="320" w:lineRule="atLeast"/>
    </w:pPr>
    <w:rPr>
      <w:rFonts w:ascii="Arial Black" w:hAnsi="Arial Black"/>
      <w:sz w:val="15"/>
    </w:rPr>
  </w:style>
  <w:style w:type="paragraph" w:styleId="Sommario4">
    <w:name w:val="toc 4"/>
    <w:basedOn w:val="Normale"/>
    <w:next w:val="Normale"/>
    <w:semiHidden/>
    <w:pPr>
      <w:pBdr>
        <w:bottom w:val="single" w:sz="6" w:space="3" w:color="auto"/>
      </w:pBdr>
      <w:tabs>
        <w:tab w:val="right" w:pos="3600"/>
      </w:tabs>
      <w:spacing w:line="360" w:lineRule="atLeast"/>
    </w:pPr>
    <w:rPr>
      <w:sz w:val="22"/>
    </w:rPr>
  </w:style>
  <w:style w:type="paragraph" w:styleId="Sommario5">
    <w:name w:val="toc 5"/>
    <w:basedOn w:val="Normale"/>
    <w:next w:val="Normale"/>
    <w:semiHidden/>
    <w:pPr>
      <w:pBdr>
        <w:bottom w:val="single" w:sz="6" w:space="3" w:color="auto"/>
      </w:pBdr>
      <w:tabs>
        <w:tab w:val="right" w:pos="3600"/>
      </w:tabs>
      <w:spacing w:line="360" w:lineRule="atLeast"/>
    </w:pPr>
    <w:rPr>
      <w:sz w:val="22"/>
    </w:rPr>
  </w:style>
  <w:style w:type="paragraph" w:styleId="Sommario6">
    <w:name w:val="toc 6"/>
    <w:basedOn w:val="Normale"/>
    <w:next w:val="Normale"/>
    <w:semiHidden/>
    <w:pPr>
      <w:tabs>
        <w:tab w:val="right" w:leader="dot" w:pos="3600"/>
      </w:tabs>
      <w:ind w:left="800"/>
    </w:pPr>
  </w:style>
  <w:style w:type="paragraph" w:styleId="Sommario7">
    <w:name w:val="toc 7"/>
    <w:basedOn w:val="Normale"/>
    <w:next w:val="Normale"/>
    <w:semiHidden/>
    <w:pPr>
      <w:tabs>
        <w:tab w:val="right" w:leader="dot" w:pos="3600"/>
      </w:tabs>
      <w:ind w:left="960"/>
    </w:pPr>
  </w:style>
  <w:style w:type="paragraph" w:styleId="Sommario8">
    <w:name w:val="toc 8"/>
    <w:basedOn w:val="Normale"/>
    <w:next w:val="Normale"/>
    <w:semiHidden/>
    <w:pPr>
      <w:tabs>
        <w:tab w:val="right" w:leader="dot" w:pos="3600"/>
      </w:tabs>
      <w:ind w:left="1120"/>
    </w:pPr>
  </w:style>
  <w:style w:type="paragraph" w:styleId="Sommario9">
    <w:name w:val="toc 9"/>
    <w:basedOn w:val="Normale"/>
    <w:next w:val="Normale"/>
    <w:semiHidden/>
    <w:pPr>
      <w:tabs>
        <w:tab w:val="right" w:leader="dot" w:pos="3600"/>
      </w:tabs>
      <w:ind w:left="1280"/>
    </w:pPr>
  </w:style>
  <w:style w:type="paragraph" w:styleId="Testocommento">
    <w:name w:val="annotation text"/>
    <w:basedOn w:val="Normale"/>
    <w:semiHidden/>
    <w:pPr>
      <w:tabs>
        <w:tab w:val="left" w:pos="187"/>
      </w:tabs>
      <w:spacing w:after="120" w:line="220" w:lineRule="exact"/>
      <w:ind w:left="187" w:hanging="187"/>
    </w:pPr>
  </w:style>
  <w:style w:type="paragraph" w:styleId="Intestazione">
    <w:name w:val="header"/>
    <w:basedOn w:val="Normale"/>
    <w:pPr>
      <w:keepLines/>
      <w:tabs>
        <w:tab w:val="center" w:pos="4320"/>
        <w:tab w:val="right" w:pos="8640"/>
      </w:tabs>
    </w:pPr>
    <w:rPr>
      <w:rFonts w:ascii="Arial Black" w:hAnsi="Arial Black"/>
      <w:caps/>
      <w:spacing w:val="60"/>
      <w:sz w:val="14"/>
    </w:rPr>
  </w:style>
  <w:style w:type="paragraph" w:styleId="Pidipagina">
    <w:name w:val="footer"/>
    <w:basedOn w:val="Normale"/>
    <w:pPr>
      <w:keepLines/>
      <w:pBdr>
        <w:top w:val="single" w:sz="6" w:space="3" w:color="auto"/>
      </w:pBdr>
      <w:tabs>
        <w:tab w:val="center" w:pos="4320"/>
        <w:tab w:val="right" w:pos="8640"/>
      </w:tabs>
      <w:jc w:val="center"/>
    </w:pPr>
    <w:rPr>
      <w:rFonts w:ascii="Arial Black" w:hAnsi="Arial Black"/>
    </w:rPr>
  </w:style>
  <w:style w:type="paragraph" w:styleId="Titoloindice">
    <w:name w:val="index heading"/>
    <w:basedOn w:val="Normale"/>
    <w:next w:val="Indice1"/>
    <w:semiHidden/>
    <w:pPr>
      <w:keepNext/>
      <w:spacing w:line="480" w:lineRule="exact"/>
    </w:pPr>
    <w:rPr>
      <w:caps/>
      <w:color w:val="808080"/>
      <w:kern w:val="28"/>
      <w:sz w:val="36"/>
    </w:rPr>
  </w:style>
  <w:style w:type="paragraph" w:styleId="Didascalia">
    <w:name w:val="caption"/>
    <w:basedOn w:val="Normale"/>
    <w:next w:val="Corpotesto"/>
    <w:qFormat/>
    <w:pPr>
      <w:spacing w:after="240"/>
    </w:pPr>
    <w:rPr>
      <w:spacing w:val="-5"/>
    </w:rPr>
  </w:style>
  <w:style w:type="paragraph" w:styleId="Indicedellefigure">
    <w:name w:val="table of figures"/>
    <w:basedOn w:val="Normale"/>
    <w:semiHidden/>
    <w:pPr>
      <w:tabs>
        <w:tab w:val="right" w:leader="dot" w:pos="8640"/>
      </w:tabs>
      <w:ind w:left="720" w:hanging="720"/>
    </w:pPr>
  </w:style>
  <w:style w:type="paragraph" w:styleId="Testonotadichiusura">
    <w:name w:val="endnote text"/>
    <w:basedOn w:val="Normale"/>
    <w:semiHidden/>
    <w:pPr>
      <w:tabs>
        <w:tab w:val="left" w:pos="187"/>
      </w:tabs>
      <w:spacing w:after="120" w:line="220" w:lineRule="exact"/>
      <w:ind w:left="187" w:hanging="187"/>
    </w:pPr>
    <w:rPr>
      <w:sz w:val="18"/>
    </w:rPr>
  </w:style>
  <w:style w:type="paragraph" w:styleId="Indicefonti">
    <w:name w:val="table of authorities"/>
    <w:basedOn w:val="Normale"/>
    <w:semiHidden/>
    <w:pPr>
      <w:tabs>
        <w:tab w:val="right" w:leader="dot" w:pos="8640"/>
      </w:tabs>
      <w:spacing w:after="240"/>
    </w:pPr>
    <w:rPr>
      <w:sz w:val="20"/>
    </w:rPr>
  </w:style>
  <w:style w:type="paragraph" w:styleId="Testomacro">
    <w:name w:val="macro"/>
    <w:basedOn w:val="Corpotesto"/>
    <w:semiHidden/>
    <w:rPr>
      <w:rFonts w:ascii="Courier New" w:hAnsi="Courier New"/>
    </w:rPr>
  </w:style>
  <w:style w:type="paragraph" w:styleId="Titoloindicefonti">
    <w:name w:val="toa heading"/>
    <w:basedOn w:val="Normale"/>
    <w:next w:val="Normale"/>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Elenco">
    <w:name w:val="List"/>
    <w:basedOn w:val="Corpotesto"/>
    <w:pPr>
      <w:tabs>
        <w:tab w:val="left" w:pos="720"/>
      </w:tabs>
      <w:ind w:left="360"/>
    </w:pPr>
  </w:style>
  <w:style w:type="paragraph" w:styleId="Puntoelenco">
    <w:name w:val="List Bullet"/>
    <w:basedOn w:val="Elenco"/>
    <w:pPr>
      <w:numPr>
        <w:numId w:val="12"/>
      </w:numPr>
      <w:tabs>
        <w:tab w:val="clear" w:pos="720"/>
      </w:tabs>
    </w:pPr>
  </w:style>
  <w:style w:type="paragraph" w:styleId="Numeroelenco">
    <w:name w:val="List Number"/>
    <w:basedOn w:val="Elenco"/>
    <w:pPr>
      <w:tabs>
        <w:tab w:val="clear" w:pos="720"/>
      </w:tabs>
      <w:ind w:left="720" w:right="360" w:hanging="360"/>
    </w:pPr>
  </w:style>
  <w:style w:type="paragraph" w:styleId="Elenco2">
    <w:name w:val="List 2"/>
    <w:basedOn w:val="Elenco"/>
    <w:pPr>
      <w:tabs>
        <w:tab w:val="clear" w:pos="720"/>
        <w:tab w:val="left" w:pos="1080"/>
      </w:tabs>
      <w:ind w:left="1080"/>
    </w:pPr>
  </w:style>
  <w:style w:type="paragraph" w:styleId="Elenco3">
    <w:name w:val="List 3"/>
    <w:basedOn w:val="Elenco"/>
    <w:pPr>
      <w:tabs>
        <w:tab w:val="clear" w:pos="720"/>
        <w:tab w:val="left" w:pos="1440"/>
      </w:tabs>
      <w:ind w:left="1440"/>
    </w:pPr>
  </w:style>
  <w:style w:type="paragraph" w:styleId="Elenco4">
    <w:name w:val="List 4"/>
    <w:basedOn w:val="Elenco"/>
    <w:pPr>
      <w:tabs>
        <w:tab w:val="clear" w:pos="720"/>
        <w:tab w:val="left" w:pos="1800"/>
      </w:tabs>
      <w:ind w:left="1800"/>
    </w:pPr>
  </w:style>
  <w:style w:type="paragraph" w:styleId="Elenco5">
    <w:name w:val="List 5"/>
    <w:basedOn w:val="Elenco"/>
    <w:pPr>
      <w:tabs>
        <w:tab w:val="clear" w:pos="720"/>
        <w:tab w:val="left" w:pos="2160"/>
      </w:tabs>
      <w:ind w:left="2160"/>
    </w:pPr>
  </w:style>
  <w:style w:type="paragraph" w:styleId="Puntoelenco2">
    <w:name w:val="List Bullet 2"/>
    <w:basedOn w:val="Puntoelenco"/>
    <w:pPr>
      <w:ind w:left="1080"/>
    </w:pPr>
  </w:style>
  <w:style w:type="paragraph" w:styleId="Puntoelenco3">
    <w:name w:val="List Bullet 3"/>
    <w:basedOn w:val="Puntoelenco"/>
    <w:pPr>
      <w:ind w:left="1440"/>
    </w:pPr>
  </w:style>
  <w:style w:type="paragraph" w:styleId="Puntoelenco4">
    <w:name w:val="List Bullet 4"/>
    <w:basedOn w:val="Puntoelenco"/>
    <w:pPr>
      <w:ind w:left="1800"/>
    </w:pPr>
  </w:style>
  <w:style w:type="paragraph" w:styleId="Puntoelenco5">
    <w:name w:val="List Bullet 5"/>
    <w:basedOn w:val="Normale"/>
    <w:pPr>
      <w:framePr w:w="1860" w:wrap="around" w:vAnchor="text" w:hAnchor="page" w:x="1201" w:y="1"/>
      <w:numPr>
        <w:numId w:val="14"/>
      </w:numPr>
      <w:pBdr>
        <w:bottom w:val="single" w:sz="6" w:space="0" w:color="auto"/>
      </w:pBdr>
      <w:spacing w:line="320" w:lineRule="exact"/>
    </w:pPr>
    <w:rPr>
      <w:sz w:val="18"/>
    </w:rPr>
  </w:style>
  <w:style w:type="paragraph" w:styleId="Numeroelenco2">
    <w:name w:val="List Number 2"/>
    <w:basedOn w:val="Numeroelenco"/>
    <w:pPr>
      <w:ind w:left="1080"/>
    </w:pPr>
  </w:style>
  <w:style w:type="paragraph" w:styleId="Numeroelenco3">
    <w:name w:val="List Number 3"/>
    <w:basedOn w:val="Numeroelenco"/>
    <w:pPr>
      <w:ind w:left="1440"/>
    </w:pPr>
  </w:style>
  <w:style w:type="paragraph" w:styleId="Numeroelenco4">
    <w:name w:val="List Number 4"/>
    <w:basedOn w:val="Numeroelenco"/>
    <w:pPr>
      <w:ind w:left="1800"/>
    </w:pPr>
  </w:style>
  <w:style w:type="paragraph" w:styleId="Numeroelenco5">
    <w:name w:val="List Number 5"/>
    <w:basedOn w:val="Numeroelenco"/>
    <w:pPr>
      <w:ind w:left="2160"/>
    </w:pPr>
  </w:style>
  <w:style w:type="paragraph" w:styleId="Rientrocorpodeltesto">
    <w:name w:val="Body Text Indent"/>
    <w:basedOn w:val="Corpotesto"/>
    <w:pPr>
      <w:ind w:firstLine="360"/>
    </w:pPr>
  </w:style>
  <w:style w:type="paragraph" w:styleId="Elencocontinua">
    <w:name w:val="List Continue"/>
    <w:basedOn w:val="Elenco"/>
    <w:pPr>
      <w:tabs>
        <w:tab w:val="clear" w:pos="720"/>
      </w:tabs>
      <w:spacing w:after="160"/>
    </w:pPr>
  </w:style>
  <w:style w:type="paragraph" w:styleId="Elencocontinua2">
    <w:name w:val="List Continue 2"/>
    <w:basedOn w:val="Elencocontinua"/>
    <w:pPr>
      <w:ind w:left="1080"/>
    </w:pPr>
  </w:style>
  <w:style w:type="paragraph" w:styleId="Elencocontinua3">
    <w:name w:val="List Continue 3"/>
    <w:basedOn w:val="Elencocontinua"/>
    <w:pPr>
      <w:ind w:left="1440"/>
    </w:pPr>
  </w:style>
  <w:style w:type="paragraph" w:styleId="Elencocontinua4">
    <w:name w:val="List Continue 4"/>
    <w:basedOn w:val="Elencocontinua"/>
    <w:pPr>
      <w:ind w:left="1800"/>
    </w:pPr>
  </w:style>
  <w:style w:type="paragraph" w:styleId="Elencocontinua5">
    <w:name w:val="List Continue 5"/>
    <w:basedOn w:val="Elencocontinua"/>
    <w:pPr>
      <w:ind w:left="2160"/>
    </w:pPr>
  </w:style>
  <w:style w:type="paragraph" w:styleId="Titolo">
    <w:name w:val="Title"/>
    <w:basedOn w:val="BaseTitolo"/>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BaseTitolo">
    <w:name w:val="Base Titolo"/>
    <w:basedOn w:val="Normale"/>
    <w:next w:val="Corpotesto"/>
    <w:pPr>
      <w:keepNext/>
      <w:spacing w:before="240" w:after="120"/>
    </w:pPr>
    <w:rPr>
      <w:rFonts w:ascii="Arial" w:hAnsi="Arial"/>
      <w:b/>
      <w:kern w:val="28"/>
      <w:sz w:val="36"/>
    </w:rPr>
  </w:style>
  <w:style w:type="paragraph" w:styleId="Sottotitolo">
    <w:name w:val="Subtitle"/>
    <w:basedOn w:val="Titolo"/>
    <w:next w:val="Corpotesto"/>
    <w:qFormat/>
    <w:pPr>
      <w:spacing w:before="1940" w:after="0" w:line="200" w:lineRule="atLeast"/>
    </w:pPr>
    <w:rPr>
      <w:rFonts w:ascii="Garamond" w:hAnsi="Garamond"/>
      <w:bCs/>
      <w:caps/>
      <w:spacing w:val="30"/>
      <w:sz w:val="18"/>
    </w:rPr>
  </w:style>
  <w:style w:type="paragraph" w:styleId="Data">
    <w:name w:val="Date"/>
    <w:basedOn w:val="Corpotesto"/>
    <w:pPr>
      <w:spacing w:before="480" w:after="160"/>
      <w:jc w:val="center"/>
    </w:pPr>
    <w:rPr>
      <w:rFonts w:ascii="Times New Roman" w:hAnsi="Times New Roman"/>
      <w:b/>
      <w:spacing w:val="0"/>
      <w:sz w:val="20"/>
    </w:rPr>
  </w:style>
  <w:style w:type="paragraph" w:customStyle="1" w:styleId="Blocco">
    <w:name w:val="Blocco"/>
    <w:basedOn w:val="Normale"/>
    <w:next w:val="Corpotesto"/>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Primoblocco">
    <w:name w:val="Primo blocco"/>
    <w:basedOn w:val="Normale"/>
    <w:next w:val="Blocco"/>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Ultimoblocco">
    <w:name w:val="Ultimo blocco"/>
    <w:basedOn w:val="Blocco"/>
    <w:next w:val="Corpotesto"/>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Corpodeltestocontinuo">
    <w:name w:val="Corpo del testo continuo"/>
    <w:basedOn w:val="Corpotesto"/>
    <w:next w:val="Corpotesto"/>
    <w:pPr>
      <w:keepNext/>
    </w:pPr>
  </w:style>
  <w:style w:type="paragraph" w:customStyle="1" w:styleId="Etichettacapitolo">
    <w:name w:val="Etichetta capitolo"/>
    <w:basedOn w:val="Normale"/>
    <w:next w:val="Corpotesto"/>
    <w:pPr>
      <w:keepNext/>
      <w:pBdr>
        <w:bottom w:val="single" w:sz="6" w:space="3" w:color="auto"/>
      </w:pBdr>
      <w:spacing w:after="240"/>
    </w:pPr>
    <w:rPr>
      <w:rFonts w:ascii="Arial Black" w:hAnsi="Arial Black"/>
      <w:caps/>
      <w:spacing w:val="70"/>
      <w:kern w:val="28"/>
      <w:sz w:val="15"/>
    </w:rPr>
  </w:style>
  <w:style w:type="paragraph" w:customStyle="1" w:styleId="Sottotitolocapitolo">
    <w:name w:val="Sottotitolo capitolo"/>
    <w:basedOn w:val="Normale"/>
    <w:next w:val="Corpotesto"/>
    <w:pPr>
      <w:keepNext/>
      <w:keepLines/>
      <w:spacing w:after="360" w:line="240" w:lineRule="atLeast"/>
      <w:ind w:right="1800"/>
    </w:pPr>
    <w:rPr>
      <w:i/>
      <w:spacing w:val="-20"/>
      <w:kern w:val="28"/>
      <w:sz w:val="28"/>
    </w:rPr>
  </w:style>
  <w:style w:type="paragraph" w:customStyle="1" w:styleId="Titolocapitolo">
    <w:name w:val="Titolo capitolo"/>
    <w:basedOn w:val="Normale"/>
    <w:next w:val="Sottotitolocapitolo"/>
    <w:pPr>
      <w:keepNext/>
      <w:keepLines/>
      <w:spacing w:before="480" w:after="360" w:line="440" w:lineRule="atLeast"/>
      <w:ind w:right="2160"/>
    </w:pPr>
    <w:rPr>
      <w:rFonts w:ascii="Arial Black" w:hAnsi="Arial Black"/>
      <w:color w:val="808080"/>
      <w:spacing w:val="-35"/>
      <w:kern w:val="28"/>
      <w:sz w:val="44"/>
    </w:rPr>
  </w:style>
  <w:style w:type="paragraph" w:customStyle="1" w:styleId="Nomesociet">
    <w:name w:val="Nome società"/>
    <w:basedOn w:val="Normale"/>
    <w:next w:val="Normale"/>
    <w:pPr>
      <w:spacing w:before="420" w:after="60" w:line="320" w:lineRule="exact"/>
    </w:pPr>
    <w:rPr>
      <w:caps/>
      <w:kern w:val="36"/>
      <w:sz w:val="38"/>
    </w:rPr>
  </w:style>
  <w:style w:type="paragraph" w:customStyle="1" w:styleId="Etichettadocumento">
    <w:name w:val="Etichetta documento"/>
    <w:basedOn w:val="Normale"/>
    <w:pPr>
      <w:keepNext/>
      <w:spacing w:before="240" w:after="360"/>
    </w:pPr>
    <w:rPr>
      <w:b/>
      <w:kern w:val="28"/>
      <w:sz w:val="36"/>
    </w:rPr>
  </w:style>
  <w:style w:type="paragraph" w:customStyle="1" w:styleId="Pidipaginapari">
    <w:name w:val="Piè di pagina pari"/>
    <w:basedOn w:val="Pidipagina"/>
  </w:style>
  <w:style w:type="paragraph" w:customStyle="1" w:styleId="Primopidipagina">
    <w:name w:val="Primo piè di pagina"/>
    <w:basedOn w:val="Pidipagina"/>
    <w:pPr>
      <w:pBdr>
        <w:top w:val="none" w:sz="0" w:space="0" w:color="auto"/>
      </w:pBdr>
      <w:tabs>
        <w:tab w:val="clear" w:pos="8640"/>
      </w:tabs>
    </w:pPr>
    <w:rPr>
      <w:spacing w:val="-10"/>
    </w:rPr>
  </w:style>
  <w:style w:type="paragraph" w:customStyle="1" w:styleId="Pidipaginadispari">
    <w:name w:val="Piè di pagina dispari"/>
    <w:basedOn w:val="Pidipagina"/>
    <w:pPr>
      <w:tabs>
        <w:tab w:val="right" w:pos="0"/>
      </w:tabs>
    </w:pPr>
  </w:style>
  <w:style w:type="paragraph" w:customStyle="1" w:styleId="BasePidipagina">
    <w:name w:val="Base Piè di pagina"/>
    <w:basedOn w:val="Normale"/>
    <w:pPr>
      <w:spacing w:before="240"/>
    </w:pPr>
    <w:rPr>
      <w:sz w:val="18"/>
    </w:rPr>
  </w:style>
  <w:style w:type="paragraph" w:customStyle="1" w:styleId="BaseIntestazione">
    <w:name w:val="Base Intestazione"/>
    <w:basedOn w:val="Normale"/>
    <w:pPr>
      <w:keepLines/>
      <w:tabs>
        <w:tab w:val="center" w:pos="4320"/>
        <w:tab w:val="right" w:pos="8640"/>
      </w:tabs>
    </w:pPr>
  </w:style>
  <w:style w:type="paragraph" w:customStyle="1" w:styleId="Intestazionepari">
    <w:name w:val="Intestazione pari"/>
    <w:basedOn w:val="Intestazione"/>
  </w:style>
  <w:style w:type="paragraph" w:customStyle="1" w:styleId="Primaintestazione">
    <w:name w:val="Prima intestazione"/>
    <w:basedOn w:val="Intestazione"/>
    <w:pPr>
      <w:tabs>
        <w:tab w:val="clear" w:pos="8640"/>
      </w:tabs>
    </w:pPr>
    <w:rPr>
      <w:rFonts w:ascii="Garamond" w:hAnsi="Garamond"/>
      <w:b/>
    </w:rPr>
  </w:style>
  <w:style w:type="paragraph" w:customStyle="1" w:styleId="Intestazionedispari">
    <w:name w:val="Intestazione dispari"/>
    <w:basedOn w:val="Intestazione"/>
    <w:pPr>
      <w:tabs>
        <w:tab w:val="right" w:pos="0"/>
      </w:tabs>
      <w:jc w:val="right"/>
    </w:pPr>
  </w:style>
  <w:style w:type="paragraph" w:customStyle="1" w:styleId="Icona1">
    <w:name w:val="Icona 1"/>
    <w:basedOn w:val="Normal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BaseIndice">
    <w:name w:val="Base Indice"/>
    <w:basedOn w:val="Normale"/>
    <w:pPr>
      <w:tabs>
        <w:tab w:val="right" w:pos="3960"/>
      </w:tabs>
      <w:spacing w:line="240" w:lineRule="atLeast"/>
    </w:pPr>
    <w:rPr>
      <w:sz w:val="18"/>
    </w:rPr>
  </w:style>
  <w:style w:type="paragraph" w:customStyle="1" w:styleId="Primopuntoelenco">
    <w:name w:val="Primo punto elenco"/>
    <w:basedOn w:val="Puntoelenco"/>
    <w:next w:val="Puntoelenco"/>
    <w:pPr>
      <w:spacing w:before="80" w:after="160"/>
      <w:ind w:right="0"/>
      <w:jc w:val="left"/>
    </w:pPr>
    <w:rPr>
      <w:rFonts w:ascii="Times New Roman" w:hAnsi="Times New Roman"/>
      <w:spacing w:val="0"/>
      <w:sz w:val="20"/>
    </w:rPr>
  </w:style>
  <w:style w:type="paragraph" w:customStyle="1" w:styleId="Ultimopuntoelenco">
    <w:name w:val="Ultimo punto elenco"/>
    <w:basedOn w:val="Puntoelenco"/>
    <w:next w:val="Corpotesto"/>
    <w:pPr>
      <w:ind w:right="0"/>
      <w:jc w:val="left"/>
    </w:pPr>
    <w:rPr>
      <w:rFonts w:ascii="Times New Roman" w:hAnsi="Times New Roman"/>
      <w:spacing w:val="0"/>
      <w:sz w:val="20"/>
    </w:rPr>
  </w:style>
  <w:style w:type="paragraph" w:customStyle="1" w:styleId="Primoelenco">
    <w:name w:val="Primo elenco"/>
    <w:basedOn w:val="Elenco"/>
    <w:next w:val="Elenco"/>
    <w:pPr>
      <w:spacing w:before="80" w:after="80"/>
      <w:ind w:left="720" w:hanging="360"/>
      <w:jc w:val="left"/>
    </w:pPr>
    <w:rPr>
      <w:rFonts w:ascii="Times New Roman" w:hAnsi="Times New Roman"/>
      <w:spacing w:val="0"/>
      <w:sz w:val="20"/>
    </w:rPr>
  </w:style>
  <w:style w:type="paragraph" w:customStyle="1" w:styleId="Ultimoelenco">
    <w:name w:val="Ultimo elenco"/>
    <w:basedOn w:val="Elenco"/>
    <w:next w:val="Corpotesto"/>
    <w:pPr>
      <w:ind w:left="720" w:hanging="360"/>
      <w:jc w:val="left"/>
    </w:pPr>
    <w:rPr>
      <w:rFonts w:ascii="Times New Roman" w:hAnsi="Times New Roman"/>
      <w:spacing w:val="0"/>
      <w:sz w:val="20"/>
    </w:rPr>
  </w:style>
  <w:style w:type="paragraph" w:customStyle="1" w:styleId="Primonumeroelenco">
    <w:name w:val="Primo numero elenco"/>
    <w:basedOn w:val="Numeroelenco"/>
    <w:next w:val="Numeroelenco"/>
    <w:pPr>
      <w:spacing w:before="80" w:after="160"/>
      <w:ind w:right="0"/>
      <w:jc w:val="left"/>
    </w:pPr>
    <w:rPr>
      <w:rFonts w:ascii="Times New Roman" w:hAnsi="Times New Roman"/>
      <w:spacing w:val="0"/>
      <w:sz w:val="20"/>
    </w:rPr>
  </w:style>
  <w:style w:type="paragraph" w:customStyle="1" w:styleId="Ultimonumeroelenco">
    <w:name w:val="Ultimo numero elenco"/>
    <w:basedOn w:val="Numeroelenco"/>
    <w:next w:val="Corpotesto"/>
    <w:pPr>
      <w:ind w:right="0"/>
      <w:jc w:val="left"/>
    </w:pPr>
    <w:rPr>
      <w:rFonts w:ascii="Times New Roman" w:hAnsi="Times New Roman"/>
      <w:spacing w:val="0"/>
      <w:sz w:val="20"/>
    </w:rPr>
  </w:style>
  <w:style w:type="paragraph" w:customStyle="1" w:styleId="Etichettaparte">
    <w:name w:val="Etichetta parte"/>
    <w:basedOn w:val="Normale"/>
    <w:next w:val="Normal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Sottotitoloparte">
    <w:name w:val="Sottotitolo parte"/>
    <w:basedOn w:val="Normale"/>
    <w:next w:val="Corpotesto"/>
    <w:pPr>
      <w:keepNext/>
      <w:spacing w:before="360" w:after="120"/>
      <w:jc w:val="center"/>
    </w:pPr>
    <w:rPr>
      <w:rFonts w:ascii="Arial" w:hAnsi="Arial"/>
      <w:i/>
      <w:kern w:val="28"/>
      <w:sz w:val="32"/>
    </w:rPr>
  </w:style>
  <w:style w:type="paragraph" w:customStyle="1" w:styleId="Titoloparte">
    <w:name w:val="Titolo parte"/>
    <w:basedOn w:val="Normale"/>
    <w:next w:val="Etichettapart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Immagine">
    <w:name w:val="Immagine"/>
    <w:basedOn w:val="Corpotesto"/>
    <w:next w:val="Didascalia"/>
    <w:pPr>
      <w:keepNext/>
    </w:pPr>
  </w:style>
  <w:style w:type="paragraph" w:customStyle="1" w:styleId="Mittente">
    <w:name w:val="Mittente"/>
    <w:basedOn w:val="Normale"/>
    <w:pPr>
      <w:jc w:val="center"/>
    </w:pPr>
    <w:rPr>
      <w:spacing w:val="-3"/>
      <w:sz w:val="20"/>
    </w:rPr>
  </w:style>
  <w:style w:type="paragraph" w:customStyle="1" w:styleId="Titolosezione">
    <w:name w:val="Titolo sezione"/>
    <w:basedOn w:val="Normale"/>
    <w:next w:val="Corpotesto"/>
    <w:pPr>
      <w:spacing w:line="640" w:lineRule="atLeast"/>
    </w:pPr>
    <w:rPr>
      <w:rFonts w:ascii="Arial Black" w:hAnsi="Arial Black"/>
      <w:caps/>
      <w:spacing w:val="60"/>
      <w:sz w:val="15"/>
    </w:rPr>
  </w:style>
  <w:style w:type="paragraph" w:customStyle="1" w:styleId="Etichettasezione">
    <w:name w:val="Etichetta sezione"/>
    <w:basedOn w:val="Normale"/>
    <w:next w:val="Normale"/>
    <w:pPr>
      <w:spacing w:before="2040" w:after="360" w:line="480" w:lineRule="atLeast"/>
    </w:pPr>
    <w:rPr>
      <w:rFonts w:ascii="Arial Black" w:hAnsi="Arial Black"/>
      <w:color w:val="808080"/>
      <w:spacing w:val="-35"/>
      <w:sz w:val="48"/>
    </w:rPr>
  </w:style>
  <w:style w:type="paragraph" w:customStyle="1" w:styleId="Sottotitolofrontespizio">
    <w:name w:val="Sottotitolo frontespizio"/>
    <w:basedOn w:val="Normale"/>
    <w:next w:val="Normale"/>
    <w:pPr>
      <w:keepNext/>
      <w:pBdr>
        <w:top w:val="single" w:sz="6" w:space="1" w:color="auto"/>
      </w:pBdr>
      <w:spacing w:after="5280" w:line="480" w:lineRule="exact"/>
    </w:pPr>
    <w:rPr>
      <w:spacing w:val="-15"/>
      <w:kern w:val="28"/>
      <w:sz w:val="44"/>
    </w:rPr>
  </w:style>
  <w:style w:type="paragraph" w:customStyle="1" w:styleId="Titolofrontespizio">
    <w:name w:val="Titolo frontespizio"/>
    <w:basedOn w:val="BaseTitolo"/>
    <w:next w:val="Sottotitolofrontespizio"/>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BaseSommario">
    <w:name w:val="Base Sommario"/>
    <w:basedOn w:val="Sommario2"/>
  </w:style>
  <w:style w:type="character" w:styleId="Rimandonotaapidipagina">
    <w:name w:val="footnote reference"/>
    <w:semiHidden/>
    <w:rPr>
      <w:sz w:val="18"/>
      <w:vertAlign w:val="superscript"/>
    </w:rPr>
  </w:style>
  <w:style w:type="character" w:styleId="Rimandocommento">
    <w:name w:val="annotation reference"/>
    <w:semiHidden/>
    <w:rPr>
      <w:sz w:val="16"/>
    </w:rPr>
  </w:style>
  <w:style w:type="character" w:styleId="Numeroriga">
    <w:name w:val="line number"/>
    <w:rPr>
      <w:rFonts w:ascii="Arial" w:hAnsi="Arial" w:cs="Arial" w:hint="default"/>
      <w:sz w:val="18"/>
    </w:rPr>
  </w:style>
  <w:style w:type="character" w:styleId="Numeropagina">
    <w:name w:val="page number"/>
    <w:rPr>
      <w:b/>
      <w:bCs w:val="0"/>
    </w:rPr>
  </w:style>
  <w:style w:type="character" w:styleId="Rimandonotadichiusura">
    <w:name w:val="endnote reference"/>
    <w:semiHidden/>
    <w:rPr>
      <w:sz w:val="18"/>
      <w:vertAlign w:val="superscript"/>
    </w:rPr>
  </w:style>
  <w:style w:type="character" w:customStyle="1" w:styleId="Inizioinevidenza">
    <w:name w:val="Inizio in evidenza"/>
    <w:rPr>
      <w:caps/>
      <w:sz w:val="22"/>
    </w:rPr>
  </w:style>
  <w:style w:type="character" w:customStyle="1" w:styleId="Apice">
    <w:name w:val="Apice"/>
    <w:rPr>
      <w:position w:val="0"/>
      <w:vertAlign w:val="superscript"/>
    </w:rPr>
  </w:style>
  <w:style w:type="paragraph" w:styleId="Testonotaapidipagina">
    <w:name w:val="footnote text"/>
    <w:basedOn w:val="BasePidipagina"/>
    <w:semiHidden/>
    <w:pPr>
      <w:spacing w:after="120"/>
    </w:pPr>
  </w:style>
  <w:style w:type="character" w:styleId="AcronimoHTML">
    <w:name w:val="HTML Acronym"/>
    <w:basedOn w:val="Carpredefinitoparagrafo"/>
    <w:rPr>
      <w:lang w:val="it-IT"/>
    </w:rPr>
  </w:style>
  <w:style w:type="character" w:styleId="CitazioneHTML">
    <w:name w:val="HTML Cite"/>
    <w:basedOn w:val="Carpredefinitoparagrafo"/>
    <w:rPr>
      <w:i/>
      <w:iCs/>
      <w:lang w:val="it-IT"/>
    </w:rPr>
  </w:style>
  <w:style w:type="character" w:styleId="CodiceHTML">
    <w:name w:val="HTML Code"/>
    <w:basedOn w:val="Carpredefinitoparagrafo"/>
    <w:rPr>
      <w:rFonts w:ascii="Courier New" w:hAnsi="Courier New"/>
      <w:sz w:val="20"/>
      <w:szCs w:val="20"/>
      <w:lang w:val="it-IT"/>
    </w:rPr>
  </w:style>
  <w:style w:type="character" w:styleId="Collegamentoipertestuale">
    <w:name w:val="Hyperlink"/>
    <w:basedOn w:val="Carpredefinitoparagrafo"/>
    <w:rPr>
      <w:color w:val="0000FF"/>
      <w:u w:val="single"/>
      <w:lang w:val="it-IT"/>
    </w:rPr>
  </w:style>
  <w:style w:type="character" w:styleId="Collegamentovisitato">
    <w:name w:val="FollowedHyperlink"/>
    <w:basedOn w:val="Carpredefinitoparagrafo"/>
    <w:rPr>
      <w:color w:val="800080"/>
      <w:u w:val="single"/>
      <w:lang w:val="it-IT"/>
    </w:r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Cs w:val="16"/>
    </w:rPr>
  </w:style>
  <w:style w:type="character" w:styleId="DefinizioneHTML">
    <w:name w:val="HTML Definition"/>
    <w:basedOn w:val="Carpredefinitoparagrafo"/>
    <w:rPr>
      <w:i/>
      <w:iCs/>
      <w:lang w:val="it-IT"/>
    </w:rPr>
  </w:style>
  <w:style w:type="character" w:styleId="Enfasigrassetto">
    <w:name w:val="Strong"/>
    <w:basedOn w:val="Carpredefinitoparagrafo"/>
    <w:qFormat/>
    <w:rPr>
      <w:b/>
      <w:bCs/>
      <w:lang w:val="it-IT"/>
    </w:rPr>
  </w:style>
  <w:style w:type="character" w:styleId="EsempioHTML">
    <w:name w:val="HTML Sample"/>
    <w:basedOn w:val="Carpredefinitoparagrafo"/>
    <w:rPr>
      <w:rFonts w:ascii="Courier New" w:hAnsi="Courier New"/>
      <w:lang w:val="it-IT"/>
    </w:rPr>
  </w:style>
  <w:style w:type="paragraph" w:styleId="Firma">
    <w:name w:val="Signature"/>
    <w:basedOn w:val="Normale"/>
    <w:pPr>
      <w:ind w:left="4320"/>
    </w:pPr>
  </w:style>
  <w:style w:type="paragraph" w:styleId="Firmadipostaelettronica">
    <w:name w:val="E-mail Signature"/>
    <w:basedOn w:val="Normale"/>
  </w:style>
  <w:style w:type="paragraph" w:styleId="Formuladiapertura">
    <w:name w:val="Salutation"/>
    <w:basedOn w:val="Normale"/>
    <w:next w:val="Normale"/>
  </w:style>
  <w:style w:type="paragraph" w:styleId="Formuladichiusura">
    <w:name w:val="Closing"/>
    <w:basedOn w:val="Normale"/>
    <w:pPr>
      <w:ind w:left="4320"/>
    </w:pPr>
  </w:style>
  <w:style w:type="paragraph" w:styleId="Indice9">
    <w:name w:val="index 9"/>
    <w:basedOn w:val="Normale"/>
    <w:next w:val="Normale"/>
    <w:autoRedefine/>
    <w:semiHidden/>
    <w:pPr>
      <w:ind w:left="1440" w:hanging="160"/>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rPr>
      <w:i/>
      <w:iCs/>
    </w:rPr>
  </w:style>
  <w:style w:type="paragraph" w:styleId="Indirizzomittente">
    <w:name w:val="envelope return"/>
    <w:basedOn w:val="Normale"/>
    <w:rPr>
      <w:rFonts w:ascii="Arial" w:hAnsi="Arial" w:cs="Arial"/>
      <w:sz w:val="20"/>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Intestazionenota">
    <w:name w:val="Note Heading"/>
    <w:basedOn w:val="Normale"/>
    <w:next w:val="Normale"/>
  </w:style>
  <w:style w:type="character" w:styleId="MacchinadascrivereHTML">
    <w:name w:val="HTML Typewriter"/>
    <w:basedOn w:val="Carpredefinitoparagrafo"/>
    <w:rPr>
      <w:rFonts w:ascii="Courier New" w:hAnsi="Courier New"/>
      <w:sz w:val="20"/>
      <w:szCs w:val="20"/>
      <w:lang w:val="it-IT"/>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rPr>
      <w:rFonts w:ascii="Times New Roman" w:hAnsi="Times New Roman"/>
      <w:sz w:val="24"/>
      <w:szCs w:val="24"/>
    </w:rPr>
  </w:style>
  <w:style w:type="paragraph" w:styleId="PreformattatoHTML">
    <w:name w:val="HTML Preformatted"/>
    <w:basedOn w:val="Normale"/>
    <w:rPr>
      <w:rFonts w:ascii="Courier New" w:hAnsi="Courier New" w:cs="Courier New"/>
      <w:sz w:val="20"/>
    </w:rPr>
  </w:style>
  <w:style w:type="paragraph" w:styleId="Primorientrocorpodeltesto">
    <w:name w:val="Body Text First Indent"/>
    <w:basedOn w:val="Corpotesto"/>
    <w:pPr>
      <w:spacing w:after="120"/>
      <w:ind w:firstLine="210"/>
      <w:jc w:val="left"/>
    </w:pPr>
    <w:rPr>
      <w:spacing w:val="0"/>
      <w:sz w:val="16"/>
    </w:rPr>
  </w:style>
  <w:style w:type="paragraph" w:styleId="Primorientrocorpodeltesto2">
    <w:name w:val="Body Text First Indent 2"/>
    <w:basedOn w:val="Rientrocorpodeltesto"/>
    <w:pPr>
      <w:spacing w:after="120"/>
      <w:ind w:left="360" w:firstLine="210"/>
      <w:jc w:val="left"/>
    </w:pPr>
    <w:rPr>
      <w:spacing w:val="0"/>
      <w:sz w:val="16"/>
    </w:rPr>
  </w:style>
  <w:style w:type="paragraph" w:styleId="Rientrocorpodeltesto2">
    <w:name w:val="Body Text Indent 2"/>
    <w:basedOn w:val="Normale"/>
    <w:pPr>
      <w:spacing w:after="120" w:line="480" w:lineRule="auto"/>
      <w:ind w:left="360"/>
    </w:pPr>
  </w:style>
  <w:style w:type="paragraph" w:styleId="Rientrocorpodeltesto3">
    <w:name w:val="Body Text Indent 3"/>
    <w:basedOn w:val="Normale"/>
    <w:pPr>
      <w:spacing w:after="120"/>
      <w:ind w:left="360"/>
    </w:pPr>
    <w:rPr>
      <w:szCs w:val="16"/>
    </w:rPr>
  </w:style>
  <w:style w:type="paragraph" w:styleId="Rientronormale">
    <w:name w:val="Normal Indent"/>
    <w:basedOn w:val="Normale"/>
    <w:pPr>
      <w:ind w:left="708"/>
    </w:pPr>
  </w:style>
  <w:style w:type="character" w:styleId="TastieraHTML">
    <w:name w:val="HTML Keyboard"/>
    <w:basedOn w:val="Carpredefinitoparagrafo"/>
    <w:rPr>
      <w:rFonts w:ascii="Courier New" w:hAnsi="Courier New"/>
      <w:sz w:val="20"/>
      <w:szCs w:val="20"/>
      <w:lang w:val="it-IT"/>
    </w:rPr>
  </w:style>
  <w:style w:type="paragraph" w:styleId="Testodelblocco">
    <w:name w:val="Block Text"/>
    <w:basedOn w:val="Normale"/>
    <w:pPr>
      <w:spacing w:after="120"/>
      <w:ind w:left="1440" w:right="1440"/>
    </w:pPr>
  </w:style>
  <w:style w:type="paragraph" w:styleId="Testonormale">
    <w:name w:val="Plain Text"/>
    <w:basedOn w:val="Normale"/>
    <w:rPr>
      <w:rFonts w:ascii="Courier New" w:hAnsi="Courier New" w:cs="Courier New"/>
      <w:sz w:val="20"/>
    </w:rPr>
  </w:style>
  <w:style w:type="character" w:styleId="VariabileHTML">
    <w:name w:val="HTML Variable"/>
    <w:basedOn w:val="Carpredefinitoparagrafo"/>
    <w:rPr>
      <w:i/>
      <w:iCs/>
      <w:lang w:val="it-IT"/>
    </w:rPr>
  </w:style>
  <w:style w:type="paragraph" w:customStyle="1" w:styleId="Icon1">
    <w:name w:val="Icon 1"/>
    <w:basedOn w:val="Normale"/>
    <w:rsid w:val="00DD60CB"/>
    <w:pPr>
      <w:framePr w:w="1440" w:hSpace="187" w:wrap="around" w:vAnchor="text" w:hAnchor="margin" w:y="1"/>
      <w:shd w:val="pct10" w:color="auto" w:fill="auto"/>
      <w:spacing w:before="60" w:line="1440" w:lineRule="exact"/>
      <w:jc w:val="center"/>
    </w:pPr>
    <w:rPr>
      <w:rFonts w:ascii="Wingdings" w:hAnsi="Wingdings"/>
      <w:b/>
      <w:color w:val="FFFFFF"/>
      <w:spacing w:val="-10"/>
      <w:sz w:val="160"/>
      <w:lang w:val="en-US"/>
    </w:rPr>
  </w:style>
  <w:style w:type="paragraph" w:customStyle="1" w:styleId="CarattereCarattere">
    <w:name w:val="Carattere Carattere"/>
    <w:basedOn w:val="Normale"/>
    <w:rsid w:val="00F50534"/>
    <w:pPr>
      <w:spacing w:after="160" w:line="240" w:lineRule="exact"/>
    </w:pPr>
  </w:style>
  <w:style w:type="paragraph" w:customStyle="1" w:styleId="Paragrafoelenco1">
    <w:name w:val="Paragrafo elenco1"/>
    <w:basedOn w:val="Normale"/>
    <w:rsid w:val="009D3E7A"/>
    <w:pPr>
      <w:ind w:left="720"/>
    </w:pPr>
    <w:rPr>
      <w:rFonts w:ascii="Cambria" w:hAnsi="Cambria"/>
      <w:sz w:val="24"/>
      <w:szCs w:val="24"/>
      <w:lang w:eastAsia="it-IT"/>
    </w:rPr>
  </w:style>
  <w:style w:type="paragraph" w:styleId="Paragrafoelenco">
    <w:name w:val="List Paragraph"/>
    <w:basedOn w:val="Normale"/>
    <w:uiPriority w:val="34"/>
    <w:qFormat/>
    <w:rsid w:val="00564657"/>
    <w:pPr>
      <w:ind w:left="720"/>
      <w:contextualSpacing/>
    </w:pPr>
    <w:rPr>
      <w:rFonts w:ascii="Times New Roman" w:hAnsi="Times New Roman"/>
      <w:sz w:val="24"/>
      <w:szCs w:val="24"/>
    </w:rPr>
  </w:style>
  <w:style w:type="paragraph" w:customStyle="1" w:styleId="CarattereCarattere1">
    <w:name w:val="Carattere Carattere1"/>
    <w:rsid w:val="0058591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Testofumetto">
    <w:name w:val="Balloon Text"/>
    <w:basedOn w:val="Normale"/>
    <w:link w:val="TestofumettoCarattere"/>
    <w:uiPriority w:val="99"/>
    <w:semiHidden/>
    <w:unhideWhenUsed/>
    <w:rsid w:val="008326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688"/>
    <w:rPr>
      <w:rFonts w:ascii="Segoe UI" w:hAnsi="Segoe UI" w:cs="Segoe UI"/>
      <w:sz w:val="18"/>
      <w:szCs w:val="18"/>
      <w:lang w:eastAsia="en-US"/>
    </w:rPr>
  </w:style>
  <w:style w:type="character" w:customStyle="1" w:styleId="Nessuno">
    <w:name w:val="Nessuno"/>
    <w:rsid w:val="00DA66B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6196">
      <w:bodyDiv w:val="1"/>
      <w:marLeft w:val="0"/>
      <w:marRight w:val="0"/>
      <w:marTop w:val="0"/>
      <w:marBottom w:val="0"/>
      <w:divBdr>
        <w:top w:val="none" w:sz="0" w:space="0" w:color="auto"/>
        <w:left w:val="none" w:sz="0" w:space="0" w:color="auto"/>
        <w:bottom w:val="none" w:sz="0" w:space="0" w:color="auto"/>
        <w:right w:val="none" w:sz="0" w:space="0" w:color="auto"/>
      </w:divBdr>
    </w:div>
    <w:div w:id="2057583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Templates\1040\Manua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0D72-B523-4EC3-BD6F-D728C3A7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1</TotalTime>
  <Pages>14</Pages>
  <Words>3346</Words>
  <Characters>18894</Characters>
  <Application>Microsoft Office Word</Application>
  <DocSecurity>0</DocSecurity>
  <PresentationFormat/>
  <Lines>157</Lines>
  <Paragraphs>44</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22196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2</cp:revision>
  <cp:lastPrinted>2019-11-20T12:24:00Z</cp:lastPrinted>
  <dcterms:created xsi:type="dcterms:W3CDTF">2019-11-20T13:53:00Z</dcterms:created>
  <dcterms:modified xsi:type="dcterms:W3CDTF">2019-11-20T13:53:00Z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1040</vt:i4>
  </property>
  <property fmtid="{D5CDD505-2E9C-101B-9397-08002B2CF9AE}" pid="3" name="Version">
    <vt:i4>2000113000</vt:i4>
  </property>
</Properties>
</file>