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DF" w:rsidRDefault="00C413DF" w:rsidP="00E55F6A">
      <w:bookmarkStart w:id="0" w:name="_GoBack"/>
      <w:bookmarkEnd w:id="0"/>
    </w:p>
    <w:p w:rsidR="00D070A9" w:rsidRPr="00EA2B8E" w:rsidRDefault="00D070A9" w:rsidP="005E74ED">
      <w:pPr>
        <w:spacing w:line="360" w:lineRule="exact"/>
        <w:ind w:right="-398"/>
        <w:jc w:val="center"/>
        <w:rPr>
          <w:rFonts w:ascii="Garamond" w:hAnsi="Garamond"/>
          <w:szCs w:val="28"/>
        </w:rPr>
      </w:pPr>
      <w:r w:rsidRPr="00EA2B8E">
        <w:rPr>
          <w:rFonts w:ascii="Garamond" w:hAnsi="Garamond"/>
          <w:szCs w:val="28"/>
        </w:rPr>
        <w:t>CAMERA DEI DEPUTATI</w:t>
      </w:r>
    </w:p>
    <w:p w:rsidR="005E74ED" w:rsidRPr="00EA2B8E" w:rsidRDefault="00D070A9" w:rsidP="005E74ED">
      <w:pPr>
        <w:spacing w:line="360" w:lineRule="exact"/>
        <w:ind w:right="-398"/>
        <w:jc w:val="center"/>
        <w:rPr>
          <w:rFonts w:ascii="Garamond" w:hAnsi="Garamond"/>
          <w:szCs w:val="28"/>
        </w:rPr>
      </w:pPr>
      <w:r w:rsidRPr="00EA2B8E">
        <w:rPr>
          <w:rFonts w:ascii="Garamond" w:hAnsi="Garamond"/>
          <w:szCs w:val="28"/>
        </w:rPr>
        <w:t>XII Commissione (Affari sociali)</w:t>
      </w:r>
    </w:p>
    <w:p w:rsidR="00D070A9" w:rsidRPr="00DC6A1D" w:rsidRDefault="00D070A9" w:rsidP="005E74ED">
      <w:pPr>
        <w:spacing w:line="360" w:lineRule="exact"/>
        <w:ind w:right="-398"/>
        <w:jc w:val="center"/>
        <w:rPr>
          <w:rFonts w:ascii="Garamond" w:hAnsi="Garamond"/>
          <w:sz w:val="32"/>
          <w:szCs w:val="32"/>
        </w:rPr>
      </w:pPr>
      <w:r w:rsidRPr="00EA2B8E">
        <w:rPr>
          <w:rFonts w:ascii="Garamond" w:hAnsi="Garamond"/>
          <w:szCs w:val="28"/>
        </w:rPr>
        <w:t xml:space="preserve"> </w:t>
      </w:r>
    </w:p>
    <w:p w:rsidR="005E74ED" w:rsidRPr="00DC6A1D" w:rsidRDefault="00D070A9" w:rsidP="005E74ED">
      <w:pPr>
        <w:spacing w:line="360" w:lineRule="exact"/>
        <w:ind w:right="-398"/>
        <w:jc w:val="center"/>
        <w:rPr>
          <w:rFonts w:ascii="Garamond" w:hAnsi="Garamond"/>
          <w:sz w:val="32"/>
          <w:szCs w:val="32"/>
        </w:rPr>
      </w:pPr>
      <w:r w:rsidRPr="00DC6A1D">
        <w:rPr>
          <w:rFonts w:ascii="Garamond" w:hAnsi="Garamond"/>
          <w:b/>
          <w:sz w:val="32"/>
          <w:szCs w:val="32"/>
        </w:rPr>
        <w:t>A</w:t>
      </w:r>
      <w:r w:rsidR="005E74ED" w:rsidRPr="00DC6A1D">
        <w:rPr>
          <w:rFonts w:ascii="Garamond" w:hAnsi="Garamond"/>
          <w:b/>
          <w:sz w:val="32"/>
          <w:szCs w:val="32"/>
        </w:rPr>
        <w:t>udizione del Cons. Enrico Quaranta</w:t>
      </w:r>
      <w:r w:rsidR="005E74ED" w:rsidRPr="00DC6A1D">
        <w:rPr>
          <w:rFonts w:ascii="Garamond" w:hAnsi="Garamond"/>
          <w:sz w:val="32"/>
          <w:szCs w:val="32"/>
        </w:rPr>
        <w:t xml:space="preserve">, </w:t>
      </w:r>
    </w:p>
    <w:p w:rsidR="00D070A9" w:rsidRPr="00DC6A1D" w:rsidRDefault="005E74ED" w:rsidP="005E74ED">
      <w:pPr>
        <w:spacing w:line="360" w:lineRule="exact"/>
        <w:ind w:right="-398"/>
        <w:jc w:val="center"/>
        <w:rPr>
          <w:rFonts w:ascii="Garamond" w:hAnsi="Garamond"/>
          <w:sz w:val="32"/>
          <w:szCs w:val="32"/>
        </w:rPr>
      </w:pPr>
      <w:r w:rsidRPr="00DC6A1D">
        <w:rPr>
          <w:rFonts w:ascii="Garamond" w:hAnsi="Garamond"/>
          <w:sz w:val="32"/>
          <w:szCs w:val="32"/>
        </w:rPr>
        <w:t xml:space="preserve">Capo di gabinetto dell’Autorità Garante della Concorrenza e del Mercato </w:t>
      </w:r>
    </w:p>
    <w:p w:rsidR="005E74ED" w:rsidRPr="00EA2B8E" w:rsidRDefault="005E74ED" w:rsidP="005E74ED">
      <w:pPr>
        <w:spacing w:line="360" w:lineRule="exact"/>
        <w:ind w:right="-398"/>
        <w:jc w:val="center"/>
        <w:rPr>
          <w:rFonts w:ascii="Garamond" w:hAnsi="Garamond"/>
          <w:szCs w:val="28"/>
        </w:rPr>
      </w:pPr>
    </w:p>
    <w:p w:rsidR="00D070A9" w:rsidRPr="00BB7868" w:rsidRDefault="00D070A9" w:rsidP="000A0F60">
      <w:pPr>
        <w:spacing w:line="360" w:lineRule="exact"/>
        <w:ind w:right="-398"/>
        <w:rPr>
          <w:rFonts w:ascii="Garamond" w:hAnsi="Garamond"/>
          <w:szCs w:val="28"/>
        </w:rPr>
      </w:pPr>
      <w:r w:rsidRPr="00BB7868">
        <w:rPr>
          <w:rFonts w:ascii="Garamond" w:hAnsi="Garamond"/>
          <w:szCs w:val="28"/>
        </w:rPr>
        <w:t xml:space="preserve">in merito alle proposte di legge: </w:t>
      </w:r>
    </w:p>
    <w:p w:rsidR="00D070A9" w:rsidRPr="00BB7868" w:rsidRDefault="00D070A9" w:rsidP="000A0F60">
      <w:pPr>
        <w:spacing w:line="360" w:lineRule="exact"/>
        <w:ind w:right="-398"/>
        <w:rPr>
          <w:rFonts w:ascii="Garamond" w:hAnsi="Garamond"/>
          <w:szCs w:val="28"/>
        </w:rPr>
      </w:pPr>
      <w:r w:rsidRPr="00BB7868">
        <w:rPr>
          <w:rFonts w:ascii="Garamond" w:hAnsi="Garamond"/>
          <w:szCs w:val="28"/>
        </w:rPr>
        <w:t>A.C. 928 recante “</w:t>
      </w:r>
      <w:r w:rsidR="005E74ED" w:rsidRPr="00BB7868">
        <w:rPr>
          <w:rFonts w:ascii="Garamond" w:hAnsi="Garamond"/>
          <w:i/>
          <w:szCs w:val="28"/>
        </w:rPr>
        <w:t>I</w:t>
      </w:r>
      <w:r w:rsidRPr="00BB7868">
        <w:rPr>
          <w:rFonts w:ascii="Garamond" w:hAnsi="Garamond"/>
          <w:i/>
          <w:szCs w:val="28"/>
        </w:rPr>
        <w:t>ntroduzione dell’articolo 4-bis della legge 14 agosto 1991, n. 281, in materia di cimiteri, servizi di cremazione e sepoltura degli animali di affezione</w:t>
      </w:r>
      <w:r w:rsidRPr="00BB7868">
        <w:rPr>
          <w:rFonts w:ascii="Garamond" w:hAnsi="Garamond"/>
          <w:szCs w:val="28"/>
        </w:rPr>
        <w:t>”;</w:t>
      </w:r>
    </w:p>
    <w:p w:rsidR="00D070A9" w:rsidRPr="00BB7868" w:rsidRDefault="00D070A9" w:rsidP="000A0F60">
      <w:pPr>
        <w:spacing w:line="360" w:lineRule="exact"/>
        <w:ind w:right="-398"/>
        <w:rPr>
          <w:rFonts w:ascii="Garamond" w:hAnsi="Garamond"/>
          <w:szCs w:val="28"/>
        </w:rPr>
      </w:pPr>
      <w:r w:rsidRPr="00BB7868">
        <w:rPr>
          <w:rFonts w:ascii="Garamond" w:hAnsi="Garamond"/>
          <w:szCs w:val="28"/>
        </w:rPr>
        <w:t>A.C. 1618 recante “</w:t>
      </w:r>
      <w:r w:rsidRPr="00BB7868">
        <w:rPr>
          <w:rFonts w:ascii="Garamond" w:hAnsi="Garamond"/>
          <w:i/>
          <w:szCs w:val="28"/>
        </w:rPr>
        <w:t>Disciplina dell’attività funeraria</w:t>
      </w:r>
      <w:r w:rsidRPr="00BB7868">
        <w:rPr>
          <w:rFonts w:ascii="Garamond" w:hAnsi="Garamond"/>
          <w:szCs w:val="28"/>
        </w:rPr>
        <w:t>”;</w:t>
      </w:r>
    </w:p>
    <w:p w:rsidR="00D070A9" w:rsidRPr="00BB7868" w:rsidRDefault="00D070A9" w:rsidP="000A0F60">
      <w:pPr>
        <w:spacing w:line="360" w:lineRule="exact"/>
        <w:ind w:right="-398"/>
        <w:rPr>
          <w:rFonts w:ascii="Garamond" w:hAnsi="Garamond"/>
          <w:szCs w:val="28"/>
        </w:rPr>
      </w:pPr>
      <w:r w:rsidRPr="00BB7868">
        <w:rPr>
          <w:rFonts w:ascii="Garamond" w:hAnsi="Garamond"/>
          <w:szCs w:val="28"/>
        </w:rPr>
        <w:t>A.C. 1143 recante “</w:t>
      </w:r>
      <w:r w:rsidRPr="00BB7868">
        <w:rPr>
          <w:rFonts w:ascii="Garamond" w:hAnsi="Garamond"/>
          <w:i/>
          <w:szCs w:val="28"/>
        </w:rPr>
        <w:t>Disciplina delle attività funerarie, della cremazione e della conservazione e dispersione delle ceneri</w:t>
      </w:r>
      <w:r w:rsidRPr="00BB7868">
        <w:rPr>
          <w:rFonts w:ascii="Garamond" w:hAnsi="Garamond"/>
          <w:szCs w:val="28"/>
        </w:rPr>
        <w:t xml:space="preserve">”. </w:t>
      </w:r>
    </w:p>
    <w:p w:rsidR="00D070A9" w:rsidRPr="00BB7868" w:rsidRDefault="00D070A9" w:rsidP="000A0F60">
      <w:pPr>
        <w:spacing w:line="360" w:lineRule="exact"/>
        <w:ind w:right="-398"/>
        <w:rPr>
          <w:rFonts w:ascii="Garamond" w:hAnsi="Garamond"/>
          <w:szCs w:val="28"/>
        </w:rPr>
      </w:pPr>
    </w:p>
    <w:p w:rsidR="00F7702D" w:rsidRPr="00BB7868" w:rsidRDefault="00F7702D" w:rsidP="000A0F60">
      <w:pPr>
        <w:spacing w:line="360" w:lineRule="exact"/>
        <w:ind w:right="-398"/>
        <w:rPr>
          <w:rFonts w:ascii="Garamond" w:hAnsi="Garamond"/>
          <w:szCs w:val="28"/>
        </w:rPr>
      </w:pPr>
    </w:p>
    <w:p w:rsidR="00320F20" w:rsidRPr="00BB7868" w:rsidRDefault="00D070A9" w:rsidP="000A0F60">
      <w:pPr>
        <w:spacing w:line="360" w:lineRule="exact"/>
        <w:ind w:right="-398"/>
        <w:rPr>
          <w:rFonts w:ascii="Garamond" w:hAnsi="Garamond"/>
          <w:szCs w:val="28"/>
        </w:rPr>
      </w:pPr>
      <w:r w:rsidRPr="00BB7868">
        <w:rPr>
          <w:rFonts w:ascii="Garamond" w:hAnsi="Garamond"/>
          <w:szCs w:val="28"/>
        </w:rPr>
        <w:t xml:space="preserve">Onorevole Presidente, Onorevoli Deputate e Deputati, </w:t>
      </w:r>
    </w:p>
    <w:p w:rsidR="006B7C56" w:rsidRPr="00BB7868" w:rsidRDefault="006B7C56" w:rsidP="000A0F60">
      <w:pPr>
        <w:spacing w:line="360" w:lineRule="exact"/>
        <w:ind w:right="-398"/>
        <w:rPr>
          <w:rFonts w:ascii="Garamond" w:hAnsi="Garamond"/>
          <w:szCs w:val="28"/>
        </w:rPr>
      </w:pPr>
    </w:p>
    <w:p w:rsidR="00D070A9" w:rsidRPr="00BB7868" w:rsidRDefault="00D070A9" w:rsidP="000A0F60">
      <w:pPr>
        <w:spacing w:line="360" w:lineRule="exact"/>
        <w:ind w:right="-398"/>
        <w:rPr>
          <w:rFonts w:ascii="Garamond" w:hAnsi="Garamond"/>
          <w:szCs w:val="28"/>
        </w:rPr>
      </w:pPr>
      <w:r w:rsidRPr="00BB7868">
        <w:rPr>
          <w:rFonts w:ascii="Garamond" w:hAnsi="Garamond"/>
          <w:szCs w:val="28"/>
        </w:rPr>
        <w:t>Vi ringrazio per aver offerto all’Autorità</w:t>
      </w:r>
      <w:r w:rsidR="00320F20" w:rsidRPr="00BB7868">
        <w:rPr>
          <w:rFonts w:ascii="Garamond" w:hAnsi="Garamond"/>
          <w:szCs w:val="28"/>
        </w:rPr>
        <w:t xml:space="preserve"> Garante della Concorrenza e del Mercato </w:t>
      </w:r>
      <w:r w:rsidRPr="00BB7868">
        <w:rPr>
          <w:rFonts w:ascii="Garamond" w:hAnsi="Garamond"/>
          <w:szCs w:val="28"/>
        </w:rPr>
        <w:t xml:space="preserve">l’opportunità di esprimere la propria opinione in merito alle </w:t>
      </w:r>
      <w:r w:rsidR="00320F20" w:rsidRPr="00BB7868">
        <w:rPr>
          <w:rFonts w:ascii="Garamond" w:hAnsi="Garamond"/>
          <w:szCs w:val="28"/>
        </w:rPr>
        <w:t xml:space="preserve">tre </w:t>
      </w:r>
      <w:r w:rsidRPr="00BB7868">
        <w:rPr>
          <w:rFonts w:ascii="Garamond" w:hAnsi="Garamond"/>
          <w:szCs w:val="28"/>
        </w:rPr>
        <w:t xml:space="preserve">proposte di legge </w:t>
      </w:r>
      <w:r w:rsidR="00320F20" w:rsidRPr="00BB7868">
        <w:rPr>
          <w:rFonts w:ascii="Garamond" w:hAnsi="Garamond"/>
          <w:szCs w:val="28"/>
        </w:rPr>
        <w:t>in materia d</w:t>
      </w:r>
      <w:r w:rsidRPr="00BB7868">
        <w:rPr>
          <w:rFonts w:ascii="Garamond" w:hAnsi="Garamond"/>
          <w:szCs w:val="28"/>
        </w:rPr>
        <w:t xml:space="preserve">i servizi funebri. </w:t>
      </w:r>
    </w:p>
    <w:p w:rsidR="00D070A9" w:rsidRPr="00BB7868" w:rsidRDefault="00D070A9" w:rsidP="000A0F60">
      <w:pPr>
        <w:spacing w:line="360" w:lineRule="exact"/>
        <w:ind w:right="-398"/>
        <w:rPr>
          <w:rFonts w:ascii="Garamond" w:hAnsi="Garamond"/>
          <w:szCs w:val="28"/>
        </w:rPr>
      </w:pPr>
      <w:r w:rsidRPr="00BB7868">
        <w:rPr>
          <w:rFonts w:ascii="Garamond" w:hAnsi="Garamond"/>
          <w:szCs w:val="28"/>
        </w:rPr>
        <w:t>Desidero innanzitutto esprimere pieno apprezzamento per l’intento di sistematizzazione e aggiornamento della normativa, ormai risalente</w:t>
      </w:r>
      <w:r w:rsidR="00C03499" w:rsidRPr="00BB7868">
        <w:rPr>
          <w:rFonts w:ascii="Garamond" w:hAnsi="Garamond"/>
          <w:szCs w:val="28"/>
        </w:rPr>
        <w:t xml:space="preserve"> e priva di uniformità sul territorio nazionale</w:t>
      </w:r>
      <w:r w:rsidRPr="00BB7868">
        <w:rPr>
          <w:rFonts w:ascii="Garamond" w:hAnsi="Garamond"/>
          <w:szCs w:val="28"/>
        </w:rPr>
        <w:t xml:space="preserve">, che regola </w:t>
      </w:r>
      <w:r w:rsidR="00320F20" w:rsidRPr="00BB7868">
        <w:rPr>
          <w:rFonts w:ascii="Garamond" w:hAnsi="Garamond"/>
          <w:szCs w:val="28"/>
        </w:rPr>
        <w:t xml:space="preserve">oggi </w:t>
      </w:r>
      <w:r w:rsidRPr="00BB7868">
        <w:rPr>
          <w:rFonts w:ascii="Garamond" w:hAnsi="Garamond"/>
          <w:szCs w:val="28"/>
        </w:rPr>
        <w:t xml:space="preserve">la materia. </w:t>
      </w:r>
    </w:p>
    <w:p w:rsidR="00F7702D" w:rsidRPr="00BB7868" w:rsidRDefault="007820F7" w:rsidP="000A0F60">
      <w:pPr>
        <w:spacing w:line="360" w:lineRule="exact"/>
        <w:ind w:right="-398"/>
        <w:rPr>
          <w:rFonts w:ascii="Garamond" w:hAnsi="Garamond"/>
          <w:szCs w:val="28"/>
        </w:rPr>
      </w:pPr>
      <w:r w:rsidRPr="00BB7868">
        <w:rPr>
          <w:rFonts w:ascii="Garamond" w:hAnsi="Garamond"/>
          <w:szCs w:val="28"/>
        </w:rPr>
        <w:t>L</w:t>
      </w:r>
      <w:r w:rsidR="00D070A9" w:rsidRPr="00BB7868">
        <w:rPr>
          <w:rFonts w:ascii="Garamond" w:hAnsi="Garamond"/>
          <w:szCs w:val="28"/>
        </w:rPr>
        <w:t xml:space="preserve">’Autorità ha più volte evidenziato, nell’ambito della propria attività di </w:t>
      </w:r>
      <w:r w:rsidR="00D070A9" w:rsidRPr="00BB7868">
        <w:rPr>
          <w:rFonts w:ascii="Garamond" w:hAnsi="Garamond"/>
          <w:i/>
          <w:szCs w:val="28"/>
        </w:rPr>
        <w:t>advocacy</w:t>
      </w:r>
      <w:r w:rsidR="00D070A9" w:rsidRPr="00BB7868">
        <w:rPr>
          <w:rFonts w:ascii="Garamond" w:hAnsi="Garamond"/>
          <w:szCs w:val="28"/>
        </w:rPr>
        <w:t xml:space="preserve">, i profili di criticità </w:t>
      </w:r>
      <w:r w:rsidR="00320F20" w:rsidRPr="00BB7868">
        <w:rPr>
          <w:rFonts w:ascii="Garamond" w:hAnsi="Garamond"/>
          <w:szCs w:val="28"/>
        </w:rPr>
        <w:t xml:space="preserve">concorrenziale </w:t>
      </w:r>
      <w:r w:rsidR="00D070A9" w:rsidRPr="00BB7868">
        <w:rPr>
          <w:rFonts w:ascii="Garamond" w:hAnsi="Garamond"/>
          <w:szCs w:val="28"/>
        </w:rPr>
        <w:t>delle normative</w:t>
      </w:r>
      <w:r w:rsidR="00320F20" w:rsidRPr="00BB7868">
        <w:rPr>
          <w:rFonts w:ascii="Garamond" w:hAnsi="Garamond"/>
          <w:szCs w:val="28"/>
        </w:rPr>
        <w:t xml:space="preserve"> (nazionali e locali) </w:t>
      </w:r>
      <w:r w:rsidR="00C03499" w:rsidRPr="00BB7868">
        <w:rPr>
          <w:rFonts w:ascii="Garamond" w:hAnsi="Garamond"/>
          <w:szCs w:val="28"/>
        </w:rPr>
        <w:t>che disciplinano il settore in esame</w:t>
      </w:r>
      <w:r w:rsidR="00D070A9" w:rsidRPr="00BB7868">
        <w:rPr>
          <w:rFonts w:ascii="Garamond" w:hAnsi="Garamond"/>
          <w:szCs w:val="28"/>
        </w:rPr>
        <w:t>.</w:t>
      </w:r>
      <w:r w:rsidR="00320F20" w:rsidRPr="00BB7868">
        <w:rPr>
          <w:rFonts w:ascii="Garamond" w:hAnsi="Garamond"/>
          <w:szCs w:val="28"/>
        </w:rPr>
        <w:t xml:space="preserve"> </w:t>
      </w:r>
    </w:p>
    <w:p w:rsidR="000B4638" w:rsidRPr="00BB7868" w:rsidRDefault="00D070A9" w:rsidP="000A0F60">
      <w:pPr>
        <w:spacing w:line="360" w:lineRule="exact"/>
        <w:ind w:right="-398"/>
        <w:rPr>
          <w:rFonts w:ascii="Garamond" w:hAnsi="Garamond"/>
          <w:szCs w:val="28"/>
          <w:highlight w:val="yellow"/>
        </w:rPr>
      </w:pPr>
      <w:r w:rsidRPr="00BB7868">
        <w:rPr>
          <w:rFonts w:ascii="Garamond" w:hAnsi="Garamond"/>
          <w:szCs w:val="28"/>
        </w:rPr>
        <w:t xml:space="preserve">I </w:t>
      </w:r>
      <w:r w:rsidR="00F6153C">
        <w:rPr>
          <w:rFonts w:ascii="Garamond" w:hAnsi="Garamond"/>
          <w:szCs w:val="28"/>
        </w:rPr>
        <w:t xml:space="preserve">progetti </w:t>
      </w:r>
      <w:r w:rsidRPr="00BB7868">
        <w:rPr>
          <w:rFonts w:ascii="Garamond" w:hAnsi="Garamond"/>
          <w:szCs w:val="28"/>
        </w:rPr>
        <w:t xml:space="preserve">di legge in </w:t>
      </w:r>
      <w:r w:rsidR="00F6153C">
        <w:rPr>
          <w:rFonts w:ascii="Garamond" w:hAnsi="Garamond"/>
          <w:szCs w:val="28"/>
        </w:rPr>
        <w:t>esame</w:t>
      </w:r>
      <w:r w:rsidRPr="00BB7868">
        <w:rPr>
          <w:rFonts w:ascii="Garamond" w:hAnsi="Garamond"/>
          <w:szCs w:val="28"/>
        </w:rPr>
        <w:t xml:space="preserve"> recepiscono, per molti profili, le osservazioni e le sollecitazioni espresse nel corso degli anni dall’Autorità. Mi riferisco</w:t>
      </w:r>
      <w:r w:rsidR="00320F20" w:rsidRPr="00BB7868">
        <w:rPr>
          <w:rFonts w:ascii="Garamond" w:hAnsi="Garamond"/>
          <w:szCs w:val="28"/>
        </w:rPr>
        <w:t>,</w:t>
      </w:r>
      <w:r w:rsidRPr="00BB7868">
        <w:rPr>
          <w:rFonts w:ascii="Garamond" w:hAnsi="Garamond"/>
          <w:szCs w:val="28"/>
        </w:rPr>
        <w:t xml:space="preserve"> in particolare</w:t>
      </w:r>
      <w:r w:rsidR="00320F20" w:rsidRPr="00BB7868">
        <w:rPr>
          <w:rFonts w:ascii="Garamond" w:hAnsi="Garamond"/>
          <w:szCs w:val="28"/>
        </w:rPr>
        <w:t>,</w:t>
      </w:r>
      <w:r w:rsidRPr="00BB7868">
        <w:rPr>
          <w:rFonts w:ascii="Garamond" w:hAnsi="Garamond"/>
          <w:szCs w:val="28"/>
        </w:rPr>
        <w:t xml:space="preserve"> </w:t>
      </w:r>
      <w:r w:rsidR="00CF4F53" w:rsidRPr="00BB7868">
        <w:rPr>
          <w:rFonts w:ascii="Garamond" w:hAnsi="Garamond"/>
          <w:szCs w:val="28"/>
        </w:rPr>
        <w:t xml:space="preserve">alle modalità </w:t>
      </w:r>
      <w:r w:rsidRPr="00BB7868">
        <w:rPr>
          <w:rFonts w:ascii="Garamond" w:hAnsi="Garamond"/>
          <w:szCs w:val="28"/>
        </w:rPr>
        <w:t xml:space="preserve">di affidamento della gestione dei servizi cimiteriali </w:t>
      </w:r>
      <w:r w:rsidR="00333134" w:rsidRPr="00BB7868">
        <w:rPr>
          <w:rFonts w:ascii="Garamond" w:hAnsi="Garamond"/>
          <w:szCs w:val="28"/>
        </w:rPr>
        <w:t>e alla incompatibilità tra tale ultima attività e l’esercizio delle attività funebri</w:t>
      </w:r>
      <w:r w:rsidR="00CF4F53" w:rsidRPr="00BB7868">
        <w:rPr>
          <w:rFonts w:ascii="Garamond" w:hAnsi="Garamond"/>
          <w:szCs w:val="28"/>
        </w:rPr>
        <w:t>,</w:t>
      </w:r>
      <w:r w:rsidR="004F6E6C" w:rsidRPr="00BB7868">
        <w:rPr>
          <w:rFonts w:ascii="Garamond" w:hAnsi="Garamond"/>
          <w:szCs w:val="28"/>
        </w:rPr>
        <w:t xml:space="preserve"> </w:t>
      </w:r>
      <w:r w:rsidR="005F7E37" w:rsidRPr="00BB7868">
        <w:rPr>
          <w:rFonts w:ascii="Garamond" w:hAnsi="Garamond"/>
          <w:szCs w:val="28"/>
        </w:rPr>
        <w:t>ivi comprese quelle</w:t>
      </w:r>
      <w:r w:rsidR="00333134" w:rsidRPr="00BB7868">
        <w:rPr>
          <w:rFonts w:ascii="Garamond" w:hAnsi="Garamond"/>
          <w:szCs w:val="28"/>
        </w:rPr>
        <w:t xml:space="preserve"> marmoree e lapidee (</w:t>
      </w:r>
      <w:r w:rsidR="000B4638" w:rsidRPr="00BB7868">
        <w:rPr>
          <w:rFonts w:ascii="Garamond" w:hAnsi="Garamond"/>
          <w:szCs w:val="28"/>
        </w:rPr>
        <w:t xml:space="preserve">così come </w:t>
      </w:r>
      <w:r w:rsidR="00333134" w:rsidRPr="00BB7868">
        <w:rPr>
          <w:rFonts w:ascii="Garamond" w:hAnsi="Garamond"/>
          <w:szCs w:val="28"/>
        </w:rPr>
        <w:t>prevista nella proposta AC 1</w:t>
      </w:r>
      <w:r w:rsidR="000B4638" w:rsidRPr="00BB7868">
        <w:rPr>
          <w:rFonts w:ascii="Garamond" w:hAnsi="Garamond"/>
          <w:szCs w:val="28"/>
        </w:rPr>
        <w:t>143)</w:t>
      </w:r>
      <w:r w:rsidR="000B4638" w:rsidRPr="00BB7868">
        <w:rPr>
          <w:rStyle w:val="Rimandonotaapidipagina"/>
          <w:rFonts w:ascii="Garamond" w:hAnsi="Garamond"/>
          <w:szCs w:val="28"/>
        </w:rPr>
        <w:footnoteReference w:id="1"/>
      </w:r>
      <w:r w:rsidR="000B4638" w:rsidRPr="00BB7868">
        <w:rPr>
          <w:rFonts w:ascii="Garamond" w:hAnsi="Garamond"/>
          <w:szCs w:val="28"/>
        </w:rPr>
        <w:t xml:space="preserve">. </w:t>
      </w:r>
    </w:p>
    <w:p w:rsidR="000B4638" w:rsidRPr="00BB7868" w:rsidRDefault="000B4638" w:rsidP="000A0F60">
      <w:pPr>
        <w:spacing w:line="360" w:lineRule="exact"/>
        <w:ind w:right="-398"/>
        <w:rPr>
          <w:rFonts w:ascii="Garamond" w:hAnsi="Garamond"/>
          <w:szCs w:val="28"/>
        </w:rPr>
      </w:pPr>
      <w:r w:rsidRPr="00BB7868">
        <w:rPr>
          <w:rFonts w:ascii="Garamond" w:hAnsi="Garamond"/>
          <w:szCs w:val="28"/>
        </w:rPr>
        <w:t>Fermo</w:t>
      </w:r>
      <w:r w:rsidR="00F7702D" w:rsidRPr="00BB7868">
        <w:rPr>
          <w:rFonts w:ascii="Garamond" w:hAnsi="Garamond"/>
          <w:szCs w:val="28"/>
        </w:rPr>
        <w:t>, dunque,</w:t>
      </w:r>
      <w:r w:rsidRPr="00BB7868">
        <w:rPr>
          <w:rFonts w:ascii="Garamond" w:hAnsi="Garamond"/>
          <w:szCs w:val="28"/>
        </w:rPr>
        <w:t xml:space="preserve"> l’apprezzamento generale per l</w:t>
      </w:r>
      <w:r w:rsidR="00F7702D" w:rsidRPr="00BB7868">
        <w:rPr>
          <w:rFonts w:ascii="Garamond" w:hAnsi="Garamond"/>
          <w:szCs w:val="28"/>
        </w:rPr>
        <w:t xml:space="preserve">o sforzo </w:t>
      </w:r>
      <w:r w:rsidRPr="00BB7868">
        <w:rPr>
          <w:rFonts w:ascii="Garamond" w:hAnsi="Garamond"/>
          <w:szCs w:val="28"/>
        </w:rPr>
        <w:t xml:space="preserve">di </w:t>
      </w:r>
      <w:r w:rsidR="00175EB3" w:rsidRPr="00BB7868">
        <w:rPr>
          <w:rFonts w:ascii="Garamond" w:hAnsi="Garamond"/>
          <w:szCs w:val="28"/>
        </w:rPr>
        <w:t xml:space="preserve">tenere conto nelle </w:t>
      </w:r>
      <w:r w:rsidR="00F7702D" w:rsidRPr="00BB7868">
        <w:rPr>
          <w:rFonts w:ascii="Garamond" w:hAnsi="Garamond"/>
          <w:szCs w:val="28"/>
        </w:rPr>
        <w:t xml:space="preserve">proposte di legge in discussione </w:t>
      </w:r>
      <w:r w:rsidRPr="00BB7868">
        <w:rPr>
          <w:rFonts w:ascii="Garamond" w:hAnsi="Garamond"/>
          <w:szCs w:val="28"/>
        </w:rPr>
        <w:t xml:space="preserve">anche </w:t>
      </w:r>
      <w:r w:rsidR="00175EB3" w:rsidRPr="00BB7868">
        <w:rPr>
          <w:rFonts w:ascii="Garamond" w:hAnsi="Garamond"/>
          <w:szCs w:val="28"/>
        </w:rPr>
        <w:t>de</w:t>
      </w:r>
      <w:r w:rsidR="00F7702D" w:rsidRPr="00BB7868">
        <w:rPr>
          <w:rFonts w:ascii="Garamond" w:hAnsi="Garamond"/>
          <w:szCs w:val="28"/>
        </w:rPr>
        <w:t xml:space="preserve">i suggerimenti formulati </w:t>
      </w:r>
      <w:r w:rsidR="009765B6" w:rsidRPr="00BB7868">
        <w:rPr>
          <w:rFonts w:ascii="Garamond" w:hAnsi="Garamond"/>
          <w:szCs w:val="28"/>
        </w:rPr>
        <w:t>dall’Autorità</w:t>
      </w:r>
      <w:r w:rsidRPr="00BB7868">
        <w:rPr>
          <w:rFonts w:ascii="Garamond" w:hAnsi="Garamond"/>
          <w:szCs w:val="28"/>
        </w:rPr>
        <w:t xml:space="preserve">, </w:t>
      </w:r>
      <w:r w:rsidR="00F7702D" w:rsidRPr="00BB7868">
        <w:rPr>
          <w:rFonts w:ascii="Garamond" w:hAnsi="Garamond"/>
          <w:szCs w:val="28"/>
        </w:rPr>
        <w:t>desidero sottoporre alla Vostra attenzione l’esigenza di apportare alcune modifiche a</w:t>
      </w:r>
      <w:r w:rsidR="00C03499" w:rsidRPr="00BB7868">
        <w:rPr>
          <w:rFonts w:ascii="Garamond" w:hAnsi="Garamond"/>
          <w:szCs w:val="28"/>
        </w:rPr>
        <w:t xml:space="preserve">i </w:t>
      </w:r>
      <w:r w:rsidR="00175EB3" w:rsidRPr="00BB7868">
        <w:rPr>
          <w:rFonts w:ascii="Garamond" w:hAnsi="Garamond"/>
          <w:szCs w:val="28"/>
        </w:rPr>
        <w:t xml:space="preserve">testi in esame </w:t>
      </w:r>
      <w:r w:rsidR="00F7702D" w:rsidRPr="00BB7868">
        <w:rPr>
          <w:rFonts w:ascii="Garamond" w:hAnsi="Garamond"/>
          <w:szCs w:val="28"/>
        </w:rPr>
        <w:t xml:space="preserve">al fine di </w:t>
      </w:r>
      <w:r w:rsidRPr="00BB7868">
        <w:rPr>
          <w:rFonts w:ascii="Garamond" w:hAnsi="Garamond"/>
          <w:szCs w:val="28"/>
        </w:rPr>
        <w:t xml:space="preserve">rimuovere le residue criticità contenute nelle </w:t>
      </w:r>
      <w:r w:rsidR="00F7702D" w:rsidRPr="00BB7868">
        <w:rPr>
          <w:rFonts w:ascii="Garamond" w:hAnsi="Garamond"/>
          <w:szCs w:val="28"/>
        </w:rPr>
        <w:t xml:space="preserve">suddette iniziative, </w:t>
      </w:r>
      <w:r w:rsidR="00C03499" w:rsidRPr="00BB7868">
        <w:rPr>
          <w:rFonts w:ascii="Garamond" w:hAnsi="Garamond"/>
          <w:szCs w:val="28"/>
        </w:rPr>
        <w:t>alcune delle quali di portata affatto trascurabile</w:t>
      </w:r>
      <w:r w:rsidRPr="00BB7868">
        <w:rPr>
          <w:rFonts w:ascii="Garamond" w:hAnsi="Garamond"/>
          <w:szCs w:val="28"/>
        </w:rPr>
        <w:t xml:space="preserve">. </w:t>
      </w:r>
    </w:p>
    <w:p w:rsidR="000B4638" w:rsidRPr="00BB7868" w:rsidRDefault="000B4638" w:rsidP="000A0F60">
      <w:pPr>
        <w:spacing w:line="360" w:lineRule="exact"/>
        <w:ind w:right="-398"/>
        <w:rPr>
          <w:rFonts w:ascii="Garamond" w:hAnsi="Garamond"/>
          <w:szCs w:val="28"/>
        </w:rPr>
      </w:pPr>
    </w:p>
    <w:p w:rsidR="00D7106C" w:rsidRPr="00BB7868" w:rsidRDefault="00423F17" w:rsidP="000A0F60">
      <w:pPr>
        <w:pStyle w:val="Paragrafoelenco"/>
        <w:numPr>
          <w:ilvl w:val="0"/>
          <w:numId w:val="27"/>
        </w:numPr>
        <w:spacing w:line="360" w:lineRule="exact"/>
        <w:ind w:right="-398"/>
        <w:rPr>
          <w:rFonts w:ascii="Garamond" w:hAnsi="Garamond"/>
          <w:b/>
          <w:szCs w:val="28"/>
        </w:rPr>
      </w:pPr>
      <w:r w:rsidRPr="00BB7868">
        <w:rPr>
          <w:rFonts w:ascii="Garamond" w:hAnsi="Garamond"/>
          <w:b/>
          <w:szCs w:val="28"/>
        </w:rPr>
        <w:t xml:space="preserve">I Servizi </w:t>
      </w:r>
      <w:r w:rsidR="00B93240" w:rsidRPr="00BB7868">
        <w:rPr>
          <w:rFonts w:ascii="Garamond" w:hAnsi="Garamond"/>
          <w:b/>
          <w:szCs w:val="28"/>
        </w:rPr>
        <w:t>c</w:t>
      </w:r>
      <w:r w:rsidRPr="00BB7868">
        <w:rPr>
          <w:rFonts w:ascii="Garamond" w:hAnsi="Garamond"/>
          <w:b/>
          <w:szCs w:val="28"/>
        </w:rPr>
        <w:t>imiteriali</w:t>
      </w:r>
      <w:r w:rsidR="00C413DF" w:rsidRPr="00BB7868">
        <w:rPr>
          <w:rFonts w:ascii="Garamond" w:hAnsi="Garamond"/>
          <w:b/>
          <w:szCs w:val="28"/>
        </w:rPr>
        <w:t xml:space="preserve"> e mortuari sanitari</w:t>
      </w:r>
    </w:p>
    <w:p w:rsidR="0008788C" w:rsidRPr="00BB7868" w:rsidRDefault="0008788C" w:rsidP="0008788C">
      <w:pPr>
        <w:pStyle w:val="Paragrafoelenco"/>
        <w:spacing w:line="360" w:lineRule="exact"/>
        <w:ind w:right="-398"/>
        <w:rPr>
          <w:rFonts w:ascii="Garamond" w:hAnsi="Garamond"/>
          <w:b/>
          <w:szCs w:val="28"/>
        </w:rPr>
      </w:pPr>
    </w:p>
    <w:p w:rsidR="00423F17" w:rsidRPr="00BB7868" w:rsidRDefault="00423F17" w:rsidP="000A0F60">
      <w:pPr>
        <w:pStyle w:val="Paragrafoelenco"/>
        <w:numPr>
          <w:ilvl w:val="1"/>
          <w:numId w:val="27"/>
        </w:numPr>
        <w:spacing w:line="360" w:lineRule="exact"/>
        <w:ind w:right="-398"/>
        <w:rPr>
          <w:rFonts w:ascii="Garamond" w:hAnsi="Garamond"/>
          <w:b/>
          <w:szCs w:val="28"/>
        </w:rPr>
      </w:pPr>
      <w:r w:rsidRPr="00BB7868">
        <w:rPr>
          <w:rFonts w:ascii="Garamond" w:hAnsi="Garamond"/>
          <w:b/>
          <w:szCs w:val="28"/>
        </w:rPr>
        <w:t>Affidamento</w:t>
      </w:r>
    </w:p>
    <w:p w:rsidR="00E773DB" w:rsidRPr="00BB7868" w:rsidRDefault="00E773DB" w:rsidP="000A0F60">
      <w:pPr>
        <w:spacing w:line="360" w:lineRule="exact"/>
        <w:ind w:left="1080" w:right="-398"/>
        <w:rPr>
          <w:rFonts w:ascii="Garamond" w:hAnsi="Garamond"/>
          <w:szCs w:val="28"/>
        </w:rPr>
      </w:pPr>
    </w:p>
    <w:p w:rsidR="00E773DB" w:rsidRPr="00BB7868" w:rsidRDefault="002B1B4C" w:rsidP="000A0F60">
      <w:pPr>
        <w:spacing w:line="360" w:lineRule="exact"/>
        <w:ind w:right="-398"/>
        <w:rPr>
          <w:rFonts w:ascii="Garamond" w:hAnsi="Garamond"/>
          <w:szCs w:val="28"/>
        </w:rPr>
      </w:pPr>
      <w:r w:rsidRPr="00BB7868">
        <w:rPr>
          <w:rFonts w:ascii="Garamond" w:hAnsi="Garamond"/>
          <w:szCs w:val="28"/>
        </w:rPr>
        <w:t xml:space="preserve">L’Autorità ha più volte sottolineato che i servizi cimiteriali </w:t>
      </w:r>
      <w:r w:rsidR="00E773DB" w:rsidRPr="00BB7868">
        <w:rPr>
          <w:rFonts w:ascii="Garamond" w:hAnsi="Garamond"/>
          <w:szCs w:val="28"/>
        </w:rPr>
        <w:t>e mortuari</w:t>
      </w:r>
      <w:r w:rsidR="00C413DF" w:rsidRPr="00BB7868">
        <w:rPr>
          <w:rFonts w:ascii="Garamond" w:hAnsi="Garamond"/>
          <w:szCs w:val="28"/>
        </w:rPr>
        <w:t xml:space="preserve"> sanitari</w:t>
      </w:r>
      <w:r w:rsidR="00E773DB" w:rsidRPr="00BB7868">
        <w:rPr>
          <w:rFonts w:ascii="Garamond" w:hAnsi="Garamond"/>
          <w:szCs w:val="28"/>
        </w:rPr>
        <w:t xml:space="preserve"> </w:t>
      </w:r>
      <w:r w:rsidR="00747DF6" w:rsidRPr="00BB7868">
        <w:rPr>
          <w:rFonts w:ascii="Garamond" w:hAnsi="Garamond"/>
          <w:szCs w:val="28"/>
        </w:rPr>
        <w:t xml:space="preserve">sottendono </w:t>
      </w:r>
      <w:r w:rsidR="00E773DB" w:rsidRPr="00BB7868">
        <w:rPr>
          <w:rFonts w:ascii="Garamond" w:hAnsi="Garamond"/>
          <w:szCs w:val="28"/>
        </w:rPr>
        <w:t>interessi pubblici di carattere prevalente, trattandosi di attività che hanno connotati tipicamente igienico-sanitari e</w:t>
      </w:r>
      <w:r w:rsidR="001F09C2" w:rsidRPr="00BB7868">
        <w:rPr>
          <w:rFonts w:ascii="Garamond" w:hAnsi="Garamond"/>
          <w:szCs w:val="28"/>
        </w:rPr>
        <w:t>,</w:t>
      </w:r>
      <w:r w:rsidR="00E773DB" w:rsidRPr="00BB7868">
        <w:rPr>
          <w:rFonts w:ascii="Garamond" w:hAnsi="Garamond"/>
          <w:szCs w:val="28"/>
        </w:rPr>
        <w:t xml:space="preserve"> comunque</w:t>
      </w:r>
      <w:r w:rsidR="001F09C2" w:rsidRPr="00BB7868">
        <w:rPr>
          <w:rFonts w:ascii="Garamond" w:hAnsi="Garamond"/>
          <w:szCs w:val="28"/>
        </w:rPr>
        <w:t>,</w:t>
      </w:r>
      <w:r w:rsidR="00E773DB" w:rsidRPr="00BB7868">
        <w:rPr>
          <w:rFonts w:ascii="Garamond" w:hAnsi="Garamond"/>
          <w:szCs w:val="28"/>
        </w:rPr>
        <w:t xml:space="preserve"> riferite all’esercizio di servizi pubblici essenziali</w:t>
      </w:r>
      <w:r w:rsidR="00E773DB" w:rsidRPr="00BB7868">
        <w:rPr>
          <w:rStyle w:val="Rimandonotaapidipagina"/>
          <w:rFonts w:ascii="Garamond" w:hAnsi="Garamond"/>
          <w:szCs w:val="28"/>
        </w:rPr>
        <w:footnoteReference w:id="2"/>
      </w:r>
      <w:r w:rsidR="00E773DB" w:rsidRPr="00BB7868">
        <w:rPr>
          <w:rFonts w:ascii="Garamond" w:hAnsi="Garamond"/>
          <w:szCs w:val="28"/>
        </w:rPr>
        <w:t>. Risulta</w:t>
      </w:r>
      <w:r w:rsidR="00C03499" w:rsidRPr="00BB7868">
        <w:rPr>
          <w:rFonts w:ascii="Garamond" w:hAnsi="Garamond"/>
          <w:szCs w:val="28"/>
        </w:rPr>
        <w:t>,</w:t>
      </w:r>
      <w:r w:rsidR="00E773DB" w:rsidRPr="00BB7868">
        <w:rPr>
          <w:rFonts w:ascii="Garamond" w:hAnsi="Garamond"/>
          <w:szCs w:val="28"/>
        </w:rPr>
        <w:t xml:space="preserve"> pertanto</w:t>
      </w:r>
      <w:r w:rsidR="00C03499" w:rsidRPr="00BB7868">
        <w:rPr>
          <w:rFonts w:ascii="Garamond" w:hAnsi="Garamond"/>
          <w:szCs w:val="28"/>
        </w:rPr>
        <w:t>,</w:t>
      </w:r>
      <w:r w:rsidR="00E773DB" w:rsidRPr="00BB7868">
        <w:rPr>
          <w:rFonts w:ascii="Garamond" w:hAnsi="Garamond"/>
          <w:szCs w:val="28"/>
        </w:rPr>
        <w:t xml:space="preserve"> netta la distinzione tra l’attività di gestione </w:t>
      </w:r>
      <w:r w:rsidR="009765B6" w:rsidRPr="00BB7868">
        <w:rPr>
          <w:rFonts w:ascii="Garamond" w:hAnsi="Garamond"/>
          <w:szCs w:val="28"/>
        </w:rPr>
        <w:t xml:space="preserve">dei servizi cimiteriali e </w:t>
      </w:r>
      <w:r w:rsidR="00E773DB" w:rsidRPr="00BB7868">
        <w:rPr>
          <w:rFonts w:ascii="Garamond" w:hAnsi="Garamond"/>
          <w:szCs w:val="28"/>
        </w:rPr>
        <w:t xml:space="preserve">delle camere mortuarie e l’attività </w:t>
      </w:r>
      <w:r w:rsidR="00C03499" w:rsidRPr="00BB7868">
        <w:rPr>
          <w:rFonts w:ascii="Garamond" w:hAnsi="Garamond"/>
          <w:szCs w:val="28"/>
        </w:rPr>
        <w:t xml:space="preserve">funebre, di natura </w:t>
      </w:r>
      <w:r w:rsidR="00E773DB" w:rsidRPr="00BB7868">
        <w:rPr>
          <w:rFonts w:ascii="Garamond" w:hAnsi="Garamond"/>
          <w:szCs w:val="28"/>
        </w:rPr>
        <w:t>imprenditoriale, le cui finalità commerciali non si conciliano con il corretto e fisiologico svolgimento dei servizi cimiteriali e del servizio di gestione delle camere mortuarie.</w:t>
      </w:r>
    </w:p>
    <w:p w:rsidR="00747DF6" w:rsidRPr="00BB7868" w:rsidRDefault="00E773DB" w:rsidP="000A0F60">
      <w:pPr>
        <w:spacing w:line="360" w:lineRule="exact"/>
        <w:ind w:right="-398"/>
        <w:rPr>
          <w:rFonts w:ascii="Garamond" w:hAnsi="Garamond"/>
          <w:szCs w:val="28"/>
        </w:rPr>
      </w:pPr>
      <w:r w:rsidRPr="00BB7868">
        <w:rPr>
          <w:rFonts w:ascii="Garamond" w:hAnsi="Garamond"/>
          <w:szCs w:val="28"/>
        </w:rPr>
        <w:t>La differenza intrinseca tra tali tipologie di servizi non esclude, comunque, la possibilità, per le pubbliche amministrazioni interessate (nel caso di specie</w:t>
      </w:r>
      <w:r w:rsidR="00747DF6" w:rsidRPr="00BB7868">
        <w:rPr>
          <w:rFonts w:ascii="Garamond" w:hAnsi="Garamond"/>
          <w:szCs w:val="28"/>
        </w:rPr>
        <w:t>,</w:t>
      </w:r>
      <w:r w:rsidRPr="00BB7868">
        <w:rPr>
          <w:rFonts w:ascii="Garamond" w:hAnsi="Garamond"/>
          <w:szCs w:val="28"/>
        </w:rPr>
        <w:t xml:space="preserve"> </w:t>
      </w:r>
      <w:r w:rsidR="00747DF6" w:rsidRPr="00BB7868">
        <w:rPr>
          <w:rFonts w:ascii="Garamond" w:hAnsi="Garamond"/>
          <w:szCs w:val="28"/>
        </w:rPr>
        <w:t>c</w:t>
      </w:r>
      <w:r w:rsidRPr="00BB7868">
        <w:rPr>
          <w:rFonts w:ascii="Garamond" w:hAnsi="Garamond"/>
          <w:szCs w:val="28"/>
        </w:rPr>
        <w:t>omun</w:t>
      </w:r>
      <w:r w:rsidR="00747DF6" w:rsidRPr="00BB7868">
        <w:rPr>
          <w:rFonts w:ascii="Garamond" w:hAnsi="Garamond"/>
          <w:szCs w:val="28"/>
        </w:rPr>
        <w:t>i</w:t>
      </w:r>
      <w:r w:rsidRPr="00BB7868">
        <w:rPr>
          <w:rFonts w:ascii="Garamond" w:hAnsi="Garamond"/>
          <w:szCs w:val="28"/>
        </w:rPr>
        <w:t xml:space="preserve"> e </w:t>
      </w:r>
      <w:r w:rsidR="00747DF6" w:rsidRPr="00BB7868">
        <w:rPr>
          <w:rFonts w:ascii="Garamond" w:hAnsi="Garamond"/>
          <w:szCs w:val="28"/>
        </w:rPr>
        <w:t>a</w:t>
      </w:r>
      <w:r w:rsidRPr="00BB7868">
        <w:rPr>
          <w:rFonts w:ascii="Garamond" w:hAnsi="Garamond"/>
          <w:szCs w:val="28"/>
        </w:rPr>
        <w:t>ziende del</w:t>
      </w:r>
      <w:r w:rsidR="00747DF6" w:rsidRPr="00BB7868">
        <w:rPr>
          <w:rFonts w:ascii="Garamond" w:hAnsi="Garamond"/>
          <w:szCs w:val="28"/>
        </w:rPr>
        <w:t xml:space="preserve"> servizio sanitario</w:t>
      </w:r>
      <w:r w:rsidRPr="00BB7868">
        <w:rPr>
          <w:rFonts w:ascii="Garamond" w:hAnsi="Garamond"/>
          <w:szCs w:val="28"/>
        </w:rPr>
        <w:t>) di affidarli all’esterno. In questa prospettiva, correttamente la proposta di legge A</w:t>
      </w:r>
      <w:r w:rsidR="00747DF6" w:rsidRPr="00BB7868">
        <w:rPr>
          <w:rFonts w:ascii="Garamond" w:hAnsi="Garamond"/>
          <w:szCs w:val="28"/>
        </w:rPr>
        <w:t>.</w:t>
      </w:r>
      <w:r w:rsidRPr="00BB7868">
        <w:rPr>
          <w:rFonts w:ascii="Garamond" w:hAnsi="Garamond"/>
          <w:szCs w:val="28"/>
        </w:rPr>
        <w:t>S</w:t>
      </w:r>
      <w:r w:rsidR="00747DF6" w:rsidRPr="00BB7868">
        <w:rPr>
          <w:rFonts w:ascii="Garamond" w:hAnsi="Garamond"/>
          <w:szCs w:val="28"/>
        </w:rPr>
        <w:t xml:space="preserve">. </w:t>
      </w:r>
      <w:r w:rsidRPr="00BB7868">
        <w:rPr>
          <w:rFonts w:ascii="Garamond" w:hAnsi="Garamond"/>
          <w:szCs w:val="28"/>
        </w:rPr>
        <w:t xml:space="preserve">1618 individua forme di affidamento dei servizi cimiteriali </w:t>
      </w:r>
      <w:r w:rsidR="009765B6" w:rsidRPr="00BB7868">
        <w:rPr>
          <w:rFonts w:ascii="Garamond" w:hAnsi="Garamond"/>
          <w:szCs w:val="28"/>
        </w:rPr>
        <w:t xml:space="preserve">e delle camere mortuarie </w:t>
      </w:r>
      <w:r w:rsidRPr="00BB7868">
        <w:rPr>
          <w:rFonts w:ascii="Garamond" w:hAnsi="Garamond"/>
          <w:szCs w:val="28"/>
        </w:rPr>
        <w:t>idonee a garantire il corretto dispiegarsi della concorrenza per il mercato, quali la procedura ad evidenza pubblica, l’affidamento attraverso le regole del</w:t>
      </w:r>
      <w:r w:rsidR="006F0874" w:rsidRPr="00BB7868">
        <w:rPr>
          <w:rFonts w:ascii="Garamond" w:hAnsi="Garamond"/>
          <w:szCs w:val="28"/>
        </w:rPr>
        <w:t xml:space="preserve">la società mista </w:t>
      </w:r>
      <w:r w:rsidRPr="00BB7868">
        <w:rPr>
          <w:rFonts w:ascii="Garamond" w:hAnsi="Garamond"/>
          <w:szCs w:val="28"/>
        </w:rPr>
        <w:t xml:space="preserve">e l’affidamento </w:t>
      </w:r>
      <w:r w:rsidRPr="00BB7868">
        <w:rPr>
          <w:rFonts w:ascii="Garamond" w:hAnsi="Garamond"/>
          <w:i/>
          <w:szCs w:val="28"/>
        </w:rPr>
        <w:t xml:space="preserve">in house </w:t>
      </w:r>
      <w:r w:rsidRPr="00BB7868">
        <w:rPr>
          <w:rFonts w:ascii="Garamond" w:hAnsi="Garamond"/>
          <w:szCs w:val="28"/>
        </w:rPr>
        <w:t>(</w:t>
      </w:r>
      <w:r w:rsidR="00747DF6" w:rsidRPr="00BB7868">
        <w:rPr>
          <w:rFonts w:ascii="Garamond" w:hAnsi="Garamond"/>
          <w:szCs w:val="28"/>
        </w:rPr>
        <w:t>a</w:t>
      </w:r>
      <w:r w:rsidRPr="00BB7868">
        <w:rPr>
          <w:rFonts w:ascii="Garamond" w:hAnsi="Garamond"/>
          <w:szCs w:val="28"/>
        </w:rPr>
        <w:t xml:space="preserve">rt. </w:t>
      </w:r>
      <w:r w:rsidR="009765B6" w:rsidRPr="00BB7868">
        <w:rPr>
          <w:rFonts w:ascii="Garamond" w:hAnsi="Garamond"/>
          <w:szCs w:val="28"/>
        </w:rPr>
        <w:t>10, comma 14 e art.</w:t>
      </w:r>
      <w:r w:rsidRPr="00BB7868">
        <w:rPr>
          <w:rFonts w:ascii="Garamond" w:hAnsi="Garamond"/>
          <w:szCs w:val="28"/>
        </w:rPr>
        <w:t>18).</w:t>
      </w:r>
    </w:p>
    <w:p w:rsidR="00747DF6" w:rsidRPr="00BB7868" w:rsidRDefault="006F0874" w:rsidP="000A0F60">
      <w:pPr>
        <w:spacing w:line="360" w:lineRule="exact"/>
        <w:ind w:right="-398"/>
        <w:rPr>
          <w:rFonts w:ascii="Garamond" w:hAnsi="Garamond"/>
          <w:szCs w:val="28"/>
        </w:rPr>
      </w:pPr>
      <w:r w:rsidRPr="00BB7868">
        <w:rPr>
          <w:rFonts w:ascii="Garamond" w:hAnsi="Garamond"/>
          <w:szCs w:val="28"/>
        </w:rPr>
        <w:t xml:space="preserve">Anche lo </w:t>
      </w:r>
      <w:r w:rsidR="00E773DB" w:rsidRPr="00BB7868">
        <w:rPr>
          <w:rFonts w:ascii="Garamond" w:hAnsi="Garamond"/>
          <w:szCs w:val="28"/>
        </w:rPr>
        <w:t>strumento della concessione, individuato dalla proposta A</w:t>
      </w:r>
      <w:r w:rsidR="00747DF6" w:rsidRPr="00BB7868">
        <w:rPr>
          <w:rFonts w:ascii="Garamond" w:hAnsi="Garamond"/>
          <w:szCs w:val="28"/>
        </w:rPr>
        <w:t>.</w:t>
      </w:r>
      <w:r w:rsidR="00E773DB" w:rsidRPr="00BB7868">
        <w:rPr>
          <w:rFonts w:ascii="Garamond" w:hAnsi="Garamond"/>
          <w:szCs w:val="28"/>
        </w:rPr>
        <w:t>C</w:t>
      </w:r>
      <w:r w:rsidR="00747DF6" w:rsidRPr="00BB7868">
        <w:rPr>
          <w:rFonts w:ascii="Garamond" w:hAnsi="Garamond"/>
          <w:szCs w:val="28"/>
        </w:rPr>
        <w:t>.</w:t>
      </w:r>
      <w:r w:rsidR="00E773DB" w:rsidRPr="00BB7868">
        <w:rPr>
          <w:rFonts w:ascii="Garamond" w:hAnsi="Garamond"/>
          <w:szCs w:val="28"/>
        </w:rPr>
        <w:t xml:space="preserve"> 1143 (art. 25)</w:t>
      </w:r>
      <w:r w:rsidRPr="00BB7868">
        <w:rPr>
          <w:rFonts w:ascii="Garamond" w:hAnsi="Garamond"/>
          <w:szCs w:val="28"/>
        </w:rPr>
        <w:t xml:space="preserve">, risulta adatto all’affidamento di questa tipologia di servizi, purché la durata sia definita </w:t>
      </w:r>
      <w:r w:rsidR="00807178" w:rsidRPr="00BB7868">
        <w:rPr>
          <w:rFonts w:ascii="Garamond" w:hAnsi="Garamond"/>
          <w:szCs w:val="28"/>
        </w:rPr>
        <w:t>in modo da non restringere o limitare la libera concorrenza più di quanto sia necessario per ammortizzare gli investimenti e remunerare i capitali investiti in misura ragionevole</w:t>
      </w:r>
      <w:r w:rsidR="00807178" w:rsidRPr="00BB7868">
        <w:rPr>
          <w:rStyle w:val="Rimandonotaapidipagina"/>
          <w:rFonts w:ascii="Garamond" w:hAnsi="Garamond"/>
          <w:szCs w:val="28"/>
        </w:rPr>
        <w:footnoteReference w:id="3"/>
      </w:r>
      <w:r w:rsidR="00E773DB" w:rsidRPr="00BB7868">
        <w:rPr>
          <w:rFonts w:ascii="Garamond" w:hAnsi="Garamond"/>
          <w:szCs w:val="28"/>
        </w:rPr>
        <w:t xml:space="preserve">. </w:t>
      </w:r>
    </w:p>
    <w:p w:rsidR="00E773DB" w:rsidRPr="00BB7868" w:rsidRDefault="00E773DB" w:rsidP="000A0F60">
      <w:pPr>
        <w:spacing w:line="360" w:lineRule="exact"/>
        <w:ind w:right="-398"/>
        <w:rPr>
          <w:rFonts w:ascii="Garamond" w:hAnsi="Garamond"/>
          <w:szCs w:val="28"/>
        </w:rPr>
      </w:pPr>
      <w:r w:rsidRPr="00BB7868">
        <w:rPr>
          <w:rFonts w:ascii="Garamond" w:hAnsi="Garamond"/>
          <w:szCs w:val="28"/>
        </w:rPr>
        <w:t>Allo stesso tempo si auspica una modifica della proposta A</w:t>
      </w:r>
      <w:r w:rsidR="00747DF6" w:rsidRPr="00BB7868">
        <w:rPr>
          <w:rFonts w:ascii="Garamond" w:hAnsi="Garamond"/>
          <w:szCs w:val="28"/>
        </w:rPr>
        <w:t>.</w:t>
      </w:r>
      <w:r w:rsidRPr="00BB7868">
        <w:rPr>
          <w:rFonts w:ascii="Garamond" w:hAnsi="Garamond"/>
          <w:szCs w:val="28"/>
        </w:rPr>
        <w:t>C</w:t>
      </w:r>
      <w:r w:rsidR="00747DF6" w:rsidRPr="00BB7868">
        <w:rPr>
          <w:rFonts w:ascii="Garamond" w:hAnsi="Garamond"/>
          <w:szCs w:val="28"/>
        </w:rPr>
        <w:t>.</w:t>
      </w:r>
      <w:r w:rsidRPr="00BB7868">
        <w:rPr>
          <w:rFonts w:ascii="Garamond" w:hAnsi="Garamond"/>
          <w:szCs w:val="28"/>
        </w:rPr>
        <w:t xml:space="preserve"> 1143 che</w:t>
      </w:r>
      <w:r w:rsidR="00592261" w:rsidRPr="00BB7868">
        <w:rPr>
          <w:rFonts w:ascii="Garamond" w:hAnsi="Garamond"/>
          <w:szCs w:val="28"/>
        </w:rPr>
        <w:t xml:space="preserve">, pur </w:t>
      </w:r>
      <w:r w:rsidR="006E0488" w:rsidRPr="00BB7868">
        <w:rPr>
          <w:rFonts w:ascii="Garamond" w:hAnsi="Garamond"/>
          <w:szCs w:val="28"/>
        </w:rPr>
        <w:t>contempla</w:t>
      </w:r>
      <w:r w:rsidR="00592261" w:rsidRPr="00BB7868">
        <w:rPr>
          <w:rFonts w:ascii="Garamond" w:hAnsi="Garamond"/>
          <w:szCs w:val="28"/>
        </w:rPr>
        <w:t>ndo</w:t>
      </w:r>
      <w:r w:rsidR="006E0488" w:rsidRPr="00BB7868">
        <w:rPr>
          <w:rFonts w:ascii="Garamond" w:hAnsi="Garamond"/>
          <w:szCs w:val="28"/>
        </w:rPr>
        <w:t xml:space="preserve"> l’affidamento in concessione del</w:t>
      </w:r>
      <w:r w:rsidR="00592261" w:rsidRPr="00BB7868">
        <w:rPr>
          <w:rFonts w:ascii="Garamond" w:hAnsi="Garamond"/>
          <w:szCs w:val="28"/>
        </w:rPr>
        <w:t xml:space="preserve">la </w:t>
      </w:r>
      <w:r w:rsidR="006E0488" w:rsidRPr="00BB7868">
        <w:rPr>
          <w:rFonts w:ascii="Garamond" w:hAnsi="Garamond"/>
          <w:szCs w:val="28"/>
        </w:rPr>
        <w:t xml:space="preserve">gestione </w:t>
      </w:r>
      <w:r w:rsidR="00592261" w:rsidRPr="00BB7868">
        <w:rPr>
          <w:rFonts w:ascii="Garamond" w:hAnsi="Garamond"/>
          <w:szCs w:val="28"/>
        </w:rPr>
        <w:t xml:space="preserve">dei cimiteri, dei crematori e dei servizi cimiteriali, all’art. 15 </w:t>
      </w:r>
      <w:r w:rsidRPr="00BB7868">
        <w:rPr>
          <w:rFonts w:ascii="Garamond" w:hAnsi="Garamond"/>
          <w:szCs w:val="28"/>
        </w:rPr>
        <w:t xml:space="preserve">espressamente </w:t>
      </w:r>
      <w:r w:rsidR="009765B6" w:rsidRPr="00BB7868">
        <w:rPr>
          <w:rFonts w:ascii="Garamond" w:hAnsi="Garamond"/>
          <w:szCs w:val="28"/>
        </w:rPr>
        <w:t xml:space="preserve">impone </w:t>
      </w:r>
      <w:r w:rsidRPr="00BB7868">
        <w:rPr>
          <w:rFonts w:ascii="Garamond" w:hAnsi="Garamond"/>
          <w:szCs w:val="28"/>
        </w:rPr>
        <w:t xml:space="preserve">alle strutture sanitarie </w:t>
      </w:r>
      <w:r w:rsidR="009765B6" w:rsidRPr="00BB7868">
        <w:rPr>
          <w:rFonts w:ascii="Garamond" w:hAnsi="Garamond"/>
          <w:szCs w:val="28"/>
        </w:rPr>
        <w:t xml:space="preserve">la gestione diretta </w:t>
      </w:r>
      <w:r w:rsidRPr="00BB7868">
        <w:rPr>
          <w:rFonts w:ascii="Garamond" w:hAnsi="Garamond"/>
          <w:szCs w:val="28"/>
        </w:rPr>
        <w:t xml:space="preserve">dei servizi mortuari sanitari e </w:t>
      </w:r>
      <w:r w:rsidR="009765B6" w:rsidRPr="00BB7868">
        <w:rPr>
          <w:rFonts w:ascii="Garamond" w:hAnsi="Garamond"/>
          <w:szCs w:val="28"/>
        </w:rPr>
        <w:t xml:space="preserve">delle </w:t>
      </w:r>
      <w:r w:rsidRPr="00BB7868">
        <w:rPr>
          <w:rFonts w:ascii="Garamond" w:hAnsi="Garamond"/>
          <w:szCs w:val="28"/>
        </w:rPr>
        <w:t>attività necroscopiche</w:t>
      </w:r>
      <w:r w:rsidR="009E6A15" w:rsidRPr="00BB7868">
        <w:rPr>
          <w:rFonts w:ascii="Garamond" w:hAnsi="Garamond"/>
          <w:szCs w:val="28"/>
        </w:rPr>
        <w:t>.</w:t>
      </w:r>
    </w:p>
    <w:p w:rsidR="002B1B4C" w:rsidRPr="00BB7868" w:rsidRDefault="002B1B4C" w:rsidP="000A0F60">
      <w:pPr>
        <w:spacing w:line="360" w:lineRule="exact"/>
        <w:ind w:right="-398"/>
        <w:rPr>
          <w:rFonts w:ascii="Garamond" w:hAnsi="Garamond"/>
          <w:szCs w:val="28"/>
        </w:rPr>
      </w:pPr>
    </w:p>
    <w:p w:rsidR="00423F17" w:rsidRPr="00BB7868" w:rsidRDefault="00423F17" w:rsidP="000A0F60">
      <w:pPr>
        <w:pStyle w:val="Paragrafoelenco"/>
        <w:numPr>
          <w:ilvl w:val="1"/>
          <w:numId w:val="27"/>
        </w:numPr>
        <w:spacing w:line="360" w:lineRule="exact"/>
        <w:ind w:right="-398"/>
        <w:rPr>
          <w:rFonts w:ascii="Garamond" w:hAnsi="Garamond"/>
          <w:b/>
          <w:szCs w:val="28"/>
        </w:rPr>
      </w:pPr>
      <w:r w:rsidRPr="00BB7868">
        <w:rPr>
          <w:rFonts w:ascii="Garamond" w:hAnsi="Garamond"/>
          <w:b/>
          <w:szCs w:val="28"/>
        </w:rPr>
        <w:t>Incompatibilità</w:t>
      </w:r>
    </w:p>
    <w:p w:rsidR="009E6A15" w:rsidRPr="00BB7868" w:rsidRDefault="009E6A15" w:rsidP="000A0F60">
      <w:pPr>
        <w:spacing w:line="360" w:lineRule="exact"/>
        <w:ind w:right="-398"/>
        <w:rPr>
          <w:rFonts w:ascii="Garamond" w:hAnsi="Garamond"/>
          <w:szCs w:val="28"/>
        </w:rPr>
      </w:pPr>
    </w:p>
    <w:p w:rsidR="00B90326" w:rsidRPr="00BB7868" w:rsidRDefault="009E6A15" w:rsidP="000A0F60">
      <w:pPr>
        <w:spacing w:line="360" w:lineRule="exact"/>
        <w:ind w:right="-398"/>
        <w:rPr>
          <w:rFonts w:ascii="Garamond" w:hAnsi="Garamond"/>
          <w:szCs w:val="28"/>
        </w:rPr>
      </w:pPr>
      <w:r w:rsidRPr="00BB7868">
        <w:rPr>
          <w:rFonts w:ascii="Garamond" w:hAnsi="Garamond"/>
          <w:szCs w:val="28"/>
        </w:rPr>
        <w:t xml:space="preserve">La possibilità che le Pubbliche Amministrazioni interessate affidino a terzi operatori del mercato la gestione dei servizi cimiteriali e mortuari sanitari non esclude la necessità di prevedere adeguate forme di incompatibilità, quantomeno </w:t>
      </w:r>
      <w:r w:rsidR="00592261" w:rsidRPr="00BB7868">
        <w:rPr>
          <w:rFonts w:ascii="Garamond" w:hAnsi="Garamond"/>
          <w:szCs w:val="28"/>
        </w:rPr>
        <w:t xml:space="preserve">con riferimento al medesimo ambito </w:t>
      </w:r>
      <w:r w:rsidRPr="00BB7868">
        <w:rPr>
          <w:rFonts w:ascii="Garamond" w:hAnsi="Garamond"/>
          <w:szCs w:val="28"/>
        </w:rPr>
        <w:t xml:space="preserve">locale </w:t>
      </w:r>
      <w:r w:rsidR="00592261" w:rsidRPr="00BB7868">
        <w:rPr>
          <w:rFonts w:ascii="Garamond" w:hAnsi="Garamond"/>
          <w:szCs w:val="28"/>
        </w:rPr>
        <w:t>di operatività</w:t>
      </w:r>
      <w:r w:rsidRPr="00BB7868">
        <w:rPr>
          <w:rFonts w:ascii="Garamond" w:hAnsi="Garamond"/>
          <w:szCs w:val="28"/>
        </w:rPr>
        <w:t>, tra tali attività e le attività funebri svolte in regime di libero mercato</w:t>
      </w:r>
      <w:r w:rsidR="00592261" w:rsidRPr="00BB7868">
        <w:rPr>
          <w:rFonts w:ascii="Garamond" w:hAnsi="Garamond"/>
          <w:szCs w:val="28"/>
        </w:rPr>
        <w:t xml:space="preserve">. </w:t>
      </w:r>
    </w:p>
    <w:p w:rsidR="00282B15" w:rsidRPr="00BB7868" w:rsidRDefault="00CF4F53" w:rsidP="000A0F60">
      <w:pPr>
        <w:spacing w:line="360" w:lineRule="exact"/>
        <w:ind w:right="-398"/>
        <w:rPr>
          <w:rFonts w:ascii="Garamond" w:hAnsi="Garamond"/>
          <w:szCs w:val="28"/>
        </w:rPr>
      </w:pPr>
      <w:r w:rsidRPr="00BB7868">
        <w:rPr>
          <w:rFonts w:ascii="Garamond" w:hAnsi="Garamond"/>
          <w:szCs w:val="28"/>
        </w:rPr>
        <w:t>L</w:t>
      </w:r>
      <w:r w:rsidR="00593487" w:rsidRPr="00BB7868">
        <w:rPr>
          <w:rFonts w:ascii="Garamond" w:hAnsi="Garamond"/>
          <w:szCs w:val="28"/>
        </w:rPr>
        <w:t xml:space="preserve">a presenza di una società di onoranze funebri all’interno di strutture </w:t>
      </w:r>
      <w:r w:rsidR="009E6A15" w:rsidRPr="00BB7868">
        <w:rPr>
          <w:rFonts w:ascii="Garamond" w:hAnsi="Garamond"/>
          <w:szCs w:val="28"/>
        </w:rPr>
        <w:t xml:space="preserve">pubbliche (cimiteri e </w:t>
      </w:r>
      <w:r w:rsidR="00593487" w:rsidRPr="00BB7868">
        <w:rPr>
          <w:rFonts w:ascii="Garamond" w:hAnsi="Garamond"/>
          <w:szCs w:val="28"/>
        </w:rPr>
        <w:t>ospedali</w:t>
      </w:r>
      <w:r w:rsidR="009E6A15" w:rsidRPr="00BB7868">
        <w:rPr>
          <w:rFonts w:ascii="Garamond" w:hAnsi="Garamond"/>
          <w:szCs w:val="28"/>
        </w:rPr>
        <w:t>)</w:t>
      </w:r>
      <w:r w:rsidRPr="00BB7868">
        <w:rPr>
          <w:rFonts w:ascii="Garamond" w:hAnsi="Garamond"/>
          <w:szCs w:val="28"/>
        </w:rPr>
        <w:t>, infatti,</w:t>
      </w:r>
      <w:r w:rsidR="00593487" w:rsidRPr="00BB7868">
        <w:rPr>
          <w:rFonts w:ascii="Garamond" w:hAnsi="Garamond"/>
          <w:szCs w:val="28"/>
        </w:rPr>
        <w:t xml:space="preserve"> è suscettibile di determinare una situazione di vantaggio competitivo a favore dell’impresa aggiudicataria, consentendole un accesso privilegiato alla clientela, ossia </w:t>
      </w:r>
      <w:r w:rsidR="00B90326" w:rsidRPr="00BB7868">
        <w:rPr>
          <w:rFonts w:ascii="Garamond" w:hAnsi="Garamond"/>
          <w:szCs w:val="28"/>
        </w:rPr>
        <w:t xml:space="preserve">ai </w:t>
      </w:r>
      <w:r w:rsidRPr="00BB7868">
        <w:rPr>
          <w:rFonts w:ascii="Garamond" w:hAnsi="Garamond"/>
          <w:szCs w:val="28"/>
        </w:rPr>
        <w:t xml:space="preserve">congiunti </w:t>
      </w:r>
      <w:r w:rsidR="00593487" w:rsidRPr="00BB7868">
        <w:rPr>
          <w:rFonts w:ascii="Garamond" w:hAnsi="Garamond"/>
          <w:szCs w:val="28"/>
        </w:rPr>
        <w:t>dei defunti</w:t>
      </w:r>
      <w:r w:rsidR="00282B15" w:rsidRPr="00BB7868">
        <w:rPr>
          <w:rFonts w:ascii="Garamond" w:hAnsi="Garamond"/>
          <w:szCs w:val="28"/>
        </w:rPr>
        <w:t xml:space="preserve">, </w:t>
      </w:r>
      <w:r w:rsidR="00B90326" w:rsidRPr="00BB7868">
        <w:rPr>
          <w:rFonts w:ascii="Garamond" w:hAnsi="Garamond"/>
          <w:szCs w:val="28"/>
        </w:rPr>
        <w:t xml:space="preserve">suscettibile di tradursi </w:t>
      </w:r>
      <w:r w:rsidR="00282B15" w:rsidRPr="00BB7868">
        <w:rPr>
          <w:rFonts w:ascii="Garamond" w:hAnsi="Garamond"/>
          <w:szCs w:val="28"/>
        </w:rPr>
        <w:t xml:space="preserve">in una espansione della sua quota di mercato, non necessariamente riconducibile alla superiorità dei servizi offerti. In particolare, proprio la tempestività nel contattare il potenziale cliente nel momento in cui sorge l’esigenza dell’acquisto dei servizi funebri costituisce un fattore di vantaggio nell’acquisizione della clientela. </w:t>
      </w:r>
    </w:p>
    <w:p w:rsidR="00B90326" w:rsidRPr="00EA2B8E" w:rsidRDefault="00B90326" w:rsidP="000A0F60">
      <w:pPr>
        <w:spacing w:line="360" w:lineRule="exact"/>
        <w:ind w:right="-398"/>
        <w:rPr>
          <w:rFonts w:ascii="Garamond" w:hAnsi="Garamond"/>
          <w:szCs w:val="28"/>
        </w:rPr>
      </w:pPr>
    </w:p>
    <w:p w:rsidR="00DA5D9A" w:rsidRPr="00DC6A1D" w:rsidRDefault="00F6153C" w:rsidP="000A0F60">
      <w:pPr>
        <w:spacing w:line="360" w:lineRule="exact"/>
        <w:ind w:right="-398"/>
        <w:rPr>
          <w:rFonts w:ascii="Garamond" w:hAnsi="Garamond"/>
          <w:sz w:val="24"/>
        </w:rPr>
      </w:pPr>
      <w:r>
        <w:rPr>
          <w:rFonts w:ascii="Garamond" w:hAnsi="Garamond"/>
          <w:sz w:val="24"/>
        </w:rPr>
        <w:t xml:space="preserve">L’indicata </w:t>
      </w:r>
      <w:r w:rsidR="00593487" w:rsidRPr="00DC6A1D">
        <w:rPr>
          <w:rFonts w:ascii="Garamond" w:hAnsi="Garamond"/>
          <w:sz w:val="24"/>
        </w:rPr>
        <w:t xml:space="preserve">circostanza, peraltro, oltre a limitare il confronto competitivo tra gli operatori funebri attivi nei mercati locali, si ripercuote negativamente sui clienti dei servizi funebri, posto che determina una limitazione delle loro possibilità di scelta e, come diretta conseguenza, un aumento del prezzo di </w:t>
      </w:r>
      <w:r>
        <w:rPr>
          <w:rFonts w:ascii="Garamond" w:hAnsi="Garamond"/>
          <w:sz w:val="24"/>
        </w:rPr>
        <w:t>dett</w:t>
      </w:r>
      <w:r w:rsidR="00593487" w:rsidRPr="00DC6A1D">
        <w:rPr>
          <w:rFonts w:ascii="Garamond" w:hAnsi="Garamond"/>
          <w:sz w:val="24"/>
        </w:rPr>
        <w:t xml:space="preserve">i servizi. Tali clienti, infatti, in ragione del particolare momento psicologico in cui si trovano, sono </w:t>
      </w:r>
      <w:r w:rsidR="00DA5D9A" w:rsidRPr="00DC6A1D">
        <w:rPr>
          <w:rFonts w:ascii="Garamond" w:hAnsi="Garamond"/>
          <w:sz w:val="24"/>
        </w:rPr>
        <w:t xml:space="preserve">di norma </w:t>
      </w:r>
      <w:r w:rsidR="00593487" w:rsidRPr="00DC6A1D">
        <w:rPr>
          <w:rFonts w:ascii="Garamond" w:hAnsi="Garamond"/>
          <w:sz w:val="24"/>
        </w:rPr>
        <w:t>poco propensi ad effettuare confronti qualitativi e di prezzo tra i servizi offerti dai diversi operatori funebri</w:t>
      </w:r>
      <w:r w:rsidR="009E6A15" w:rsidRPr="00DC6A1D">
        <w:rPr>
          <w:rFonts w:ascii="Garamond" w:hAnsi="Garamond"/>
          <w:sz w:val="24"/>
        </w:rPr>
        <w:t>.</w:t>
      </w:r>
    </w:p>
    <w:p w:rsidR="00B90326" w:rsidRDefault="00B90326" w:rsidP="000A0F60">
      <w:pPr>
        <w:spacing w:line="360" w:lineRule="exact"/>
        <w:ind w:right="-398"/>
        <w:rPr>
          <w:rFonts w:ascii="Garamond" w:hAnsi="Garamond"/>
          <w:szCs w:val="28"/>
        </w:rPr>
      </w:pPr>
    </w:p>
    <w:p w:rsidR="00DA5D9A" w:rsidRPr="00EA2B8E" w:rsidRDefault="009E6A15" w:rsidP="000A0F60">
      <w:pPr>
        <w:spacing w:line="360" w:lineRule="exact"/>
        <w:ind w:right="-398"/>
        <w:rPr>
          <w:rFonts w:ascii="Garamond" w:hAnsi="Garamond"/>
          <w:szCs w:val="28"/>
        </w:rPr>
      </w:pPr>
      <w:r w:rsidRPr="00EA2B8E">
        <w:rPr>
          <w:rFonts w:ascii="Garamond" w:hAnsi="Garamond"/>
          <w:szCs w:val="28"/>
        </w:rPr>
        <w:t>In quest’ottica</w:t>
      </w:r>
      <w:r w:rsidR="00CF4F53" w:rsidRPr="00EA2B8E">
        <w:rPr>
          <w:rFonts w:ascii="Garamond" w:hAnsi="Garamond"/>
          <w:szCs w:val="28"/>
        </w:rPr>
        <w:t>,</w:t>
      </w:r>
      <w:r w:rsidRPr="00EA2B8E">
        <w:rPr>
          <w:rFonts w:ascii="Garamond" w:hAnsi="Garamond"/>
          <w:szCs w:val="28"/>
        </w:rPr>
        <w:t xml:space="preserve"> </w:t>
      </w:r>
      <w:r w:rsidR="00DA5D9A" w:rsidRPr="00EA2B8E">
        <w:rPr>
          <w:rFonts w:ascii="Garamond" w:hAnsi="Garamond"/>
          <w:szCs w:val="28"/>
        </w:rPr>
        <w:t xml:space="preserve">l’Autorità </w:t>
      </w:r>
      <w:r w:rsidRPr="00EA2B8E">
        <w:rPr>
          <w:rFonts w:ascii="Garamond" w:hAnsi="Garamond"/>
          <w:szCs w:val="28"/>
        </w:rPr>
        <w:t>guard</w:t>
      </w:r>
      <w:r w:rsidR="00DA5D9A" w:rsidRPr="00EA2B8E">
        <w:rPr>
          <w:rFonts w:ascii="Garamond" w:hAnsi="Garamond"/>
          <w:szCs w:val="28"/>
        </w:rPr>
        <w:t>a</w:t>
      </w:r>
      <w:r w:rsidRPr="00EA2B8E">
        <w:rPr>
          <w:rFonts w:ascii="Garamond" w:hAnsi="Garamond"/>
          <w:szCs w:val="28"/>
        </w:rPr>
        <w:t xml:space="preserve"> con favore all’introduzione di una forma di incompatibilità, come quella prevista dalla proposta A</w:t>
      </w:r>
      <w:r w:rsidR="00DA5D9A" w:rsidRPr="00EA2B8E">
        <w:rPr>
          <w:rFonts w:ascii="Garamond" w:hAnsi="Garamond"/>
          <w:szCs w:val="28"/>
        </w:rPr>
        <w:t>.</w:t>
      </w:r>
      <w:r w:rsidRPr="00EA2B8E">
        <w:rPr>
          <w:rFonts w:ascii="Garamond" w:hAnsi="Garamond"/>
          <w:szCs w:val="28"/>
        </w:rPr>
        <w:t>C</w:t>
      </w:r>
      <w:r w:rsidR="00DA5D9A" w:rsidRPr="00EA2B8E">
        <w:rPr>
          <w:rFonts w:ascii="Garamond" w:hAnsi="Garamond"/>
          <w:szCs w:val="28"/>
        </w:rPr>
        <w:t>.</w:t>
      </w:r>
      <w:r w:rsidRPr="00EA2B8E">
        <w:rPr>
          <w:rFonts w:ascii="Garamond" w:hAnsi="Garamond"/>
          <w:szCs w:val="28"/>
        </w:rPr>
        <w:t xml:space="preserve"> 1143, che, all’art. 8, vieta alle imprese funebri di prestare servizi di ambito necroscopico, intendendo per tali la gestione di servizi mortuari di strutture sanitarie e assimilabili e depositi di osservazione e obitori (art. 8</w:t>
      </w:r>
      <w:r w:rsidR="00DA5D9A" w:rsidRPr="00EA2B8E">
        <w:rPr>
          <w:rFonts w:ascii="Garamond" w:hAnsi="Garamond"/>
          <w:szCs w:val="28"/>
        </w:rPr>
        <w:t>,</w:t>
      </w:r>
      <w:r w:rsidRPr="00EA2B8E">
        <w:rPr>
          <w:rFonts w:ascii="Garamond" w:hAnsi="Garamond"/>
          <w:szCs w:val="28"/>
        </w:rPr>
        <w:t xml:space="preserve"> comma 5) e all’art. 25, comma 4, rende la gestione dei servizi cimiteriali istituzionali incompatibile con l’esercizio dell’att</w:t>
      </w:r>
      <w:r w:rsidR="00282B15" w:rsidRPr="00EA2B8E">
        <w:rPr>
          <w:rFonts w:ascii="Garamond" w:hAnsi="Garamond"/>
          <w:szCs w:val="28"/>
        </w:rPr>
        <w:t>i</w:t>
      </w:r>
      <w:r w:rsidRPr="00EA2B8E">
        <w:rPr>
          <w:rFonts w:ascii="Garamond" w:hAnsi="Garamond"/>
          <w:szCs w:val="28"/>
        </w:rPr>
        <w:t xml:space="preserve">vità funebre. </w:t>
      </w:r>
      <w:r w:rsidR="009765B6" w:rsidRPr="00EA2B8E">
        <w:rPr>
          <w:rFonts w:ascii="Garamond" w:hAnsi="Garamond"/>
          <w:szCs w:val="28"/>
        </w:rPr>
        <w:t>Tali incompatibilità, tuttavia, potrebbero essere limitate al medesimo ambito territoriale di operatività dell’impresa.</w:t>
      </w:r>
    </w:p>
    <w:p w:rsidR="00593487" w:rsidRPr="00EA2B8E" w:rsidRDefault="00282B15" w:rsidP="000A0F60">
      <w:pPr>
        <w:spacing w:line="360" w:lineRule="exact"/>
        <w:ind w:right="-398"/>
        <w:rPr>
          <w:rFonts w:ascii="Garamond" w:hAnsi="Garamond"/>
          <w:szCs w:val="28"/>
        </w:rPr>
      </w:pPr>
      <w:r w:rsidRPr="00EA2B8E">
        <w:rPr>
          <w:rFonts w:ascii="Garamond" w:hAnsi="Garamond"/>
          <w:szCs w:val="28"/>
        </w:rPr>
        <w:t>Rischiano di non essere</w:t>
      </w:r>
      <w:r w:rsidR="00DA5D9A" w:rsidRPr="00EA2B8E">
        <w:rPr>
          <w:rFonts w:ascii="Garamond" w:hAnsi="Garamond"/>
          <w:szCs w:val="28"/>
        </w:rPr>
        <w:t xml:space="preserve"> invece</w:t>
      </w:r>
      <w:r w:rsidRPr="00EA2B8E">
        <w:rPr>
          <w:rFonts w:ascii="Garamond" w:hAnsi="Garamond"/>
          <w:szCs w:val="28"/>
        </w:rPr>
        <w:t xml:space="preserve"> pienamente efficaci le disposizioni di cui alla medesima proposta A</w:t>
      </w:r>
      <w:r w:rsidR="00DA5D9A" w:rsidRPr="00EA2B8E">
        <w:rPr>
          <w:rFonts w:ascii="Garamond" w:hAnsi="Garamond"/>
          <w:szCs w:val="28"/>
        </w:rPr>
        <w:t>.</w:t>
      </w:r>
      <w:r w:rsidRPr="00EA2B8E">
        <w:rPr>
          <w:rFonts w:ascii="Garamond" w:hAnsi="Garamond"/>
          <w:szCs w:val="28"/>
        </w:rPr>
        <w:t>C</w:t>
      </w:r>
      <w:r w:rsidR="00DA5D9A" w:rsidRPr="00EA2B8E">
        <w:rPr>
          <w:rFonts w:ascii="Garamond" w:hAnsi="Garamond"/>
          <w:szCs w:val="28"/>
        </w:rPr>
        <w:t>.</w:t>
      </w:r>
      <w:r w:rsidRPr="00EA2B8E">
        <w:rPr>
          <w:rFonts w:ascii="Garamond" w:hAnsi="Garamond"/>
          <w:szCs w:val="28"/>
        </w:rPr>
        <w:t xml:space="preserve"> 1143 (art. 8</w:t>
      </w:r>
      <w:r w:rsidR="00DA5D9A" w:rsidRPr="00EA2B8E">
        <w:rPr>
          <w:rFonts w:ascii="Garamond" w:hAnsi="Garamond"/>
          <w:szCs w:val="28"/>
        </w:rPr>
        <w:t>,</w:t>
      </w:r>
      <w:r w:rsidRPr="00EA2B8E">
        <w:rPr>
          <w:rFonts w:ascii="Garamond" w:hAnsi="Garamond"/>
          <w:szCs w:val="28"/>
        </w:rPr>
        <w:t xml:space="preserve"> comma 4) e della proposta A</w:t>
      </w:r>
      <w:r w:rsidR="00DA5D9A" w:rsidRPr="00EA2B8E">
        <w:rPr>
          <w:rFonts w:ascii="Garamond" w:hAnsi="Garamond"/>
          <w:szCs w:val="28"/>
        </w:rPr>
        <w:t>.</w:t>
      </w:r>
      <w:r w:rsidRPr="00EA2B8E">
        <w:rPr>
          <w:rFonts w:ascii="Garamond" w:hAnsi="Garamond"/>
          <w:szCs w:val="28"/>
        </w:rPr>
        <w:t>C</w:t>
      </w:r>
      <w:r w:rsidR="00DA5D9A" w:rsidRPr="00EA2B8E">
        <w:rPr>
          <w:rFonts w:ascii="Garamond" w:hAnsi="Garamond"/>
          <w:szCs w:val="28"/>
        </w:rPr>
        <w:t>.</w:t>
      </w:r>
      <w:r w:rsidRPr="00EA2B8E">
        <w:rPr>
          <w:rFonts w:ascii="Garamond" w:hAnsi="Garamond"/>
          <w:szCs w:val="28"/>
        </w:rPr>
        <w:t xml:space="preserve"> 1618, che rendono la gestione dei servizi cimiteriali  incompatibile con l’esercizio delle attività funebri nello stesso ambito territoriale</w:t>
      </w:r>
      <w:r w:rsidR="00DA5D9A" w:rsidRPr="00EA2B8E">
        <w:rPr>
          <w:rFonts w:ascii="Garamond" w:hAnsi="Garamond"/>
          <w:szCs w:val="28"/>
        </w:rPr>
        <w:t>,</w:t>
      </w:r>
      <w:r w:rsidRPr="00EA2B8E">
        <w:rPr>
          <w:rFonts w:ascii="Garamond" w:hAnsi="Garamond"/>
          <w:szCs w:val="28"/>
        </w:rPr>
        <w:t xml:space="preserve"> nonché con l’esercizio dell’attività commerciale marmorea e lapidea interna al cimitero, salvo che siano attivate le procedure di separazione societaria ai sensi dell’articolo 8, commi da 2 a 2-sexies, della legge 10 ottobre 1990, n. 287.</w:t>
      </w:r>
      <w:r w:rsidR="009E6A15" w:rsidRPr="00EA2B8E">
        <w:rPr>
          <w:rFonts w:ascii="Garamond" w:hAnsi="Garamond"/>
          <w:szCs w:val="28"/>
        </w:rPr>
        <w:t xml:space="preserve"> </w:t>
      </w:r>
    </w:p>
    <w:p w:rsidR="00593487" w:rsidRPr="00EA2B8E" w:rsidRDefault="00593487" w:rsidP="000A0F60">
      <w:pPr>
        <w:spacing w:line="360" w:lineRule="exact"/>
        <w:ind w:right="-398"/>
        <w:rPr>
          <w:rFonts w:ascii="Garamond" w:hAnsi="Garamond"/>
          <w:szCs w:val="28"/>
        </w:rPr>
      </w:pPr>
      <w:r w:rsidRPr="00EA2B8E">
        <w:rPr>
          <w:rFonts w:ascii="Garamond" w:hAnsi="Garamond"/>
          <w:szCs w:val="28"/>
        </w:rPr>
        <w:t>Tale soluzione non evita</w:t>
      </w:r>
      <w:r w:rsidR="00DA5D9A" w:rsidRPr="00EA2B8E">
        <w:rPr>
          <w:rFonts w:ascii="Garamond" w:hAnsi="Garamond"/>
          <w:szCs w:val="28"/>
        </w:rPr>
        <w:t>,</w:t>
      </w:r>
      <w:r w:rsidRPr="00EA2B8E">
        <w:rPr>
          <w:rFonts w:ascii="Garamond" w:hAnsi="Garamond"/>
          <w:szCs w:val="28"/>
        </w:rPr>
        <w:t xml:space="preserve"> infatti</w:t>
      </w:r>
      <w:r w:rsidR="00DA5D9A" w:rsidRPr="00EA2B8E">
        <w:rPr>
          <w:rFonts w:ascii="Garamond" w:hAnsi="Garamond"/>
          <w:szCs w:val="28"/>
        </w:rPr>
        <w:t>,</w:t>
      </w:r>
      <w:r w:rsidRPr="00EA2B8E">
        <w:rPr>
          <w:rFonts w:ascii="Garamond" w:hAnsi="Garamond"/>
          <w:szCs w:val="28"/>
        </w:rPr>
        <w:t xml:space="preserve"> la possibilità </w:t>
      </w:r>
      <w:r w:rsidR="00AF09CC" w:rsidRPr="00EA2B8E">
        <w:rPr>
          <w:rFonts w:ascii="Garamond" w:hAnsi="Garamond"/>
          <w:szCs w:val="28"/>
        </w:rPr>
        <w:t xml:space="preserve">che </w:t>
      </w:r>
      <w:r w:rsidRPr="00EA2B8E">
        <w:rPr>
          <w:rFonts w:ascii="Garamond" w:hAnsi="Garamond"/>
          <w:szCs w:val="28"/>
        </w:rPr>
        <w:t xml:space="preserve">l’operatore </w:t>
      </w:r>
      <w:r w:rsidR="00AF09CC" w:rsidRPr="00EA2B8E">
        <w:rPr>
          <w:rFonts w:ascii="Garamond" w:hAnsi="Garamond"/>
          <w:szCs w:val="28"/>
        </w:rPr>
        <w:t xml:space="preserve">che gestisce </w:t>
      </w:r>
      <w:r w:rsidRPr="00EA2B8E">
        <w:rPr>
          <w:rFonts w:ascii="Garamond" w:hAnsi="Garamond"/>
          <w:szCs w:val="28"/>
        </w:rPr>
        <w:t>una camera mortuaria</w:t>
      </w:r>
      <w:r w:rsidR="00282B15" w:rsidRPr="00EA2B8E">
        <w:rPr>
          <w:rFonts w:ascii="Garamond" w:hAnsi="Garamond"/>
          <w:szCs w:val="28"/>
        </w:rPr>
        <w:t xml:space="preserve"> o servizi cimiteriali</w:t>
      </w:r>
      <w:r w:rsidR="00AF09CC" w:rsidRPr="00EA2B8E">
        <w:rPr>
          <w:rFonts w:ascii="Garamond" w:hAnsi="Garamond"/>
          <w:szCs w:val="28"/>
        </w:rPr>
        <w:t xml:space="preserve"> possa </w:t>
      </w:r>
      <w:r w:rsidRPr="00EA2B8E">
        <w:rPr>
          <w:rFonts w:ascii="Garamond" w:hAnsi="Garamond"/>
          <w:szCs w:val="28"/>
        </w:rPr>
        <w:t xml:space="preserve">contattare </w:t>
      </w:r>
      <w:r w:rsidR="00AF09CC" w:rsidRPr="00EA2B8E">
        <w:rPr>
          <w:rFonts w:ascii="Garamond" w:hAnsi="Garamond"/>
          <w:szCs w:val="28"/>
        </w:rPr>
        <w:t xml:space="preserve">la </w:t>
      </w:r>
      <w:r w:rsidRPr="00EA2B8E">
        <w:rPr>
          <w:rFonts w:ascii="Garamond" w:hAnsi="Garamond"/>
          <w:szCs w:val="28"/>
        </w:rPr>
        <w:t>clientela</w:t>
      </w:r>
      <w:r w:rsidR="00AF09CC" w:rsidRPr="00EA2B8E">
        <w:rPr>
          <w:rFonts w:ascii="Garamond" w:hAnsi="Garamond"/>
          <w:szCs w:val="28"/>
        </w:rPr>
        <w:t xml:space="preserve"> per indirizzarla verso la propria società controllata o collegata</w:t>
      </w:r>
      <w:r w:rsidRPr="00EA2B8E">
        <w:rPr>
          <w:rFonts w:ascii="Garamond" w:hAnsi="Garamond"/>
          <w:szCs w:val="28"/>
        </w:rPr>
        <w:t xml:space="preserve"> in modo più facile e immediato rispetto ai concorrenti.</w:t>
      </w:r>
    </w:p>
    <w:p w:rsidR="00282B15" w:rsidRPr="00EA2B8E" w:rsidRDefault="00DA5D9A" w:rsidP="000A0F60">
      <w:pPr>
        <w:spacing w:line="360" w:lineRule="exact"/>
        <w:ind w:right="-398"/>
        <w:rPr>
          <w:rFonts w:ascii="Garamond" w:hAnsi="Garamond"/>
          <w:szCs w:val="28"/>
        </w:rPr>
      </w:pPr>
      <w:r w:rsidRPr="00EA2B8E">
        <w:rPr>
          <w:rFonts w:ascii="Garamond" w:hAnsi="Garamond"/>
          <w:szCs w:val="28"/>
        </w:rPr>
        <w:t>In proposito, si ricorda che, n</w:t>
      </w:r>
      <w:r w:rsidR="00832B9C" w:rsidRPr="00EA2B8E">
        <w:rPr>
          <w:rFonts w:ascii="Garamond" w:hAnsi="Garamond"/>
          <w:szCs w:val="28"/>
        </w:rPr>
        <w:t xml:space="preserve">elle </w:t>
      </w:r>
      <w:r w:rsidR="00282B15" w:rsidRPr="00EA2B8E">
        <w:rPr>
          <w:rFonts w:ascii="Garamond" w:hAnsi="Garamond"/>
          <w:szCs w:val="28"/>
        </w:rPr>
        <w:t>proprie precedenti segnalazioni, l’Autorità ha</w:t>
      </w:r>
      <w:r w:rsidRPr="00EA2B8E">
        <w:rPr>
          <w:rFonts w:ascii="Garamond" w:hAnsi="Garamond"/>
          <w:szCs w:val="28"/>
        </w:rPr>
        <w:t xml:space="preserve"> più volte ausp</w:t>
      </w:r>
      <w:r w:rsidR="00282B15" w:rsidRPr="00EA2B8E">
        <w:rPr>
          <w:rFonts w:ascii="Garamond" w:hAnsi="Garamond"/>
          <w:szCs w:val="28"/>
        </w:rPr>
        <w:t>icato che, in ragione delle particolari caratteristiche del mercato della gestione dei servizi cimiteriali, i legislatori nazionale e regionali intervengano affinché sia stabilita la chiara separazione e incompatibilità tra l’offerta di servizi funebri a carattere commerciale e i servizi pubblici di gestione cimiteriale che si connotano per un prevalente interesse igienico-sanitario o di carattere pubblico sociale, quale la gestione dei servizi cimiteriali</w:t>
      </w:r>
      <w:r w:rsidR="00D36044" w:rsidRPr="00EA2B8E">
        <w:rPr>
          <w:rFonts w:ascii="Garamond" w:hAnsi="Garamond"/>
          <w:szCs w:val="28"/>
        </w:rPr>
        <w:t xml:space="preserve"> e delle camere mortuarie</w:t>
      </w:r>
      <w:r w:rsidR="00282B15" w:rsidRPr="00EA2B8E">
        <w:rPr>
          <w:rStyle w:val="Rimandonotaapidipagina"/>
          <w:rFonts w:ascii="Garamond" w:hAnsi="Garamond"/>
          <w:szCs w:val="28"/>
        </w:rPr>
        <w:footnoteReference w:id="4"/>
      </w:r>
      <w:r w:rsidR="00832B9C" w:rsidRPr="00EA2B8E">
        <w:rPr>
          <w:rFonts w:ascii="Garamond" w:hAnsi="Garamond"/>
          <w:szCs w:val="28"/>
        </w:rPr>
        <w:t>.</w:t>
      </w:r>
    </w:p>
    <w:p w:rsidR="00464495" w:rsidRPr="00EA2B8E" w:rsidRDefault="00464495" w:rsidP="000A0F60">
      <w:pPr>
        <w:spacing w:line="360" w:lineRule="exact"/>
        <w:ind w:right="-398"/>
        <w:rPr>
          <w:rFonts w:ascii="Garamond" w:hAnsi="Garamond"/>
          <w:szCs w:val="28"/>
        </w:rPr>
      </w:pPr>
    </w:p>
    <w:p w:rsidR="00423F17" w:rsidRPr="00EA2B8E" w:rsidRDefault="00423F17" w:rsidP="000A0F60">
      <w:pPr>
        <w:pStyle w:val="Paragrafoelenco"/>
        <w:numPr>
          <w:ilvl w:val="0"/>
          <w:numId w:val="27"/>
        </w:numPr>
        <w:spacing w:line="360" w:lineRule="exact"/>
        <w:ind w:right="-398"/>
        <w:rPr>
          <w:rFonts w:ascii="Garamond" w:hAnsi="Garamond"/>
          <w:b/>
          <w:szCs w:val="28"/>
        </w:rPr>
      </w:pPr>
      <w:r w:rsidRPr="00EA2B8E">
        <w:rPr>
          <w:rFonts w:ascii="Garamond" w:hAnsi="Garamond"/>
          <w:b/>
          <w:szCs w:val="28"/>
        </w:rPr>
        <w:t xml:space="preserve">Le Attività </w:t>
      </w:r>
      <w:r w:rsidR="00B93240">
        <w:rPr>
          <w:rFonts w:ascii="Garamond" w:hAnsi="Garamond"/>
          <w:b/>
          <w:szCs w:val="28"/>
        </w:rPr>
        <w:t>f</w:t>
      </w:r>
      <w:r w:rsidRPr="00EA2B8E">
        <w:rPr>
          <w:rFonts w:ascii="Garamond" w:hAnsi="Garamond"/>
          <w:b/>
          <w:szCs w:val="28"/>
        </w:rPr>
        <w:t>unebri</w:t>
      </w:r>
    </w:p>
    <w:p w:rsidR="00921CF6" w:rsidRPr="00EA2B8E" w:rsidRDefault="00921CF6" w:rsidP="00921CF6">
      <w:pPr>
        <w:pStyle w:val="Paragrafoelenco"/>
        <w:spacing w:line="360" w:lineRule="exact"/>
        <w:ind w:right="-398"/>
        <w:rPr>
          <w:rFonts w:ascii="Garamond" w:hAnsi="Garamond"/>
          <w:b/>
          <w:szCs w:val="28"/>
        </w:rPr>
      </w:pPr>
    </w:p>
    <w:p w:rsidR="00464495" w:rsidRPr="00EA2B8E" w:rsidRDefault="00464495" w:rsidP="000A0F60">
      <w:pPr>
        <w:pStyle w:val="Paragrafoelenco"/>
        <w:numPr>
          <w:ilvl w:val="1"/>
          <w:numId w:val="27"/>
        </w:numPr>
        <w:spacing w:line="360" w:lineRule="exact"/>
        <w:ind w:right="-398"/>
        <w:rPr>
          <w:rFonts w:ascii="Garamond" w:hAnsi="Garamond"/>
          <w:b/>
          <w:szCs w:val="28"/>
        </w:rPr>
      </w:pPr>
      <w:r w:rsidRPr="00EA2B8E">
        <w:rPr>
          <w:rFonts w:ascii="Garamond" w:hAnsi="Garamond"/>
          <w:b/>
          <w:szCs w:val="28"/>
        </w:rPr>
        <w:t>Programmazione territoriale</w:t>
      </w:r>
      <w:r w:rsidR="00F43558" w:rsidRPr="00EA2B8E">
        <w:rPr>
          <w:rFonts w:ascii="Garamond" w:hAnsi="Garamond"/>
          <w:b/>
          <w:szCs w:val="28"/>
        </w:rPr>
        <w:t xml:space="preserve"> e autorizzazione</w:t>
      </w:r>
    </w:p>
    <w:p w:rsidR="006E327E" w:rsidRPr="00EA2B8E" w:rsidRDefault="006E327E" w:rsidP="006E327E">
      <w:pPr>
        <w:pStyle w:val="Paragrafoelenco"/>
        <w:spacing w:line="360" w:lineRule="exact"/>
        <w:ind w:left="1440" w:right="-398"/>
        <w:rPr>
          <w:rFonts w:ascii="Garamond" w:hAnsi="Garamond"/>
          <w:b/>
          <w:szCs w:val="28"/>
        </w:rPr>
      </w:pPr>
    </w:p>
    <w:p w:rsidR="00B90326" w:rsidRDefault="00464495" w:rsidP="000A0F60">
      <w:pPr>
        <w:spacing w:line="360" w:lineRule="exact"/>
        <w:ind w:right="-398"/>
        <w:rPr>
          <w:rFonts w:ascii="Garamond" w:hAnsi="Garamond"/>
          <w:szCs w:val="28"/>
        </w:rPr>
      </w:pPr>
      <w:r w:rsidRPr="00EA2B8E">
        <w:rPr>
          <w:rFonts w:ascii="Garamond" w:hAnsi="Garamond"/>
          <w:szCs w:val="28"/>
        </w:rPr>
        <w:t xml:space="preserve">L’Autorità è ben consapevole </w:t>
      </w:r>
      <w:r w:rsidR="00F43558" w:rsidRPr="00EA2B8E">
        <w:rPr>
          <w:rFonts w:ascii="Garamond" w:hAnsi="Garamond"/>
          <w:szCs w:val="28"/>
        </w:rPr>
        <w:t xml:space="preserve">della necessità di evitare </w:t>
      </w:r>
      <w:r w:rsidR="00B90326">
        <w:rPr>
          <w:rFonts w:ascii="Garamond" w:hAnsi="Garamond"/>
          <w:szCs w:val="28"/>
        </w:rPr>
        <w:t xml:space="preserve">comportamenti </w:t>
      </w:r>
      <w:r w:rsidR="00F43558" w:rsidRPr="00EA2B8E">
        <w:rPr>
          <w:rFonts w:ascii="Garamond" w:hAnsi="Garamond"/>
          <w:szCs w:val="28"/>
        </w:rPr>
        <w:t xml:space="preserve">in danno dei dolenti e forme di elusione della normativa collegate all’esercizio delle attività funebri. </w:t>
      </w:r>
    </w:p>
    <w:p w:rsidR="00921CF6" w:rsidRPr="00EA2B8E" w:rsidRDefault="00F43558" w:rsidP="000A0F60">
      <w:pPr>
        <w:spacing w:line="360" w:lineRule="exact"/>
        <w:ind w:right="-398"/>
        <w:rPr>
          <w:rFonts w:ascii="Garamond" w:hAnsi="Garamond"/>
          <w:szCs w:val="28"/>
        </w:rPr>
      </w:pPr>
      <w:r w:rsidRPr="00EA2B8E">
        <w:rPr>
          <w:rFonts w:ascii="Garamond" w:hAnsi="Garamond"/>
          <w:szCs w:val="28"/>
        </w:rPr>
        <w:t>L’introduzione, ad opera dell’art. 5 dell’A</w:t>
      </w:r>
      <w:r w:rsidR="00921CF6" w:rsidRPr="00EA2B8E">
        <w:rPr>
          <w:rFonts w:ascii="Garamond" w:hAnsi="Garamond"/>
          <w:szCs w:val="28"/>
        </w:rPr>
        <w:t>.</w:t>
      </w:r>
      <w:r w:rsidRPr="00EA2B8E">
        <w:rPr>
          <w:rFonts w:ascii="Garamond" w:hAnsi="Garamond"/>
          <w:szCs w:val="28"/>
        </w:rPr>
        <w:t>C</w:t>
      </w:r>
      <w:r w:rsidR="00921CF6" w:rsidRPr="00EA2B8E">
        <w:rPr>
          <w:rFonts w:ascii="Garamond" w:hAnsi="Garamond"/>
          <w:szCs w:val="28"/>
        </w:rPr>
        <w:t>.</w:t>
      </w:r>
      <w:r w:rsidRPr="00EA2B8E">
        <w:rPr>
          <w:rFonts w:ascii="Garamond" w:hAnsi="Garamond"/>
          <w:szCs w:val="28"/>
        </w:rPr>
        <w:t xml:space="preserve"> 1143, di una programmazione territoriale con relativo contingentamento delle sedi operative delle imprese </w:t>
      </w:r>
      <w:r w:rsidR="005F0E20" w:rsidRPr="00EA2B8E">
        <w:rPr>
          <w:rFonts w:ascii="Garamond" w:hAnsi="Garamond"/>
          <w:szCs w:val="28"/>
        </w:rPr>
        <w:t>in funzione del numero di abitanti</w:t>
      </w:r>
      <w:r w:rsidR="003327FE" w:rsidRPr="00EA2B8E">
        <w:rPr>
          <w:rFonts w:ascii="Garamond" w:hAnsi="Garamond"/>
          <w:szCs w:val="28"/>
        </w:rPr>
        <w:t xml:space="preserve">, </w:t>
      </w:r>
      <w:r w:rsidRPr="00EA2B8E">
        <w:rPr>
          <w:rFonts w:ascii="Garamond" w:hAnsi="Garamond"/>
          <w:szCs w:val="28"/>
        </w:rPr>
        <w:t xml:space="preserve">rischia, però, di determinare </w:t>
      </w:r>
      <w:r w:rsidR="005F0E20" w:rsidRPr="00EA2B8E">
        <w:rPr>
          <w:rFonts w:ascii="Garamond" w:hAnsi="Garamond"/>
          <w:szCs w:val="28"/>
        </w:rPr>
        <w:t xml:space="preserve">rilevanti </w:t>
      </w:r>
      <w:r w:rsidRPr="00EA2B8E">
        <w:rPr>
          <w:rFonts w:ascii="Garamond" w:hAnsi="Garamond"/>
          <w:szCs w:val="28"/>
        </w:rPr>
        <w:t>barriere all’ingresso da sempre segnalate dall’Autorità come particolarmente gravi in tutti i settori dell’economia</w:t>
      </w:r>
      <w:r w:rsidR="00B96AF1" w:rsidRPr="00EA2B8E">
        <w:rPr>
          <w:rStyle w:val="Rimandonotaapidipagina"/>
          <w:rFonts w:ascii="Garamond" w:hAnsi="Garamond"/>
          <w:szCs w:val="28"/>
        </w:rPr>
        <w:footnoteReference w:id="5"/>
      </w:r>
      <w:r w:rsidRPr="00EA2B8E">
        <w:rPr>
          <w:rFonts w:ascii="Garamond" w:hAnsi="Garamond"/>
          <w:szCs w:val="28"/>
        </w:rPr>
        <w:t>.</w:t>
      </w:r>
    </w:p>
    <w:p w:rsidR="00921CF6" w:rsidRPr="00EA2B8E" w:rsidRDefault="00F43558" w:rsidP="000A0F60">
      <w:pPr>
        <w:spacing w:line="360" w:lineRule="exact"/>
        <w:ind w:right="-398"/>
        <w:rPr>
          <w:rFonts w:ascii="Garamond" w:hAnsi="Garamond"/>
          <w:szCs w:val="28"/>
        </w:rPr>
      </w:pPr>
      <w:r w:rsidRPr="00EA2B8E">
        <w:rPr>
          <w:rFonts w:ascii="Garamond" w:hAnsi="Garamond"/>
          <w:szCs w:val="28"/>
        </w:rPr>
        <w:t>In questo specifico ambito, inoltre, non sembra che tale novità possa essere giustificata alla luce delle esigenze di controllo dell’attività funebr</w:t>
      </w:r>
      <w:r w:rsidR="00AF09CC" w:rsidRPr="00EA2B8E">
        <w:rPr>
          <w:rFonts w:ascii="Garamond" w:hAnsi="Garamond"/>
          <w:szCs w:val="28"/>
        </w:rPr>
        <w:t>e</w:t>
      </w:r>
      <w:r w:rsidRPr="00EA2B8E">
        <w:rPr>
          <w:rFonts w:ascii="Garamond" w:hAnsi="Garamond"/>
          <w:szCs w:val="28"/>
        </w:rPr>
        <w:t>, senz’altro perseguibile con mezzi meno restrittivi a disposizione de</w:t>
      </w:r>
      <w:r w:rsidR="00921CF6" w:rsidRPr="00EA2B8E">
        <w:rPr>
          <w:rFonts w:ascii="Garamond" w:hAnsi="Garamond"/>
          <w:szCs w:val="28"/>
        </w:rPr>
        <w:t xml:space="preserve">lle pubbliche autorità. </w:t>
      </w:r>
    </w:p>
    <w:p w:rsidR="00464495" w:rsidRPr="00EA2B8E" w:rsidRDefault="005F0E20" w:rsidP="000A0F60">
      <w:pPr>
        <w:spacing w:line="360" w:lineRule="exact"/>
        <w:ind w:right="-398"/>
        <w:rPr>
          <w:rFonts w:ascii="Garamond" w:hAnsi="Garamond"/>
          <w:szCs w:val="28"/>
        </w:rPr>
      </w:pPr>
      <w:r w:rsidRPr="00EA2B8E">
        <w:rPr>
          <w:rFonts w:ascii="Garamond" w:hAnsi="Garamond"/>
          <w:szCs w:val="28"/>
        </w:rPr>
        <w:t>Si tratta</w:t>
      </w:r>
      <w:r w:rsidR="00921CF6" w:rsidRPr="00EA2B8E">
        <w:rPr>
          <w:rFonts w:ascii="Garamond" w:hAnsi="Garamond"/>
          <w:szCs w:val="28"/>
        </w:rPr>
        <w:t>,</w:t>
      </w:r>
      <w:r w:rsidRPr="00EA2B8E">
        <w:rPr>
          <w:rFonts w:ascii="Garamond" w:hAnsi="Garamond"/>
          <w:szCs w:val="28"/>
        </w:rPr>
        <w:t xml:space="preserve"> quindi</w:t>
      </w:r>
      <w:r w:rsidR="00921CF6" w:rsidRPr="00EA2B8E">
        <w:rPr>
          <w:rFonts w:ascii="Garamond" w:hAnsi="Garamond"/>
          <w:szCs w:val="28"/>
        </w:rPr>
        <w:t>,</w:t>
      </w:r>
      <w:r w:rsidRPr="00EA2B8E">
        <w:rPr>
          <w:rFonts w:ascii="Garamond" w:hAnsi="Garamond"/>
          <w:szCs w:val="28"/>
        </w:rPr>
        <w:t xml:space="preserve"> di un aspetto la cui rimozione appare essenziale al fine di rendere le proposte in esame compatibile con i principi di tutela della concorrenza.</w:t>
      </w:r>
    </w:p>
    <w:p w:rsidR="00F43558" w:rsidRPr="00EA2B8E" w:rsidRDefault="00F43558" w:rsidP="000A0F60">
      <w:pPr>
        <w:spacing w:line="360" w:lineRule="exact"/>
        <w:ind w:right="-398"/>
        <w:rPr>
          <w:rFonts w:ascii="Garamond" w:hAnsi="Garamond"/>
          <w:szCs w:val="28"/>
        </w:rPr>
      </w:pPr>
      <w:r w:rsidRPr="00EA2B8E">
        <w:rPr>
          <w:rFonts w:ascii="Garamond" w:hAnsi="Garamond"/>
          <w:szCs w:val="28"/>
        </w:rPr>
        <w:t xml:space="preserve">Allo stesso tempo l’Autorità apprezza la codificazione dell’istituto della SCIA come titolo abilitativo per l’esercizio dell’attività, così come risulta dall’art. </w:t>
      </w:r>
      <w:r w:rsidR="004045C0" w:rsidRPr="00EA2B8E">
        <w:rPr>
          <w:rFonts w:ascii="Garamond" w:hAnsi="Garamond"/>
          <w:szCs w:val="28"/>
        </w:rPr>
        <w:t>4</w:t>
      </w:r>
      <w:r w:rsidR="00921CF6" w:rsidRPr="00EA2B8E">
        <w:rPr>
          <w:rFonts w:ascii="Garamond" w:hAnsi="Garamond"/>
          <w:szCs w:val="28"/>
        </w:rPr>
        <w:t>,</w:t>
      </w:r>
      <w:r w:rsidR="004045C0" w:rsidRPr="00EA2B8E">
        <w:rPr>
          <w:rFonts w:ascii="Garamond" w:hAnsi="Garamond"/>
          <w:szCs w:val="28"/>
        </w:rPr>
        <w:t xml:space="preserve"> comma 3 della proposta A</w:t>
      </w:r>
      <w:r w:rsidR="00921CF6" w:rsidRPr="00EA2B8E">
        <w:rPr>
          <w:rFonts w:ascii="Garamond" w:hAnsi="Garamond"/>
          <w:szCs w:val="28"/>
        </w:rPr>
        <w:t>.</w:t>
      </w:r>
      <w:r w:rsidR="004045C0" w:rsidRPr="00EA2B8E">
        <w:rPr>
          <w:rFonts w:ascii="Garamond" w:hAnsi="Garamond"/>
          <w:szCs w:val="28"/>
        </w:rPr>
        <w:t>C</w:t>
      </w:r>
      <w:r w:rsidR="00921CF6" w:rsidRPr="00EA2B8E">
        <w:rPr>
          <w:rFonts w:ascii="Garamond" w:hAnsi="Garamond"/>
          <w:szCs w:val="28"/>
        </w:rPr>
        <w:t>.</w:t>
      </w:r>
      <w:r w:rsidR="004045C0" w:rsidRPr="00EA2B8E">
        <w:rPr>
          <w:rFonts w:ascii="Garamond" w:hAnsi="Garamond"/>
          <w:szCs w:val="28"/>
        </w:rPr>
        <w:t xml:space="preserve"> 1618</w:t>
      </w:r>
      <w:r w:rsidR="005F0E20" w:rsidRPr="00EA2B8E">
        <w:rPr>
          <w:rStyle w:val="Rimandonotaapidipagina"/>
          <w:rFonts w:ascii="Garamond" w:hAnsi="Garamond"/>
          <w:szCs w:val="28"/>
        </w:rPr>
        <w:footnoteReference w:id="6"/>
      </w:r>
      <w:r w:rsidR="004045C0" w:rsidRPr="00EA2B8E">
        <w:rPr>
          <w:rFonts w:ascii="Garamond" w:hAnsi="Garamond"/>
          <w:szCs w:val="28"/>
        </w:rPr>
        <w:t>.</w:t>
      </w:r>
    </w:p>
    <w:p w:rsidR="00F43558" w:rsidRPr="00EA2B8E" w:rsidRDefault="00F43558" w:rsidP="000A0F60">
      <w:pPr>
        <w:spacing w:line="360" w:lineRule="exact"/>
        <w:ind w:right="-398"/>
        <w:rPr>
          <w:rFonts w:ascii="Garamond" w:hAnsi="Garamond"/>
          <w:szCs w:val="28"/>
        </w:rPr>
      </w:pPr>
    </w:p>
    <w:p w:rsidR="00423F17" w:rsidRPr="00EA2B8E" w:rsidRDefault="00423F17" w:rsidP="000A0F60">
      <w:pPr>
        <w:pStyle w:val="Paragrafoelenco"/>
        <w:numPr>
          <w:ilvl w:val="1"/>
          <w:numId w:val="27"/>
        </w:numPr>
        <w:spacing w:line="360" w:lineRule="exact"/>
        <w:ind w:right="-398"/>
        <w:rPr>
          <w:rFonts w:ascii="Garamond" w:hAnsi="Garamond"/>
          <w:b/>
          <w:szCs w:val="28"/>
        </w:rPr>
      </w:pPr>
      <w:r w:rsidRPr="00EA2B8E">
        <w:rPr>
          <w:rFonts w:ascii="Garamond" w:hAnsi="Garamond"/>
          <w:b/>
          <w:szCs w:val="28"/>
        </w:rPr>
        <w:t>Requisiti dimensionali</w:t>
      </w:r>
      <w:r w:rsidR="00030D12" w:rsidRPr="00EA2B8E">
        <w:rPr>
          <w:rFonts w:ascii="Garamond" w:hAnsi="Garamond"/>
          <w:b/>
          <w:szCs w:val="28"/>
        </w:rPr>
        <w:t>, di formazione e di esercizio dell’attività</w:t>
      </w:r>
    </w:p>
    <w:p w:rsidR="00921CF6" w:rsidRPr="00EA2B8E" w:rsidRDefault="00921CF6" w:rsidP="000A0F60">
      <w:pPr>
        <w:spacing w:line="360" w:lineRule="exact"/>
        <w:ind w:right="-398"/>
        <w:rPr>
          <w:rFonts w:ascii="Garamond" w:hAnsi="Garamond"/>
          <w:szCs w:val="28"/>
        </w:rPr>
      </w:pPr>
    </w:p>
    <w:p w:rsidR="006E327E" w:rsidRPr="00EA2B8E" w:rsidRDefault="00F43558" w:rsidP="000A0F60">
      <w:pPr>
        <w:spacing w:line="360" w:lineRule="exact"/>
        <w:ind w:right="-398"/>
        <w:rPr>
          <w:rFonts w:ascii="Garamond" w:hAnsi="Garamond"/>
          <w:szCs w:val="28"/>
        </w:rPr>
      </w:pPr>
      <w:r w:rsidRPr="00EA2B8E">
        <w:rPr>
          <w:rFonts w:ascii="Garamond" w:hAnsi="Garamond"/>
          <w:szCs w:val="28"/>
        </w:rPr>
        <w:t xml:space="preserve">Nella stessa ottica, la pur necessaria esigenza di garantire livelli di servizio minimi nei confronti di soggetti particolarmente vulnerabili, in un momento della vita in cui di solito si è poco propensi ad effettuare approfondite analisi comparative sugli operatori economici da cui acquistare il servizio, non giustifica l’introduzione di requisiti </w:t>
      </w:r>
      <w:r w:rsidR="004045C0" w:rsidRPr="00EA2B8E">
        <w:rPr>
          <w:rFonts w:ascii="Garamond" w:hAnsi="Garamond"/>
          <w:szCs w:val="28"/>
        </w:rPr>
        <w:t xml:space="preserve">dimensionali </w:t>
      </w:r>
      <w:r w:rsidR="0039213F" w:rsidRPr="00EA2B8E">
        <w:rPr>
          <w:rFonts w:ascii="Garamond" w:hAnsi="Garamond"/>
          <w:szCs w:val="28"/>
        </w:rPr>
        <w:t xml:space="preserve">e organizzativi </w:t>
      </w:r>
      <w:r w:rsidR="00030D12" w:rsidRPr="00EA2B8E">
        <w:rPr>
          <w:rFonts w:ascii="Garamond" w:hAnsi="Garamond"/>
          <w:szCs w:val="28"/>
        </w:rPr>
        <w:t xml:space="preserve">esorbitanti </w:t>
      </w:r>
      <w:r w:rsidR="004045C0" w:rsidRPr="00EA2B8E">
        <w:rPr>
          <w:rFonts w:ascii="Garamond" w:hAnsi="Garamond"/>
          <w:szCs w:val="28"/>
        </w:rPr>
        <w:t>per l’esercizio dell’attività</w:t>
      </w:r>
      <w:r w:rsidRPr="00EA2B8E">
        <w:rPr>
          <w:rFonts w:ascii="Garamond" w:hAnsi="Garamond"/>
          <w:szCs w:val="28"/>
        </w:rPr>
        <w:t>.</w:t>
      </w:r>
      <w:r w:rsidR="004045C0" w:rsidRPr="00EA2B8E">
        <w:rPr>
          <w:rFonts w:ascii="Garamond" w:hAnsi="Garamond"/>
          <w:szCs w:val="28"/>
        </w:rPr>
        <w:t xml:space="preserve"> </w:t>
      </w:r>
    </w:p>
    <w:p w:rsidR="006E327E" w:rsidRPr="00EA2B8E" w:rsidRDefault="004045C0" w:rsidP="000A0F60">
      <w:pPr>
        <w:spacing w:line="360" w:lineRule="exact"/>
        <w:ind w:right="-398"/>
        <w:rPr>
          <w:rFonts w:ascii="Garamond" w:hAnsi="Garamond"/>
          <w:szCs w:val="28"/>
        </w:rPr>
      </w:pPr>
      <w:r w:rsidRPr="00EA2B8E">
        <w:rPr>
          <w:rFonts w:ascii="Garamond" w:hAnsi="Garamond"/>
          <w:szCs w:val="28"/>
        </w:rPr>
        <w:t xml:space="preserve">L’Autorità, ad esempio, ha già segnalato che vincoli organizzativi troppo rigidi </w:t>
      </w:r>
      <w:r w:rsidR="0039213F" w:rsidRPr="00EA2B8E">
        <w:rPr>
          <w:rFonts w:ascii="Garamond" w:hAnsi="Garamond"/>
          <w:szCs w:val="28"/>
        </w:rPr>
        <w:t>(quali</w:t>
      </w:r>
      <w:r w:rsidR="006E327E" w:rsidRPr="00EA2B8E">
        <w:rPr>
          <w:rFonts w:ascii="Garamond" w:hAnsi="Garamond"/>
          <w:szCs w:val="28"/>
        </w:rPr>
        <w:t>,</w:t>
      </w:r>
      <w:r w:rsidR="0039213F" w:rsidRPr="00EA2B8E">
        <w:rPr>
          <w:rFonts w:ascii="Garamond" w:hAnsi="Garamond"/>
          <w:szCs w:val="28"/>
        </w:rPr>
        <w:t xml:space="preserve"> nel caso di specie</w:t>
      </w:r>
      <w:r w:rsidR="006E327E" w:rsidRPr="00EA2B8E">
        <w:rPr>
          <w:rFonts w:ascii="Garamond" w:hAnsi="Garamond"/>
          <w:szCs w:val="28"/>
        </w:rPr>
        <w:t>,</w:t>
      </w:r>
      <w:r w:rsidR="0039213F" w:rsidRPr="00EA2B8E">
        <w:rPr>
          <w:rFonts w:ascii="Garamond" w:hAnsi="Garamond"/>
          <w:szCs w:val="28"/>
        </w:rPr>
        <w:t xml:space="preserve"> l’imposizione di un rapporto di lavoro continuativo con l’impresa) </w:t>
      </w:r>
      <w:r w:rsidRPr="00EA2B8E">
        <w:rPr>
          <w:rFonts w:ascii="Garamond" w:hAnsi="Garamond"/>
          <w:szCs w:val="28"/>
        </w:rPr>
        <w:t>appaiono suscettibili di restringere indebitamente l’accesso al mercato</w:t>
      </w:r>
      <w:r w:rsidR="00030D12" w:rsidRPr="00EA2B8E">
        <w:rPr>
          <w:rStyle w:val="Rimandonotaapidipagina"/>
          <w:rFonts w:ascii="Garamond" w:hAnsi="Garamond"/>
          <w:szCs w:val="28"/>
        </w:rPr>
        <w:footnoteReference w:id="7"/>
      </w:r>
      <w:r w:rsidRPr="00EA2B8E">
        <w:rPr>
          <w:rFonts w:ascii="Garamond" w:hAnsi="Garamond"/>
          <w:szCs w:val="28"/>
        </w:rPr>
        <w:t xml:space="preserve">. </w:t>
      </w:r>
    </w:p>
    <w:p w:rsidR="006E327E" w:rsidRPr="00EA2B8E" w:rsidRDefault="004045C0" w:rsidP="000A0F60">
      <w:pPr>
        <w:spacing w:line="360" w:lineRule="exact"/>
        <w:ind w:right="-398"/>
        <w:rPr>
          <w:rFonts w:ascii="Garamond" w:hAnsi="Garamond"/>
          <w:szCs w:val="28"/>
        </w:rPr>
      </w:pPr>
      <w:r w:rsidRPr="00EA2B8E">
        <w:rPr>
          <w:rFonts w:ascii="Garamond" w:hAnsi="Garamond"/>
          <w:szCs w:val="28"/>
        </w:rPr>
        <w:t xml:space="preserve">Il quadro normativo europeo e nazionale </w:t>
      </w:r>
      <w:r w:rsidR="0039213F" w:rsidRPr="00EA2B8E">
        <w:rPr>
          <w:rFonts w:ascii="Garamond" w:hAnsi="Garamond"/>
          <w:szCs w:val="28"/>
        </w:rPr>
        <w:t xml:space="preserve">è </w:t>
      </w:r>
      <w:r w:rsidRPr="00EA2B8E">
        <w:rPr>
          <w:rFonts w:ascii="Garamond" w:hAnsi="Garamond"/>
          <w:szCs w:val="28"/>
        </w:rPr>
        <w:t>nettamente orientato verso il definitivo superamento di tutti i vincoli all’accesso o all’esercizio di attività economiche che non siano strettamente giustificati, in un’ottica di proporzionalità, da interessi generali.</w:t>
      </w:r>
    </w:p>
    <w:p w:rsidR="006E327E" w:rsidRPr="00EA2B8E" w:rsidRDefault="006E327E" w:rsidP="000A0F60">
      <w:pPr>
        <w:spacing w:line="360" w:lineRule="exact"/>
        <w:ind w:right="-398"/>
        <w:rPr>
          <w:rFonts w:ascii="Garamond" w:hAnsi="Garamond"/>
          <w:szCs w:val="28"/>
        </w:rPr>
      </w:pPr>
      <w:r w:rsidRPr="00EA2B8E">
        <w:rPr>
          <w:rFonts w:ascii="Garamond" w:hAnsi="Garamond"/>
          <w:szCs w:val="28"/>
        </w:rPr>
        <w:t xml:space="preserve">Per </w:t>
      </w:r>
      <w:r w:rsidR="004045C0" w:rsidRPr="00EA2B8E">
        <w:rPr>
          <w:rFonts w:ascii="Garamond" w:hAnsi="Garamond"/>
          <w:szCs w:val="28"/>
        </w:rPr>
        <w:t>quest</w:t>
      </w:r>
      <w:r w:rsidRPr="00EA2B8E">
        <w:rPr>
          <w:rFonts w:ascii="Garamond" w:hAnsi="Garamond"/>
          <w:szCs w:val="28"/>
        </w:rPr>
        <w:t xml:space="preserve">a ragione, l’Autorità </w:t>
      </w:r>
      <w:r w:rsidR="004045C0" w:rsidRPr="00EA2B8E">
        <w:rPr>
          <w:rFonts w:ascii="Garamond" w:hAnsi="Garamond"/>
          <w:szCs w:val="28"/>
        </w:rPr>
        <w:t>invit</w:t>
      </w:r>
      <w:r w:rsidRPr="00EA2B8E">
        <w:rPr>
          <w:rFonts w:ascii="Garamond" w:hAnsi="Garamond"/>
          <w:szCs w:val="28"/>
        </w:rPr>
        <w:t>a</w:t>
      </w:r>
      <w:r w:rsidR="004045C0" w:rsidRPr="00EA2B8E">
        <w:rPr>
          <w:rFonts w:ascii="Garamond" w:hAnsi="Garamond"/>
          <w:szCs w:val="28"/>
        </w:rPr>
        <w:t xml:space="preserve"> ad effettuare una riflessione attenta e ponderata sull’introduzione di tali tipologie di vincoli quali, ad esempio, quelli previsti dall’</w:t>
      </w:r>
      <w:r w:rsidRPr="00EA2B8E">
        <w:rPr>
          <w:rFonts w:ascii="Garamond" w:hAnsi="Garamond"/>
          <w:szCs w:val="28"/>
        </w:rPr>
        <w:t>a</w:t>
      </w:r>
      <w:r w:rsidR="002B1B4C" w:rsidRPr="00EA2B8E">
        <w:rPr>
          <w:rFonts w:ascii="Garamond" w:hAnsi="Garamond"/>
          <w:szCs w:val="28"/>
        </w:rPr>
        <w:t xml:space="preserve">rt. 9 </w:t>
      </w:r>
      <w:r w:rsidR="004045C0" w:rsidRPr="00EA2B8E">
        <w:rPr>
          <w:rFonts w:ascii="Garamond" w:hAnsi="Garamond"/>
          <w:szCs w:val="28"/>
        </w:rPr>
        <w:t xml:space="preserve">della proposta </w:t>
      </w:r>
      <w:r w:rsidR="002B1B4C" w:rsidRPr="00EA2B8E">
        <w:rPr>
          <w:rFonts w:ascii="Garamond" w:hAnsi="Garamond"/>
          <w:szCs w:val="28"/>
        </w:rPr>
        <w:t>A</w:t>
      </w:r>
      <w:r w:rsidRPr="00EA2B8E">
        <w:rPr>
          <w:rFonts w:ascii="Garamond" w:hAnsi="Garamond"/>
          <w:szCs w:val="28"/>
        </w:rPr>
        <w:t>.</w:t>
      </w:r>
      <w:r w:rsidR="002B1B4C" w:rsidRPr="00EA2B8E">
        <w:rPr>
          <w:rFonts w:ascii="Garamond" w:hAnsi="Garamond"/>
          <w:szCs w:val="28"/>
        </w:rPr>
        <w:t>C</w:t>
      </w:r>
      <w:r w:rsidRPr="00EA2B8E">
        <w:rPr>
          <w:rFonts w:ascii="Garamond" w:hAnsi="Garamond"/>
          <w:szCs w:val="28"/>
        </w:rPr>
        <w:t>.</w:t>
      </w:r>
      <w:r w:rsidR="002B1B4C" w:rsidRPr="00EA2B8E">
        <w:rPr>
          <w:rFonts w:ascii="Garamond" w:hAnsi="Garamond"/>
          <w:szCs w:val="28"/>
        </w:rPr>
        <w:t xml:space="preserve"> 1143 </w:t>
      </w:r>
      <w:r w:rsidR="004045C0" w:rsidRPr="00EA2B8E">
        <w:rPr>
          <w:rFonts w:ascii="Garamond" w:hAnsi="Garamond"/>
          <w:szCs w:val="28"/>
        </w:rPr>
        <w:t>(</w:t>
      </w:r>
      <w:r w:rsidR="002B1B4C" w:rsidRPr="00EA2B8E">
        <w:rPr>
          <w:rFonts w:ascii="Garamond" w:hAnsi="Garamond"/>
          <w:szCs w:val="28"/>
        </w:rPr>
        <w:t>dipendenti con funzioni di necroforo in numero non inferiore a quattro assunti a tempo pieno e indeterminato con regolare contratto di lavoro con il soggetto richiedente l’autorizzazione</w:t>
      </w:r>
      <w:r w:rsidR="004045C0" w:rsidRPr="00EA2B8E">
        <w:rPr>
          <w:rFonts w:ascii="Garamond" w:hAnsi="Garamond"/>
          <w:szCs w:val="28"/>
        </w:rPr>
        <w:t>) e dall’art. 4 della proposta A</w:t>
      </w:r>
      <w:r w:rsidRPr="00EA2B8E">
        <w:rPr>
          <w:rFonts w:ascii="Garamond" w:hAnsi="Garamond"/>
          <w:szCs w:val="28"/>
        </w:rPr>
        <w:t>.</w:t>
      </w:r>
      <w:r w:rsidR="004045C0" w:rsidRPr="00EA2B8E">
        <w:rPr>
          <w:rFonts w:ascii="Garamond" w:hAnsi="Garamond"/>
          <w:szCs w:val="28"/>
        </w:rPr>
        <w:t>C</w:t>
      </w:r>
      <w:r w:rsidRPr="00EA2B8E">
        <w:rPr>
          <w:rFonts w:ascii="Garamond" w:hAnsi="Garamond"/>
          <w:szCs w:val="28"/>
        </w:rPr>
        <w:t>.</w:t>
      </w:r>
      <w:r w:rsidR="004045C0" w:rsidRPr="00EA2B8E">
        <w:rPr>
          <w:rFonts w:ascii="Garamond" w:hAnsi="Garamond"/>
          <w:szCs w:val="28"/>
        </w:rPr>
        <w:t xml:space="preserve"> 1618.</w:t>
      </w:r>
    </w:p>
    <w:p w:rsidR="006E327E" w:rsidRPr="00EA2B8E" w:rsidRDefault="004045C0" w:rsidP="000A0F60">
      <w:pPr>
        <w:spacing w:line="360" w:lineRule="exact"/>
        <w:ind w:right="-398"/>
        <w:rPr>
          <w:rFonts w:ascii="Garamond" w:hAnsi="Garamond"/>
          <w:szCs w:val="28"/>
        </w:rPr>
      </w:pPr>
      <w:r w:rsidRPr="00EA2B8E">
        <w:rPr>
          <w:rFonts w:ascii="Garamond" w:hAnsi="Garamond"/>
          <w:szCs w:val="28"/>
        </w:rPr>
        <w:t>Nella medesima ottica</w:t>
      </w:r>
      <w:r w:rsidR="006E327E" w:rsidRPr="00EA2B8E">
        <w:rPr>
          <w:rFonts w:ascii="Garamond" w:hAnsi="Garamond"/>
          <w:szCs w:val="28"/>
        </w:rPr>
        <w:t xml:space="preserve">, l’Autorità guarda con </w:t>
      </w:r>
      <w:r w:rsidRPr="00EA2B8E">
        <w:rPr>
          <w:rFonts w:ascii="Garamond" w:hAnsi="Garamond"/>
          <w:szCs w:val="28"/>
        </w:rPr>
        <w:t xml:space="preserve">preoccupazione </w:t>
      </w:r>
      <w:r w:rsidR="006E327E" w:rsidRPr="00EA2B8E">
        <w:rPr>
          <w:rFonts w:ascii="Garamond" w:hAnsi="Garamond"/>
          <w:szCs w:val="28"/>
        </w:rPr>
        <w:t>al</w:t>
      </w:r>
      <w:r w:rsidRPr="00EA2B8E">
        <w:rPr>
          <w:rFonts w:ascii="Garamond" w:hAnsi="Garamond"/>
          <w:szCs w:val="28"/>
        </w:rPr>
        <w:t xml:space="preserve">l’introduzione di una formazione obbligatoria onerosa non solo per il direttore tecnico dell’impresa, ma anche per i necrofori addetti. </w:t>
      </w:r>
    </w:p>
    <w:p w:rsidR="006E327E" w:rsidRPr="00EA2B8E" w:rsidRDefault="00030D12" w:rsidP="000A0F60">
      <w:pPr>
        <w:spacing w:line="360" w:lineRule="exact"/>
        <w:ind w:right="-398"/>
        <w:rPr>
          <w:rFonts w:ascii="Garamond" w:hAnsi="Garamond"/>
          <w:szCs w:val="28"/>
        </w:rPr>
      </w:pPr>
      <w:r w:rsidRPr="00EA2B8E">
        <w:rPr>
          <w:rFonts w:ascii="Garamond" w:hAnsi="Garamond"/>
          <w:szCs w:val="28"/>
        </w:rPr>
        <w:t xml:space="preserve">L’attività funebre, infatti, non sembra </w:t>
      </w:r>
      <w:r w:rsidR="00D553AB" w:rsidRPr="00EA2B8E">
        <w:rPr>
          <w:rFonts w:ascii="Garamond" w:hAnsi="Garamond"/>
          <w:szCs w:val="28"/>
        </w:rPr>
        <w:t>rientrare</w:t>
      </w:r>
      <w:r w:rsidR="006E327E" w:rsidRPr="00EA2B8E">
        <w:rPr>
          <w:rFonts w:ascii="Garamond" w:hAnsi="Garamond"/>
          <w:szCs w:val="28"/>
        </w:rPr>
        <w:t>,</w:t>
      </w:r>
      <w:r w:rsidR="00D553AB" w:rsidRPr="00EA2B8E">
        <w:rPr>
          <w:rFonts w:ascii="Garamond" w:hAnsi="Garamond"/>
          <w:szCs w:val="28"/>
        </w:rPr>
        <w:t xml:space="preserve"> per sua natura</w:t>
      </w:r>
      <w:r w:rsidR="006E327E" w:rsidRPr="00EA2B8E">
        <w:rPr>
          <w:rFonts w:ascii="Garamond" w:hAnsi="Garamond"/>
          <w:szCs w:val="28"/>
        </w:rPr>
        <w:t>,</w:t>
      </w:r>
      <w:r w:rsidR="00D553AB" w:rsidRPr="00EA2B8E">
        <w:rPr>
          <w:rFonts w:ascii="Garamond" w:hAnsi="Garamond"/>
          <w:szCs w:val="28"/>
        </w:rPr>
        <w:t xml:space="preserve"> tra quelle attività tecniche e professionali che necessitano </w:t>
      </w:r>
      <w:r w:rsidRPr="00EA2B8E">
        <w:rPr>
          <w:rFonts w:ascii="Garamond" w:hAnsi="Garamond"/>
          <w:szCs w:val="28"/>
        </w:rPr>
        <w:t xml:space="preserve">di formazione obbligatoria e, al fine di salvaguardare lo </w:t>
      </w:r>
      <w:r w:rsidR="006E327E" w:rsidRPr="00EA2B8E">
        <w:rPr>
          <w:rFonts w:ascii="Garamond" w:hAnsi="Garamond"/>
          <w:szCs w:val="28"/>
        </w:rPr>
        <w:t>s</w:t>
      </w:r>
      <w:r w:rsidRPr="00EA2B8E">
        <w:rPr>
          <w:rFonts w:ascii="Garamond" w:hAnsi="Garamond"/>
          <w:szCs w:val="28"/>
        </w:rPr>
        <w:t xml:space="preserve">volgimento a regola d’arte di tale attività, sembra proporzionato imporre tale formazione, se del caso, esclusivamente ai direttori tecnici che ben potranno istruire i propri addetti. </w:t>
      </w:r>
    </w:p>
    <w:p w:rsidR="006E327E" w:rsidRPr="00EA2B8E" w:rsidRDefault="006E327E" w:rsidP="000A0F60">
      <w:pPr>
        <w:spacing w:line="360" w:lineRule="exact"/>
        <w:ind w:right="-398"/>
        <w:rPr>
          <w:rFonts w:ascii="Garamond" w:hAnsi="Garamond"/>
          <w:szCs w:val="28"/>
        </w:rPr>
      </w:pPr>
      <w:r w:rsidRPr="00EA2B8E">
        <w:rPr>
          <w:rFonts w:ascii="Garamond" w:hAnsi="Garamond"/>
          <w:szCs w:val="28"/>
        </w:rPr>
        <w:t xml:space="preserve">Analogo </w:t>
      </w:r>
      <w:r w:rsidR="00030D12" w:rsidRPr="00EA2B8E">
        <w:rPr>
          <w:rFonts w:ascii="Garamond" w:hAnsi="Garamond"/>
          <w:szCs w:val="28"/>
        </w:rPr>
        <w:t>discorso vale per le caratteristiche dei feretri così come individuate dall’art. 14 della proposta A</w:t>
      </w:r>
      <w:r w:rsidRPr="00EA2B8E">
        <w:rPr>
          <w:rFonts w:ascii="Garamond" w:hAnsi="Garamond"/>
          <w:szCs w:val="28"/>
        </w:rPr>
        <w:t>.</w:t>
      </w:r>
      <w:r w:rsidR="00030D12" w:rsidRPr="00EA2B8E">
        <w:rPr>
          <w:rFonts w:ascii="Garamond" w:hAnsi="Garamond"/>
          <w:szCs w:val="28"/>
        </w:rPr>
        <w:t>C</w:t>
      </w:r>
      <w:r w:rsidRPr="00EA2B8E">
        <w:rPr>
          <w:rFonts w:ascii="Garamond" w:hAnsi="Garamond"/>
          <w:szCs w:val="28"/>
        </w:rPr>
        <w:t>.</w:t>
      </w:r>
      <w:r w:rsidR="00030D12" w:rsidRPr="00EA2B8E">
        <w:rPr>
          <w:rFonts w:ascii="Garamond" w:hAnsi="Garamond"/>
          <w:szCs w:val="28"/>
        </w:rPr>
        <w:t xml:space="preserve"> 1143</w:t>
      </w:r>
      <w:r w:rsidR="003B242F" w:rsidRPr="00EA2B8E">
        <w:rPr>
          <w:rFonts w:ascii="Garamond" w:hAnsi="Garamond"/>
          <w:szCs w:val="28"/>
        </w:rPr>
        <w:t xml:space="preserve"> che introduce anche un “registro dei barificatori”</w:t>
      </w:r>
      <w:r w:rsidR="00030D12" w:rsidRPr="00EA2B8E">
        <w:rPr>
          <w:rFonts w:ascii="Garamond" w:hAnsi="Garamond"/>
          <w:szCs w:val="28"/>
        </w:rPr>
        <w:t xml:space="preserve">. </w:t>
      </w:r>
    </w:p>
    <w:p w:rsidR="006E327E" w:rsidRPr="00EA2B8E" w:rsidRDefault="00030D12" w:rsidP="000A0F60">
      <w:pPr>
        <w:spacing w:line="360" w:lineRule="exact"/>
        <w:ind w:right="-398"/>
        <w:rPr>
          <w:rFonts w:ascii="Garamond" w:hAnsi="Garamond"/>
          <w:szCs w:val="28"/>
        </w:rPr>
      </w:pPr>
      <w:r w:rsidRPr="00EA2B8E">
        <w:rPr>
          <w:rFonts w:ascii="Garamond" w:hAnsi="Garamond"/>
          <w:szCs w:val="28"/>
        </w:rPr>
        <w:t xml:space="preserve">Tali </w:t>
      </w:r>
      <w:r w:rsidR="00CF2781" w:rsidRPr="00EA2B8E">
        <w:rPr>
          <w:rFonts w:ascii="Garamond" w:hAnsi="Garamond"/>
          <w:szCs w:val="28"/>
        </w:rPr>
        <w:t>novità</w:t>
      </w:r>
      <w:r w:rsidRPr="00EA2B8E">
        <w:rPr>
          <w:rFonts w:ascii="Garamond" w:hAnsi="Garamond"/>
          <w:szCs w:val="28"/>
        </w:rPr>
        <w:t xml:space="preserve"> non appaiono proporzionate alla pur importantissima esigenza di garantire </w:t>
      </w:r>
      <w:r w:rsidR="003B242F" w:rsidRPr="00EA2B8E">
        <w:rPr>
          <w:rFonts w:ascii="Garamond" w:hAnsi="Garamond"/>
          <w:szCs w:val="28"/>
        </w:rPr>
        <w:t>le impellenti necessità igienico sanitarie collegate al trasporto e all’inumazione dei feretri.</w:t>
      </w:r>
    </w:p>
    <w:p w:rsidR="006E327E" w:rsidRPr="00EA2B8E" w:rsidRDefault="00937FF7" w:rsidP="000A0F60">
      <w:pPr>
        <w:spacing w:line="360" w:lineRule="exact"/>
        <w:ind w:right="-398"/>
        <w:rPr>
          <w:rFonts w:ascii="Garamond" w:hAnsi="Garamond"/>
          <w:szCs w:val="28"/>
        </w:rPr>
      </w:pPr>
      <w:r w:rsidRPr="00EA2B8E">
        <w:rPr>
          <w:rFonts w:ascii="Garamond" w:hAnsi="Garamond"/>
          <w:szCs w:val="28"/>
        </w:rPr>
        <w:t>A ciò si aggiunga che l’</w:t>
      </w:r>
      <w:r w:rsidR="006E327E" w:rsidRPr="00EA2B8E">
        <w:rPr>
          <w:rFonts w:ascii="Garamond" w:hAnsi="Garamond"/>
          <w:szCs w:val="28"/>
        </w:rPr>
        <w:t>ar</w:t>
      </w:r>
      <w:r w:rsidRPr="00EA2B8E">
        <w:rPr>
          <w:rFonts w:ascii="Garamond" w:hAnsi="Garamond"/>
          <w:szCs w:val="28"/>
        </w:rPr>
        <w:t>t. 11, comma 4 della proposta A</w:t>
      </w:r>
      <w:r w:rsidR="006E327E" w:rsidRPr="00EA2B8E">
        <w:rPr>
          <w:rFonts w:ascii="Garamond" w:hAnsi="Garamond"/>
          <w:szCs w:val="28"/>
        </w:rPr>
        <w:t>.</w:t>
      </w:r>
      <w:r w:rsidRPr="00EA2B8E">
        <w:rPr>
          <w:rFonts w:ascii="Garamond" w:hAnsi="Garamond"/>
          <w:szCs w:val="28"/>
        </w:rPr>
        <w:t>C</w:t>
      </w:r>
      <w:r w:rsidR="006E327E" w:rsidRPr="00EA2B8E">
        <w:rPr>
          <w:rFonts w:ascii="Garamond" w:hAnsi="Garamond"/>
          <w:szCs w:val="28"/>
        </w:rPr>
        <w:t>.</w:t>
      </w:r>
      <w:r w:rsidRPr="00EA2B8E">
        <w:rPr>
          <w:rFonts w:ascii="Garamond" w:hAnsi="Garamond"/>
          <w:szCs w:val="28"/>
        </w:rPr>
        <w:t>1143 prevede che il rispetto dei requisiti vada certificato</w:t>
      </w:r>
      <w:r w:rsidR="006E327E" w:rsidRPr="00EA2B8E">
        <w:rPr>
          <w:rFonts w:ascii="Garamond" w:hAnsi="Garamond"/>
          <w:szCs w:val="28"/>
        </w:rPr>
        <w:t>,</w:t>
      </w:r>
      <w:r w:rsidRPr="00EA2B8E">
        <w:rPr>
          <w:rFonts w:ascii="Garamond" w:hAnsi="Garamond"/>
          <w:szCs w:val="28"/>
        </w:rPr>
        <w:t xml:space="preserve"> </w:t>
      </w:r>
      <w:r w:rsidR="003327FE" w:rsidRPr="00EA2B8E">
        <w:rPr>
          <w:rFonts w:ascii="Garamond" w:hAnsi="Garamond"/>
          <w:szCs w:val="28"/>
        </w:rPr>
        <w:t>tanto per la sede principale che per le eventuali sedi secondarie</w:t>
      </w:r>
      <w:r w:rsidR="006E327E" w:rsidRPr="00EA2B8E">
        <w:rPr>
          <w:rFonts w:ascii="Garamond" w:hAnsi="Garamond"/>
          <w:szCs w:val="28"/>
        </w:rPr>
        <w:t>,</w:t>
      </w:r>
      <w:r w:rsidR="003327FE" w:rsidRPr="00EA2B8E">
        <w:rPr>
          <w:rFonts w:ascii="Garamond" w:hAnsi="Garamond"/>
          <w:szCs w:val="28"/>
        </w:rPr>
        <w:t xml:space="preserve"> </w:t>
      </w:r>
      <w:r w:rsidRPr="00EA2B8E">
        <w:rPr>
          <w:rFonts w:ascii="Garamond" w:hAnsi="Garamond"/>
          <w:szCs w:val="28"/>
        </w:rPr>
        <w:t>su base annuale da parte di organi certificatori</w:t>
      </w:r>
      <w:r w:rsidR="006E327E" w:rsidRPr="00EA2B8E">
        <w:rPr>
          <w:rFonts w:ascii="Garamond" w:hAnsi="Garamond"/>
          <w:szCs w:val="28"/>
        </w:rPr>
        <w:t>,</w:t>
      </w:r>
      <w:r w:rsidRPr="00EA2B8E">
        <w:rPr>
          <w:rFonts w:ascii="Garamond" w:hAnsi="Garamond"/>
          <w:szCs w:val="28"/>
        </w:rPr>
        <w:t xml:space="preserve"> nei quali è prevista la presenza dei rappresentanti delle associazioni di categoria maggiormente rappresentative a livello nazionale. </w:t>
      </w:r>
    </w:p>
    <w:p w:rsidR="00B90326" w:rsidRDefault="006E327E" w:rsidP="000A0F60">
      <w:pPr>
        <w:spacing w:line="360" w:lineRule="exact"/>
        <w:ind w:right="-398"/>
        <w:rPr>
          <w:rFonts w:ascii="Garamond" w:hAnsi="Garamond"/>
          <w:szCs w:val="28"/>
        </w:rPr>
      </w:pPr>
      <w:r w:rsidRPr="00EA2B8E">
        <w:rPr>
          <w:rFonts w:ascii="Garamond" w:hAnsi="Garamond"/>
          <w:szCs w:val="28"/>
        </w:rPr>
        <w:t>L’Autorità a</w:t>
      </w:r>
      <w:r w:rsidR="003B242F" w:rsidRPr="00EA2B8E">
        <w:rPr>
          <w:rFonts w:ascii="Garamond" w:hAnsi="Garamond"/>
          <w:szCs w:val="28"/>
        </w:rPr>
        <w:t>uspic</w:t>
      </w:r>
      <w:r w:rsidRPr="00EA2B8E">
        <w:rPr>
          <w:rFonts w:ascii="Garamond" w:hAnsi="Garamond"/>
          <w:szCs w:val="28"/>
        </w:rPr>
        <w:t>a</w:t>
      </w:r>
      <w:r w:rsidR="003B242F" w:rsidRPr="00EA2B8E">
        <w:rPr>
          <w:rFonts w:ascii="Garamond" w:hAnsi="Garamond"/>
          <w:szCs w:val="28"/>
        </w:rPr>
        <w:t xml:space="preserve"> che si vogliano riconsiderare le norme sopra brevemente descritte al fine di ponderare attentamente le forme di regolazione da introdurre nell’</w:t>
      </w:r>
      <w:r w:rsidRPr="00EA2B8E">
        <w:rPr>
          <w:rFonts w:ascii="Garamond" w:hAnsi="Garamond"/>
          <w:szCs w:val="28"/>
        </w:rPr>
        <w:t>o</w:t>
      </w:r>
      <w:r w:rsidR="003B242F" w:rsidRPr="00EA2B8E">
        <w:rPr>
          <w:rFonts w:ascii="Garamond" w:hAnsi="Garamond"/>
          <w:szCs w:val="28"/>
        </w:rPr>
        <w:t>rdinamento, evitando quelle che non sono strettamente necessarie a garantire gli interessi dei dolenti e gli interessi ig</w:t>
      </w:r>
      <w:r w:rsidR="00B54146" w:rsidRPr="00EA2B8E">
        <w:rPr>
          <w:rFonts w:ascii="Garamond" w:hAnsi="Garamond"/>
          <w:szCs w:val="28"/>
        </w:rPr>
        <w:t>i</w:t>
      </w:r>
      <w:r w:rsidR="003B242F" w:rsidRPr="00EA2B8E">
        <w:rPr>
          <w:rFonts w:ascii="Garamond" w:hAnsi="Garamond"/>
          <w:szCs w:val="28"/>
        </w:rPr>
        <w:t xml:space="preserve">enico-sanitari sottesi all’esercizio dell’attività funebre. </w:t>
      </w:r>
    </w:p>
    <w:p w:rsidR="004045C0" w:rsidRPr="00EA2B8E" w:rsidRDefault="00030D12" w:rsidP="000A0F60">
      <w:pPr>
        <w:spacing w:line="360" w:lineRule="exact"/>
        <w:ind w:right="-398"/>
        <w:rPr>
          <w:rFonts w:ascii="Garamond" w:hAnsi="Garamond"/>
          <w:szCs w:val="28"/>
        </w:rPr>
      </w:pPr>
      <w:r w:rsidRPr="00EA2B8E">
        <w:rPr>
          <w:rFonts w:ascii="Garamond" w:hAnsi="Garamond"/>
          <w:szCs w:val="28"/>
        </w:rPr>
        <w:t>In caso contrario</w:t>
      </w:r>
      <w:r w:rsidR="00B54146" w:rsidRPr="00EA2B8E">
        <w:rPr>
          <w:rFonts w:ascii="Garamond" w:hAnsi="Garamond"/>
          <w:szCs w:val="28"/>
        </w:rPr>
        <w:t>,</w:t>
      </w:r>
      <w:r w:rsidRPr="00EA2B8E">
        <w:rPr>
          <w:rFonts w:ascii="Garamond" w:hAnsi="Garamond"/>
          <w:szCs w:val="28"/>
        </w:rPr>
        <w:t xml:space="preserve"> si </w:t>
      </w:r>
      <w:r w:rsidR="00B54146" w:rsidRPr="00EA2B8E">
        <w:rPr>
          <w:rFonts w:ascii="Garamond" w:hAnsi="Garamond"/>
          <w:szCs w:val="28"/>
        </w:rPr>
        <w:t xml:space="preserve">corre il </w:t>
      </w:r>
      <w:r w:rsidRPr="00EA2B8E">
        <w:rPr>
          <w:rFonts w:ascii="Garamond" w:hAnsi="Garamond"/>
          <w:szCs w:val="28"/>
        </w:rPr>
        <w:t>rischi</w:t>
      </w:r>
      <w:r w:rsidR="00B54146" w:rsidRPr="00EA2B8E">
        <w:rPr>
          <w:rFonts w:ascii="Garamond" w:hAnsi="Garamond"/>
          <w:szCs w:val="28"/>
        </w:rPr>
        <w:t>o</w:t>
      </w:r>
      <w:r w:rsidRPr="00EA2B8E">
        <w:rPr>
          <w:rFonts w:ascii="Garamond" w:hAnsi="Garamond"/>
          <w:szCs w:val="28"/>
        </w:rPr>
        <w:t xml:space="preserve"> di introdurre ulteriori barriere all’ingresso che, oltre a rendere più difficile l’accesso al mercato, </w:t>
      </w:r>
      <w:r w:rsidR="00B54146" w:rsidRPr="00EA2B8E">
        <w:rPr>
          <w:rFonts w:ascii="Garamond" w:hAnsi="Garamond"/>
          <w:szCs w:val="28"/>
        </w:rPr>
        <w:t>si traducono in</w:t>
      </w:r>
      <w:r w:rsidRPr="00EA2B8E">
        <w:rPr>
          <w:rFonts w:ascii="Garamond" w:hAnsi="Garamond"/>
          <w:szCs w:val="28"/>
        </w:rPr>
        <w:t xml:space="preserve"> oneri di funzionamento </w:t>
      </w:r>
      <w:r w:rsidR="00B54146" w:rsidRPr="00EA2B8E">
        <w:rPr>
          <w:rFonts w:ascii="Garamond" w:hAnsi="Garamond"/>
          <w:szCs w:val="28"/>
        </w:rPr>
        <w:t>destinati</w:t>
      </w:r>
      <w:r w:rsidR="003B242F" w:rsidRPr="00EA2B8E">
        <w:rPr>
          <w:rFonts w:ascii="Garamond" w:hAnsi="Garamond"/>
          <w:szCs w:val="28"/>
        </w:rPr>
        <w:t>,</w:t>
      </w:r>
      <w:r w:rsidRPr="00EA2B8E">
        <w:rPr>
          <w:rFonts w:ascii="Garamond" w:hAnsi="Garamond"/>
          <w:szCs w:val="28"/>
        </w:rPr>
        <w:t xml:space="preserve"> inevitabilmente</w:t>
      </w:r>
      <w:r w:rsidR="003B242F" w:rsidRPr="00EA2B8E">
        <w:rPr>
          <w:rFonts w:ascii="Garamond" w:hAnsi="Garamond"/>
          <w:szCs w:val="28"/>
        </w:rPr>
        <w:t>,</w:t>
      </w:r>
      <w:r w:rsidRPr="00EA2B8E">
        <w:rPr>
          <w:rFonts w:ascii="Garamond" w:hAnsi="Garamond"/>
          <w:szCs w:val="28"/>
        </w:rPr>
        <w:t xml:space="preserve"> a ripercuotersi sul prezzo dei servizi</w:t>
      </w:r>
      <w:r w:rsidR="00CF2781" w:rsidRPr="00EA2B8E">
        <w:rPr>
          <w:rFonts w:ascii="Garamond" w:hAnsi="Garamond"/>
          <w:szCs w:val="28"/>
        </w:rPr>
        <w:t xml:space="preserve"> a danno degli utenti</w:t>
      </w:r>
      <w:r w:rsidRPr="00EA2B8E">
        <w:rPr>
          <w:rFonts w:ascii="Garamond" w:hAnsi="Garamond"/>
          <w:szCs w:val="28"/>
        </w:rPr>
        <w:t>.</w:t>
      </w:r>
    </w:p>
    <w:p w:rsidR="003B242F" w:rsidRPr="00EA2B8E" w:rsidRDefault="003B242F" w:rsidP="000A0F60">
      <w:pPr>
        <w:spacing w:line="360" w:lineRule="exact"/>
        <w:ind w:right="-398"/>
        <w:rPr>
          <w:rFonts w:ascii="Garamond" w:hAnsi="Garamond"/>
          <w:szCs w:val="28"/>
        </w:rPr>
      </w:pPr>
    </w:p>
    <w:p w:rsidR="003B242F" w:rsidRPr="00EA2B8E" w:rsidRDefault="00423F17" w:rsidP="000A0F60">
      <w:pPr>
        <w:pStyle w:val="Paragrafoelenco"/>
        <w:numPr>
          <w:ilvl w:val="1"/>
          <w:numId w:val="27"/>
        </w:numPr>
        <w:spacing w:line="360" w:lineRule="exact"/>
        <w:ind w:right="-398"/>
        <w:rPr>
          <w:rFonts w:ascii="Garamond" w:hAnsi="Garamond"/>
          <w:b/>
          <w:szCs w:val="28"/>
        </w:rPr>
      </w:pPr>
      <w:r w:rsidRPr="00EA2B8E">
        <w:rPr>
          <w:rFonts w:ascii="Garamond" w:hAnsi="Garamond"/>
          <w:b/>
          <w:szCs w:val="28"/>
        </w:rPr>
        <w:t xml:space="preserve">Pubblicità </w:t>
      </w:r>
      <w:r w:rsidR="00812F3E" w:rsidRPr="00EA2B8E">
        <w:rPr>
          <w:rFonts w:ascii="Garamond" w:hAnsi="Garamond"/>
          <w:b/>
          <w:szCs w:val="28"/>
        </w:rPr>
        <w:t>e procacciamento</w:t>
      </w:r>
    </w:p>
    <w:p w:rsidR="00E04551" w:rsidRPr="00EA2B8E" w:rsidRDefault="00E04551" w:rsidP="000A0F60">
      <w:pPr>
        <w:spacing w:line="360" w:lineRule="exact"/>
        <w:ind w:right="-398"/>
        <w:rPr>
          <w:rFonts w:ascii="Garamond" w:hAnsi="Garamond"/>
          <w:szCs w:val="28"/>
        </w:rPr>
      </w:pPr>
    </w:p>
    <w:p w:rsidR="00E04551" w:rsidRPr="00EA2B8E" w:rsidRDefault="00812F3E" w:rsidP="000A0F60">
      <w:pPr>
        <w:spacing w:line="360" w:lineRule="exact"/>
        <w:ind w:right="-398"/>
        <w:rPr>
          <w:rFonts w:ascii="Garamond" w:hAnsi="Garamond"/>
          <w:szCs w:val="28"/>
        </w:rPr>
      </w:pPr>
      <w:r w:rsidRPr="00EA2B8E">
        <w:rPr>
          <w:rFonts w:ascii="Garamond" w:hAnsi="Garamond"/>
          <w:szCs w:val="28"/>
        </w:rPr>
        <w:t xml:space="preserve">Le limitazioni della pubblicità e del procacciamento previste nelle proposte di legge in esame possono essere compatibili con i principi </w:t>
      </w:r>
      <w:r w:rsidRPr="00EA2B8E">
        <w:rPr>
          <w:rFonts w:ascii="Garamond" w:hAnsi="Garamond"/>
          <w:i/>
          <w:szCs w:val="28"/>
        </w:rPr>
        <w:t>antitrust</w:t>
      </w:r>
      <w:r w:rsidRPr="00EA2B8E">
        <w:rPr>
          <w:rFonts w:ascii="Garamond" w:hAnsi="Garamond"/>
          <w:szCs w:val="28"/>
        </w:rPr>
        <w:t xml:space="preserve"> solo laddove siano proporzionate rispetto all’interesse di tutela della capacità di scelta dei dolenti.</w:t>
      </w:r>
    </w:p>
    <w:p w:rsidR="00E04551" w:rsidRPr="00EA2B8E" w:rsidRDefault="00812F3E" w:rsidP="000A0F60">
      <w:pPr>
        <w:spacing w:line="360" w:lineRule="exact"/>
        <w:ind w:right="-398"/>
        <w:rPr>
          <w:rFonts w:ascii="Garamond" w:hAnsi="Garamond"/>
          <w:szCs w:val="28"/>
        </w:rPr>
      </w:pPr>
      <w:r w:rsidRPr="00EA2B8E">
        <w:rPr>
          <w:rFonts w:ascii="Garamond" w:hAnsi="Garamond"/>
          <w:szCs w:val="28"/>
        </w:rPr>
        <w:t xml:space="preserve">In quest’ottica, </w:t>
      </w:r>
      <w:r w:rsidR="00E04551" w:rsidRPr="00EA2B8E">
        <w:rPr>
          <w:rFonts w:ascii="Garamond" w:hAnsi="Garamond"/>
          <w:szCs w:val="28"/>
        </w:rPr>
        <w:t xml:space="preserve">l’Autorità, </w:t>
      </w:r>
      <w:r w:rsidRPr="00EA2B8E">
        <w:rPr>
          <w:rFonts w:ascii="Garamond" w:hAnsi="Garamond"/>
          <w:szCs w:val="28"/>
        </w:rPr>
        <w:t xml:space="preserve">oltre a </w:t>
      </w:r>
      <w:r w:rsidR="00E04551" w:rsidRPr="00EA2B8E">
        <w:rPr>
          <w:rFonts w:ascii="Garamond" w:hAnsi="Garamond"/>
          <w:szCs w:val="28"/>
        </w:rPr>
        <w:t xml:space="preserve">suggerire </w:t>
      </w:r>
      <w:r w:rsidRPr="00EA2B8E">
        <w:rPr>
          <w:rFonts w:ascii="Garamond" w:hAnsi="Garamond"/>
          <w:szCs w:val="28"/>
        </w:rPr>
        <w:t xml:space="preserve">un’attenta ponderazione di tutte le norme </w:t>
      </w:r>
      <w:r w:rsidR="00EF166E" w:rsidRPr="00EA2B8E">
        <w:rPr>
          <w:rFonts w:ascii="Garamond" w:hAnsi="Garamond"/>
          <w:szCs w:val="28"/>
        </w:rPr>
        <w:t xml:space="preserve">contenute nelle proposte </w:t>
      </w:r>
      <w:r w:rsidRPr="00EA2B8E">
        <w:rPr>
          <w:rFonts w:ascii="Garamond" w:hAnsi="Garamond"/>
          <w:szCs w:val="28"/>
        </w:rPr>
        <w:t>aventi ad oggetto questo tema, de</w:t>
      </w:r>
      <w:r w:rsidR="00E04551" w:rsidRPr="00EA2B8E">
        <w:rPr>
          <w:rFonts w:ascii="Garamond" w:hAnsi="Garamond"/>
          <w:szCs w:val="28"/>
        </w:rPr>
        <w:t xml:space="preserve">sidera </w:t>
      </w:r>
      <w:r w:rsidRPr="00EA2B8E">
        <w:rPr>
          <w:rFonts w:ascii="Garamond" w:hAnsi="Garamond"/>
          <w:szCs w:val="28"/>
        </w:rPr>
        <w:t>evidenziarne alcune che</w:t>
      </w:r>
      <w:r w:rsidR="00E04551" w:rsidRPr="00EA2B8E">
        <w:rPr>
          <w:rFonts w:ascii="Garamond" w:hAnsi="Garamond"/>
          <w:szCs w:val="28"/>
        </w:rPr>
        <w:t>,</w:t>
      </w:r>
      <w:r w:rsidRPr="00EA2B8E">
        <w:rPr>
          <w:rFonts w:ascii="Garamond" w:hAnsi="Garamond"/>
          <w:szCs w:val="28"/>
        </w:rPr>
        <w:t xml:space="preserve"> </w:t>
      </w:r>
      <w:r w:rsidR="00EF166E" w:rsidRPr="00EA2B8E">
        <w:rPr>
          <w:rFonts w:ascii="Garamond" w:hAnsi="Garamond"/>
          <w:i/>
          <w:szCs w:val="28"/>
        </w:rPr>
        <w:t>prima facie</w:t>
      </w:r>
      <w:r w:rsidR="00E04551" w:rsidRPr="00EA2B8E">
        <w:rPr>
          <w:rFonts w:ascii="Garamond" w:hAnsi="Garamond"/>
          <w:i/>
          <w:szCs w:val="28"/>
        </w:rPr>
        <w:t xml:space="preserve">, </w:t>
      </w:r>
      <w:r w:rsidR="00EF166E" w:rsidRPr="00EA2B8E">
        <w:rPr>
          <w:rFonts w:ascii="Garamond" w:hAnsi="Garamond"/>
          <w:szCs w:val="28"/>
        </w:rPr>
        <w:t xml:space="preserve">appaiono </w:t>
      </w:r>
      <w:r w:rsidR="006F0874" w:rsidRPr="00EA2B8E">
        <w:rPr>
          <w:rFonts w:ascii="Garamond" w:hAnsi="Garamond"/>
          <w:szCs w:val="28"/>
        </w:rPr>
        <w:t>non conformi a quanto sopra.</w:t>
      </w:r>
    </w:p>
    <w:p w:rsidR="00E04551" w:rsidRPr="00EA2B8E" w:rsidRDefault="00E04551" w:rsidP="000A0F60">
      <w:pPr>
        <w:spacing w:line="360" w:lineRule="exact"/>
        <w:ind w:right="-398"/>
        <w:rPr>
          <w:rFonts w:ascii="Garamond" w:hAnsi="Garamond"/>
          <w:szCs w:val="28"/>
        </w:rPr>
      </w:pPr>
      <w:r w:rsidRPr="00EA2B8E">
        <w:rPr>
          <w:rFonts w:ascii="Garamond" w:hAnsi="Garamond"/>
          <w:szCs w:val="28"/>
        </w:rPr>
        <w:t xml:space="preserve">Il riferimento, </w:t>
      </w:r>
      <w:r w:rsidR="00807178" w:rsidRPr="00EA2B8E">
        <w:rPr>
          <w:rFonts w:ascii="Garamond" w:hAnsi="Garamond"/>
          <w:szCs w:val="28"/>
        </w:rPr>
        <w:t xml:space="preserve">in particolare, </w:t>
      </w:r>
      <w:r w:rsidRPr="00EA2B8E">
        <w:rPr>
          <w:rFonts w:ascii="Garamond" w:hAnsi="Garamond"/>
          <w:szCs w:val="28"/>
        </w:rPr>
        <w:t xml:space="preserve">è </w:t>
      </w:r>
      <w:r w:rsidR="00807178" w:rsidRPr="00EA2B8E">
        <w:rPr>
          <w:rFonts w:ascii="Garamond" w:hAnsi="Garamond"/>
          <w:szCs w:val="28"/>
        </w:rPr>
        <w:t>all’art. 12 della proposta A</w:t>
      </w:r>
      <w:r w:rsidRPr="00EA2B8E">
        <w:rPr>
          <w:rFonts w:ascii="Garamond" w:hAnsi="Garamond"/>
          <w:szCs w:val="28"/>
        </w:rPr>
        <w:t>.</w:t>
      </w:r>
      <w:r w:rsidR="00807178" w:rsidRPr="00EA2B8E">
        <w:rPr>
          <w:rFonts w:ascii="Garamond" w:hAnsi="Garamond"/>
          <w:szCs w:val="28"/>
        </w:rPr>
        <w:t>C</w:t>
      </w:r>
      <w:r w:rsidRPr="00EA2B8E">
        <w:rPr>
          <w:rFonts w:ascii="Garamond" w:hAnsi="Garamond"/>
          <w:szCs w:val="28"/>
        </w:rPr>
        <w:t>.</w:t>
      </w:r>
      <w:r w:rsidR="00807178" w:rsidRPr="00EA2B8E">
        <w:rPr>
          <w:rFonts w:ascii="Garamond" w:hAnsi="Garamond"/>
          <w:szCs w:val="28"/>
        </w:rPr>
        <w:t xml:space="preserve"> 1143, che al comma 4 vieta a “chiunque” di segnalare a imprese funebri il decesso di persone</w:t>
      </w:r>
      <w:r w:rsidRPr="00EA2B8E">
        <w:rPr>
          <w:rFonts w:ascii="Garamond" w:hAnsi="Garamond"/>
          <w:szCs w:val="28"/>
        </w:rPr>
        <w:t>,</w:t>
      </w:r>
      <w:r w:rsidR="00807178" w:rsidRPr="00EA2B8E">
        <w:rPr>
          <w:rFonts w:ascii="Garamond" w:hAnsi="Garamond"/>
          <w:szCs w:val="28"/>
        </w:rPr>
        <w:t xml:space="preserve"> e al comma 12 impone la rimozione entro tre mesi della pubblicità funeraria esistente, senza limitarsi a chiedere la rimozione di quella non conforme alla nuova disciplina. I comm</w:t>
      </w:r>
      <w:r w:rsidR="0001444D" w:rsidRPr="00EA2B8E">
        <w:rPr>
          <w:rFonts w:ascii="Garamond" w:hAnsi="Garamond"/>
          <w:szCs w:val="28"/>
        </w:rPr>
        <w:t>i</w:t>
      </w:r>
      <w:r w:rsidR="00807178" w:rsidRPr="00EA2B8E">
        <w:rPr>
          <w:rFonts w:ascii="Garamond" w:hAnsi="Garamond"/>
          <w:szCs w:val="28"/>
        </w:rPr>
        <w:t xml:space="preserve"> </w:t>
      </w:r>
      <w:r w:rsidR="0001444D" w:rsidRPr="00EA2B8E">
        <w:rPr>
          <w:rFonts w:ascii="Garamond" w:hAnsi="Garamond"/>
          <w:szCs w:val="28"/>
        </w:rPr>
        <w:t xml:space="preserve">10 e seguenti </w:t>
      </w:r>
      <w:r w:rsidR="00807178" w:rsidRPr="00EA2B8E">
        <w:rPr>
          <w:rFonts w:ascii="Garamond" w:hAnsi="Garamond"/>
          <w:szCs w:val="28"/>
        </w:rPr>
        <w:t>del medesimo art. 12, in</w:t>
      </w:r>
      <w:r w:rsidRPr="00EA2B8E">
        <w:rPr>
          <w:rFonts w:ascii="Garamond" w:hAnsi="Garamond"/>
          <w:szCs w:val="28"/>
        </w:rPr>
        <w:t xml:space="preserve">oltre, </w:t>
      </w:r>
      <w:r w:rsidR="0001444D" w:rsidRPr="00EA2B8E">
        <w:rPr>
          <w:rFonts w:ascii="Garamond" w:hAnsi="Garamond"/>
          <w:szCs w:val="28"/>
        </w:rPr>
        <w:t xml:space="preserve">introducono elementi di rigidità del messaggio pubblicitario </w:t>
      </w:r>
      <w:r w:rsidR="00807178" w:rsidRPr="00EA2B8E">
        <w:rPr>
          <w:rFonts w:ascii="Garamond" w:hAnsi="Garamond"/>
          <w:szCs w:val="28"/>
        </w:rPr>
        <w:t>impone</w:t>
      </w:r>
      <w:r w:rsidR="0001444D" w:rsidRPr="00EA2B8E">
        <w:rPr>
          <w:rFonts w:ascii="Garamond" w:hAnsi="Garamond"/>
          <w:szCs w:val="28"/>
        </w:rPr>
        <w:t xml:space="preserve">ndo addirittura </w:t>
      </w:r>
      <w:r w:rsidR="00807178" w:rsidRPr="00EA2B8E">
        <w:rPr>
          <w:rFonts w:ascii="Garamond" w:hAnsi="Garamond"/>
          <w:szCs w:val="28"/>
        </w:rPr>
        <w:t xml:space="preserve">alle </w:t>
      </w:r>
      <w:r w:rsidR="0001444D" w:rsidRPr="00EA2B8E">
        <w:rPr>
          <w:rFonts w:ascii="Garamond" w:hAnsi="Garamond"/>
          <w:szCs w:val="28"/>
        </w:rPr>
        <w:t>R</w:t>
      </w:r>
      <w:r w:rsidR="00807178" w:rsidRPr="00EA2B8E">
        <w:rPr>
          <w:rFonts w:ascii="Garamond" w:hAnsi="Garamond"/>
          <w:szCs w:val="28"/>
        </w:rPr>
        <w:t>egioni di definire con appositi regolamenti “</w:t>
      </w:r>
      <w:r w:rsidR="00807178" w:rsidRPr="00EA2B8E">
        <w:rPr>
          <w:rFonts w:ascii="Garamond" w:hAnsi="Garamond"/>
          <w:i/>
          <w:szCs w:val="28"/>
        </w:rPr>
        <w:t>le modalità e le informazioni relative alle forme di comunicazione aziendale sia pubblicitarie che commerciali, compresi i contratti e le deleghe, dei soggetti autorizzati all’esercizio dell’attività funebre</w:t>
      </w:r>
      <w:r w:rsidR="00807178" w:rsidRPr="00EA2B8E">
        <w:rPr>
          <w:rFonts w:ascii="Garamond" w:hAnsi="Garamond"/>
          <w:szCs w:val="28"/>
        </w:rPr>
        <w:t xml:space="preserve">”. </w:t>
      </w:r>
    </w:p>
    <w:p w:rsidR="00044C6E" w:rsidRPr="00EA2B8E" w:rsidRDefault="00807178" w:rsidP="000A0F60">
      <w:pPr>
        <w:spacing w:line="360" w:lineRule="exact"/>
        <w:ind w:right="-398"/>
        <w:rPr>
          <w:rFonts w:ascii="Garamond" w:hAnsi="Garamond"/>
          <w:szCs w:val="28"/>
        </w:rPr>
      </w:pPr>
      <w:r w:rsidRPr="00EA2B8E">
        <w:rPr>
          <w:rFonts w:ascii="Garamond" w:hAnsi="Garamond"/>
          <w:szCs w:val="28"/>
        </w:rPr>
        <w:t>L</w:t>
      </w:r>
      <w:r w:rsidR="00004894" w:rsidRPr="00EA2B8E">
        <w:rPr>
          <w:rFonts w:ascii="Garamond" w:hAnsi="Garamond"/>
          <w:szCs w:val="28"/>
        </w:rPr>
        <w:t>e</w:t>
      </w:r>
      <w:r w:rsidRPr="00EA2B8E">
        <w:rPr>
          <w:rFonts w:ascii="Garamond" w:hAnsi="Garamond"/>
          <w:szCs w:val="28"/>
        </w:rPr>
        <w:t xml:space="preserve"> </w:t>
      </w:r>
      <w:r w:rsidR="0001444D" w:rsidRPr="00EA2B8E">
        <w:rPr>
          <w:rFonts w:ascii="Garamond" w:hAnsi="Garamond"/>
          <w:szCs w:val="28"/>
        </w:rPr>
        <w:t>disposizioni</w:t>
      </w:r>
      <w:r w:rsidRPr="00EA2B8E">
        <w:rPr>
          <w:rFonts w:ascii="Garamond" w:hAnsi="Garamond"/>
          <w:szCs w:val="28"/>
        </w:rPr>
        <w:t xml:space="preserve"> appa</w:t>
      </w:r>
      <w:r w:rsidR="0001444D" w:rsidRPr="00EA2B8E">
        <w:rPr>
          <w:rFonts w:ascii="Garamond" w:hAnsi="Garamond"/>
          <w:szCs w:val="28"/>
        </w:rPr>
        <w:t>iono ecce</w:t>
      </w:r>
      <w:r w:rsidR="00DB4149" w:rsidRPr="00EA2B8E">
        <w:rPr>
          <w:rFonts w:ascii="Garamond" w:hAnsi="Garamond"/>
          <w:szCs w:val="28"/>
        </w:rPr>
        <w:t xml:space="preserve">dere quanto strettamente necessario a garantire i dolenti nella loro scelta anche in </w:t>
      </w:r>
      <w:r w:rsidRPr="00EA2B8E">
        <w:rPr>
          <w:rFonts w:ascii="Garamond" w:hAnsi="Garamond"/>
          <w:szCs w:val="28"/>
        </w:rPr>
        <w:t xml:space="preserve">considerazione del fatto che </w:t>
      </w:r>
      <w:r w:rsidR="00111318" w:rsidRPr="00EA2B8E">
        <w:rPr>
          <w:rFonts w:ascii="Garamond" w:hAnsi="Garamond"/>
          <w:szCs w:val="28"/>
        </w:rPr>
        <w:t xml:space="preserve">le normative presenti </w:t>
      </w:r>
      <w:r w:rsidRPr="00EA2B8E">
        <w:rPr>
          <w:rFonts w:ascii="Garamond" w:hAnsi="Garamond"/>
          <w:szCs w:val="28"/>
        </w:rPr>
        <w:t>nell’</w:t>
      </w:r>
      <w:r w:rsidR="00044C6E" w:rsidRPr="00EA2B8E">
        <w:rPr>
          <w:rFonts w:ascii="Garamond" w:hAnsi="Garamond"/>
          <w:szCs w:val="28"/>
        </w:rPr>
        <w:t>o</w:t>
      </w:r>
      <w:r w:rsidRPr="00EA2B8E">
        <w:rPr>
          <w:rFonts w:ascii="Garamond" w:hAnsi="Garamond"/>
          <w:szCs w:val="28"/>
        </w:rPr>
        <w:t xml:space="preserve">rdinamento </w:t>
      </w:r>
      <w:r w:rsidR="00111318" w:rsidRPr="00EA2B8E">
        <w:rPr>
          <w:rFonts w:ascii="Garamond" w:hAnsi="Garamond"/>
          <w:szCs w:val="28"/>
        </w:rPr>
        <w:t xml:space="preserve">a tutela della correttezza della comunicazione pubblicitaria </w:t>
      </w:r>
      <w:r w:rsidRPr="00EA2B8E">
        <w:rPr>
          <w:rFonts w:ascii="Garamond" w:hAnsi="Garamond"/>
          <w:szCs w:val="28"/>
        </w:rPr>
        <w:t>sono già idone</w:t>
      </w:r>
      <w:r w:rsidR="00004894" w:rsidRPr="00EA2B8E">
        <w:rPr>
          <w:rFonts w:ascii="Garamond" w:hAnsi="Garamond"/>
          <w:szCs w:val="28"/>
        </w:rPr>
        <w:t>e</w:t>
      </w:r>
      <w:r w:rsidRPr="00EA2B8E">
        <w:rPr>
          <w:rFonts w:ascii="Garamond" w:hAnsi="Garamond"/>
          <w:szCs w:val="28"/>
        </w:rPr>
        <w:t xml:space="preserve"> a disciplinare anche la pubblicità funeraria</w:t>
      </w:r>
      <w:r w:rsidR="00004894" w:rsidRPr="00EA2B8E">
        <w:rPr>
          <w:rFonts w:ascii="Garamond" w:hAnsi="Garamond"/>
          <w:szCs w:val="28"/>
        </w:rPr>
        <w:t>.</w:t>
      </w:r>
    </w:p>
    <w:p w:rsidR="003B242F" w:rsidRPr="00EA2B8E" w:rsidRDefault="00111318" w:rsidP="000A0F60">
      <w:pPr>
        <w:spacing w:line="360" w:lineRule="exact"/>
        <w:ind w:right="-398"/>
        <w:rPr>
          <w:rFonts w:ascii="Garamond" w:hAnsi="Garamond"/>
          <w:szCs w:val="28"/>
        </w:rPr>
      </w:pPr>
      <w:r w:rsidRPr="00EA2B8E">
        <w:rPr>
          <w:rFonts w:ascii="Garamond" w:hAnsi="Garamond"/>
          <w:szCs w:val="28"/>
        </w:rPr>
        <w:t>Infine, p</w:t>
      </w:r>
      <w:r w:rsidR="00004894" w:rsidRPr="00EA2B8E">
        <w:rPr>
          <w:rFonts w:ascii="Garamond" w:hAnsi="Garamond"/>
          <w:szCs w:val="28"/>
        </w:rPr>
        <w:t xml:space="preserve">ur </w:t>
      </w:r>
      <w:r w:rsidR="00044C6E" w:rsidRPr="00EA2B8E">
        <w:rPr>
          <w:rFonts w:ascii="Garamond" w:hAnsi="Garamond"/>
          <w:szCs w:val="28"/>
        </w:rPr>
        <w:t xml:space="preserve">condividendo </w:t>
      </w:r>
      <w:r w:rsidR="00004894" w:rsidRPr="00EA2B8E">
        <w:rPr>
          <w:rFonts w:ascii="Garamond" w:hAnsi="Garamond"/>
          <w:szCs w:val="28"/>
        </w:rPr>
        <w:t>la gravità de</w:t>
      </w:r>
      <w:r w:rsidR="00044C6E" w:rsidRPr="00EA2B8E">
        <w:rPr>
          <w:rFonts w:ascii="Garamond" w:hAnsi="Garamond"/>
          <w:szCs w:val="28"/>
        </w:rPr>
        <w:t xml:space="preserve">lle condotte poste in essere in </w:t>
      </w:r>
      <w:r w:rsidR="00004894" w:rsidRPr="00EA2B8E">
        <w:rPr>
          <w:rFonts w:ascii="Garamond" w:hAnsi="Garamond"/>
          <w:szCs w:val="28"/>
        </w:rPr>
        <w:t>violazion</w:t>
      </w:r>
      <w:r w:rsidR="00044C6E" w:rsidRPr="00EA2B8E">
        <w:rPr>
          <w:rFonts w:ascii="Garamond" w:hAnsi="Garamond"/>
          <w:szCs w:val="28"/>
        </w:rPr>
        <w:t>e</w:t>
      </w:r>
      <w:r w:rsidR="00004894" w:rsidRPr="00EA2B8E">
        <w:rPr>
          <w:rFonts w:ascii="Garamond" w:hAnsi="Garamond"/>
          <w:szCs w:val="28"/>
        </w:rPr>
        <w:t xml:space="preserve"> </w:t>
      </w:r>
      <w:r w:rsidRPr="00EA2B8E">
        <w:rPr>
          <w:rFonts w:ascii="Garamond" w:hAnsi="Garamond"/>
          <w:szCs w:val="28"/>
        </w:rPr>
        <w:t>del D.lgs. 6 settembre 2005, n. 6 (Codice del Consumo)</w:t>
      </w:r>
      <w:r w:rsidR="00044C6E" w:rsidRPr="00EA2B8E">
        <w:rPr>
          <w:rFonts w:ascii="Garamond" w:hAnsi="Garamond"/>
          <w:szCs w:val="28"/>
        </w:rPr>
        <w:t xml:space="preserve">, </w:t>
      </w:r>
      <w:r w:rsidR="00004894" w:rsidRPr="00EA2B8E">
        <w:rPr>
          <w:rFonts w:ascii="Garamond" w:hAnsi="Garamond"/>
          <w:szCs w:val="28"/>
        </w:rPr>
        <w:t>sembra</w:t>
      </w:r>
      <w:r w:rsidRPr="00EA2B8E">
        <w:rPr>
          <w:rFonts w:ascii="Garamond" w:hAnsi="Garamond"/>
          <w:szCs w:val="28"/>
        </w:rPr>
        <w:t>, tuttavia,</w:t>
      </w:r>
      <w:r w:rsidR="00004894" w:rsidRPr="00EA2B8E">
        <w:rPr>
          <w:rFonts w:ascii="Garamond" w:hAnsi="Garamond"/>
          <w:szCs w:val="28"/>
        </w:rPr>
        <w:t xml:space="preserve"> eccessivo prevedere </w:t>
      </w:r>
      <w:r w:rsidR="00044C6E" w:rsidRPr="00EA2B8E">
        <w:rPr>
          <w:rFonts w:ascii="Garamond" w:hAnsi="Garamond"/>
          <w:szCs w:val="28"/>
        </w:rPr>
        <w:t>l</w:t>
      </w:r>
      <w:r w:rsidR="00004894" w:rsidRPr="00EA2B8E">
        <w:rPr>
          <w:rFonts w:ascii="Garamond" w:hAnsi="Garamond"/>
          <w:szCs w:val="28"/>
        </w:rPr>
        <w:t>a preclusione dell’attività funebre per chi abbia riportato contravvenzioni accertate e definitive per violazioni dello stesso (art. 10</w:t>
      </w:r>
      <w:r w:rsidR="00B90326">
        <w:rPr>
          <w:rFonts w:ascii="Garamond" w:hAnsi="Garamond"/>
          <w:szCs w:val="28"/>
        </w:rPr>
        <w:t>,</w:t>
      </w:r>
      <w:r w:rsidR="00004894" w:rsidRPr="00EA2B8E">
        <w:rPr>
          <w:rFonts w:ascii="Garamond" w:hAnsi="Garamond"/>
          <w:szCs w:val="28"/>
        </w:rPr>
        <w:t xml:space="preserve"> A</w:t>
      </w:r>
      <w:r w:rsidR="00B90326">
        <w:rPr>
          <w:rFonts w:ascii="Garamond" w:hAnsi="Garamond"/>
          <w:szCs w:val="28"/>
        </w:rPr>
        <w:t>.</w:t>
      </w:r>
      <w:r w:rsidR="00004894" w:rsidRPr="00EA2B8E">
        <w:rPr>
          <w:rFonts w:ascii="Garamond" w:hAnsi="Garamond"/>
          <w:szCs w:val="28"/>
        </w:rPr>
        <w:t>C</w:t>
      </w:r>
      <w:r w:rsidR="00B90326">
        <w:rPr>
          <w:rFonts w:ascii="Garamond" w:hAnsi="Garamond"/>
          <w:szCs w:val="28"/>
        </w:rPr>
        <w:t>.</w:t>
      </w:r>
      <w:r w:rsidR="00004894" w:rsidRPr="00EA2B8E">
        <w:rPr>
          <w:rFonts w:ascii="Garamond" w:hAnsi="Garamond"/>
          <w:szCs w:val="28"/>
        </w:rPr>
        <w:t xml:space="preserve"> 1143 e art. 4</w:t>
      </w:r>
      <w:r w:rsidR="00B90326">
        <w:rPr>
          <w:rFonts w:ascii="Garamond" w:hAnsi="Garamond"/>
          <w:szCs w:val="28"/>
        </w:rPr>
        <w:t>,</w:t>
      </w:r>
      <w:r w:rsidR="00004894" w:rsidRPr="00EA2B8E">
        <w:rPr>
          <w:rFonts w:ascii="Garamond" w:hAnsi="Garamond"/>
          <w:szCs w:val="28"/>
        </w:rPr>
        <w:t xml:space="preserve"> A</w:t>
      </w:r>
      <w:r w:rsidR="00B90326">
        <w:rPr>
          <w:rFonts w:ascii="Garamond" w:hAnsi="Garamond"/>
          <w:szCs w:val="28"/>
        </w:rPr>
        <w:t>.</w:t>
      </w:r>
      <w:r w:rsidR="00004894" w:rsidRPr="00EA2B8E">
        <w:rPr>
          <w:rFonts w:ascii="Garamond" w:hAnsi="Garamond"/>
          <w:szCs w:val="28"/>
        </w:rPr>
        <w:t>C</w:t>
      </w:r>
      <w:r w:rsidR="00B90326">
        <w:rPr>
          <w:rFonts w:ascii="Garamond" w:hAnsi="Garamond"/>
          <w:szCs w:val="28"/>
        </w:rPr>
        <w:t>.</w:t>
      </w:r>
      <w:r w:rsidR="00004894" w:rsidRPr="00EA2B8E">
        <w:rPr>
          <w:rFonts w:ascii="Garamond" w:hAnsi="Garamond"/>
          <w:szCs w:val="28"/>
        </w:rPr>
        <w:t xml:space="preserve"> 1618).</w:t>
      </w:r>
    </w:p>
    <w:p w:rsidR="0061779F" w:rsidRPr="00EA2B8E" w:rsidRDefault="00C218F4" w:rsidP="00C218F4">
      <w:pPr>
        <w:tabs>
          <w:tab w:val="left" w:pos="7368"/>
        </w:tabs>
        <w:spacing w:line="360" w:lineRule="exact"/>
        <w:ind w:right="-398"/>
        <w:rPr>
          <w:rFonts w:ascii="Garamond" w:hAnsi="Garamond"/>
          <w:szCs w:val="28"/>
        </w:rPr>
      </w:pPr>
      <w:r w:rsidRPr="00EA2B8E">
        <w:rPr>
          <w:rFonts w:ascii="Garamond" w:hAnsi="Garamond"/>
          <w:szCs w:val="28"/>
        </w:rPr>
        <w:tab/>
      </w:r>
    </w:p>
    <w:p w:rsidR="00B8485F" w:rsidRPr="00B8485F" w:rsidRDefault="00B93240" w:rsidP="00B8485F">
      <w:pPr>
        <w:pStyle w:val="Paragrafoelenco"/>
        <w:numPr>
          <w:ilvl w:val="1"/>
          <w:numId w:val="27"/>
        </w:numPr>
        <w:spacing w:line="360" w:lineRule="exact"/>
        <w:ind w:right="-398"/>
        <w:rPr>
          <w:rFonts w:ascii="Garamond" w:hAnsi="Garamond"/>
          <w:b/>
          <w:szCs w:val="28"/>
        </w:rPr>
      </w:pPr>
      <w:r>
        <w:rPr>
          <w:rFonts w:ascii="Garamond" w:hAnsi="Garamond"/>
          <w:b/>
          <w:szCs w:val="28"/>
        </w:rPr>
        <w:t>L</w:t>
      </w:r>
      <w:r w:rsidR="00B8485F" w:rsidRPr="00B8485F">
        <w:rPr>
          <w:rFonts w:ascii="Garamond" w:hAnsi="Garamond"/>
          <w:b/>
          <w:szCs w:val="28"/>
        </w:rPr>
        <w:t>a cremazione</w:t>
      </w:r>
    </w:p>
    <w:p w:rsidR="000B4638" w:rsidRDefault="00B8485F" w:rsidP="000A0F60">
      <w:pPr>
        <w:spacing w:line="360" w:lineRule="exact"/>
        <w:ind w:right="-398"/>
        <w:rPr>
          <w:rFonts w:ascii="Garamond" w:hAnsi="Garamond"/>
          <w:szCs w:val="28"/>
        </w:rPr>
      </w:pPr>
      <w:r>
        <w:rPr>
          <w:rFonts w:ascii="Garamond" w:hAnsi="Garamond"/>
          <w:szCs w:val="28"/>
        </w:rPr>
        <w:t xml:space="preserve"> </w:t>
      </w:r>
    </w:p>
    <w:p w:rsidR="00B8485F" w:rsidRDefault="00B8485F" w:rsidP="00B8485F">
      <w:pPr>
        <w:spacing w:line="360" w:lineRule="exact"/>
        <w:ind w:right="-398"/>
        <w:rPr>
          <w:rFonts w:ascii="Garamond" w:hAnsi="Garamond"/>
        </w:rPr>
      </w:pPr>
      <w:r w:rsidRPr="00B8485F">
        <w:rPr>
          <w:rFonts w:ascii="Garamond" w:hAnsi="Garamond"/>
        </w:rPr>
        <w:t>L’in</w:t>
      </w:r>
      <w:r>
        <w:rPr>
          <w:rFonts w:ascii="Garamond" w:hAnsi="Garamond"/>
        </w:rPr>
        <w:t xml:space="preserve">troduzione </w:t>
      </w:r>
      <w:r w:rsidRPr="00B8485F">
        <w:rPr>
          <w:rFonts w:ascii="Garamond" w:hAnsi="Garamond"/>
        </w:rPr>
        <w:t xml:space="preserve">a livello nazionale di una disciplina specifica per la cremazione non può che </w:t>
      </w:r>
      <w:r>
        <w:rPr>
          <w:rFonts w:ascii="Garamond" w:hAnsi="Garamond"/>
        </w:rPr>
        <w:t xml:space="preserve">accogliersi </w:t>
      </w:r>
      <w:r w:rsidRPr="00B8485F">
        <w:rPr>
          <w:rFonts w:ascii="Garamond" w:hAnsi="Garamond"/>
        </w:rPr>
        <w:t>con favore</w:t>
      </w:r>
      <w:r>
        <w:rPr>
          <w:rFonts w:ascii="Garamond" w:hAnsi="Garamond"/>
        </w:rPr>
        <w:t>,</w:t>
      </w:r>
      <w:r w:rsidRPr="00B8485F">
        <w:rPr>
          <w:rFonts w:ascii="Garamond" w:hAnsi="Garamond"/>
        </w:rPr>
        <w:t xml:space="preserve"> </w:t>
      </w:r>
      <w:r>
        <w:rPr>
          <w:rFonts w:ascii="Garamond" w:hAnsi="Garamond"/>
        </w:rPr>
        <w:t xml:space="preserve">atteso che la stessa </w:t>
      </w:r>
      <w:r w:rsidRPr="00B8485F">
        <w:rPr>
          <w:rFonts w:ascii="Garamond" w:hAnsi="Garamond"/>
        </w:rPr>
        <w:t xml:space="preserve">contribuisce a superare le incertezze e le frammentazioni </w:t>
      </w:r>
      <w:r>
        <w:rPr>
          <w:rFonts w:ascii="Garamond" w:hAnsi="Garamond"/>
        </w:rPr>
        <w:t xml:space="preserve">oggi esistenti in materia, </w:t>
      </w:r>
      <w:r w:rsidRPr="00B8485F">
        <w:rPr>
          <w:rFonts w:ascii="Garamond" w:hAnsi="Garamond"/>
        </w:rPr>
        <w:t>dovute a</w:t>
      </w:r>
      <w:r>
        <w:rPr>
          <w:rFonts w:ascii="Garamond" w:hAnsi="Garamond"/>
        </w:rPr>
        <w:t>i diversi regimi previsti da</w:t>
      </w:r>
      <w:r w:rsidRPr="00B8485F">
        <w:rPr>
          <w:rFonts w:ascii="Garamond" w:hAnsi="Garamond"/>
        </w:rPr>
        <w:t xml:space="preserve">lle normative locali. </w:t>
      </w:r>
    </w:p>
    <w:p w:rsidR="00BB7868" w:rsidRDefault="00B8485F" w:rsidP="00B8485F">
      <w:pPr>
        <w:spacing w:line="360" w:lineRule="exact"/>
        <w:ind w:right="-398"/>
        <w:rPr>
          <w:rFonts w:ascii="Garamond" w:hAnsi="Garamond"/>
        </w:rPr>
      </w:pPr>
      <w:r w:rsidRPr="00B8485F">
        <w:rPr>
          <w:rFonts w:ascii="Garamond" w:hAnsi="Garamond"/>
        </w:rPr>
        <w:t xml:space="preserve">A questo riguardo, </w:t>
      </w:r>
      <w:r>
        <w:rPr>
          <w:rFonts w:ascii="Garamond" w:hAnsi="Garamond"/>
        </w:rPr>
        <w:t xml:space="preserve">l’Autorità </w:t>
      </w:r>
      <w:r w:rsidR="007D079C">
        <w:rPr>
          <w:rFonts w:ascii="Garamond" w:hAnsi="Garamond"/>
        </w:rPr>
        <w:t xml:space="preserve">auspica soltanto che, per la manifestazione del desiderio di cremazione, non venga introdotto un regime che comporti per l’interessato </w:t>
      </w:r>
      <w:r w:rsidR="00733261">
        <w:rPr>
          <w:rFonts w:ascii="Garamond" w:hAnsi="Garamond"/>
        </w:rPr>
        <w:t>oneri eccessivi</w:t>
      </w:r>
      <w:r w:rsidR="007D079C">
        <w:rPr>
          <w:rFonts w:ascii="Garamond" w:hAnsi="Garamond"/>
        </w:rPr>
        <w:t xml:space="preserve"> o </w:t>
      </w:r>
      <w:r w:rsidR="00733261">
        <w:rPr>
          <w:rFonts w:ascii="Garamond" w:hAnsi="Garamond"/>
        </w:rPr>
        <w:t xml:space="preserve">preveda </w:t>
      </w:r>
      <w:r w:rsidR="007D079C">
        <w:rPr>
          <w:rFonts w:ascii="Garamond" w:hAnsi="Garamond"/>
        </w:rPr>
        <w:t>riserve ingiustificate di attività</w:t>
      </w:r>
      <w:r>
        <w:rPr>
          <w:rFonts w:ascii="Garamond" w:hAnsi="Garamond"/>
        </w:rPr>
        <w:t>.</w:t>
      </w:r>
    </w:p>
    <w:p w:rsidR="00B8485F" w:rsidRDefault="00B8485F" w:rsidP="000A0F60">
      <w:pPr>
        <w:spacing w:line="360" w:lineRule="exact"/>
        <w:ind w:right="-398"/>
        <w:rPr>
          <w:rFonts w:ascii="Garamond" w:hAnsi="Garamond"/>
          <w:szCs w:val="28"/>
        </w:rPr>
      </w:pPr>
    </w:p>
    <w:p w:rsidR="00B8485F" w:rsidRDefault="00B8485F" w:rsidP="00B8485F">
      <w:pPr>
        <w:spacing w:line="360" w:lineRule="exact"/>
        <w:ind w:right="-398"/>
        <w:jc w:val="center"/>
        <w:rPr>
          <w:rFonts w:ascii="Garamond" w:hAnsi="Garamond"/>
          <w:szCs w:val="28"/>
        </w:rPr>
      </w:pPr>
      <w:r>
        <w:rPr>
          <w:rFonts w:ascii="Garamond" w:hAnsi="Garamond"/>
          <w:szCs w:val="28"/>
        </w:rPr>
        <w:t>****</w:t>
      </w:r>
    </w:p>
    <w:p w:rsidR="00B8485F" w:rsidRPr="00B8485F" w:rsidRDefault="00B8485F" w:rsidP="000A0F60">
      <w:pPr>
        <w:spacing w:line="360" w:lineRule="exact"/>
        <w:ind w:right="-398"/>
        <w:rPr>
          <w:rFonts w:ascii="Garamond" w:hAnsi="Garamond"/>
          <w:szCs w:val="28"/>
        </w:rPr>
      </w:pPr>
    </w:p>
    <w:p w:rsidR="000B4638" w:rsidRDefault="00D468A8" w:rsidP="000A0F60">
      <w:pPr>
        <w:spacing w:line="360" w:lineRule="exact"/>
        <w:ind w:right="-398"/>
        <w:rPr>
          <w:rFonts w:ascii="Garamond" w:hAnsi="Garamond"/>
          <w:szCs w:val="28"/>
        </w:rPr>
      </w:pPr>
      <w:r>
        <w:rPr>
          <w:rFonts w:ascii="Garamond" w:hAnsi="Garamond"/>
          <w:szCs w:val="28"/>
        </w:rPr>
        <w:t xml:space="preserve">L’Autorità </w:t>
      </w:r>
      <w:r w:rsidR="00F029E7">
        <w:rPr>
          <w:rFonts w:ascii="Garamond" w:hAnsi="Garamond"/>
          <w:szCs w:val="28"/>
        </w:rPr>
        <w:t xml:space="preserve">ringrazia per l’attenzione ricevuta e </w:t>
      </w:r>
      <w:r>
        <w:rPr>
          <w:rFonts w:ascii="Garamond" w:hAnsi="Garamond"/>
          <w:szCs w:val="28"/>
        </w:rPr>
        <w:t xml:space="preserve">confida che </w:t>
      </w:r>
      <w:r w:rsidR="00F029E7">
        <w:rPr>
          <w:rFonts w:ascii="Garamond" w:hAnsi="Garamond"/>
          <w:szCs w:val="28"/>
        </w:rPr>
        <w:t xml:space="preserve">i suggerimenti formulati nell’ottica di evitare indebite restrizioni al funzionamento dei mercati </w:t>
      </w:r>
      <w:r w:rsidR="00B8485F">
        <w:rPr>
          <w:rFonts w:ascii="Garamond" w:hAnsi="Garamond"/>
          <w:szCs w:val="28"/>
        </w:rPr>
        <w:t xml:space="preserve">interessati </w:t>
      </w:r>
      <w:r w:rsidR="00EE6393">
        <w:rPr>
          <w:rFonts w:ascii="Garamond" w:hAnsi="Garamond"/>
          <w:szCs w:val="28"/>
        </w:rPr>
        <w:t xml:space="preserve">possano </w:t>
      </w:r>
      <w:r w:rsidR="00F029E7">
        <w:rPr>
          <w:rFonts w:ascii="Garamond" w:hAnsi="Garamond"/>
          <w:szCs w:val="28"/>
        </w:rPr>
        <w:t xml:space="preserve">ricevere </w:t>
      </w:r>
      <w:r>
        <w:rPr>
          <w:rFonts w:ascii="Garamond" w:hAnsi="Garamond"/>
          <w:szCs w:val="28"/>
        </w:rPr>
        <w:t>adeguata considerazione nel</w:t>
      </w:r>
      <w:r w:rsidR="00EE6393">
        <w:rPr>
          <w:rFonts w:ascii="Garamond" w:hAnsi="Garamond"/>
          <w:szCs w:val="28"/>
        </w:rPr>
        <w:t xml:space="preserve"> </w:t>
      </w:r>
      <w:r w:rsidR="00F029E7">
        <w:rPr>
          <w:rFonts w:ascii="Garamond" w:hAnsi="Garamond"/>
          <w:szCs w:val="28"/>
        </w:rPr>
        <w:t xml:space="preserve">prosieguo </w:t>
      </w:r>
      <w:r w:rsidR="00EE6393">
        <w:rPr>
          <w:rFonts w:ascii="Garamond" w:hAnsi="Garamond"/>
          <w:szCs w:val="28"/>
        </w:rPr>
        <w:t>de</w:t>
      </w:r>
      <w:r w:rsidR="00F029E7">
        <w:rPr>
          <w:rFonts w:ascii="Garamond" w:hAnsi="Garamond"/>
          <w:szCs w:val="28"/>
        </w:rPr>
        <w:t>i lavori parlamentari.</w:t>
      </w:r>
    </w:p>
    <w:p w:rsidR="00EE6393" w:rsidRDefault="00EE6393" w:rsidP="000A0F60">
      <w:pPr>
        <w:spacing w:line="360" w:lineRule="exact"/>
        <w:ind w:right="-398"/>
        <w:rPr>
          <w:rFonts w:ascii="Garamond" w:hAnsi="Garamond"/>
          <w:szCs w:val="28"/>
        </w:rPr>
      </w:pPr>
    </w:p>
    <w:p w:rsidR="00E55F6A" w:rsidRPr="00EA2B8E" w:rsidRDefault="00E55F6A" w:rsidP="000A0F60">
      <w:pPr>
        <w:spacing w:line="360" w:lineRule="exact"/>
        <w:ind w:right="-398"/>
        <w:rPr>
          <w:rFonts w:ascii="Garamond" w:hAnsi="Garamond"/>
          <w:szCs w:val="28"/>
        </w:rPr>
      </w:pPr>
    </w:p>
    <w:sectPr w:rsidR="00E55F6A" w:rsidRPr="00EA2B8E" w:rsidSect="002D4C5B">
      <w:footerReference w:type="default" r:id="rId8"/>
      <w:footerReference w:type="first" r:id="rId9"/>
      <w:pgSz w:w="11906" w:h="16838"/>
      <w:pgMar w:top="1418" w:right="153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79" w:rsidRDefault="00424679">
      <w:r>
        <w:separator/>
      </w:r>
    </w:p>
  </w:endnote>
  <w:endnote w:type="continuationSeparator" w:id="0">
    <w:p w:rsidR="00424679" w:rsidRDefault="0042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91324"/>
      <w:docPartObj>
        <w:docPartGallery w:val="Page Numbers (Bottom of Page)"/>
        <w:docPartUnique/>
      </w:docPartObj>
    </w:sdtPr>
    <w:sdtEndPr>
      <w:rPr>
        <w:rStyle w:val="ProvvNumeroPaginaCarattere"/>
        <w:sz w:val="22"/>
        <w:szCs w:val="22"/>
      </w:rPr>
    </w:sdtEndPr>
    <w:sdtContent>
      <w:p w:rsidR="007C1162" w:rsidRPr="007C1162" w:rsidRDefault="007C1162">
        <w:pPr>
          <w:pStyle w:val="Pidipagina"/>
          <w:jc w:val="right"/>
          <w:rPr>
            <w:rStyle w:val="ProvvNumeroPaginaCarattere"/>
          </w:rPr>
        </w:pPr>
        <w:r w:rsidRPr="007C1162">
          <w:rPr>
            <w:rStyle w:val="ProvvNumeroPaginaCarattere"/>
          </w:rPr>
          <w:fldChar w:fldCharType="begin"/>
        </w:r>
        <w:r w:rsidRPr="007C1162">
          <w:rPr>
            <w:rStyle w:val="ProvvNumeroPaginaCarattere"/>
          </w:rPr>
          <w:instrText>PAGE   \* MERGEFORMAT</w:instrText>
        </w:r>
        <w:r w:rsidRPr="007C1162">
          <w:rPr>
            <w:rStyle w:val="ProvvNumeroPaginaCarattere"/>
          </w:rPr>
          <w:fldChar w:fldCharType="separate"/>
        </w:r>
        <w:r w:rsidR="00037456">
          <w:rPr>
            <w:rStyle w:val="ProvvNumeroPaginaCarattere"/>
            <w:noProof/>
          </w:rPr>
          <w:t>1</w:t>
        </w:r>
        <w:r w:rsidRPr="007C1162">
          <w:rPr>
            <w:rStyle w:val="ProvvNumeroPaginaCarattere"/>
          </w:rPr>
          <w:fldChar w:fldCharType="end"/>
        </w:r>
      </w:p>
    </w:sdtContent>
  </w:sdt>
  <w:p w:rsidR="007C1162" w:rsidRDefault="007C11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1F" w:rsidRDefault="0070711F">
    <w:pPr>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1</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79" w:rsidRDefault="00424679">
      <w:r>
        <w:separator/>
      </w:r>
    </w:p>
  </w:footnote>
  <w:footnote w:type="continuationSeparator" w:id="0">
    <w:p w:rsidR="00424679" w:rsidRDefault="00424679">
      <w:r>
        <w:continuationSeparator/>
      </w:r>
    </w:p>
  </w:footnote>
  <w:footnote w:id="1">
    <w:p w:rsidR="000B4638" w:rsidRPr="00774F17" w:rsidRDefault="000B4638" w:rsidP="00DC6A1D">
      <w:pPr>
        <w:pStyle w:val="Testonotaapidipagina"/>
        <w:ind w:right="-398"/>
        <w:rPr>
          <w:rFonts w:ascii="Garamond" w:hAnsi="Garamond"/>
        </w:rPr>
      </w:pPr>
      <w:r w:rsidRPr="00774F17">
        <w:rPr>
          <w:rStyle w:val="Rimandonotaapidipagina"/>
          <w:rFonts w:ascii="Garamond" w:hAnsi="Garamond"/>
        </w:rPr>
        <w:footnoteRef/>
      </w:r>
      <w:r w:rsidRPr="00774F17">
        <w:rPr>
          <w:rFonts w:ascii="Garamond" w:hAnsi="Garamond"/>
        </w:rPr>
        <w:t xml:space="preserve"> Cfr. da ultimo la segnalazione AS1292 del 4 agosto 2016, </w:t>
      </w:r>
      <w:r w:rsidRPr="00774F17">
        <w:rPr>
          <w:rFonts w:ascii="Garamond" w:hAnsi="Garamond"/>
          <w:i/>
        </w:rPr>
        <w:t>Comune di Vimodrone – Offerta di servizi funebri da parte dell’appaltatore esclusivo dei servizi cimiteriali</w:t>
      </w:r>
      <w:r w:rsidRPr="00774F17">
        <w:rPr>
          <w:rFonts w:ascii="Garamond" w:hAnsi="Garamond"/>
        </w:rPr>
        <w:t xml:space="preserve">, in </w:t>
      </w:r>
      <w:r w:rsidR="00BF362F" w:rsidRPr="00774F17">
        <w:rPr>
          <w:rFonts w:ascii="Garamond" w:hAnsi="Garamond"/>
          <w:i/>
        </w:rPr>
        <w:t>B</w:t>
      </w:r>
      <w:r w:rsidRPr="00774F17">
        <w:rPr>
          <w:rFonts w:ascii="Garamond" w:hAnsi="Garamond"/>
          <w:i/>
        </w:rPr>
        <w:t>oll</w:t>
      </w:r>
      <w:r w:rsidRPr="00774F17">
        <w:rPr>
          <w:rFonts w:ascii="Garamond" w:hAnsi="Garamond"/>
        </w:rPr>
        <w:t>. 31/2016.</w:t>
      </w:r>
    </w:p>
  </w:footnote>
  <w:footnote w:id="2">
    <w:p w:rsidR="00E773DB" w:rsidRPr="00774F17" w:rsidRDefault="00E773DB" w:rsidP="00DC6A1D">
      <w:pPr>
        <w:spacing w:line="240" w:lineRule="auto"/>
        <w:ind w:right="-398"/>
        <w:rPr>
          <w:rFonts w:ascii="Garamond" w:hAnsi="Garamond"/>
          <w:sz w:val="20"/>
          <w:szCs w:val="20"/>
        </w:rPr>
      </w:pPr>
      <w:r w:rsidRPr="00774F17">
        <w:rPr>
          <w:rStyle w:val="Rimandonotaapidipagina"/>
          <w:rFonts w:ascii="Garamond" w:hAnsi="Garamond"/>
          <w:sz w:val="20"/>
          <w:szCs w:val="20"/>
        </w:rPr>
        <w:footnoteRef/>
      </w:r>
      <w:r w:rsidRPr="00774F17">
        <w:rPr>
          <w:rFonts w:ascii="Garamond" w:hAnsi="Garamond"/>
          <w:sz w:val="20"/>
          <w:szCs w:val="20"/>
        </w:rPr>
        <w:t xml:space="preserve"> Cfr. AS392 del 17 maggio 2007 </w:t>
      </w:r>
      <w:r w:rsidRPr="00774F17">
        <w:rPr>
          <w:rFonts w:ascii="Garamond" w:hAnsi="Garamond"/>
          <w:i/>
          <w:sz w:val="20"/>
          <w:szCs w:val="20"/>
        </w:rPr>
        <w:t>A</w:t>
      </w:r>
      <w:r w:rsidR="007478E3" w:rsidRPr="00774F17">
        <w:rPr>
          <w:rFonts w:ascii="Garamond" w:hAnsi="Garamond"/>
          <w:i/>
          <w:sz w:val="20"/>
          <w:szCs w:val="20"/>
        </w:rPr>
        <w:t>ffidamento dei servizi di gestione delle camere mortuarie ed obitoriali e dei servizi cimiteriali ad imprese di onoranze funebri</w:t>
      </w:r>
      <w:r w:rsidR="00AD7FA8" w:rsidRPr="00774F17">
        <w:rPr>
          <w:rFonts w:ascii="Garamond" w:hAnsi="Garamond"/>
          <w:sz w:val="20"/>
          <w:szCs w:val="20"/>
        </w:rPr>
        <w:t xml:space="preserve">, </w:t>
      </w:r>
      <w:r w:rsidRPr="00774F17">
        <w:rPr>
          <w:rFonts w:ascii="Garamond" w:hAnsi="Garamond"/>
          <w:sz w:val="20"/>
          <w:szCs w:val="20"/>
        </w:rPr>
        <w:t xml:space="preserve">in </w:t>
      </w:r>
      <w:r w:rsidR="007478E3" w:rsidRPr="00774F17">
        <w:rPr>
          <w:rFonts w:ascii="Garamond" w:hAnsi="Garamond"/>
          <w:i/>
          <w:sz w:val="20"/>
          <w:szCs w:val="20"/>
        </w:rPr>
        <w:t>B</w:t>
      </w:r>
      <w:r w:rsidRPr="00774F17">
        <w:rPr>
          <w:rFonts w:ascii="Garamond" w:hAnsi="Garamond"/>
          <w:i/>
          <w:sz w:val="20"/>
          <w:szCs w:val="20"/>
        </w:rPr>
        <w:t>oll</w:t>
      </w:r>
      <w:r w:rsidRPr="00774F17">
        <w:rPr>
          <w:rFonts w:ascii="Garamond" w:hAnsi="Garamond"/>
          <w:sz w:val="20"/>
          <w:szCs w:val="20"/>
        </w:rPr>
        <w:t>. 19/2007</w:t>
      </w:r>
      <w:r w:rsidR="00AD7FA8" w:rsidRPr="00774F17">
        <w:rPr>
          <w:rFonts w:ascii="Garamond" w:hAnsi="Garamond"/>
          <w:sz w:val="20"/>
          <w:szCs w:val="20"/>
        </w:rPr>
        <w:t>,</w:t>
      </w:r>
      <w:r w:rsidR="003B242F" w:rsidRPr="00774F17">
        <w:rPr>
          <w:rFonts w:ascii="Garamond" w:hAnsi="Garamond"/>
          <w:sz w:val="20"/>
          <w:szCs w:val="20"/>
        </w:rPr>
        <w:t xml:space="preserve"> e AS1140 del 9 luglio 2014</w:t>
      </w:r>
      <w:r w:rsidR="007478E3" w:rsidRPr="00774F17">
        <w:rPr>
          <w:rFonts w:ascii="Garamond" w:hAnsi="Garamond"/>
          <w:sz w:val="20"/>
          <w:szCs w:val="20"/>
        </w:rPr>
        <w:t>,</w:t>
      </w:r>
      <w:r w:rsidR="003B242F" w:rsidRPr="00774F17">
        <w:rPr>
          <w:rFonts w:ascii="Garamond" w:hAnsi="Garamond"/>
          <w:sz w:val="20"/>
          <w:szCs w:val="20"/>
        </w:rPr>
        <w:t xml:space="preserve"> </w:t>
      </w:r>
      <w:r w:rsidR="003B242F" w:rsidRPr="00774F17">
        <w:rPr>
          <w:rFonts w:ascii="Garamond" w:hAnsi="Garamond"/>
          <w:i/>
          <w:sz w:val="20"/>
          <w:szCs w:val="20"/>
        </w:rPr>
        <w:t>C</w:t>
      </w:r>
      <w:r w:rsidR="007478E3" w:rsidRPr="00774F17">
        <w:rPr>
          <w:rFonts w:ascii="Garamond" w:hAnsi="Garamond"/>
          <w:i/>
          <w:sz w:val="20"/>
          <w:szCs w:val="20"/>
        </w:rPr>
        <w:t xml:space="preserve">omune di Torino </w:t>
      </w:r>
      <w:r w:rsidR="003B242F" w:rsidRPr="00774F17">
        <w:rPr>
          <w:rFonts w:ascii="Garamond" w:hAnsi="Garamond"/>
          <w:i/>
          <w:sz w:val="20"/>
          <w:szCs w:val="20"/>
        </w:rPr>
        <w:t>-A</w:t>
      </w:r>
      <w:r w:rsidR="007478E3" w:rsidRPr="00774F17">
        <w:rPr>
          <w:rFonts w:ascii="Garamond" w:hAnsi="Garamond"/>
          <w:i/>
          <w:sz w:val="20"/>
          <w:szCs w:val="20"/>
        </w:rPr>
        <w:t>ffidamento del servizio di cremazione</w:t>
      </w:r>
      <w:r w:rsidR="003B242F" w:rsidRPr="00774F17">
        <w:rPr>
          <w:rFonts w:ascii="Garamond" w:hAnsi="Garamond"/>
          <w:sz w:val="20"/>
          <w:szCs w:val="20"/>
        </w:rPr>
        <w:t xml:space="preserve">, in </w:t>
      </w:r>
      <w:r w:rsidR="007478E3" w:rsidRPr="00774F17">
        <w:rPr>
          <w:rFonts w:ascii="Garamond" w:hAnsi="Garamond"/>
          <w:i/>
          <w:sz w:val="20"/>
          <w:szCs w:val="20"/>
        </w:rPr>
        <w:t>B</w:t>
      </w:r>
      <w:r w:rsidR="003B242F" w:rsidRPr="00774F17">
        <w:rPr>
          <w:rFonts w:ascii="Garamond" w:hAnsi="Garamond"/>
          <w:i/>
          <w:sz w:val="20"/>
          <w:szCs w:val="20"/>
        </w:rPr>
        <w:t>oll</w:t>
      </w:r>
      <w:r w:rsidR="003B242F" w:rsidRPr="00774F17">
        <w:rPr>
          <w:rFonts w:ascii="Garamond" w:hAnsi="Garamond"/>
          <w:sz w:val="20"/>
          <w:szCs w:val="20"/>
        </w:rPr>
        <w:t>. 30/2014</w:t>
      </w:r>
      <w:r w:rsidR="006E0488" w:rsidRPr="00774F17">
        <w:rPr>
          <w:rFonts w:ascii="Garamond" w:hAnsi="Garamond"/>
          <w:sz w:val="20"/>
          <w:szCs w:val="20"/>
        </w:rPr>
        <w:t>.</w:t>
      </w:r>
    </w:p>
  </w:footnote>
  <w:footnote w:id="3">
    <w:p w:rsidR="00807178" w:rsidRPr="00774F17" w:rsidRDefault="00807178" w:rsidP="00DC6A1D">
      <w:pPr>
        <w:pStyle w:val="Testonotaapidipagina"/>
        <w:ind w:right="-398"/>
        <w:rPr>
          <w:rFonts w:ascii="Garamond" w:hAnsi="Garamond"/>
        </w:rPr>
      </w:pPr>
      <w:r w:rsidRPr="00774F17">
        <w:rPr>
          <w:rStyle w:val="Rimandonotaapidipagina"/>
          <w:rFonts w:ascii="Garamond" w:hAnsi="Garamond"/>
        </w:rPr>
        <w:footnoteRef/>
      </w:r>
      <w:r w:rsidRPr="00774F17">
        <w:rPr>
          <w:rFonts w:ascii="Garamond" w:hAnsi="Garamond"/>
        </w:rPr>
        <w:t xml:space="preserve"> </w:t>
      </w:r>
      <w:r w:rsidR="00AE1AE6" w:rsidRPr="00774F17">
        <w:rPr>
          <w:rFonts w:ascii="Garamond" w:hAnsi="Garamond"/>
        </w:rPr>
        <w:t xml:space="preserve">A tal fine, si ricorda che l’Autorità ha più volte ribadito che la durata delle concessioni non deve necessariamente essere parametrata al periodo di recupero degli investimenti necessari per lo svolgimento dell’attività, in quanto, al momento della gara, il valore degli investimenti già effettuati dal concessionario può ben essere posto a base d’asta. </w:t>
      </w:r>
      <w:r w:rsidRPr="00774F17">
        <w:rPr>
          <w:rFonts w:ascii="Garamond" w:hAnsi="Garamond"/>
        </w:rPr>
        <w:t xml:space="preserve">Cfr. segnalazione AS1055 del 5 giugno 2013, </w:t>
      </w:r>
      <w:r w:rsidRPr="00774F17">
        <w:rPr>
          <w:rFonts w:ascii="Garamond" w:hAnsi="Garamond"/>
          <w:i/>
        </w:rPr>
        <w:t xml:space="preserve">Comune di Avellino </w:t>
      </w:r>
      <w:r w:rsidR="007478E3" w:rsidRPr="00774F17">
        <w:rPr>
          <w:rFonts w:ascii="Garamond" w:hAnsi="Garamond"/>
          <w:i/>
        </w:rPr>
        <w:t>-</w:t>
      </w:r>
      <w:r w:rsidRPr="00774F17">
        <w:rPr>
          <w:rFonts w:ascii="Garamond" w:hAnsi="Garamond"/>
          <w:i/>
        </w:rPr>
        <w:t xml:space="preserve"> Disciplina dei servizi funebri</w:t>
      </w:r>
      <w:r w:rsidRPr="00774F17">
        <w:rPr>
          <w:rFonts w:ascii="Garamond" w:hAnsi="Garamond"/>
        </w:rPr>
        <w:t xml:space="preserve">, in </w:t>
      </w:r>
      <w:r w:rsidR="007478E3" w:rsidRPr="00774F17">
        <w:rPr>
          <w:rFonts w:ascii="Garamond" w:hAnsi="Garamond"/>
          <w:i/>
        </w:rPr>
        <w:t>B</w:t>
      </w:r>
      <w:r w:rsidRPr="00774F17">
        <w:rPr>
          <w:rFonts w:ascii="Garamond" w:hAnsi="Garamond"/>
          <w:i/>
        </w:rPr>
        <w:t>oll</w:t>
      </w:r>
      <w:r w:rsidRPr="00774F17">
        <w:rPr>
          <w:rFonts w:ascii="Garamond" w:hAnsi="Garamond"/>
        </w:rPr>
        <w:t>. 24/2013 e i riferimenti ivi contenuti.</w:t>
      </w:r>
      <w:r w:rsidR="00D36044" w:rsidRPr="00774F17">
        <w:rPr>
          <w:rFonts w:ascii="Garamond" w:hAnsi="Garamond"/>
        </w:rPr>
        <w:t xml:space="preserve"> Da ultimo</w:t>
      </w:r>
      <w:r w:rsidR="007478E3" w:rsidRPr="00774F17">
        <w:rPr>
          <w:rFonts w:ascii="Garamond" w:hAnsi="Garamond"/>
        </w:rPr>
        <w:t>,</w:t>
      </w:r>
      <w:r w:rsidR="00D36044" w:rsidRPr="00774F17">
        <w:rPr>
          <w:rFonts w:ascii="Garamond" w:hAnsi="Garamond"/>
        </w:rPr>
        <w:t xml:space="preserve"> si veda AS1550 del 12 dicembre 2018, </w:t>
      </w:r>
      <w:r w:rsidR="00D36044" w:rsidRPr="00774F17">
        <w:rPr>
          <w:rFonts w:ascii="Garamond" w:hAnsi="Garamond"/>
          <w:i/>
        </w:rPr>
        <w:t>C</w:t>
      </w:r>
      <w:r w:rsidR="007478E3" w:rsidRPr="00774F17">
        <w:rPr>
          <w:rFonts w:ascii="Garamond" w:hAnsi="Garamond"/>
          <w:i/>
        </w:rPr>
        <w:t xml:space="preserve">oncessioni e </w:t>
      </w:r>
      <w:r w:rsidR="006B7C56" w:rsidRPr="00774F17">
        <w:rPr>
          <w:rFonts w:ascii="Garamond" w:hAnsi="Garamond"/>
          <w:i/>
        </w:rPr>
        <w:t>criticità concorrenziali</w:t>
      </w:r>
      <w:r w:rsidR="006B7C56" w:rsidRPr="00774F17">
        <w:rPr>
          <w:rFonts w:ascii="Garamond" w:hAnsi="Garamond"/>
        </w:rPr>
        <w:t xml:space="preserve">, </w:t>
      </w:r>
      <w:r w:rsidR="00D36044" w:rsidRPr="00774F17">
        <w:rPr>
          <w:rFonts w:ascii="Garamond" w:hAnsi="Garamond"/>
        </w:rPr>
        <w:t xml:space="preserve">in </w:t>
      </w:r>
      <w:r w:rsidR="007478E3" w:rsidRPr="00774F17">
        <w:rPr>
          <w:rFonts w:ascii="Garamond" w:hAnsi="Garamond"/>
          <w:i/>
        </w:rPr>
        <w:t>B</w:t>
      </w:r>
      <w:r w:rsidR="00D36044" w:rsidRPr="00774F17">
        <w:rPr>
          <w:rFonts w:ascii="Garamond" w:hAnsi="Garamond"/>
          <w:i/>
        </w:rPr>
        <w:t>oll</w:t>
      </w:r>
      <w:r w:rsidR="00D36044" w:rsidRPr="00774F17">
        <w:rPr>
          <w:rFonts w:ascii="Garamond" w:hAnsi="Garamond"/>
        </w:rPr>
        <w:t>. 48/2018.</w:t>
      </w:r>
    </w:p>
  </w:footnote>
  <w:footnote w:id="4">
    <w:p w:rsidR="00282B15" w:rsidRPr="00921CF6" w:rsidRDefault="00282B15" w:rsidP="00921CF6">
      <w:pPr>
        <w:pStyle w:val="Testonotaapidipagina"/>
        <w:ind w:right="-540"/>
        <w:rPr>
          <w:rFonts w:ascii="Garamond" w:hAnsi="Garamond"/>
        </w:rPr>
      </w:pPr>
      <w:r w:rsidRPr="00921CF6">
        <w:rPr>
          <w:rStyle w:val="Rimandonotaapidipagina"/>
          <w:rFonts w:ascii="Garamond" w:hAnsi="Garamond"/>
        </w:rPr>
        <w:footnoteRef/>
      </w:r>
      <w:r w:rsidRPr="00921CF6">
        <w:rPr>
          <w:rFonts w:ascii="Garamond" w:hAnsi="Garamond"/>
        </w:rPr>
        <w:t xml:space="preserve"> Cfr. </w:t>
      </w:r>
      <w:r w:rsidR="00832B9C" w:rsidRPr="00921CF6">
        <w:rPr>
          <w:rFonts w:ascii="Garamond" w:hAnsi="Garamond"/>
        </w:rPr>
        <w:t xml:space="preserve">AGCM, AS392 </w:t>
      </w:r>
      <w:r w:rsidR="00832B9C" w:rsidRPr="005D17BE">
        <w:rPr>
          <w:rFonts w:ascii="Garamond" w:hAnsi="Garamond"/>
          <w:i/>
        </w:rPr>
        <w:t>Affidamento dei servizi di gestione delle camere mortuarie ed obitoriali e dei servizi cimiteriali, ad imprese di onoranze funebri</w:t>
      </w:r>
      <w:r w:rsidR="00832B9C" w:rsidRPr="00921CF6">
        <w:rPr>
          <w:rFonts w:ascii="Garamond" w:hAnsi="Garamond"/>
        </w:rPr>
        <w:t xml:space="preserve">, </w:t>
      </w:r>
      <w:r w:rsidR="005D17BE">
        <w:rPr>
          <w:rFonts w:ascii="Garamond" w:hAnsi="Garamond"/>
        </w:rPr>
        <w:t xml:space="preserve">17 maggio 2007, </w:t>
      </w:r>
      <w:r w:rsidR="00832B9C" w:rsidRPr="00921CF6">
        <w:rPr>
          <w:rFonts w:ascii="Garamond" w:hAnsi="Garamond"/>
        </w:rPr>
        <w:t xml:space="preserve">in </w:t>
      </w:r>
      <w:r w:rsidR="00832B9C" w:rsidRPr="005D17BE">
        <w:rPr>
          <w:rFonts w:ascii="Garamond" w:hAnsi="Garamond"/>
          <w:i/>
        </w:rPr>
        <w:t>Boll</w:t>
      </w:r>
      <w:r w:rsidR="00832B9C" w:rsidRPr="00921CF6">
        <w:rPr>
          <w:rFonts w:ascii="Garamond" w:hAnsi="Garamond"/>
        </w:rPr>
        <w:t xml:space="preserve">. 19/2007 e </w:t>
      </w:r>
      <w:r w:rsidRPr="00921CF6">
        <w:rPr>
          <w:rFonts w:ascii="Garamond" w:hAnsi="Garamond"/>
        </w:rPr>
        <w:t xml:space="preserve">AS 1292, </w:t>
      </w:r>
      <w:r w:rsidRPr="005D17BE">
        <w:rPr>
          <w:rFonts w:ascii="Garamond" w:hAnsi="Garamond"/>
          <w:i/>
        </w:rPr>
        <w:t>C</w:t>
      </w:r>
      <w:r w:rsidR="005D17BE" w:rsidRPr="005D17BE">
        <w:rPr>
          <w:rFonts w:ascii="Garamond" w:hAnsi="Garamond"/>
          <w:i/>
        </w:rPr>
        <w:t xml:space="preserve">omune di Vimodrone </w:t>
      </w:r>
      <w:r w:rsidRPr="005D17BE">
        <w:rPr>
          <w:rFonts w:ascii="Garamond" w:hAnsi="Garamond"/>
          <w:i/>
        </w:rPr>
        <w:t xml:space="preserve">(MI) </w:t>
      </w:r>
      <w:r w:rsidR="005D17BE" w:rsidRPr="005D17BE">
        <w:rPr>
          <w:rFonts w:ascii="Garamond" w:hAnsi="Garamond"/>
          <w:i/>
        </w:rPr>
        <w:t>-</w:t>
      </w:r>
      <w:r w:rsidRPr="005D17BE">
        <w:rPr>
          <w:rFonts w:ascii="Garamond" w:hAnsi="Garamond"/>
          <w:i/>
        </w:rPr>
        <w:t xml:space="preserve"> O</w:t>
      </w:r>
      <w:r w:rsidR="005D17BE" w:rsidRPr="005D17BE">
        <w:rPr>
          <w:rFonts w:ascii="Garamond" w:hAnsi="Garamond"/>
          <w:i/>
        </w:rPr>
        <w:t>fferta di servizi funebri da parte dell’appaltatore esclusivo dei servizi cimiteriali</w:t>
      </w:r>
      <w:r w:rsidR="00832B9C" w:rsidRPr="00921CF6">
        <w:rPr>
          <w:rFonts w:ascii="Garamond" w:hAnsi="Garamond"/>
        </w:rPr>
        <w:t xml:space="preserve">, </w:t>
      </w:r>
      <w:r w:rsidR="005D17BE">
        <w:rPr>
          <w:rFonts w:ascii="Garamond" w:hAnsi="Garamond"/>
        </w:rPr>
        <w:t xml:space="preserve">4 agosto 2016, </w:t>
      </w:r>
      <w:r w:rsidR="00832B9C" w:rsidRPr="00921CF6">
        <w:rPr>
          <w:rFonts w:ascii="Garamond" w:hAnsi="Garamond"/>
        </w:rPr>
        <w:t xml:space="preserve">in </w:t>
      </w:r>
      <w:r w:rsidR="005D17BE" w:rsidRPr="005D17BE">
        <w:rPr>
          <w:rFonts w:ascii="Garamond" w:hAnsi="Garamond"/>
          <w:i/>
        </w:rPr>
        <w:t>B</w:t>
      </w:r>
      <w:r w:rsidR="00832B9C" w:rsidRPr="005D17BE">
        <w:rPr>
          <w:rFonts w:ascii="Garamond" w:hAnsi="Garamond"/>
          <w:i/>
        </w:rPr>
        <w:t>oll</w:t>
      </w:r>
      <w:r w:rsidR="00832B9C" w:rsidRPr="00921CF6">
        <w:rPr>
          <w:rFonts w:ascii="Garamond" w:hAnsi="Garamond"/>
        </w:rPr>
        <w:t>. 31/2016.</w:t>
      </w:r>
    </w:p>
  </w:footnote>
  <w:footnote w:id="5">
    <w:p w:rsidR="00B96AF1" w:rsidRPr="00774F17" w:rsidRDefault="00B96AF1" w:rsidP="00921CF6">
      <w:pPr>
        <w:pStyle w:val="Testonotaapidipagina"/>
        <w:ind w:right="-540"/>
        <w:rPr>
          <w:rFonts w:ascii="Garamond" w:hAnsi="Garamond"/>
        </w:rPr>
      </w:pPr>
      <w:r w:rsidRPr="00921CF6">
        <w:rPr>
          <w:rStyle w:val="Rimandonotaapidipagina"/>
          <w:rFonts w:ascii="Garamond" w:hAnsi="Garamond"/>
        </w:rPr>
        <w:footnoteRef/>
      </w:r>
      <w:r w:rsidRPr="00921CF6">
        <w:rPr>
          <w:rFonts w:ascii="Garamond" w:hAnsi="Garamond"/>
        </w:rPr>
        <w:t xml:space="preserve"> </w:t>
      </w:r>
      <w:r w:rsidRPr="00774F17">
        <w:rPr>
          <w:rFonts w:ascii="Garamond" w:hAnsi="Garamond"/>
        </w:rPr>
        <w:t>Cfr.</w:t>
      </w:r>
      <w:r w:rsidR="00DF73E4" w:rsidRPr="00774F17">
        <w:rPr>
          <w:rFonts w:ascii="Garamond" w:hAnsi="Garamond"/>
        </w:rPr>
        <w:t xml:space="preserve"> da ultimo </w:t>
      </w:r>
      <w:r w:rsidRPr="00774F17">
        <w:rPr>
          <w:rFonts w:ascii="Garamond" w:hAnsi="Garamond"/>
        </w:rPr>
        <w:t xml:space="preserve">AS 1554 </w:t>
      </w:r>
      <w:r w:rsidRPr="00774F17">
        <w:rPr>
          <w:rFonts w:ascii="Garamond" w:hAnsi="Garamond"/>
          <w:i/>
        </w:rPr>
        <w:t>R</w:t>
      </w:r>
      <w:r w:rsidR="005D17BE" w:rsidRPr="00774F17">
        <w:rPr>
          <w:rFonts w:ascii="Garamond" w:hAnsi="Garamond"/>
          <w:i/>
        </w:rPr>
        <w:t>egione Sicilia</w:t>
      </w:r>
      <w:r w:rsidRPr="00774F17">
        <w:rPr>
          <w:rFonts w:ascii="Garamond" w:hAnsi="Garamond"/>
          <w:i/>
        </w:rPr>
        <w:t xml:space="preserve"> </w:t>
      </w:r>
      <w:r w:rsidR="005D17BE" w:rsidRPr="00774F17">
        <w:rPr>
          <w:rFonts w:ascii="Garamond" w:hAnsi="Garamond"/>
          <w:i/>
        </w:rPr>
        <w:t>-</w:t>
      </w:r>
      <w:r w:rsidRPr="00774F17">
        <w:rPr>
          <w:rFonts w:ascii="Garamond" w:hAnsi="Garamond"/>
          <w:i/>
        </w:rPr>
        <w:t>D</w:t>
      </w:r>
      <w:r w:rsidR="005D17BE" w:rsidRPr="00774F17">
        <w:rPr>
          <w:rFonts w:ascii="Garamond" w:hAnsi="Garamond"/>
          <w:i/>
        </w:rPr>
        <w:t>isciplina dell’esercizio dell’attività di ottico</w:t>
      </w:r>
      <w:r w:rsidR="005D17BE" w:rsidRPr="00774F17">
        <w:rPr>
          <w:rFonts w:ascii="Garamond" w:hAnsi="Garamond"/>
        </w:rPr>
        <w:t xml:space="preserve">, </w:t>
      </w:r>
      <w:r w:rsidRPr="00774F17">
        <w:rPr>
          <w:rFonts w:ascii="Garamond" w:hAnsi="Garamond"/>
        </w:rPr>
        <w:t>14 novembre 2018</w:t>
      </w:r>
      <w:r w:rsidR="003D6D65" w:rsidRPr="00774F17">
        <w:rPr>
          <w:rFonts w:ascii="Garamond" w:hAnsi="Garamond"/>
        </w:rPr>
        <w:t xml:space="preserve">, in </w:t>
      </w:r>
      <w:r w:rsidR="003D6D65" w:rsidRPr="00774F17">
        <w:rPr>
          <w:rFonts w:ascii="Garamond" w:hAnsi="Garamond"/>
          <w:i/>
        </w:rPr>
        <w:t>Boll</w:t>
      </w:r>
      <w:r w:rsidR="003D6D65" w:rsidRPr="00774F17">
        <w:rPr>
          <w:rFonts w:ascii="Garamond" w:hAnsi="Garamond"/>
        </w:rPr>
        <w:t>. 2/2019,</w:t>
      </w:r>
      <w:r w:rsidR="00092B83" w:rsidRPr="00774F17">
        <w:rPr>
          <w:rFonts w:ascii="Garamond" w:hAnsi="Garamond"/>
        </w:rPr>
        <w:t xml:space="preserve"> e</w:t>
      </w:r>
      <w:r w:rsidRPr="00774F17">
        <w:rPr>
          <w:rFonts w:ascii="Garamond" w:hAnsi="Garamond"/>
        </w:rPr>
        <w:t xml:space="preserve"> AS</w:t>
      </w:r>
      <w:r w:rsidR="00FE7EB5" w:rsidRPr="00774F17">
        <w:rPr>
          <w:rFonts w:ascii="Garamond" w:hAnsi="Garamond"/>
        </w:rPr>
        <w:t>1591</w:t>
      </w:r>
      <w:r w:rsidRPr="00774F17">
        <w:rPr>
          <w:rFonts w:ascii="Garamond" w:hAnsi="Garamond"/>
          <w:i/>
        </w:rPr>
        <w:t xml:space="preserve"> C</w:t>
      </w:r>
      <w:r w:rsidR="003D6D65" w:rsidRPr="00774F17">
        <w:rPr>
          <w:rFonts w:ascii="Garamond" w:hAnsi="Garamond"/>
          <w:i/>
        </w:rPr>
        <w:t>ittà Metropolitana di Palermo –</w:t>
      </w:r>
      <w:r w:rsidRPr="00774F17">
        <w:rPr>
          <w:rFonts w:ascii="Garamond" w:hAnsi="Garamond"/>
          <w:i/>
        </w:rPr>
        <w:t xml:space="preserve"> R</w:t>
      </w:r>
      <w:r w:rsidR="003D6D65" w:rsidRPr="00774F17">
        <w:rPr>
          <w:rFonts w:ascii="Garamond" w:hAnsi="Garamond"/>
          <w:i/>
        </w:rPr>
        <w:t>ilascio di licenze per attività di consulenza automobilistica</w:t>
      </w:r>
      <w:r w:rsidR="003D6D65" w:rsidRPr="00774F17">
        <w:rPr>
          <w:rFonts w:ascii="Garamond" w:hAnsi="Garamond"/>
        </w:rPr>
        <w:t>,</w:t>
      </w:r>
      <w:r w:rsidRPr="00774F17">
        <w:rPr>
          <w:rFonts w:ascii="Garamond" w:hAnsi="Garamond"/>
        </w:rPr>
        <w:t xml:space="preserve"> 7 marzo 2019</w:t>
      </w:r>
      <w:r w:rsidR="00FE7EB5" w:rsidRPr="00774F17">
        <w:rPr>
          <w:rFonts w:ascii="Garamond" w:hAnsi="Garamond"/>
        </w:rPr>
        <w:t>, in</w:t>
      </w:r>
      <w:r w:rsidR="00FE7EB5" w:rsidRPr="00774F17">
        <w:rPr>
          <w:rFonts w:ascii="Garamond" w:hAnsi="Garamond"/>
          <w:i/>
        </w:rPr>
        <w:t xml:space="preserve"> Boll</w:t>
      </w:r>
      <w:r w:rsidR="00FE7EB5" w:rsidRPr="00774F17">
        <w:rPr>
          <w:rFonts w:ascii="Garamond" w:hAnsi="Garamond"/>
        </w:rPr>
        <w:t>. 26/2019</w:t>
      </w:r>
      <w:r w:rsidRPr="00774F17">
        <w:rPr>
          <w:rFonts w:ascii="Garamond" w:hAnsi="Garamond"/>
        </w:rPr>
        <w:t>.</w:t>
      </w:r>
    </w:p>
  </w:footnote>
  <w:footnote w:id="6">
    <w:p w:rsidR="005F0E20" w:rsidRPr="00774F17" w:rsidRDefault="005F0E20" w:rsidP="00921CF6">
      <w:pPr>
        <w:pStyle w:val="Testonotaapidipagina"/>
        <w:ind w:right="-540"/>
        <w:rPr>
          <w:rFonts w:ascii="Garamond" w:hAnsi="Garamond"/>
        </w:rPr>
      </w:pPr>
      <w:r w:rsidRPr="00774F17">
        <w:rPr>
          <w:rStyle w:val="Rimandonotaapidipagina"/>
          <w:rFonts w:ascii="Garamond" w:hAnsi="Garamond"/>
        </w:rPr>
        <w:footnoteRef/>
      </w:r>
      <w:r w:rsidRPr="00774F17">
        <w:rPr>
          <w:rFonts w:ascii="Garamond" w:hAnsi="Garamond"/>
        </w:rPr>
        <w:t xml:space="preserve"> Come peraltro auspicato dall’Autorità nella sua segnalazione AS1153</w:t>
      </w:r>
      <w:r w:rsidR="00A62167" w:rsidRPr="00774F17">
        <w:rPr>
          <w:rFonts w:ascii="Garamond" w:hAnsi="Garamond"/>
        </w:rPr>
        <w:t xml:space="preserve"> </w:t>
      </w:r>
      <w:r w:rsidR="00A62167" w:rsidRPr="00774F17">
        <w:rPr>
          <w:rFonts w:ascii="Garamond" w:hAnsi="Garamond"/>
          <w:i/>
        </w:rPr>
        <w:t xml:space="preserve">Allegato </w:t>
      </w:r>
      <w:r w:rsidR="0039213F" w:rsidRPr="00774F17">
        <w:rPr>
          <w:rFonts w:ascii="Garamond" w:hAnsi="Garamond"/>
          <w:i/>
        </w:rPr>
        <w:t xml:space="preserve">A </w:t>
      </w:r>
      <w:r w:rsidR="00A62167" w:rsidRPr="00774F17">
        <w:rPr>
          <w:rFonts w:ascii="Garamond" w:hAnsi="Garamond"/>
          <w:i/>
        </w:rPr>
        <w:t>della legge regionale n.</w:t>
      </w:r>
      <w:r w:rsidR="0039213F" w:rsidRPr="00774F17">
        <w:rPr>
          <w:rFonts w:ascii="Garamond" w:hAnsi="Garamond"/>
          <w:i/>
        </w:rPr>
        <w:t xml:space="preserve"> 12/2011: C</w:t>
      </w:r>
      <w:r w:rsidR="00A62167" w:rsidRPr="00774F17">
        <w:rPr>
          <w:rFonts w:ascii="Garamond" w:hAnsi="Garamond"/>
          <w:i/>
        </w:rPr>
        <w:t>odice delle attività e delle imprese funebri</w:t>
      </w:r>
      <w:r w:rsidR="0039213F" w:rsidRPr="00774F17">
        <w:rPr>
          <w:rFonts w:ascii="Garamond" w:hAnsi="Garamond"/>
          <w:i/>
        </w:rPr>
        <w:t xml:space="preserve">, </w:t>
      </w:r>
      <w:r w:rsidR="00A62167" w:rsidRPr="00774F17">
        <w:rPr>
          <w:rFonts w:ascii="Garamond" w:hAnsi="Garamond"/>
          <w:i/>
        </w:rPr>
        <w:t>come modificata dalla L</w:t>
      </w:r>
      <w:r w:rsidR="0039213F" w:rsidRPr="00774F17">
        <w:rPr>
          <w:rFonts w:ascii="Garamond" w:hAnsi="Garamond"/>
          <w:i/>
        </w:rPr>
        <w:t>.R. C</w:t>
      </w:r>
      <w:r w:rsidR="00A62167" w:rsidRPr="00774F17">
        <w:rPr>
          <w:rFonts w:ascii="Garamond" w:hAnsi="Garamond"/>
          <w:i/>
        </w:rPr>
        <w:t xml:space="preserve">ampania </w:t>
      </w:r>
      <w:r w:rsidR="0039213F" w:rsidRPr="00774F17">
        <w:rPr>
          <w:rFonts w:ascii="Garamond" w:hAnsi="Garamond"/>
          <w:i/>
        </w:rPr>
        <w:t xml:space="preserve">25 </w:t>
      </w:r>
      <w:r w:rsidR="00A62167" w:rsidRPr="00774F17">
        <w:rPr>
          <w:rFonts w:ascii="Garamond" w:hAnsi="Garamond"/>
          <w:i/>
        </w:rPr>
        <w:t>luglio</w:t>
      </w:r>
      <w:r w:rsidR="0039213F" w:rsidRPr="00774F17">
        <w:rPr>
          <w:rFonts w:ascii="Garamond" w:hAnsi="Garamond"/>
          <w:i/>
        </w:rPr>
        <w:t xml:space="preserve"> 2013</w:t>
      </w:r>
      <w:r w:rsidR="0039213F" w:rsidRPr="00774F17">
        <w:rPr>
          <w:rFonts w:ascii="Garamond" w:hAnsi="Garamond"/>
        </w:rPr>
        <w:t xml:space="preserve">, </w:t>
      </w:r>
      <w:r w:rsidR="00A62167" w:rsidRPr="00774F17">
        <w:rPr>
          <w:rFonts w:ascii="Garamond" w:hAnsi="Garamond"/>
        </w:rPr>
        <w:t>n</w:t>
      </w:r>
      <w:r w:rsidR="0039213F" w:rsidRPr="00774F17">
        <w:rPr>
          <w:rFonts w:ascii="Garamond" w:hAnsi="Garamond"/>
        </w:rPr>
        <w:t>. 7,</w:t>
      </w:r>
      <w:r w:rsidR="00A517D5" w:rsidRPr="00774F17">
        <w:rPr>
          <w:rFonts w:ascii="Garamond" w:hAnsi="Garamond"/>
        </w:rPr>
        <w:t xml:space="preserve"> 22 ottobre 2014</w:t>
      </w:r>
      <w:r w:rsidR="0039213F" w:rsidRPr="00774F17">
        <w:rPr>
          <w:rFonts w:ascii="Garamond" w:hAnsi="Garamond"/>
        </w:rPr>
        <w:t xml:space="preserve"> in </w:t>
      </w:r>
      <w:r w:rsidR="007146CF" w:rsidRPr="00774F17">
        <w:rPr>
          <w:rFonts w:ascii="Garamond" w:hAnsi="Garamond"/>
          <w:i/>
        </w:rPr>
        <w:t>B</w:t>
      </w:r>
      <w:r w:rsidR="0039213F" w:rsidRPr="00774F17">
        <w:rPr>
          <w:rFonts w:ascii="Garamond" w:hAnsi="Garamond"/>
          <w:i/>
        </w:rPr>
        <w:t>oll</w:t>
      </w:r>
      <w:r w:rsidR="0039213F" w:rsidRPr="00774F17">
        <w:rPr>
          <w:rFonts w:ascii="Garamond" w:hAnsi="Garamond"/>
        </w:rPr>
        <w:t>. 43/2014, in cui l’Autorità ha affermato che “</w:t>
      </w:r>
      <w:r w:rsidR="0039213F" w:rsidRPr="00EB38AC">
        <w:rPr>
          <w:rFonts w:ascii="Garamond" w:hAnsi="Garamond" w:cs="Verdana"/>
          <w:i/>
          <w:color w:val="000000"/>
        </w:rPr>
        <w:t>Sarebbe del pari auspicabile che la Regione Campania sostituisse il regime autorizzatorio previsto dall’articolo 8-</w:t>
      </w:r>
      <w:r w:rsidR="0039213F" w:rsidRPr="00EB38AC">
        <w:rPr>
          <w:rFonts w:ascii="Garamond" w:hAnsi="Garamond" w:cs="Verdana"/>
          <w:i/>
          <w:iCs/>
          <w:color w:val="000000"/>
        </w:rPr>
        <w:t xml:space="preserve">quater </w:t>
      </w:r>
      <w:r w:rsidR="0039213F" w:rsidRPr="00EB38AC">
        <w:rPr>
          <w:rFonts w:ascii="Garamond" w:hAnsi="Garamond" w:cs="Verdana"/>
          <w:i/>
          <w:color w:val="000000"/>
        </w:rPr>
        <w:t>con la presentazione della Segnalazione Certificata di inizio Attività (SCIA) ai sensi dell’articolo 19, comma 2, della L. n. 241/90, al fine di rendere compatibile la regolamentazione regionale con i principi di liberalizzazione posti dall’articolo 14, comma 1, del Decreto Legislativo n. 59/10, secondo cui i “</w:t>
      </w:r>
      <w:r w:rsidR="0039213F" w:rsidRPr="00EB38AC">
        <w:rPr>
          <w:rFonts w:ascii="Garamond" w:hAnsi="Garamond" w:cs="Verdana"/>
          <w:i/>
          <w:iCs/>
          <w:color w:val="000000"/>
        </w:rPr>
        <w:t>regimi autorizzatori possono essere istituiti o mantenuti solo se giustificati da motivi imperativi di interesse generale, nel rispetto dei principi di non discriminazione, di proporzionalità, nonché delle disposizioni di cui al presente titolo</w:t>
      </w:r>
      <w:r w:rsidR="0039213F" w:rsidRPr="00EB38AC">
        <w:rPr>
          <w:rFonts w:ascii="Garamond" w:hAnsi="Garamond" w:cs="Verdana"/>
          <w:i/>
          <w:color w:val="000000"/>
        </w:rPr>
        <w:t>”.</w:t>
      </w:r>
    </w:p>
  </w:footnote>
  <w:footnote w:id="7">
    <w:p w:rsidR="00030D12" w:rsidRPr="00EB38AC" w:rsidRDefault="00030D12" w:rsidP="00921CF6">
      <w:pPr>
        <w:pStyle w:val="Testonotaapidipagina"/>
        <w:ind w:right="-540"/>
      </w:pPr>
      <w:r w:rsidRPr="00774F17">
        <w:rPr>
          <w:rStyle w:val="Rimandonotaapidipagina"/>
          <w:rFonts w:ascii="Garamond" w:hAnsi="Garamond"/>
        </w:rPr>
        <w:footnoteRef/>
      </w:r>
      <w:r w:rsidRPr="00774F17">
        <w:rPr>
          <w:rFonts w:ascii="Garamond" w:hAnsi="Garamond"/>
        </w:rPr>
        <w:t xml:space="preserve"> AS1153 4 A</w:t>
      </w:r>
      <w:r w:rsidR="007146CF" w:rsidRPr="00774F17">
        <w:rPr>
          <w:rFonts w:ascii="Garamond" w:hAnsi="Garamond"/>
        </w:rPr>
        <w:t>llegato A della legge regionale n</w:t>
      </w:r>
      <w:r w:rsidRPr="00774F17">
        <w:rPr>
          <w:rFonts w:ascii="Garamond" w:hAnsi="Garamond"/>
        </w:rPr>
        <w:t xml:space="preserve">. 12/2011: </w:t>
      </w:r>
      <w:r w:rsidRPr="00774F17">
        <w:rPr>
          <w:rFonts w:ascii="Garamond" w:hAnsi="Garamond"/>
          <w:i/>
        </w:rPr>
        <w:t>C</w:t>
      </w:r>
      <w:r w:rsidR="007146CF" w:rsidRPr="00A01BFD">
        <w:rPr>
          <w:rFonts w:ascii="Garamond" w:hAnsi="Garamond"/>
          <w:i/>
        </w:rPr>
        <w:t>odice delle attività e delle imprese funebri, come modificata dalla</w:t>
      </w:r>
      <w:r w:rsidRPr="00A01BFD">
        <w:rPr>
          <w:rFonts w:ascii="Garamond" w:hAnsi="Garamond"/>
          <w:i/>
        </w:rPr>
        <w:t xml:space="preserve"> L.R. C</w:t>
      </w:r>
      <w:r w:rsidR="007146CF" w:rsidRPr="00EB38AC">
        <w:rPr>
          <w:rFonts w:ascii="Garamond" w:hAnsi="Garamond"/>
          <w:i/>
        </w:rPr>
        <w:t xml:space="preserve">ampania </w:t>
      </w:r>
      <w:r w:rsidRPr="00EB38AC">
        <w:rPr>
          <w:rFonts w:ascii="Garamond" w:hAnsi="Garamond"/>
          <w:i/>
        </w:rPr>
        <w:t xml:space="preserve">25 </w:t>
      </w:r>
      <w:r w:rsidR="007146CF" w:rsidRPr="00EB38AC">
        <w:rPr>
          <w:rFonts w:ascii="Garamond" w:hAnsi="Garamond"/>
          <w:i/>
        </w:rPr>
        <w:t xml:space="preserve">luglio </w:t>
      </w:r>
      <w:r w:rsidRPr="00EB38AC">
        <w:rPr>
          <w:rFonts w:ascii="Garamond" w:hAnsi="Garamond"/>
          <w:i/>
        </w:rPr>
        <w:t>2013</w:t>
      </w:r>
      <w:r w:rsidRPr="00EB38AC">
        <w:rPr>
          <w:rFonts w:ascii="Garamond" w:hAnsi="Garamond"/>
        </w:rPr>
        <w:t xml:space="preserve">, </w:t>
      </w:r>
      <w:r w:rsidR="007146CF" w:rsidRPr="00EB38AC">
        <w:rPr>
          <w:rFonts w:ascii="Garamond" w:hAnsi="Garamond"/>
        </w:rPr>
        <w:t>25 ottobre 2014, n</w:t>
      </w:r>
      <w:r w:rsidRPr="00EB38AC">
        <w:rPr>
          <w:rFonts w:ascii="Garamond" w:hAnsi="Garamond"/>
        </w:rPr>
        <w:t xml:space="preserve">. 7, in </w:t>
      </w:r>
      <w:r w:rsidR="007146CF" w:rsidRPr="00EB38AC">
        <w:rPr>
          <w:rFonts w:ascii="Garamond" w:hAnsi="Garamond"/>
          <w:i/>
        </w:rPr>
        <w:t>B</w:t>
      </w:r>
      <w:r w:rsidRPr="00EB38AC">
        <w:rPr>
          <w:rFonts w:ascii="Garamond" w:hAnsi="Garamond"/>
          <w:i/>
        </w:rPr>
        <w:t>oll</w:t>
      </w:r>
      <w:r w:rsidRPr="00EB38AC">
        <w:rPr>
          <w:rFonts w:ascii="Garamond" w:hAnsi="Garamond"/>
        </w:rPr>
        <w:t>. 43/2014.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0A7B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E0B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32C0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6098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082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85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0F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7C27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A3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09A3"/>
    <w:multiLevelType w:val="multilevel"/>
    <w:tmpl w:val="4B16F168"/>
    <w:lvl w:ilvl="0">
      <w:start w:val="1"/>
      <w:numFmt w:val="upperRoman"/>
      <w:lvlText w:val="%1."/>
      <w:lvlJc w:val="left"/>
      <w:pPr>
        <w:ind w:left="567" w:hanging="567"/>
      </w:pPr>
      <w:rPr>
        <w:rFonts w:ascii="Times New Roman" w:hAnsi="Times New Roman" w:hint="default"/>
        <w:b/>
        <w:i w:val="0"/>
        <w:caps/>
        <w:sz w:val="28"/>
      </w:rPr>
    </w:lvl>
    <w:lvl w:ilvl="1">
      <w:start w:val="1"/>
      <w:numFmt w:val="decimal"/>
      <w:lvlText w:val="%1.%2."/>
      <w:lvlJc w:val="left"/>
      <w:pPr>
        <w:ind w:left="737" w:hanging="737"/>
      </w:pPr>
      <w:rPr>
        <w:rFonts w:ascii="Times New Roman" w:hAnsi="Times New Roman" w:hint="default"/>
        <w:b/>
        <w:i/>
        <w:sz w:val="28"/>
      </w:rPr>
    </w:lvl>
    <w:lvl w:ilvl="2">
      <w:start w:val="1"/>
      <w:numFmt w:val="decimal"/>
      <w:lvlText w:val="%1.%2.%3."/>
      <w:lvlJc w:val="left"/>
      <w:pPr>
        <w:ind w:left="1134" w:hanging="1134"/>
      </w:pPr>
      <w:rPr>
        <w:rFonts w:ascii="Times New Roman" w:hAnsi="Times New Roman" w:hint="default"/>
        <w:b w:val="0"/>
        <w:i/>
        <w:sz w:val="28"/>
      </w:rPr>
    </w:lvl>
    <w:lvl w:ilvl="3">
      <w:start w:val="1"/>
      <w:numFmt w:val="lowerLetter"/>
      <w:lvlText w:val="%1.%2.%3.%4."/>
      <w:lvlJc w:val="left"/>
      <w:pPr>
        <w:ind w:left="1134" w:hanging="1134"/>
      </w:pPr>
      <w:rPr>
        <w:rFonts w:ascii="Times New Roman" w:hAnsi="Times New Roman" w:hint="default"/>
        <w:b w:val="0"/>
        <w:i/>
        <w:sz w:val="28"/>
      </w:rPr>
    </w:lvl>
    <w:lvl w:ilvl="4">
      <w:start w:val="1"/>
      <w:numFmt w:val="decimal"/>
      <w:lvlText w:val="%1.%2.%3.%4.%5."/>
      <w:lvlJc w:val="left"/>
      <w:pPr>
        <w:ind w:left="1418" w:hanging="1418"/>
      </w:pPr>
      <w:rPr>
        <w:rFonts w:ascii="Times New Roman" w:hAnsi="Times New Roman" w:hint="default"/>
        <w:b w:val="0"/>
        <w:i/>
        <w:sz w:val="28"/>
      </w:rPr>
    </w:lvl>
    <w:lvl w:ilvl="5">
      <w:start w:val="1"/>
      <w:numFmt w:val="decimal"/>
      <w:lvlText w:val="%1.%2.%3.%4.%5.%6"/>
      <w:lvlJc w:val="left"/>
      <w:pPr>
        <w:ind w:left="1588" w:hanging="1588"/>
      </w:pPr>
      <w:rPr>
        <w:rFonts w:ascii="Times New Roman" w:hAnsi="Times New Roman" w:hint="default"/>
        <w:b w:val="0"/>
        <w:i w:val="0"/>
        <w:sz w:val="28"/>
      </w:rPr>
    </w:lvl>
    <w:lvl w:ilvl="6">
      <w:start w:val="1"/>
      <w:numFmt w:val="decimal"/>
      <w:lvlText w:val="%1.%2.%3.%4.%5.%6.%7"/>
      <w:lvlJc w:val="left"/>
      <w:pPr>
        <w:ind w:left="2714" w:hanging="1296"/>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002" w:hanging="1584"/>
      </w:pPr>
      <w:rPr>
        <w:rFonts w:hint="default"/>
      </w:rPr>
    </w:lvl>
  </w:abstractNum>
  <w:abstractNum w:abstractNumId="11" w15:restartNumberingAfterBreak="0">
    <w:nsid w:val="06EF1DA4"/>
    <w:multiLevelType w:val="hybridMultilevel"/>
    <w:tmpl w:val="69D6B11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93D2765"/>
    <w:multiLevelType w:val="hybridMultilevel"/>
    <w:tmpl w:val="69D6B11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E14EB6"/>
    <w:multiLevelType w:val="multilevel"/>
    <w:tmpl w:val="4B16F168"/>
    <w:numStyleLink w:val="ProvvTitoli"/>
  </w:abstractNum>
  <w:abstractNum w:abstractNumId="14" w15:restartNumberingAfterBreak="0">
    <w:nsid w:val="11273E22"/>
    <w:multiLevelType w:val="multilevel"/>
    <w:tmpl w:val="4B16F168"/>
    <w:numStyleLink w:val="ProvvTitoli"/>
  </w:abstractNum>
  <w:abstractNum w:abstractNumId="15" w15:restartNumberingAfterBreak="0">
    <w:nsid w:val="18A9344B"/>
    <w:multiLevelType w:val="multilevel"/>
    <w:tmpl w:val="4B16F168"/>
    <w:numStyleLink w:val="ProvvTitoli"/>
  </w:abstractNum>
  <w:abstractNum w:abstractNumId="16" w15:restartNumberingAfterBreak="0">
    <w:nsid w:val="27E70A3E"/>
    <w:multiLevelType w:val="multilevel"/>
    <w:tmpl w:val="249AB572"/>
    <w:lvl w:ilvl="0">
      <w:start w:val="1"/>
      <w:numFmt w:val="upperRoman"/>
      <w:pStyle w:val="ProvvTitolo10"/>
      <w:lvlText w:val="%1."/>
      <w:lvlJc w:val="left"/>
      <w:pPr>
        <w:ind w:left="567" w:hanging="567"/>
      </w:pPr>
      <w:rPr>
        <w:rFonts w:ascii="Times New Roman" w:hAnsi="Times New Roman" w:hint="default"/>
        <w:b/>
        <w:i w:val="0"/>
        <w:caps/>
        <w:sz w:val="28"/>
      </w:rPr>
    </w:lvl>
    <w:lvl w:ilvl="1">
      <w:start w:val="1"/>
      <w:numFmt w:val="decimal"/>
      <w:pStyle w:val="ProvvTitolo20"/>
      <w:lvlText w:val="%1.%2."/>
      <w:lvlJc w:val="left"/>
      <w:pPr>
        <w:ind w:left="737" w:hanging="737"/>
      </w:pPr>
      <w:rPr>
        <w:rFonts w:ascii="Times New Roman" w:hAnsi="Times New Roman" w:hint="default"/>
        <w:b/>
        <w:i/>
        <w:sz w:val="28"/>
      </w:rPr>
    </w:lvl>
    <w:lvl w:ilvl="2">
      <w:start w:val="1"/>
      <w:numFmt w:val="decimal"/>
      <w:pStyle w:val="ProvvTitolo30"/>
      <w:lvlText w:val="%1.%2.%3."/>
      <w:lvlJc w:val="left"/>
      <w:pPr>
        <w:ind w:left="1134" w:hanging="1134"/>
      </w:pPr>
      <w:rPr>
        <w:rFonts w:ascii="Times New Roman" w:hAnsi="Times New Roman" w:hint="default"/>
        <w:b w:val="0"/>
        <w:i/>
        <w:sz w:val="28"/>
      </w:rPr>
    </w:lvl>
    <w:lvl w:ilvl="3">
      <w:start w:val="1"/>
      <w:numFmt w:val="lowerLetter"/>
      <w:pStyle w:val="ProvvTitolo40"/>
      <w:lvlText w:val="%1.%2.%3.%4."/>
      <w:lvlJc w:val="left"/>
      <w:pPr>
        <w:ind w:left="1134" w:hanging="1134"/>
      </w:pPr>
      <w:rPr>
        <w:rFonts w:ascii="Times New Roman" w:hAnsi="Times New Roman" w:hint="default"/>
        <w:b w:val="0"/>
        <w:i/>
        <w:sz w:val="28"/>
      </w:rPr>
    </w:lvl>
    <w:lvl w:ilvl="4">
      <w:start w:val="1"/>
      <w:numFmt w:val="decimal"/>
      <w:pStyle w:val="ProvvTitolo50"/>
      <w:lvlText w:val="%1.%2.%3.%4.%5."/>
      <w:lvlJc w:val="left"/>
      <w:pPr>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588" w:hanging="1588"/>
      </w:pPr>
      <w:rPr>
        <w:rFonts w:ascii="Times New Roman" w:hAnsi="Times New Roman" w:hint="default"/>
        <w:b w:val="0"/>
        <w:i w:val="0"/>
        <w:sz w:val="28"/>
      </w:rPr>
    </w:lvl>
    <w:lvl w:ilvl="6">
      <w:start w:val="1"/>
      <w:numFmt w:val="decimal"/>
      <w:lvlText w:val="%1.%2.%3.%4.%5.%6.%7"/>
      <w:lvlJc w:val="left"/>
      <w:pPr>
        <w:ind w:left="2714" w:hanging="2714"/>
      </w:pPr>
      <w:rPr>
        <w:rFonts w:hint="default"/>
      </w:rPr>
    </w:lvl>
    <w:lvl w:ilvl="7">
      <w:start w:val="1"/>
      <w:numFmt w:val="decimal"/>
      <w:lvlText w:val="%1.%2.%3.%4.%5.%6.%7.%8"/>
      <w:lvlJc w:val="left"/>
      <w:pPr>
        <w:ind w:left="2858" w:hanging="2858"/>
      </w:pPr>
      <w:rPr>
        <w:rFonts w:hint="default"/>
      </w:rPr>
    </w:lvl>
    <w:lvl w:ilvl="8">
      <w:start w:val="1"/>
      <w:numFmt w:val="decimal"/>
      <w:lvlText w:val="%1.%2.%3.%4.%5.%6.%7.%8.%9"/>
      <w:lvlJc w:val="left"/>
      <w:pPr>
        <w:ind w:left="3002" w:hanging="3002"/>
      </w:pPr>
      <w:rPr>
        <w:rFonts w:hint="default"/>
      </w:rPr>
    </w:lvl>
  </w:abstractNum>
  <w:abstractNum w:abstractNumId="17" w15:restartNumberingAfterBreak="0">
    <w:nsid w:val="30DD3FB1"/>
    <w:multiLevelType w:val="hybridMultilevel"/>
    <w:tmpl w:val="2FDC8018"/>
    <w:lvl w:ilvl="0" w:tplc="967452F0">
      <w:start w:val="1"/>
      <w:numFmt w:val="decimal"/>
      <w:pStyle w:val="ProvvParagrafoNumerato"/>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4D65CD"/>
    <w:multiLevelType w:val="multilevel"/>
    <w:tmpl w:val="4B16F168"/>
    <w:numStyleLink w:val="ProvvTitoli"/>
  </w:abstractNum>
  <w:abstractNum w:abstractNumId="19" w15:restartNumberingAfterBreak="0">
    <w:nsid w:val="47DA483D"/>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0" w15:restartNumberingAfterBreak="0">
    <w:nsid w:val="54ED3EFB"/>
    <w:multiLevelType w:val="multilevel"/>
    <w:tmpl w:val="4B16F168"/>
    <w:numStyleLink w:val="ProvvTitoli"/>
  </w:abstractNum>
  <w:abstractNum w:abstractNumId="21" w15:restartNumberingAfterBreak="0">
    <w:nsid w:val="5E327083"/>
    <w:multiLevelType w:val="multilevel"/>
    <w:tmpl w:val="4B16F168"/>
    <w:numStyleLink w:val="ProvvTitoli"/>
  </w:abstractNum>
  <w:abstractNum w:abstractNumId="22" w15:restartNumberingAfterBreak="0">
    <w:nsid w:val="6F473A16"/>
    <w:multiLevelType w:val="hybridMultilevel"/>
    <w:tmpl w:val="D1A2D204"/>
    <w:lvl w:ilvl="0" w:tplc="B6C085EA">
      <w:start w:val="1"/>
      <w:numFmt w:val="bullet"/>
      <w:pStyle w:val="ProvvPunt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EF0BDC"/>
    <w:multiLevelType w:val="multilevel"/>
    <w:tmpl w:val="4B16F168"/>
    <w:styleLink w:val="ProvvTitoli"/>
    <w:lvl w:ilvl="0">
      <w:start w:val="1"/>
      <w:numFmt w:val="upperRoman"/>
      <w:lvlText w:val="%1."/>
      <w:lvlJc w:val="left"/>
      <w:pPr>
        <w:ind w:left="567" w:hanging="567"/>
      </w:pPr>
      <w:rPr>
        <w:rFonts w:ascii="Times New Roman" w:hAnsi="Times New Roman" w:hint="default"/>
        <w:b/>
        <w:i w:val="0"/>
        <w:caps/>
        <w:sz w:val="28"/>
      </w:rPr>
    </w:lvl>
    <w:lvl w:ilvl="1">
      <w:start w:val="1"/>
      <w:numFmt w:val="decimal"/>
      <w:lvlText w:val="%1.%2."/>
      <w:lvlJc w:val="left"/>
      <w:pPr>
        <w:ind w:left="737" w:hanging="737"/>
      </w:pPr>
      <w:rPr>
        <w:rFonts w:ascii="Times New Roman" w:hAnsi="Times New Roman" w:hint="default"/>
        <w:b/>
        <w:i/>
        <w:sz w:val="28"/>
      </w:rPr>
    </w:lvl>
    <w:lvl w:ilvl="2">
      <w:start w:val="1"/>
      <w:numFmt w:val="decimal"/>
      <w:lvlText w:val="%1.%2.%3."/>
      <w:lvlJc w:val="left"/>
      <w:pPr>
        <w:ind w:left="1134" w:hanging="1134"/>
      </w:pPr>
      <w:rPr>
        <w:rFonts w:ascii="Times New Roman" w:hAnsi="Times New Roman" w:hint="default"/>
        <w:b w:val="0"/>
        <w:i/>
        <w:sz w:val="28"/>
      </w:rPr>
    </w:lvl>
    <w:lvl w:ilvl="3">
      <w:start w:val="1"/>
      <w:numFmt w:val="lowerLetter"/>
      <w:lvlText w:val="%1.%2.%3.%4."/>
      <w:lvlJc w:val="left"/>
      <w:pPr>
        <w:ind w:left="1134" w:hanging="1134"/>
      </w:pPr>
      <w:rPr>
        <w:rFonts w:ascii="Times New Roman" w:hAnsi="Times New Roman" w:hint="default"/>
        <w:b w:val="0"/>
        <w:i/>
        <w:sz w:val="28"/>
      </w:rPr>
    </w:lvl>
    <w:lvl w:ilvl="4">
      <w:start w:val="1"/>
      <w:numFmt w:val="decimal"/>
      <w:lvlText w:val="%1.%2.%3.%4.%5."/>
      <w:lvlJc w:val="left"/>
      <w:pPr>
        <w:ind w:left="1418" w:hanging="1418"/>
      </w:pPr>
      <w:rPr>
        <w:rFonts w:ascii="Times New Roman" w:hAnsi="Times New Roman" w:hint="default"/>
        <w:b w:val="0"/>
        <w:i/>
        <w:sz w:val="28"/>
      </w:rPr>
    </w:lvl>
    <w:lvl w:ilvl="5">
      <w:start w:val="1"/>
      <w:numFmt w:val="decimal"/>
      <w:lvlText w:val="%1.%2.%3.%4.%5.%6"/>
      <w:lvlJc w:val="left"/>
      <w:pPr>
        <w:ind w:left="1588" w:hanging="1588"/>
      </w:pPr>
      <w:rPr>
        <w:rFonts w:ascii="Times New Roman" w:hAnsi="Times New Roman" w:hint="default"/>
        <w:b w:val="0"/>
        <w:i w:val="0"/>
        <w:sz w:val="28"/>
      </w:rPr>
    </w:lvl>
    <w:lvl w:ilvl="6">
      <w:start w:val="1"/>
      <w:numFmt w:val="decimal"/>
      <w:lvlText w:val="%1.%2.%3.%4.%5.%6.%7"/>
      <w:lvlJc w:val="left"/>
      <w:pPr>
        <w:ind w:left="2714" w:hanging="1296"/>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002" w:hanging="1584"/>
      </w:pPr>
      <w:rPr>
        <w:rFonts w:hint="default"/>
      </w:rPr>
    </w:lvl>
  </w:abstractNum>
  <w:abstractNum w:abstractNumId="24" w15:restartNumberingAfterBreak="0">
    <w:nsid w:val="7756713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B57E1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053E21"/>
    <w:multiLevelType w:val="multilevel"/>
    <w:tmpl w:val="4B16F168"/>
    <w:numStyleLink w:val="ProvvTitoli"/>
  </w:abstractNum>
  <w:num w:numId="1">
    <w:abstractNumId w:val="22"/>
  </w:num>
  <w:num w:numId="2">
    <w:abstractNumId w:val="9"/>
  </w:num>
  <w:num w:numId="3">
    <w:abstractNumId w:val="17"/>
  </w:num>
  <w:num w:numId="4">
    <w:abstractNumId w:val="20"/>
  </w:num>
  <w:num w:numId="5">
    <w:abstractNumId w:val="25"/>
  </w:num>
  <w:num w:numId="6">
    <w:abstractNumId w:val="19"/>
  </w:num>
  <w:num w:numId="7">
    <w:abstractNumId w:val="23"/>
  </w:num>
  <w:num w:numId="8">
    <w:abstractNumId w:val="24"/>
  </w:num>
  <w:num w:numId="9">
    <w:abstractNumId w:val="15"/>
  </w:num>
  <w:num w:numId="10">
    <w:abstractNumId w:val="13"/>
  </w:num>
  <w:num w:numId="11">
    <w:abstractNumId w:val="10"/>
  </w:num>
  <w:num w:numId="12">
    <w:abstractNumId w:val="14"/>
  </w:num>
  <w:num w:numId="13">
    <w:abstractNumId w:val="21"/>
  </w:num>
  <w:num w:numId="14">
    <w:abstractNumId w:val="26"/>
  </w:num>
  <w:num w:numId="15">
    <w:abstractNumId w:val="18"/>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9"/>
    <w:rsid w:val="00004894"/>
    <w:rsid w:val="0001444D"/>
    <w:rsid w:val="00030D12"/>
    <w:rsid w:val="00037456"/>
    <w:rsid w:val="00044C6E"/>
    <w:rsid w:val="00056A30"/>
    <w:rsid w:val="000616DB"/>
    <w:rsid w:val="0008788C"/>
    <w:rsid w:val="00092B83"/>
    <w:rsid w:val="000A08E8"/>
    <w:rsid w:val="000A0F60"/>
    <w:rsid w:val="000B4638"/>
    <w:rsid w:val="000F59FE"/>
    <w:rsid w:val="000F692E"/>
    <w:rsid w:val="00111318"/>
    <w:rsid w:val="00164673"/>
    <w:rsid w:val="00175EB3"/>
    <w:rsid w:val="001C21AD"/>
    <w:rsid w:val="001F09C2"/>
    <w:rsid w:val="002349E5"/>
    <w:rsid w:val="00275D37"/>
    <w:rsid w:val="002828C7"/>
    <w:rsid w:val="00282B15"/>
    <w:rsid w:val="002B1B4C"/>
    <w:rsid w:val="002C6A1D"/>
    <w:rsid w:val="002D4C5B"/>
    <w:rsid w:val="00311560"/>
    <w:rsid w:val="00320F20"/>
    <w:rsid w:val="003327FE"/>
    <w:rsid w:val="00333134"/>
    <w:rsid w:val="00337543"/>
    <w:rsid w:val="0034221E"/>
    <w:rsid w:val="0039213F"/>
    <w:rsid w:val="003A1F1D"/>
    <w:rsid w:val="003B242F"/>
    <w:rsid w:val="003C5E10"/>
    <w:rsid w:val="003D6D65"/>
    <w:rsid w:val="003E33E1"/>
    <w:rsid w:val="004045C0"/>
    <w:rsid w:val="00423F17"/>
    <w:rsid w:val="00424679"/>
    <w:rsid w:val="00424A86"/>
    <w:rsid w:val="00433172"/>
    <w:rsid w:val="00450F0D"/>
    <w:rsid w:val="0045659D"/>
    <w:rsid w:val="00464495"/>
    <w:rsid w:val="00491E17"/>
    <w:rsid w:val="004F6E6C"/>
    <w:rsid w:val="005119AF"/>
    <w:rsid w:val="00592261"/>
    <w:rsid w:val="00593487"/>
    <w:rsid w:val="005B0E7D"/>
    <w:rsid w:val="005C1F55"/>
    <w:rsid w:val="005D0901"/>
    <w:rsid w:val="005D17BE"/>
    <w:rsid w:val="005E1051"/>
    <w:rsid w:val="005E64C9"/>
    <w:rsid w:val="005E74ED"/>
    <w:rsid w:val="005F0E20"/>
    <w:rsid w:val="005F3602"/>
    <w:rsid w:val="005F57C3"/>
    <w:rsid w:val="005F7E37"/>
    <w:rsid w:val="0061779F"/>
    <w:rsid w:val="00620E38"/>
    <w:rsid w:val="00621B7C"/>
    <w:rsid w:val="006515C7"/>
    <w:rsid w:val="006727AF"/>
    <w:rsid w:val="00675473"/>
    <w:rsid w:val="006B7C56"/>
    <w:rsid w:val="006D372C"/>
    <w:rsid w:val="006E0488"/>
    <w:rsid w:val="006E3109"/>
    <w:rsid w:val="006E327E"/>
    <w:rsid w:val="006E7400"/>
    <w:rsid w:val="006F0874"/>
    <w:rsid w:val="0070711F"/>
    <w:rsid w:val="007146CF"/>
    <w:rsid w:val="00733261"/>
    <w:rsid w:val="0074572B"/>
    <w:rsid w:val="007478E3"/>
    <w:rsid w:val="00747DF6"/>
    <w:rsid w:val="00761552"/>
    <w:rsid w:val="00774F17"/>
    <w:rsid w:val="007820F7"/>
    <w:rsid w:val="00786343"/>
    <w:rsid w:val="007A5828"/>
    <w:rsid w:val="007C1162"/>
    <w:rsid w:val="007C4040"/>
    <w:rsid w:val="007C73EC"/>
    <w:rsid w:val="007D079C"/>
    <w:rsid w:val="007D3BE0"/>
    <w:rsid w:val="00807178"/>
    <w:rsid w:val="00812F3E"/>
    <w:rsid w:val="008267A3"/>
    <w:rsid w:val="00832B9C"/>
    <w:rsid w:val="00834D7B"/>
    <w:rsid w:val="008639BE"/>
    <w:rsid w:val="00873613"/>
    <w:rsid w:val="008C038C"/>
    <w:rsid w:val="00921CF6"/>
    <w:rsid w:val="00925E64"/>
    <w:rsid w:val="0092645C"/>
    <w:rsid w:val="00937FF7"/>
    <w:rsid w:val="009765B6"/>
    <w:rsid w:val="00985DF8"/>
    <w:rsid w:val="009D5FB5"/>
    <w:rsid w:val="009D729F"/>
    <w:rsid w:val="009E6A15"/>
    <w:rsid w:val="00A01BFD"/>
    <w:rsid w:val="00A11BBB"/>
    <w:rsid w:val="00A517D5"/>
    <w:rsid w:val="00A62167"/>
    <w:rsid w:val="00A64F85"/>
    <w:rsid w:val="00A83810"/>
    <w:rsid w:val="00A83DC0"/>
    <w:rsid w:val="00AB6F35"/>
    <w:rsid w:val="00AD7FA8"/>
    <w:rsid w:val="00AE1AE6"/>
    <w:rsid w:val="00AF09CC"/>
    <w:rsid w:val="00AF45F0"/>
    <w:rsid w:val="00B406B0"/>
    <w:rsid w:val="00B41491"/>
    <w:rsid w:val="00B5369B"/>
    <w:rsid w:val="00B54146"/>
    <w:rsid w:val="00B8485F"/>
    <w:rsid w:val="00B90326"/>
    <w:rsid w:val="00B93240"/>
    <w:rsid w:val="00B96AF1"/>
    <w:rsid w:val="00BA1896"/>
    <w:rsid w:val="00BA3144"/>
    <w:rsid w:val="00BB0FFC"/>
    <w:rsid w:val="00BB7868"/>
    <w:rsid w:val="00BF362F"/>
    <w:rsid w:val="00C03499"/>
    <w:rsid w:val="00C218F4"/>
    <w:rsid w:val="00C413DF"/>
    <w:rsid w:val="00C505D2"/>
    <w:rsid w:val="00C90E00"/>
    <w:rsid w:val="00CB76CD"/>
    <w:rsid w:val="00CB777C"/>
    <w:rsid w:val="00CF2781"/>
    <w:rsid w:val="00CF4F53"/>
    <w:rsid w:val="00D05140"/>
    <w:rsid w:val="00D070A9"/>
    <w:rsid w:val="00D36044"/>
    <w:rsid w:val="00D468A8"/>
    <w:rsid w:val="00D553AB"/>
    <w:rsid w:val="00D7106C"/>
    <w:rsid w:val="00DA5D9A"/>
    <w:rsid w:val="00DB4149"/>
    <w:rsid w:val="00DC3DE6"/>
    <w:rsid w:val="00DC6A1D"/>
    <w:rsid w:val="00DF73E4"/>
    <w:rsid w:val="00E01AE0"/>
    <w:rsid w:val="00E04551"/>
    <w:rsid w:val="00E071EE"/>
    <w:rsid w:val="00E26795"/>
    <w:rsid w:val="00E55F6A"/>
    <w:rsid w:val="00E6379E"/>
    <w:rsid w:val="00E67EA6"/>
    <w:rsid w:val="00E67FF0"/>
    <w:rsid w:val="00E773DB"/>
    <w:rsid w:val="00E86F31"/>
    <w:rsid w:val="00EA093D"/>
    <w:rsid w:val="00EA094D"/>
    <w:rsid w:val="00EA2B8E"/>
    <w:rsid w:val="00EB38AC"/>
    <w:rsid w:val="00EC2A7E"/>
    <w:rsid w:val="00EE1CA9"/>
    <w:rsid w:val="00EE6393"/>
    <w:rsid w:val="00EF166E"/>
    <w:rsid w:val="00F006B7"/>
    <w:rsid w:val="00F029E7"/>
    <w:rsid w:val="00F43558"/>
    <w:rsid w:val="00F6153C"/>
    <w:rsid w:val="00F62C78"/>
    <w:rsid w:val="00F7702D"/>
    <w:rsid w:val="00F84C8B"/>
    <w:rsid w:val="00FB091D"/>
    <w:rsid w:val="00FB7A01"/>
    <w:rsid w:val="00FE7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F823F3-C77B-4068-B7BB-75EEAA8D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72C"/>
    <w:pPr>
      <w:spacing w:line="360" w:lineRule="atLeast"/>
      <w:jc w:val="both"/>
    </w:pPr>
    <w:rPr>
      <w:sz w:val="28"/>
      <w:szCs w:val="24"/>
    </w:rPr>
  </w:style>
  <w:style w:type="paragraph" w:styleId="Titolo1">
    <w:name w:val="heading 1"/>
    <w:basedOn w:val="Normale"/>
    <w:next w:val="Normale"/>
    <w:link w:val="Titolo1Carattere"/>
    <w:qFormat/>
    <w:rsid w:val="0074572B"/>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74572B"/>
    <w:pPr>
      <w:keepNext/>
      <w:keepLines/>
      <w:numPr>
        <w:ilvl w:val="1"/>
        <w:numId w:val="6"/>
      </w:numPr>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74572B"/>
    <w:pPr>
      <w:keepNext/>
      <w:keepLines/>
      <w:numPr>
        <w:ilvl w:val="2"/>
        <w:numId w:val="6"/>
      </w:numPr>
      <w:spacing w:before="40"/>
      <w:outlineLvl w:val="2"/>
    </w:pPr>
    <w:rPr>
      <w:rFonts w:asciiTheme="majorHAnsi" w:eastAsiaTheme="majorEastAsia" w:hAnsiTheme="majorHAnsi" w:cstheme="majorBidi"/>
      <w:color w:val="243F60" w:themeColor="accent1" w:themeShade="7F"/>
      <w:sz w:val="24"/>
    </w:rPr>
  </w:style>
  <w:style w:type="paragraph" w:styleId="Titolo4">
    <w:name w:val="heading 4"/>
    <w:basedOn w:val="Normale"/>
    <w:next w:val="Normale"/>
    <w:link w:val="Titolo4Carattere"/>
    <w:semiHidden/>
    <w:unhideWhenUsed/>
    <w:qFormat/>
    <w:rsid w:val="0074572B"/>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74572B"/>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74572B"/>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74572B"/>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74572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74572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TabellaFonti">
    <w:name w:val="Provv Tabella Fonti"/>
    <w:basedOn w:val="Normale"/>
    <w:next w:val="Normale"/>
    <w:qFormat/>
    <w:rsid w:val="0045659D"/>
    <w:pPr>
      <w:tabs>
        <w:tab w:val="left" w:pos="4842"/>
      </w:tabs>
      <w:spacing w:line="240" w:lineRule="atLeast"/>
      <w:jc w:val="left"/>
    </w:pPr>
    <w:rPr>
      <w:sz w:val="18"/>
      <w:szCs w:val="20"/>
    </w:rPr>
  </w:style>
  <w:style w:type="paragraph" w:customStyle="1" w:styleId="ProvvTitolo10">
    <w:name w:val="Provv Titolo 1.0"/>
    <w:next w:val="Normale"/>
    <w:qFormat/>
    <w:rsid w:val="00EE1CA9"/>
    <w:pPr>
      <w:keepNext/>
      <w:numPr>
        <w:numId w:val="16"/>
      </w:numPr>
      <w:spacing w:line="360" w:lineRule="atLeast"/>
    </w:pPr>
    <w:rPr>
      <w:b/>
      <w:caps/>
      <w:sz w:val="28"/>
    </w:rPr>
  </w:style>
  <w:style w:type="paragraph" w:customStyle="1" w:styleId="ProvvTitolo40">
    <w:name w:val="Provv Titolo 4.0"/>
    <w:next w:val="Normale"/>
    <w:qFormat/>
    <w:rsid w:val="00E55F6A"/>
    <w:pPr>
      <w:keepNext/>
      <w:numPr>
        <w:ilvl w:val="3"/>
        <w:numId w:val="16"/>
      </w:numPr>
      <w:spacing w:line="360" w:lineRule="atLeast"/>
      <w:ind w:left="851" w:hanging="851"/>
    </w:pPr>
    <w:rPr>
      <w:i/>
      <w:sz w:val="28"/>
    </w:rPr>
  </w:style>
  <w:style w:type="paragraph" w:customStyle="1" w:styleId="ProvvTitolo20">
    <w:name w:val="Provv Titolo 2.0"/>
    <w:next w:val="Normale"/>
    <w:qFormat/>
    <w:rsid w:val="00E55F6A"/>
    <w:pPr>
      <w:keepNext/>
      <w:numPr>
        <w:ilvl w:val="1"/>
        <w:numId w:val="16"/>
      </w:numPr>
      <w:spacing w:line="360" w:lineRule="atLeast"/>
      <w:ind w:left="567" w:hanging="567"/>
    </w:pPr>
    <w:rPr>
      <w:b/>
      <w:i/>
      <w:sz w:val="28"/>
    </w:rPr>
  </w:style>
  <w:style w:type="paragraph" w:customStyle="1" w:styleId="ProvvTitolo50">
    <w:name w:val="Provv Titolo 5.0"/>
    <w:next w:val="Normale"/>
    <w:qFormat/>
    <w:rsid w:val="00E55F6A"/>
    <w:pPr>
      <w:keepNext/>
      <w:numPr>
        <w:ilvl w:val="4"/>
        <w:numId w:val="16"/>
      </w:numPr>
      <w:spacing w:line="360" w:lineRule="atLeast"/>
      <w:ind w:left="1134" w:hanging="1134"/>
    </w:pPr>
    <w:rPr>
      <w:i/>
      <w:sz w:val="28"/>
    </w:rPr>
  </w:style>
  <w:style w:type="paragraph" w:customStyle="1" w:styleId="ProvvTitolo30">
    <w:name w:val="Provv Titolo 3.0"/>
    <w:next w:val="Normale"/>
    <w:qFormat/>
    <w:rsid w:val="00E55F6A"/>
    <w:pPr>
      <w:keepNext/>
      <w:numPr>
        <w:ilvl w:val="2"/>
        <w:numId w:val="16"/>
      </w:numPr>
      <w:spacing w:line="360" w:lineRule="atLeast"/>
      <w:ind w:left="709" w:hanging="709"/>
    </w:pPr>
    <w:rPr>
      <w:i/>
      <w:sz w:val="28"/>
    </w:rPr>
  </w:style>
  <w:style w:type="paragraph" w:styleId="Titolo">
    <w:name w:val="Title"/>
    <w:basedOn w:val="Normale"/>
    <w:next w:val="Normale"/>
    <w:link w:val="TitoloCarattere"/>
    <w:qFormat/>
    <w:rsid w:val="002D4C5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2D4C5B"/>
    <w:rPr>
      <w:rFonts w:asciiTheme="majorHAnsi" w:eastAsiaTheme="majorEastAsia" w:hAnsiTheme="majorHAnsi" w:cstheme="majorBidi"/>
      <w:spacing w:val="-10"/>
      <w:kern w:val="28"/>
      <w:sz w:val="56"/>
      <w:szCs w:val="56"/>
    </w:rPr>
  </w:style>
  <w:style w:type="character" w:styleId="Riferimentointenso">
    <w:name w:val="Intense Reference"/>
    <w:basedOn w:val="Carpredefinitoparagrafo"/>
    <w:uiPriority w:val="32"/>
    <w:qFormat/>
    <w:rsid w:val="002D4C5B"/>
    <w:rPr>
      <w:b/>
      <w:bCs/>
      <w:smallCaps/>
      <w:color w:val="4F81BD" w:themeColor="accent1"/>
      <w:spacing w:val="5"/>
    </w:rPr>
  </w:style>
  <w:style w:type="paragraph" w:customStyle="1" w:styleId="ProvvTabellaTesto">
    <w:name w:val="Provv Tabella Testo"/>
    <w:basedOn w:val="Normale"/>
    <w:link w:val="ProvvTabellaTestoCarattere"/>
    <w:qFormat/>
    <w:rsid w:val="007C1162"/>
    <w:pPr>
      <w:spacing w:before="60" w:after="60" w:line="240" w:lineRule="auto"/>
    </w:pPr>
    <w:rPr>
      <w:sz w:val="20"/>
      <w:szCs w:val="20"/>
    </w:rPr>
  </w:style>
  <w:style w:type="table" w:styleId="Grigliatabella">
    <w:name w:val="Table Grid"/>
    <w:basedOn w:val="Tabellanormale"/>
    <w:rsid w:val="00F8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vvTabellaTestoCarattere">
    <w:name w:val="Provv Tabella Testo Carattere"/>
    <w:basedOn w:val="Carpredefinitoparagrafo"/>
    <w:link w:val="ProvvTabellaTesto"/>
    <w:rsid w:val="007C1162"/>
  </w:style>
  <w:style w:type="paragraph" w:customStyle="1" w:styleId="ProvvTabellaTitolo">
    <w:name w:val="Provv Tabella Titolo"/>
    <w:basedOn w:val="ProvvTabellaTesto"/>
    <w:next w:val="Normale"/>
    <w:link w:val="ProvvTabellaTitoloCarattere"/>
    <w:qFormat/>
    <w:rsid w:val="0045659D"/>
    <w:rPr>
      <w:b/>
      <w:sz w:val="22"/>
      <w:szCs w:val="22"/>
    </w:rPr>
  </w:style>
  <w:style w:type="paragraph" w:styleId="Testonotaapidipagina">
    <w:name w:val="footnote text"/>
    <w:basedOn w:val="Normale"/>
    <w:link w:val="TestonotaapidipaginaCarattere"/>
    <w:semiHidden/>
    <w:unhideWhenUsed/>
    <w:rsid w:val="00F84C8B"/>
    <w:pPr>
      <w:spacing w:line="240" w:lineRule="auto"/>
    </w:pPr>
    <w:rPr>
      <w:sz w:val="20"/>
      <w:szCs w:val="20"/>
    </w:rPr>
  </w:style>
  <w:style w:type="character" w:customStyle="1" w:styleId="ProvvTabellaTitoloCarattere">
    <w:name w:val="Provv Tabella Titolo Carattere"/>
    <w:basedOn w:val="ProvvTabellaTestoCarattere"/>
    <w:link w:val="ProvvTabellaTitolo"/>
    <w:rsid w:val="0045659D"/>
    <w:rPr>
      <w:b/>
      <w:sz w:val="22"/>
      <w:szCs w:val="22"/>
    </w:rPr>
  </w:style>
  <w:style w:type="character" w:customStyle="1" w:styleId="TestonotaapidipaginaCarattere">
    <w:name w:val="Testo nota a piè di pagina Carattere"/>
    <w:basedOn w:val="Carpredefinitoparagrafo"/>
    <w:link w:val="Testonotaapidipagina"/>
    <w:semiHidden/>
    <w:rsid w:val="00F84C8B"/>
  </w:style>
  <w:style w:type="character" w:styleId="Rimandonotaapidipagina">
    <w:name w:val="footnote reference"/>
    <w:basedOn w:val="Carpredefinitoparagrafo"/>
    <w:semiHidden/>
    <w:unhideWhenUsed/>
    <w:rsid w:val="00F84C8B"/>
    <w:rPr>
      <w:vertAlign w:val="superscript"/>
    </w:rPr>
  </w:style>
  <w:style w:type="paragraph" w:customStyle="1" w:styleId="ProvvTestoNotaPiPagina">
    <w:name w:val="Provv Testo Nota Piè Pagina"/>
    <w:basedOn w:val="Testonotaapidipagina"/>
    <w:link w:val="ProvvTestoNotaPiPaginaCarattere"/>
    <w:qFormat/>
    <w:rsid w:val="00F84C8B"/>
    <w:pPr>
      <w:jc w:val="left"/>
    </w:pPr>
  </w:style>
  <w:style w:type="paragraph" w:styleId="Intestazione">
    <w:name w:val="header"/>
    <w:basedOn w:val="Normale"/>
    <w:link w:val="IntestazioneCarattere"/>
    <w:uiPriority w:val="99"/>
    <w:unhideWhenUsed/>
    <w:rsid w:val="007C1162"/>
    <w:pPr>
      <w:tabs>
        <w:tab w:val="center" w:pos="4819"/>
        <w:tab w:val="right" w:pos="9638"/>
      </w:tabs>
      <w:spacing w:line="240" w:lineRule="auto"/>
    </w:pPr>
  </w:style>
  <w:style w:type="character" w:customStyle="1" w:styleId="ProvvTestoNotaPiPaginaCarattere">
    <w:name w:val="Provv Testo Nota Piè Pagina Carattere"/>
    <w:basedOn w:val="TestonotaapidipaginaCarattere"/>
    <w:link w:val="ProvvTestoNotaPiPagina"/>
    <w:rsid w:val="00F84C8B"/>
  </w:style>
  <w:style w:type="character" w:customStyle="1" w:styleId="IntestazioneCarattere">
    <w:name w:val="Intestazione Carattere"/>
    <w:basedOn w:val="Carpredefinitoparagrafo"/>
    <w:link w:val="Intestazione"/>
    <w:uiPriority w:val="99"/>
    <w:rsid w:val="007C1162"/>
    <w:rPr>
      <w:sz w:val="28"/>
      <w:szCs w:val="24"/>
    </w:rPr>
  </w:style>
  <w:style w:type="paragraph" w:styleId="Pidipagina">
    <w:name w:val="footer"/>
    <w:basedOn w:val="Normale"/>
    <w:link w:val="PidipaginaCarattere"/>
    <w:uiPriority w:val="99"/>
    <w:unhideWhenUsed/>
    <w:rsid w:val="007C116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1162"/>
    <w:rPr>
      <w:sz w:val="28"/>
      <w:szCs w:val="24"/>
    </w:rPr>
  </w:style>
  <w:style w:type="paragraph" w:customStyle="1" w:styleId="ProvvNumeroPagina">
    <w:name w:val="Provv Numero Pagina"/>
    <w:basedOn w:val="Pidipagina"/>
    <w:link w:val="ProvvNumeroPaginaCarattere"/>
    <w:qFormat/>
    <w:rsid w:val="007C1162"/>
    <w:pPr>
      <w:jc w:val="right"/>
    </w:pPr>
    <w:rPr>
      <w:sz w:val="22"/>
      <w:szCs w:val="22"/>
    </w:rPr>
  </w:style>
  <w:style w:type="character" w:styleId="Enfasiintensa">
    <w:name w:val="Intense Emphasis"/>
    <w:basedOn w:val="Carpredefinitoparagrafo"/>
    <w:uiPriority w:val="21"/>
    <w:rsid w:val="007C1162"/>
    <w:rPr>
      <w:i/>
      <w:iCs/>
      <w:color w:val="4F81BD" w:themeColor="accent1"/>
    </w:rPr>
  </w:style>
  <w:style w:type="character" w:customStyle="1" w:styleId="ProvvNumeroPaginaCarattere">
    <w:name w:val="Provv Numero Pagina Carattere"/>
    <w:basedOn w:val="PidipaginaCarattere"/>
    <w:link w:val="ProvvNumeroPagina"/>
    <w:rsid w:val="007C1162"/>
    <w:rPr>
      <w:sz w:val="22"/>
      <w:szCs w:val="22"/>
    </w:rPr>
  </w:style>
  <w:style w:type="paragraph" w:styleId="Paragrafoelenco">
    <w:name w:val="List Paragraph"/>
    <w:basedOn w:val="Normale"/>
    <w:uiPriority w:val="34"/>
    <w:qFormat/>
    <w:rsid w:val="007C1162"/>
    <w:pPr>
      <w:ind w:left="720"/>
      <w:contextualSpacing/>
    </w:pPr>
  </w:style>
  <w:style w:type="paragraph" w:customStyle="1" w:styleId="ProvvPuntoElenco">
    <w:name w:val="Provv Punto Elenco"/>
    <w:basedOn w:val="Normale"/>
    <w:link w:val="ProvvPuntoElencoCarattere"/>
    <w:qFormat/>
    <w:rsid w:val="006D372C"/>
    <w:pPr>
      <w:numPr>
        <w:numId w:val="1"/>
      </w:numPr>
      <w:spacing w:after="160"/>
      <w:contextualSpacing/>
    </w:pPr>
    <w:rPr>
      <w:rFonts w:eastAsiaTheme="minorHAnsi" w:cstheme="minorBidi"/>
      <w:szCs w:val="22"/>
      <w:lang w:eastAsia="en-US"/>
    </w:rPr>
  </w:style>
  <w:style w:type="paragraph" w:customStyle="1" w:styleId="ProvvParagrafoNumerato">
    <w:name w:val="Provv Paragrafo Numerato"/>
    <w:basedOn w:val="Normale"/>
    <w:link w:val="ProvvParagrafoNumeratoCarattere"/>
    <w:qFormat/>
    <w:rsid w:val="00E55F6A"/>
    <w:pPr>
      <w:numPr>
        <w:numId w:val="3"/>
      </w:numPr>
      <w:ind w:left="0" w:firstLine="0"/>
    </w:pPr>
  </w:style>
  <w:style w:type="character" w:customStyle="1" w:styleId="ProvvPuntoElencoCarattere">
    <w:name w:val="Provv Punto Elenco Carattere"/>
    <w:basedOn w:val="Carpredefinitoparagrafo"/>
    <w:link w:val="ProvvPuntoElenco"/>
    <w:rsid w:val="006D372C"/>
    <w:rPr>
      <w:rFonts w:eastAsiaTheme="minorHAnsi" w:cstheme="minorBidi"/>
      <w:sz w:val="28"/>
      <w:szCs w:val="22"/>
      <w:lang w:eastAsia="en-US"/>
    </w:rPr>
  </w:style>
  <w:style w:type="character" w:customStyle="1" w:styleId="ProvvParagrafoNumeratoCarattere">
    <w:name w:val="Provv Paragrafo Numerato Carattere"/>
    <w:basedOn w:val="Carpredefinitoparagrafo"/>
    <w:link w:val="ProvvParagrafoNumerato"/>
    <w:rsid w:val="00E55F6A"/>
    <w:rPr>
      <w:sz w:val="28"/>
      <w:szCs w:val="24"/>
    </w:rPr>
  </w:style>
  <w:style w:type="character" w:customStyle="1" w:styleId="Titolo1Carattere">
    <w:name w:val="Titolo 1 Carattere"/>
    <w:basedOn w:val="Carpredefinitoparagrafo"/>
    <w:link w:val="Titolo1"/>
    <w:rsid w:val="0074572B"/>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semiHidden/>
    <w:rsid w:val="0074572B"/>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semiHidden/>
    <w:rsid w:val="0074572B"/>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semiHidden/>
    <w:rsid w:val="0074572B"/>
    <w:rPr>
      <w:rFonts w:asciiTheme="majorHAnsi" w:eastAsiaTheme="majorEastAsia" w:hAnsiTheme="majorHAnsi" w:cstheme="majorBidi"/>
      <w:i/>
      <w:iCs/>
      <w:color w:val="365F91" w:themeColor="accent1" w:themeShade="BF"/>
      <w:sz w:val="28"/>
      <w:szCs w:val="24"/>
    </w:rPr>
  </w:style>
  <w:style w:type="character" w:customStyle="1" w:styleId="Titolo5Carattere">
    <w:name w:val="Titolo 5 Carattere"/>
    <w:basedOn w:val="Carpredefinitoparagrafo"/>
    <w:link w:val="Titolo5"/>
    <w:semiHidden/>
    <w:rsid w:val="0074572B"/>
    <w:rPr>
      <w:rFonts w:asciiTheme="majorHAnsi" w:eastAsiaTheme="majorEastAsia" w:hAnsiTheme="majorHAnsi" w:cstheme="majorBidi"/>
      <w:color w:val="365F91" w:themeColor="accent1" w:themeShade="BF"/>
      <w:sz w:val="28"/>
      <w:szCs w:val="24"/>
    </w:rPr>
  </w:style>
  <w:style w:type="character" w:customStyle="1" w:styleId="Titolo6Carattere">
    <w:name w:val="Titolo 6 Carattere"/>
    <w:basedOn w:val="Carpredefinitoparagrafo"/>
    <w:link w:val="Titolo6"/>
    <w:semiHidden/>
    <w:rsid w:val="0074572B"/>
    <w:rPr>
      <w:rFonts w:asciiTheme="majorHAnsi" w:eastAsiaTheme="majorEastAsia" w:hAnsiTheme="majorHAnsi" w:cstheme="majorBidi"/>
      <w:color w:val="243F60" w:themeColor="accent1" w:themeShade="7F"/>
      <w:sz w:val="28"/>
      <w:szCs w:val="24"/>
    </w:rPr>
  </w:style>
  <w:style w:type="character" w:customStyle="1" w:styleId="Titolo7Carattere">
    <w:name w:val="Titolo 7 Carattere"/>
    <w:basedOn w:val="Carpredefinitoparagrafo"/>
    <w:link w:val="Titolo7"/>
    <w:semiHidden/>
    <w:rsid w:val="0074572B"/>
    <w:rPr>
      <w:rFonts w:asciiTheme="majorHAnsi" w:eastAsiaTheme="majorEastAsia" w:hAnsiTheme="majorHAnsi" w:cstheme="majorBidi"/>
      <w:i/>
      <w:iCs/>
      <w:color w:val="243F60" w:themeColor="accent1" w:themeShade="7F"/>
      <w:sz w:val="28"/>
      <w:szCs w:val="24"/>
    </w:rPr>
  </w:style>
  <w:style w:type="character" w:customStyle="1" w:styleId="Titolo8Carattere">
    <w:name w:val="Titolo 8 Carattere"/>
    <w:basedOn w:val="Carpredefinitoparagrafo"/>
    <w:link w:val="Titolo8"/>
    <w:semiHidden/>
    <w:rsid w:val="0074572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74572B"/>
    <w:rPr>
      <w:rFonts w:asciiTheme="majorHAnsi" w:eastAsiaTheme="majorEastAsia" w:hAnsiTheme="majorHAnsi" w:cstheme="majorBidi"/>
      <w:i/>
      <w:iCs/>
      <w:color w:val="272727" w:themeColor="text1" w:themeTint="D8"/>
      <w:sz w:val="21"/>
      <w:szCs w:val="21"/>
    </w:rPr>
  </w:style>
  <w:style w:type="numbering" w:customStyle="1" w:styleId="ProvvTitoli">
    <w:name w:val="Provv_Titoli"/>
    <w:uiPriority w:val="99"/>
    <w:rsid w:val="0074572B"/>
    <w:pPr>
      <w:numPr>
        <w:numId w:val="7"/>
      </w:numPr>
    </w:pPr>
  </w:style>
  <w:style w:type="paragraph" w:styleId="Sottotitolo">
    <w:name w:val="Subtitle"/>
    <w:basedOn w:val="Normale"/>
    <w:next w:val="Normale"/>
    <w:link w:val="SottotitoloCarattere"/>
    <w:qFormat/>
    <w:rsid w:val="007457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74572B"/>
    <w:rPr>
      <w:rFonts w:asciiTheme="minorHAnsi" w:eastAsiaTheme="minorEastAsia" w:hAnsiTheme="minorHAnsi" w:cstheme="minorBidi"/>
      <w:color w:val="5A5A5A" w:themeColor="text1" w:themeTint="A5"/>
      <w:spacing w:val="15"/>
      <w:sz w:val="22"/>
      <w:szCs w:val="22"/>
    </w:rPr>
  </w:style>
  <w:style w:type="paragraph" w:customStyle="1" w:styleId="ProvvTabellaPrimaRiga">
    <w:name w:val="Provv Tabella Prima Riga"/>
    <w:basedOn w:val="ProvvTabellaTitolo"/>
    <w:link w:val="ProvvTabellaPrimaRigaCarattere"/>
    <w:qFormat/>
    <w:rsid w:val="00E55F6A"/>
  </w:style>
  <w:style w:type="character" w:customStyle="1" w:styleId="ProvvTabellaPrimaRigaCarattere">
    <w:name w:val="Provv Tabella Prima Riga Carattere"/>
    <w:basedOn w:val="ProvvTabellaTitoloCarattere"/>
    <w:link w:val="ProvvTabellaPrimaRiga"/>
    <w:rsid w:val="00E55F6A"/>
    <w:rPr>
      <w:b/>
      <w:sz w:val="22"/>
      <w:szCs w:val="22"/>
    </w:rPr>
  </w:style>
  <w:style w:type="paragraph" w:styleId="Testofumetto">
    <w:name w:val="Balloon Text"/>
    <w:basedOn w:val="Normale"/>
    <w:link w:val="TestofumettoCarattere"/>
    <w:rsid w:val="00B9032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90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006E-AACD-4B34-9BA7-A6567A45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2058</Words>
  <Characters>12789</Characters>
  <Application>Microsoft Office Word</Application>
  <DocSecurity>4</DocSecurity>
  <Lines>106</Lines>
  <Paragraphs>29</Paragraphs>
  <ScaleCrop>false</ScaleCrop>
  <HeadingPairs>
    <vt:vector size="2" baseType="variant">
      <vt:variant>
        <vt:lpstr>Titolo</vt:lpstr>
      </vt:variant>
      <vt:variant>
        <vt:i4>1</vt:i4>
      </vt:variant>
    </vt:vector>
  </HeadingPairs>
  <TitlesOfParts>
    <vt:vector size="1" baseType="lpstr">
      <vt:lpstr>y</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c:title>
  <dc:subject>y</dc:subject>
  <dc:creator>agcmvd</dc:creator>
  <cp:keywords>LP/COMP</cp:keywords>
  <dc:description/>
  <cp:lastModifiedBy>Cdd</cp:lastModifiedBy>
  <cp:revision>2</cp:revision>
  <cp:lastPrinted>2019-11-20T13:05:00Z</cp:lastPrinted>
  <dcterms:created xsi:type="dcterms:W3CDTF">2019-11-20T13:07:00Z</dcterms:created>
  <dcterms:modified xsi:type="dcterms:W3CDTF">2019-11-20T13:07:00Z</dcterms:modified>
</cp:coreProperties>
</file>