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4B" w:rsidRPr="00E9734B" w:rsidRDefault="00E9734B" w:rsidP="00E9734B">
      <w:pPr>
        <w:jc w:val="center"/>
        <w:rPr>
          <w:b/>
          <w:bCs/>
        </w:rPr>
      </w:pPr>
      <w:bookmarkStart w:id="0" w:name="_GoBack"/>
      <w:bookmarkEnd w:id="0"/>
      <w:r w:rsidRPr="00E9734B">
        <w:rPr>
          <w:b/>
          <w:bCs/>
        </w:rPr>
        <w:t>CAMERA DEI DEPUTATI – COMMISSIONE X</w:t>
      </w:r>
    </w:p>
    <w:p w:rsidR="00E9734B" w:rsidRPr="00E9734B" w:rsidRDefault="00E9734B" w:rsidP="00E9734B">
      <w:pPr>
        <w:jc w:val="center"/>
        <w:rPr>
          <w:b/>
          <w:bCs/>
        </w:rPr>
      </w:pPr>
      <w:r w:rsidRPr="00E9734B">
        <w:rPr>
          <w:b/>
          <w:bCs/>
        </w:rPr>
        <w:t xml:space="preserve">AUDIZIONE FEDERAUTO </w:t>
      </w:r>
    </w:p>
    <w:p w:rsidR="00E9734B" w:rsidRDefault="00E9734B" w:rsidP="00E9734B">
      <w:pPr>
        <w:jc w:val="center"/>
        <w:rPr>
          <w:b/>
          <w:bCs/>
        </w:rPr>
      </w:pPr>
      <w:r w:rsidRPr="00E9734B">
        <w:rPr>
          <w:b/>
          <w:bCs/>
        </w:rPr>
        <w:t>PROPOSTA DI PIANO NAZIONALE DI RIPRESA E RESILIENZA  - Doc. XVII, n.18</w:t>
      </w:r>
    </w:p>
    <w:p w:rsidR="00E9734B" w:rsidRDefault="00E9734B" w:rsidP="00E9734B">
      <w:pPr>
        <w:jc w:val="center"/>
        <w:rPr>
          <w:b/>
          <w:bCs/>
        </w:rPr>
      </w:pPr>
    </w:p>
    <w:p w:rsidR="006F253A" w:rsidRDefault="00E9734B" w:rsidP="00E9734B">
      <w:pPr>
        <w:jc w:val="both"/>
        <w:rPr>
          <w:rFonts w:eastAsia="Times New Roman"/>
        </w:rPr>
      </w:pPr>
      <w:r w:rsidRPr="00E9734B">
        <w:rPr>
          <w:rFonts w:eastAsia="Times New Roman"/>
          <w:b/>
          <w:bCs/>
        </w:rPr>
        <w:t>Precondizioni</w:t>
      </w:r>
    </w:p>
    <w:p w:rsidR="00E9734B" w:rsidRDefault="006F253A" w:rsidP="00E9734B">
      <w:pPr>
        <w:jc w:val="both"/>
        <w:rPr>
          <w:rFonts w:eastAsia="Times New Roman"/>
        </w:rPr>
      </w:pPr>
      <w:r>
        <w:rPr>
          <w:rFonts w:eastAsia="Times New Roman"/>
        </w:rPr>
        <w:t>L</w:t>
      </w:r>
      <w:r w:rsidR="00E9734B">
        <w:rPr>
          <w:rFonts w:eastAsia="Times New Roman"/>
        </w:rPr>
        <w:t>’efficacia del PNRR dipenderà dalla presenza di una strategia fondata su poche priorità ed efficaci riforme. Si tratta</w:t>
      </w:r>
      <w:r>
        <w:rPr>
          <w:rFonts w:eastAsia="Times New Roman"/>
        </w:rPr>
        <w:t xml:space="preserve">, a nostro avviso, </w:t>
      </w:r>
      <w:r w:rsidR="00E9734B">
        <w:rPr>
          <w:rFonts w:eastAsia="Times New Roman"/>
        </w:rPr>
        <w:t xml:space="preserve">di un’occasione imperdibile per superare i colli di bottiglia che impediscono da tempo al Paese di crescere. </w:t>
      </w:r>
    </w:p>
    <w:p w:rsidR="006F253A" w:rsidRDefault="006F253A" w:rsidP="00E9734B">
      <w:pPr>
        <w:jc w:val="both"/>
        <w:rPr>
          <w:rFonts w:eastAsia="Times New Roman"/>
        </w:rPr>
      </w:pPr>
      <w:r>
        <w:rPr>
          <w:rFonts w:eastAsia="Times New Roman"/>
        </w:rPr>
        <w:t xml:space="preserve">Rispetto al settore </w:t>
      </w:r>
      <w:r w:rsidR="00D778A1">
        <w:rPr>
          <w:rFonts w:eastAsia="Times New Roman"/>
        </w:rPr>
        <w:t>rappresentato da Federauto</w:t>
      </w:r>
      <w:r>
        <w:rPr>
          <w:rFonts w:eastAsia="Times New Roman"/>
        </w:rPr>
        <w:t xml:space="preserve">, rilevano le seguenti </w:t>
      </w:r>
      <w:r w:rsidR="00D778A1">
        <w:rPr>
          <w:rFonts w:eastAsia="Times New Roman"/>
        </w:rPr>
        <w:t>priorità</w:t>
      </w:r>
      <w:r>
        <w:rPr>
          <w:rFonts w:eastAsia="Times New Roman"/>
        </w:rPr>
        <w:t>.</w:t>
      </w:r>
    </w:p>
    <w:p w:rsidR="006F253A" w:rsidRDefault="006F253A" w:rsidP="00E9734B">
      <w:pPr>
        <w:jc w:val="both"/>
        <w:rPr>
          <w:rFonts w:eastAsia="Times New Roman"/>
        </w:rPr>
      </w:pPr>
    </w:p>
    <w:p w:rsidR="006F253A" w:rsidRDefault="00C14EA8" w:rsidP="00E9734B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Prospettive di Riforma </w:t>
      </w:r>
      <w:r w:rsidR="006F253A" w:rsidRPr="006F253A">
        <w:rPr>
          <w:rFonts w:eastAsia="Times New Roman"/>
          <w:b/>
          <w:bCs/>
        </w:rPr>
        <w:t xml:space="preserve">Fiscale </w:t>
      </w:r>
    </w:p>
    <w:p w:rsidR="00D778A1" w:rsidRDefault="006F253A" w:rsidP="00D778A1">
      <w:pPr>
        <w:jc w:val="both"/>
        <w:rPr>
          <w:rFonts w:eastAsia="Times New Roman"/>
        </w:rPr>
      </w:pPr>
      <w:r>
        <w:rPr>
          <w:rFonts w:eastAsia="Times New Roman"/>
        </w:rPr>
        <w:t>In apertura del PNRR, viene sottolineato che “</w:t>
      </w:r>
      <w:r>
        <w:rPr>
          <w:rFonts w:eastAsia="Times New Roman"/>
          <w:i/>
          <w:iCs/>
        </w:rPr>
        <w:t xml:space="preserve">l’impegno di politica monetaria, pur necessario per affrontare gli shock, non sarà sufficiente se non affiancato da un cambiamento radicale delle politiche fiscali”, </w:t>
      </w:r>
      <w:r>
        <w:rPr>
          <w:rFonts w:eastAsia="Times New Roman"/>
        </w:rPr>
        <w:t xml:space="preserve">ma sono presenti solamente interventi in materia di Irpef. </w:t>
      </w:r>
    </w:p>
    <w:p w:rsidR="00D778A1" w:rsidRDefault="00D778A1" w:rsidP="00D778A1">
      <w:pPr>
        <w:jc w:val="both"/>
      </w:pPr>
      <w:r>
        <w:rPr>
          <w:rFonts w:eastAsia="Times New Roman"/>
        </w:rPr>
        <w:t xml:space="preserve">In tema di autoveicoli  è necessario 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prevedere un intervento per </w:t>
      </w:r>
      <w:r>
        <w:t xml:space="preserve">allineare la fiscalità per le imprese italiane a quella dei Major Market europei garantendo così la corretta competitività di mercato e riequilibrando lo sfavorevole sistema impositivo vigente nel nostro Paese. </w:t>
      </w:r>
    </w:p>
    <w:p w:rsidR="006F253A" w:rsidRPr="006F253A" w:rsidRDefault="00D778A1" w:rsidP="00D778A1">
      <w:pPr>
        <w:jc w:val="both"/>
        <w:rPr>
          <w:rFonts w:eastAsia="Times New Roman"/>
          <w:i/>
          <w:iCs/>
        </w:rPr>
      </w:pPr>
      <w:r w:rsidRPr="00F96831">
        <w:rPr>
          <w:i/>
          <w:iCs/>
          <w:noProof/>
          <w:sz w:val="14"/>
          <w:szCs w:val="14"/>
          <w:lang w:eastAsia="it-IT"/>
        </w:rPr>
        <w:drawing>
          <wp:anchor distT="0" distB="0" distL="114300" distR="114300" simplePos="0" relativeHeight="251663360" behindDoc="0" locked="0" layoutInCell="1" allowOverlap="1" wp14:anchorId="18711B91" wp14:editId="463B39DB">
            <wp:simplePos x="0" y="0"/>
            <wp:positionH relativeFrom="margin">
              <wp:posOffset>-3810</wp:posOffset>
            </wp:positionH>
            <wp:positionV relativeFrom="paragraph">
              <wp:posOffset>27940</wp:posOffset>
            </wp:positionV>
            <wp:extent cx="3299460" cy="32385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6" b="7556"/>
                    <a:stretch/>
                  </pic:blipFill>
                  <pic:spPr bwMode="auto">
                    <a:xfrm>
                      <a:off x="0" y="0"/>
                      <a:ext cx="32994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 </w:t>
      </w:r>
      <w:r w:rsidRPr="00E7331B">
        <w:t xml:space="preserve">quota della domanda business del mercato </w:t>
      </w:r>
      <w:r>
        <w:t>italiano</w:t>
      </w:r>
      <w:r w:rsidRPr="00E7331B">
        <w:t xml:space="preserve"> </w:t>
      </w:r>
      <w:r w:rsidRPr="00E7331B">
        <w:rPr>
          <w:b/>
          <w:bCs/>
        </w:rPr>
        <w:t xml:space="preserve">rispetto agli altri Major Market </w:t>
      </w:r>
      <w:r>
        <w:rPr>
          <w:b/>
          <w:bCs/>
        </w:rPr>
        <w:t>e</w:t>
      </w:r>
      <w:r w:rsidRPr="00E7331B">
        <w:rPr>
          <w:b/>
          <w:bCs/>
        </w:rPr>
        <w:t>uropei</w:t>
      </w:r>
      <w:r>
        <w:t xml:space="preserve"> è molto bassa </w:t>
      </w:r>
    </w:p>
    <w:p w:rsidR="006F253A" w:rsidRPr="006F253A" w:rsidRDefault="006F253A" w:rsidP="00E9734B">
      <w:pPr>
        <w:jc w:val="both"/>
        <w:rPr>
          <w:b/>
          <w:bCs/>
        </w:rPr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Default="00D778A1" w:rsidP="00E9734B">
      <w:pPr>
        <w:jc w:val="center"/>
      </w:pPr>
    </w:p>
    <w:p w:rsidR="00D778A1" w:rsidRPr="006F253A" w:rsidRDefault="00D778A1" w:rsidP="00D778A1">
      <w:pPr>
        <w:jc w:val="both"/>
        <w:rPr>
          <w:rFonts w:eastAsia="Times New Roman"/>
          <w:i/>
          <w:iCs/>
        </w:rPr>
      </w:pPr>
      <w:r>
        <w:t xml:space="preserve">proprio </w:t>
      </w:r>
      <w:r w:rsidRPr="00E7331B">
        <w:t xml:space="preserve">a causa di una </w:t>
      </w:r>
      <w:r w:rsidRPr="00E7331B">
        <w:rPr>
          <w:b/>
          <w:bCs/>
        </w:rPr>
        <w:t>fiscalità penalizzante</w:t>
      </w:r>
      <w:r>
        <w:rPr>
          <w:b/>
          <w:bCs/>
        </w:rPr>
        <w:t xml:space="preserve"> per imprese e professionisti operanti in Italia</w:t>
      </w:r>
    </w:p>
    <w:p w:rsidR="00E9734B" w:rsidRDefault="00D778A1" w:rsidP="00E9734B">
      <w:pPr>
        <w:jc w:val="center"/>
      </w:pPr>
      <w:r w:rsidRPr="00F96831">
        <w:rPr>
          <w:i/>
          <w:iCs/>
          <w:noProof/>
          <w:sz w:val="14"/>
          <w:szCs w:val="14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7815C208" wp14:editId="75C1A3BD">
            <wp:simplePos x="0" y="0"/>
            <wp:positionH relativeFrom="page">
              <wp:posOffset>716280</wp:posOffset>
            </wp:positionH>
            <wp:positionV relativeFrom="paragraph">
              <wp:posOffset>90805</wp:posOffset>
            </wp:positionV>
            <wp:extent cx="3699510" cy="2430780"/>
            <wp:effectExtent l="0" t="0" r="0" b="762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831">
        <w:rPr>
          <w:i/>
          <w:iCs/>
          <w:noProof/>
          <w:sz w:val="14"/>
          <w:szCs w:val="14"/>
          <w:lang w:eastAsia="it-IT"/>
        </w:rPr>
        <w:drawing>
          <wp:anchor distT="0" distB="0" distL="114300" distR="114300" simplePos="0" relativeHeight="251659264" behindDoc="0" locked="0" layoutInCell="1" allowOverlap="1" wp14:anchorId="69DE6772" wp14:editId="14336B91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3299460" cy="222504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6" b="7556"/>
                    <a:stretch/>
                  </pic:blipFill>
                  <pic:spPr bwMode="auto">
                    <a:xfrm>
                      <a:off x="0" y="0"/>
                      <a:ext cx="32994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EA8" w:rsidRPr="00C14EA8" w:rsidRDefault="00C14EA8" w:rsidP="00C14EA8"/>
    <w:p w:rsidR="00C14EA8" w:rsidRPr="00C14EA8" w:rsidRDefault="00C14EA8" w:rsidP="00C14EA8"/>
    <w:p w:rsidR="00C14EA8" w:rsidRPr="00C14EA8" w:rsidRDefault="00C14EA8" w:rsidP="00C14EA8"/>
    <w:p w:rsidR="00C14EA8" w:rsidRPr="00C14EA8" w:rsidRDefault="00C14EA8" w:rsidP="00C14EA8"/>
    <w:p w:rsidR="00C14EA8" w:rsidRPr="00C14EA8" w:rsidRDefault="00C14EA8" w:rsidP="00C14EA8"/>
    <w:p w:rsidR="00C14EA8" w:rsidRPr="00C14EA8" w:rsidRDefault="00C14EA8" w:rsidP="00C14EA8"/>
    <w:p w:rsidR="00C14EA8" w:rsidRPr="00C14EA8" w:rsidRDefault="00C14EA8" w:rsidP="00C14EA8"/>
    <w:p w:rsidR="00C14EA8" w:rsidRPr="00C14EA8" w:rsidRDefault="00C14EA8" w:rsidP="00C14EA8"/>
    <w:p w:rsidR="00C14EA8" w:rsidRDefault="00C14EA8" w:rsidP="00C14EA8"/>
    <w:p w:rsidR="00C14EA8" w:rsidRPr="00C14EA8" w:rsidRDefault="00C14EA8" w:rsidP="00C14EA8">
      <w:pPr>
        <w:jc w:val="both"/>
      </w:pPr>
      <w:r>
        <w:rPr>
          <w:b/>
          <w:bCs/>
        </w:rPr>
        <w:t xml:space="preserve">Missione 2 – “Rivoluzione verde e transizione ecologica” – </w:t>
      </w:r>
      <w:r>
        <w:t xml:space="preserve">Questo obiettivo registra l’assegnazione della maggior quota di risorse: 69,80 miliardi di euro. Un quadro programmatico consistente in cui però non è previsto un adeguato intervento </w:t>
      </w:r>
      <w:proofErr w:type="spellStart"/>
      <w:r>
        <w:t>pluriuennale</w:t>
      </w:r>
      <w:proofErr w:type="spellEnd"/>
      <w:r>
        <w:t xml:space="preserve"> per il rinnovo del parco circolante autovetture, veicoli commerciali ed industriali. Le recenti misure varate in occasione della pandemia hanno mostrato un alto livello di reazione del mercato</w:t>
      </w:r>
      <w:r w:rsidR="007824D9">
        <w:t xml:space="preserve">, ma anche la necessità di uscire dalla logica di provvedimenti che hanno durata breve a causa delle scarsità di risorse finanziarie mezze a disposizione. </w:t>
      </w:r>
      <w:r>
        <w:t xml:space="preserve">  </w:t>
      </w:r>
    </w:p>
    <w:sectPr w:rsidR="00C14EA8" w:rsidRPr="00C14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4B"/>
    <w:rsid w:val="005A0C96"/>
    <w:rsid w:val="00653698"/>
    <w:rsid w:val="006F253A"/>
    <w:rsid w:val="007824D9"/>
    <w:rsid w:val="00C14EA8"/>
    <w:rsid w:val="00D778A1"/>
    <w:rsid w:val="00E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Franco Soranna</dc:creator>
  <cp:lastModifiedBy>Cdd</cp:lastModifiedBy>
  <cp:revision>2</cp:revision>
  <dcterms:created xsi:type="dcterms:W3CDTF">2021-02-02T15:50:00Z</dcterms:created>
  <dcterms:modified xsi:type="dcterms:W3CDTF">2021-02-02T15:50:00Z</dcterms:modified>
</cp:coreProperties>
</file>