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E658" w14:textId="77777777" w:rsidR="000F5E8E" w:rsidRDefault="00E3482F" w:rsidP="00DC6B3D">
      <w:pPr>
        <w:jc w:val="center"/>
        <w:rPr>
          <w:b/>
          <w:bCs/>
          <w:sz w:val="24"/>
          <w:szCs w:val="24"/>
        </w:rPr>
      </w:pPr>
      <w:bookmarkStart w:id="0" w:name="_GoBack"/>
      <w:bookmarkEnd w:id="0"/>
      <w:r>
        <w:rPr>
          <w:b/>
          <w:bCs/>
          <w:sz w:val="24"/>
          <w:szCs w:val="24"/>
        </w:rPr>
        <w:t xml:space="preserve">Memoria </w:t>
      </w:r>
      <w:r w:rsidR="00DC6B3D" w:rsidRPr="00DC6B3D">
        <w:rPr>
          <w:b/>
          <w:bCs/>
          <w:sz w:val="24"/>
          <w:szCs w:val="24"/>
        </w:rPr>
        <w:t>Enel su PNRR (Piano Nazionale Ripresa e Resilienza)</w:t>
      </w:r>
    </w:p>
    <w:p w14:paraId="50E87916" w14:textId="77777777" w:rsidR="00E3482F" w:rsidRDefault="00DC6B3D" w:rsidP="00147B1B">
      <w:pPr>
        <w:jc w:val="both"/>
        <w:rPr>
          <w:sz w:val="24"/>
          <w:szCs w:val="24"/>
        </w:rPr>
      </w:pPr>
      <w:r w:rsidRPr="00147B1B">
        <w:rPr>
          <w:sz w:val="24"/>
          <w:szCs w:val="24"/>
        </w:rPr>
        <w:t xml:space="preserve">Il Gruppo Enel </w:t>
      </w:r>
      <w:r w:rsidR="00A804E9">
        <w:rPr>
          <w:sz w:val="24"/>
          <w:szCs w:val="24"/>
        </w:rPr>
        <w:t xml:space="preserve">in questi mesi </w:t>
      </w:r>
      <w:r w:rsidRPr="00147B1B">
        <w:rPr>
          <w:sz w:val="24"/>
          <w:szCs w:val="24"/>
        </w:rPr>
        <w:t xml:space="preserve">ha </w:t>
      </w:r>
      <w:r w:rsidR="00E3482F">
        <w:rPr>
          <w:sz w:val="24"/>
          <w:szCs w:val="24"/>
        </w:rPr>
        <w:t xml:space="preserve">assistito e supportato </w:t>
      </w:r>
      <w:r w:rsidR="00147B1B" w:rsidRPr="00147B1B">
        <w:rPr>
          <w:sz w:val="24"/>
          <w:szCs w:val="24"/>
        </w:rPr>
        <w:t xml:space="preserve">con </w:t>
      </w:r>
      <w:r w:rsidR="00A804E9">
        <w:rPr>
          <w:sz w:val="24"/>
          <w:szCs w:val="24"/>
        </w:rPr>
        <w:t>grande</w:t>
      </w:r>
      <w:r w:rsidR="00147B1B" w:rsidRPr="00147B1B">
        <w:rPr>
          <w:sz w:val="24"/>
          <w:szCs w:val="24"/>
        </w:rPr>
        <w:t xml:space="preserve"> interesse i vari passaggi istituzionali legati al</w:t>
      </w:r>
      <w:r w:rsidR="00A804E9">
        <w:rPr>
          <w:sz w:val="24"/>
          <w:szCs w:val="24"/>
        </w:rPr>
        <w:t>la definizione del</w:t>
      </w:r>
      <w:r w:rsidR="00147B1B" w:rsidRPr="00147B1B">
        <w:rPr>
          <w:sz w:val="24"/>
          <w:szCs w:val="24"/>
        </w:rPr>
        <w:t xml:space="preserve"> Piano Nazionale Ripresa e Resilienza</w:t>
      </w:r>
      <w:r w:rsidR="00147B1B">
        <w:rPr>
          <w:sz w:val="24"/>
          <w:szCs w:val="24"/>
        </w:rPr>
        <w:t xml:space="preserve"> (PNRR)</w:t>
      </w:r>
      <w:r w:rsidR="00A804E9">
        <w:rPr>
          <w:sz w:val="24"/>
          <w:szCs w:val="24"/>
        </w:rPr>
        <w:t xml:space="preserve">. </w:t>
      </w:r>
    </w:p>
    <w:p w14:paraId="017A26E6" w14:textId="77777777" w:rsidR="0025154E" w:rsidRDefault="0081362C" w:rsidP="00147B1B">
      <w:pPr>
        <w:jc w:val="both"/>
        <w:rPr>
          <w:sz w:val="24"/>
          <w:szCs w:val="24"/>
        </w:rPr>
      </w:pPr>
      <w:r>
        <w:rPr>
          <w:sz w:val="24"/>
          <w:szCs w:val="24"/>
        </w:rPr>
        <w:t>R</w:t>
      </w:r>
      <w:r w:rsidR="0025154E">
        <w:rPr>
          <w:sz w:val="24"/>
          <w:szCs w:val="24"/>
        </w:rPr>
        <w:t>ispetto alle 6 Mission</w:t>
      </w:r>
      <w:r>
        <w:rPr>
          <w:sz w:val="24"/>
          <w:szCs w:val="24"/>
        </w:rPr>
        <w:t>i del PNR</w:t>
      </w:r>
      <w:r w:rsidR="00352858">
        <w:rPr>
          <w:sz w:val="24"/>
          <w:szCs w:val="24"/>
        </w:rPr>
        <w:t>R</w:t>
      </w:r>
      <w:r>
        <w:rPr>
          <w:sz w:val="24"/>
          <w:szCs w:val="24"/>
        </w:rPr>
        <w:t xml:space="preserve">, </w:t>
      </w:r>
      <w:r w:rsidRPr="0081362C">
        <w:rPr>
          <w:sz w:val="24"/>
          <w:szCs w:val="24"/>
        </w:rPr>
        <w:t>Ene</w:t>
      </w:r>
      <w:r>
        <w:rPr>
          <w:sz w:val="24"/>
          <w:szCs w:val="24"/>
        </w:rPr>
        <w:t xml:space="preserve">l </w:t>
      </w:r>
      <w:r w:rsidR="00DD699E">
        <w:rPr>
          <w:sz w:val="24"/>
          <w:szCs w:val="24"/>
        </w:rPr>
        <w:t>ha focalizzato la propria attenzione</w:t>
      </w:r>
      <w:r w:rsidR="003743F2">
        <w:rPr>
          <w:sz w:val="24"/>
          <w:szCs w:val="24"/>
        </w:rPr>
        <w:t xml:space="preserve"> ed individuato progetti di possibile interesse </w:t>
      </w:r>
      <w:r>
        <w:rPr>
          <w:sz w:val="24"/>
          <w:szCs w:val="24"/>
        </w:rPr>
        <w:t xml:space="preserve">per il rilancio dell’economia e della competitività del Paese </w:t>
      </w:r>
      <w:r w:rsidR="00E3482F">
        <w:rPr>
          <w:sz w:val="24"/>
          <w:szCs w:val="24"/>
        </w:rPr>
        <w:t xml:space="preserve">in particolare nella </w:t>
      </w:r>
      <w:r w:rsidR="00DD699E">
        <w:rPr>
          <w:sz w:val="24"/>
          <w:szCs w:val="24"/>
        </w:rPr>
        <w:t>Missione</w:t>
      </w:r>
      <w:r w:rsidR="008D4097">
        <w:rPr>
          <w:sz w:val="24"/>
          <w:szCs w:val="24"/>
        </w:rPr>
        <w:t xml:space="preserve"> “R</w:t>
      </w:r>
      <w:r w:rsidR="008D4097" w:rsidRPr="008D4097">
        <w:rPr>
          <w:sz w:val="24"/>
          <w:szCs w:val="24"/>
        </w:rPr>
        <w:t>ivoluzione verde e transizione ecologica</w:t>
      </w:r>
      <w:r w:rsidR="008D4097">
        <w:rPr>
          <w:sz w:val="24"/>
          <w:szCs w:val="24"/>
        </w:rPr>
        <w:t xml:space="preserve">” e </w:t>
      </w:r>
      <w:r w:rsidR="00E3482F">
        <w:rPr>
          <w:sz w:val="24"/>
          <w:szCs w:val="24"/>
        </w:rPr>
        <w:t xml:space="preserve">nella </w:t>
      </w:r>
      <w:r w:rsidR="00037252">
        <w:rPr>
          <w:sz w:val="24"/>
          <w:szCs w:val="24"/>
        </w:rPr>
        <w:t>Missione “</w:t>
      </w:r>
      <w:r w:rsidR="0063111D">
        <w:rPr>
          <w:sz w:val="24"/>
          <w:szCs w:val="24"/>
        </w:rPr>
        <w:t>I</w:t>
      </w:r>
      <w:r w:rsidR="0063111D" w:rsidRPr="0063111D">
        <w:rPr>
          <w:sz w:val="24"/>
          <w:szCs w:val="24"/>
        </w:rPr>
        <w:t>nfrastrutture per una mobilità sostenibile</w:t>
      </w:r>
      <w:r w:rsidR="0063111D">
        <w:rPr>
          <w:sz w:val="24"/>
          <w:szCs w:val="24"/>
        </w:rPr>
        <w:t>”.</w:t>
      </w:r>
      <w:r w:rsidR="000C2EA4">
        <w:rPr>
          <w:sz w:val="24"/>
          <w:szCs w:val="24"/>
        </w:rPr>
        <w:t xml:space="preserve"> </w:t>
      </w:r>
    </w:p>
    <w:p w14:paraId="4632FA3B" w14:textId="77777777" w:rsidR="00C43B0B" w:rsidRDefault="00313B10" w:rsidP="00C43B0B">
      <w:pPr>
        <w:jc w:val="both"/>
        <w:rPr>
          <w:sz w:val="24"/>
          <w:szCs w:val="24"/>
        </w:rPr>
      </w:pPr>
      <w:r>
        <w:rPr>
          <w:b/>
          <w:sz w:val="24"/>
          <w:szCs w:val="24"/>
        </w:rPr>
        <w:t>Nell’ambito della Missione “</w:t>
      </w:r>
      <w:r w:rsidR="00E3482F">
        <w:rPr>
          <w:b/>
          <w:sz w:val="24"/>
          <w:szCs w:val="24"/>
        </w:rPr>
        <w:t xml:space="preserve">Rivoluzione </w:t>
      </w:r>
      <w:r>
        <w:rPr>
          <w:b/>
          <w:sz w:val="24"/>
          <w:szCs w:val="24"/>
        </w:rPr>
        <w:t>verde e transizione ecologica” la componente relativa all’</w:t>
      </w:r>
      <w:r w:rsidR="00C43B0B" w:rsidRPr="003743F2">
        <w:rPr>
          <w:b/>
          <w:sz w:val="24"/>
          <w:szCs w:val="24"/>
        </w:rPr>
        <w:t>economia circolare</w:t>
      </w:r>
      <w:r w:rsidR="00C43B0B" w:rsidRPr="00C43B0B">
        <w:rPr>
          <w:sz w:val="24"/>
          <w:szCs w:val="24"/>
        </w:rPr>
        <w:t xml:space="preserve"> rappresenta un nuovo paradigma</w:t>
      </w:r>
      <w:r>
        <w:rPr>
          <w:sz w:val="24"/>
          <w:szCs w:val="24"/>
        </w:rPr>
        <w:t xml:space="preserve"> che</w:t>
      </w:r>
      <w:r w:rsidR="00C43B0B" w:rsidRPr="00C43B0B">
        <w:rPr>
          <w:sz w:val="24"/>
          <w:szCs w:val="24"/>
        </w:rPr>
        <w:t xml:space="preserve"> si sta affermando, a ogni livello e in ogni ambito geografico, come una soluzione realistica per coniugare, attraverso innovazione, competitività e sostenibilità ambientale.</w:t>
      </w:r>
      <w:r w:rsidR="00C43B0B">
        <w:rPr>
          <w:sz w:val="24"/>
          <w:szCs w:val="24"/>
        </w:rPr>
        <w:t xml:space="preserve"> Questo </w:t>
      </w:r>
      <w:r w:rsidR="00C43B0B" w:rsidRPr="00C43B0B">
        <w:rPr>
          <w:sz w:val="24"/>
          <w:szCs w:val="24"/>
        </w:rPr>
        <w:t xml:space="preserve">significa ripensare i modelli di produzione e consumo per ridurre radicalmente il consumo di materie prime vergini e la produzione di rifiuti. </w:t>
      </w:r>
    </w:p>
    <w:p w14:paraId="2CB67783" w14:textId="77777777" w:rsidR="00E3482F" w:rsidRDefault="00914644" w:rsidP="00C43B0B">
      <w:pPr>
        <w:jc w:val="both"/>
        <w:rPr>
          <w:sz w:val="24"/>
          <w:szCs w:val="24"/>
        </w:rPr>
      </w:pPr>
      <w:r w:rsidRPr="00947059">
        <w:rPr>
          <w:b/>
          <w:sz w:val="24"/>
          <w:szCs w:val="24"/>
        </w:rPr>
        <w:t xml:space="preserve">In tal senso </w:t>
      </w:r>
      <w:r w:rsidR="00C43B0B" w:rsidRPr="00947059">
        <w:rPr>
          <w:b/>
          <w:sz w:val="24"/>
          <w:szCs w:val="24"/>
        </w:rPr>
        <w:t xml:space="preserve">Enel </w:t>
      </w:r>
      <w:r w:rsidR="003743F2" w:rsidRPr="00947059">
        <w:rPr>
          <w:b/>
          <w:sz w:val="24"/>
          <w:szCs w:val="24"/>
        </w:rPr>
        <w:t>accoglie con molto favore la decisione del Governo di dedicare risorse alla componente “economia circolare”</w:t>
      </w:r>
      <w:r w:rsidR="00E3482F">
        <w:rPr>
          <w:b/>
          <w:sz w:val="24"/>
          <w:szCs w:val="24"/>
        </w:rPr>
        <w:t>,</w:t>
      </w:r>
      <w:r w:rsidR="003743F2" w:rsidRPr="00947059">
        <w:rPr>
          <w:b/>
          <w:sz w:val="24"/>
          <w:szCs w:val="24"/>
        </w:rPr>
        <w:t xml:space="preserve"> in</w:t>
      </w:r>
      <w:r w:rsidR="00E3482F">
        <w:rPr>
          <w:b/>
          <w:sz w:val="24"/>
          <w:szCs w:val="24"/>
        </w:rPr>
        <w:t xml:space="preserve"> particolare quando in</w:t>
      </w:r>
      <w:r w:rsidR="003743F2" w:rsidRPr="00947059">
        <w:rPr>
          <w:b/>
          <w:sz w:val="24"/>
          <w:szCs w:val="24"/>
        </w:rPr>
        <w:t xml:space="preserve">centrata </w:t>
      </w:r>
      <w:r w:rsidR="00E3482F">
        <w:rPr>
          <w:b/>
          <w:sz w:val="24"/>
          <w:szCs w:val="24"/>
        </w:rPr>
        <w:t>su</w:t>
      </w:r>
      <w:r w:rsidR="003743F2" w:rsidRPr="00947059">
        <w:rPr>
          <w:b/>
          <w:sz w:val="24"/>
          <w:szCs w:val="24"/>
        </w:rPr>
        <w:t xml:space="preserve">l sostegno a progetti innovativi di decarbonizzazione </w:t>
      </w:r>
      <w:r w:rsidR="00E3482F">
        <w:rPr>
          <w:b/>
          <w:sz w:val="24"/>
          <w:szCs w:val="24"/>
        </w:rPr>
        <w:t>coniugati</w:t>
      </w:r>
      <w:r w:rsidR="00313B10">
        <w:rPr>
          <w:b/>
          <w:sz w:val="24"/>
          <w:szCs w:val="24"/>
        </w:rPr>
        <w:t xml:space="preserve">, appunto, </w:t>
      </w:r>
      <w:r w:rsidR="00E3482F">
        <w:rPr>
          <w:b/>
          <w:sz w:val="24"/>
          <w:szCs w:val="24"/>
        </w:rPr>
        <w:t xml:space="preserve">con </w:t>
      </w:r>
      <w:r w:rsidR="003743F2" w:rsidRPr="00947059">
        <w:rPr>
          <w:b/>
          <w:sz w:val="24"/>
          <w:szCs w:val="24"/>
        </w:rPr>
        <w:t>processi di economia circolare</w:t>
      </w:r>
      <w:r w:rsidR="00B57345">
        <w:rPr>
          <w:sz w:val="24"/>
          <w:szCs w:val="24"/>
        </w:rPr>
        <w:t>.</w:t>
      </w:r>
      <w:r w:rsidR="003743F2">
        <w:rPr>
          <w:sz w:val="24"/>
          <w:szCs w:val="24"/>
        </w:rPr>
        <w:t xml:space="preserve"> </w:t>
      </w:r>
    </w:p>
    <w:p w14:paraId="6F13A5DE" w14:textId="77777777" w:rsidR="00C43B0B" w:rsidRDefault="0081362C" w:rsidP="00C43B0B">
      <w:pPr>
        <w:jc w:val="both"/>
        <w:rPr>
          <w:sz w:val="24"/>
          <w:szCs w:val="24"/>
        </w:rPr>
      </w:pPr>
      <w:r>
        <w:rPr>
          <w:sz w:val="24"/>
          <w:szCs w:val="24"/>
        </w:rPr>
        <w:t xml:space="preserve">A tal riguardo, </w:t>
      </w:r>
      <w:r w:rsidR="003743F2">
        <w:rPr>
          <w:sz w:val="24"/>
          <w:szCs w:val="24"/>
        </w:rPr>
        <w:t xml:space="preserve">Enel </w:t>
      </w:r>
      <w:r w:rsidR="00313B10">
        <w:rPr>
          <w:sz w:val="24"/>
          <w:szCs w:val="24"/>
        </w:rPr>
        <w:t>h</w:t>
      </w:r>
      <w:r w:rsidR="003743F2">
        <w:rPr>
          <w:sz w:val="24"/>
          <w:szCs w:val="24"/>
        </w:rPr>
        <w:t>a individuato</w:t>
      </w:r>
      <w:r w:rsidR="00264386">
        <w:rPr>
          <w:sz w:val="24"/>
          <w:szCs w:val="24"/>
        </w:rPr>
        <w:t xml:space="preserve"> e propone</w:t>
      </w:r>
      <w:r w:rsidR="003743F2">
        <w:rPr>
          <w:sz w:val="24"/>
          <w:szCs w:val="24"/>
        </w:rPr>
        <w:t xml:space="preserve"> </w:t>
      </w:r>
      <w:r w:rsidR="00914644" w:rsidRPr="003743F2">
        <w:rPr>
          <w:b/>
          <w:sz w:val="24"/>
          <w:szCs w:val="24"/>
        </w:rPr>
        <w:t xml:space="preserve">progetti volti alla riqualificazione/riconversione industriale green </w:t>
      </w:r>
      <w:r w:rsidR="00914644">
        <w:rPr>
          <w:sz w:val="24"/>
          <w:szCs w:val="24"/>
        </w:rPr>
        <w:t xml:space="preserve">di vari siti di produzione termoelettrica con interventi di valorizzazione del potenziale sviluppo energetico (ad es. PV, storage, </w:t>
      </w:r>
      <w:r w:rsidR="00E3482F">
        <w:rPr>
          <w:sz w:val="24"/>
          <w:szCs w:val="24"/>
        </w:rPr>
        <w:t>riconversione a gas di impianti a carbone</w:t>
      </w:r>
      <w:r w:rsidR="00914644">
        <w:rPr>
          <w:sz w:val="24"/>
          <w:szCs w:val="24"/>
        </w:rPr>
        <w:t xml:space="preserve"> e repowering gas). </w:t>
      </w:r>
      <w:r w:rsidR="00410B99">
        <w:rPr>
          <w:sz w:val="24"/>
          <w:szCs w:val="24"/>
        </w:rPr>
        <w:t>T</w:t>
      </w:r>
      <w:r w:rsidR="00410B99" w:rsidRPr="00410B99">
        <w:rPr>
          <w:sz w:val="24"/>
          <w:szCs w:val="24"/>
        </w:rPr>
        <w:t>ali progetti sono volti a ridurre le emissioni in ottica di economia circolare con interventi complementari di innovazione e sostenibilità aperti al contributo del territorio</w:t>
      </w:r>
      <w:r w:rsidR="00410B99">
        <w:rPr>
          <w:sz w:val="24"/>
          <w:szCs w:val="24"/>
        </w:rPr>
        <w:t xml:space="preserve"> </w:t>
      </w:r>
      <w:r w:rsidR="00C43B0B" w:rsidRPr="00C43B0B">
        <w:rPr>
          <w:sz w:val="24"/>
          <w:szCs w:val="24"/>
        </w:rPr>
        <w:t>per individuare, in maniera condivisa, possibili soluzioni circolari e di lungo periodo, in grado di trasformare queste aree in nuov</w:t>
      </w:r>
      <w:r w:rsidR="00264386">
        <w:rPr>
          <w:sz w:val="24"/>
          <w:szCs w:val="24"/>
        </w:rPr>
        <w:t>e</w:t>
      </w:r>
      <w:r w:rsidR="00C43B0B" w:rsidRPr="00C43B0B">
        <w:rPr>
          <w:sz w:val="24"/>
          <w:szCs w:val="24"/>
        </w:rPr>
        <w:t xml:space="preserve"> opportunità di sviluppo per il territorio</w:t>
      </w:r>
      <w:r w:rsidR="00F068C8">
        <w:rPr>
          <w:sz w:val="24"/>
          <w:szCs w:val="24"/>
        </w:rPr>
        <w:t>.</w:t>
      </w:r>
    </w:p>
    <w:p w14:paraId="5FCF2836" w14:textId="77777777" w:rsidR="00BB2D77" w:rsidRDefault="00F068C8" w:rsidP="00B57345">
      <w:pPr>
        <w:jc w:val="both"/>
        <w:rPr>
          <w:bCs/>
          <w:sz w:val="24"/>
          <w:szCs w:val="24"/>
        </w:rPr>
      </w:pPr>
      <w:r>
        <w:rPr>
          <w:bCs/>
          <w:sz w:val="24"/>
          <w:szCs w:val="24"/>
        </w:rPr>
        <w:t xml:space="preserve">Ulteriori progettualità </w:t>
      </w:r>
      <w:r w:rsidR="00264386">
        <w:rPr>
          <w:bCs/>
          <w:sz w:val="24"/>
          <w:szCs w:val="24"/>
        </w:rPr>
        <w:t>individuate da Enel in materia di economia circolare</w:t>
      </w:r>
      <w:r w:rsidR="00B53544">
        <w:rPr>
          <w:bCs/>
          <w:sz w:val="24"/>
          <w:szCs w:val="24"/>
        </w:rPr>
        <w:t xml:space="preserve"> riguardano possibili soluzioni di</w:t>
      </w:r>
      <w:r w:rsidR="00914644" w:rsidRPr="003743F2">
        <w:rPr>
          <w:bCs/>
          <w:sz w:val="24"/>
          <w:szCs w:val="24"/>
        </w:rPr>
        <w:t xml:space="preserve"> problema</w:t>
      </w:r>
      <w:r w:rsidR="00B53544">
        <w:rPr>
          <w:bCs/>
          <w:sz w:val="24"/>
          <w:szCs w:val="24"/>
        </w:rPr>
        <w:t>tiche</w:t>
      </w:r>
      <w:r w:rsidR="00914644" w:rsidRPr="003743F2">
        <w:rPr>
          <w:bCs/>
          <w:sz w:val="24"/>
          <w:szCs w:val="24"/>
        </w:rPr>
        <w:t xml:space="preserve"> che si porr</w:t>
      </w:r>
      <w:r w:rsidR="00B53544">
        <w:rPr>
          <w:bCs/>
          <w:sz w:val="24"/>
          <w:szCs w:val="24"/>
        </w:rPr>
        <w:t xml:space="preserve">anno </w:t>
      </w:r>
      <w:r w:rsidR="00914644" w:rsidRPr="003743F2">
        <w:rPr>
          <w:bCs/>
          <w:sz w:val="24"/>
          <w:szCs w:val="24"/>
        </w:rPr>
        <w:t>nei prossimi anni,</w:t>
      </w:r>
      <w:r w:rsidR="0081362C">
        <w:rPr>
          <w:bCs/>
          <w:sz w:val="24"/>
          <w:szCs w:val="24"/>
        </w:rPr>
        <w:t xml:space="preserve"> come ad esempio </w:t>
      </w:r>
      <w:r w:rsidR="00914644" w:rsidRPr="003743F2">
        <w:rPr>
          <w:bCs/>
          <w:sz w:val="24"/>
          <w:szCs w:val="24"/>
        </w:rPr>
        <w:t>la dismissione delle pale d</w:t>
      </w:r>
      <w:r w:rsidR="00352858">
        <w:rPr>
          <w:bCs/>
          <w:sz w:val="24"/>
          <w:szCs w:val="24"/>
        </w:rPr>
        <w:t>elle</w:t>
      </w:r>
      <w:r w:rsidR="00914644" w:rsidRPr="003743F2">
        <w:rPr>
          <w:bCs/>
          <w:sz w:val="24"/>
          <w:szCs w:val="24"/>
        </w:rPr>
        <w:t xml:space="preserve"> central</w:t>
      </w:r>
      <w:r w:rsidR="00352858">
        <w:rPr>
          <w:bCs/>
          <w:sz w:val="24"/>
          <w:szCs w:val="24"/>
        </w:rPr>
        <w:t xml:space="preserve">i </w:t>
      </w:r>
      <w:r w:rsidR="00914644" w:rsidRPr="003743F2">
        <w:rPr>
          <w:bCs/>
          <w:sz w:val="24"/>
          <w:szCs w:val="24"/>
        </w:rPr>
        <w:t>eolic</w:t>
      </w:r>
      <w:r w:rsidR="00352858">
        <w:rPr>
          <w:bCs/>
          <w:sz w:val="24"/>
          <w:szCs w:val="24"/>
        </w:rPr>
        <w:t>he</w:t>
      </w:r>
      <w:r w:rsidR="00914644" w:rsidRPr="003743F2">
        <w:rPr>
          <w:bCs/>
          <w:sz w:val="24"/>
          <w:szCs w:val="24"/>
        </w:rPr>
        <w:t xml:space="preserve">. Una sfida che passa dal riuso e dal riciclo, per chiudere </w:t>
      </w:r>
      <w:r w:rsidR="00264386">
        <w:rPr>
          <w:bCs/>
          <w:sz w:val="24"/>
          <w:szCs w:val="24"/>
        </w:rPr>
        <w:t>lo schema</w:t>
      </w:r>
      <w:r w:rsidR="00914644" w:rsidRPr="003743F2">
        <w:rPr>
          <w:bCs/>
          <w:sz w:val="24"/>
          <w:szCs w:val="24"/>
        </w:rPr>
        <w:t xml:space="preserve"> della circolarità e rendere gli impianti green ancora più sostenibili. Con la vetroresina di una pala eolica, per esempio, si possono ricavare molte altre cose, dai mattoni leggeri antisismici agli asfalti drenanti che rendono le strade più sicure</w:t>
      </w:r>
      <w:r w:rsidR="00B53544">
        <w:rPr>
          <w:bCs/>
          <w:sz w:val="24"/>
          <w:szCs w:val="24"/>
        </w:rPr>
        <w:t xml:space="preserve"> (</w:t>
      </w:r>
      <w:r w:rsidR="00372060">
        <w:rPr>
          <w:b/>
          <w:bCs/>
          <w:sz w:val="24"/>
          <w:szCs w:val="24"/>
        </w:rPr>
        <w:t>P</w:t>
      </w:r>
      <w:r w:rsidR="00372060" w:rsidRPr="003743F2">
        <w:rPr>
          <w:b/>
          <w:bCs/>
          <w:sz w:val="24"/>
          <w:szCs w:val="24"/>
        </w:rPr>
        <w:t xml:space="preserve">rogetto </w:t>
      </w:r>
      <w:r w:rsidR="00B53544" w:rsidRPr="003743F2">
        <w:rPr>
          <w:b/>
          <w:bCs/>
          <w:sz w:val="24"/>
          <w:szCs w:val="24"/>
        </w:rPr>
        <w:t xml:space="preserve">New Life </w:t>
      </w:r>
      <w:r w:rsidR="007942B1">
        <w:rPr>
          <w:b/>
          <w:bCs/>
          <w:sz w:val="24"/>
          <w:szCs w:val="24"/>
        </w:rPr>
        <w:t xml:space="preserve">for </w:t>
      </w:r>
      <w:r w:rsidR="00B53544" w:rsidRPr="003743F2">
        <w:rPr>
          <w:b/>
          <w:bCs/>
          <w:sz w:val="24"/>
          <w:szCs w:val="24"/>
        </w:rPr>
        <w:t>Bl</w:t>
      </w:r>
      <w:r w:rsidR="007942B1">
        <w:rPr>
          <w:b/>
          <w:bCs/>
          <w:sz w:val="24"/>
          <w:szCs w:val="24"/>
        </w:rPr>
        <w:t>a</w:t>
      </w:r>
      <w:r w:rsidR="00B53544" w:rsidRPr="003743F2">
        <w:rPr>
          <w:b/>
          <w:bCs/>
          <w:sz w:val="24"/>
          <w:szCs w:val="24"/>
        </w:rPr>
        <w:t>de</w:t>
      </w:r>
      <w:r w:rsidR="00B53544">
        <w:rPr>
          <w:bCs/>
          <w:sz w:val="24"/>
          <w:szCs w:val="24"/>
        </w:rPr>
        <w:t>)</w:t>
      </w:r>
      <w:r w:rsidR="00914644" w:rsidRPr="003743F2">
        <w:rPr>
          <w:bCs/>
          <w:sz w:val="24"/>
          <w:szCs w:val="24"/>
        </w:rPr>
        <w:t>.</w:t>
      </w:r>
    </w:p>
    <w:p w14:paraId="2946957B" w14:textId="77777777" w:rsidR="00BB2D77" w:rsidRPr="00947059" w:rsidRDefault="00BB2D77" w:rsidP="00BB2D77">
      <w:pPr>
        <w:jc w:val="both"/>
        <w:rPr>
          <w:b/>
          <w:bCs/>
          <w:sz w:val="24"/>
          <w:szCs w:val="24"/>
        </w:rPr>
      </w:pPr>
      <w:r>
        <w:rPr>
          <w:bCs/>
          <w:sz w:val="24"/>
          <w:szCs w:val="24"/>
        </w:rPr>
        <w:t>I</w:t>
      </w:r>
      <w:r w:rsidR="00B57345">
        <w:rPr>
          <w:bCs/>
          <w:sz w:val="24"/>
          <w:szCs w:val="24"/>
        </w:rPr>
        <w:t>l PNRR associa la componente “economia circolare” a quella relativa “all’agricoltura sostenibile di impresa” al fine del</w:t>
      </w:r>
      <w:r w:rsidR="00B57345" w:rsidRPr="00B57345">
        <w:rPr>
          <w:bCs/>
          <w:sz w:val="24"/>
          <w:szCs w:val="24"/>
        </w:rPr>
        <w:t>la promozione della sostenibilità ambientale nella filiera dell’agricoltura</w:t>
      </w:r>
      <w:r w:rsidR="00B57345">
        <w:rPr>
          <w:bCs/>
          <w:sz w:val="24"/>
          <w:szCs w:val="24"/>
        </w:rPr>
        <w:t>. Tra i progetti inclusi in tale componente vi sono quelli relativi ai parchi agrisolari che prevedono i</w:t>
      </w:r>
      <w:r w:rsidR="00B57345" w:rsidRPr="00B57345">
        <w:rPr>
          <w:sz w:val="24"/>
          <w:szCs w:val="24"/>
        </w:rPr>
        <w:t>ncentivi per l'ammodernamento dei tetti degli immobili ad uso produttivo nel settore</w:t>
      </w:r>
      <w:r w:rsidR="00B57345">
        <w:rPr>
          <w:sz w:val="24"/>
          <w:szCs w:val="24"/>
        </w:rPr>
        <w:t xml:space="preserve"> </w:t>
      </w:r>
      <w:r w:rsidR="00B57345" w:rsidRPr="00B57345">
        <w:rPr>
          <w:sz w:val="24"/>
          <w:szCs w:val="24"/>
        </w:rPr>
        <w:t>agricolo</w:t>
      </w:r>
      <w:r w:rsidR="00B57345">
        <w:rPr>
          <w:sz w:val="24"/>
          <w:szCs w:val="24"/>
        </w:rPr>
        <w:t xml:space="preserve">, zootecnico e agroindustriale </w:t>
      </w:r>
      <w:r w:rsidR="00B57345" w:rsidRPr="00B57345">
        <w:rPr>
          <w:sz w:val="24"/>
          <w:szCs w:val="24"/>
        </w:rPr>
        <w:t>per incrementare la sostenibilità e l'efficienza energetica</w:t>
      </w:r>
      <w:r w:rsidR="00B57345">
        <w:rPr>
          <w:sz w:val="24"/>
          <w:szCs w:val="24"/>
        </w:rPr>
        <w:t xml:space="preserve"> </w:t>
      </w:r>
      <w:r w:rsidR="00B57345" w:rsidRPr="00B57345">
        <w:rPr>
          <w:sz w:val="24"/>
          <w:szCs w:val="24"/>
        </w:rPr>
        <w:t>del comparto, realizzando inoltre sistemi decentrati di produzione di energia</w:t>
      </w:r>
      <w:r w:rsidR="00B57345">
        <w:rPr>
          <w:sz w:val="24"/>
          <w:szCs w:val="24"/>
        </w:rPr>
        <w:t xml:space="preserve">. </w:t>
      </w:r>
      <w:r w:rsidR="00B57345" w:rsidRPr="00BB2D77">
        <w:rPr>
          <w:b/>
          <w:sz w:val="24"/>
          <w:szCs w:val="24"/>
        </w:rPr>
        <w:t xml:space="preserve">In tal senso Enel auspica che in tali progetti vengano inclusi anche quelli </w:t>
      </w:r>
      <w:r w:rsidRPr="00BB2D77">
        <w:rPr>
          <w:b/>
          <w:sz w:val="24"/>
          <w:szCs w:val="24"/>
        </w:rPr>
        <w:t xml:space="preserve">che valorizzano la </w:t>
      </w:r>
      <w:r w:rsidRPr="00947059">
        <w:rPr>
          <w:b/>
          <w:bCs/>
          <w:sz w:val="24"/>
          <w:szCs w:val="24"/>
        </w:rPr>
        <w:t xml:space="preserve">produzione agricola e produzione energetica, in base alle quali l’attività agricola può essere integrata con l’impianto solare, valorizzando al contempo la bio-diversità e l’ecosistema. </w:t>
      </w:r>
    </w:p>
    <w:p w14:paraId="13E15ED0" w14:textId="77777777" w:rsidR="00BA08A9" w:rsidRDefault="00BA08A9" w:rsidP="009018A3">
      <w:pPr>
        <w:jc w:val="both"/>
        <w:rPr>
          <w:sz w:val="24"/>
          <w:szCs w:val="24"/>
        </w:rPr>
      </w:pPr>
      <w:r>
        <w:rPr>
          <w:sz w:val="24"/>
          <w:szCs w:val="24"/>
        </w:rPr>
        <w:lastRenderedPageBreak/>
        <w:t>Una delle componenti più importanti d</w:t>
      </w:r>
      <w:r w:rsidR="00352858">
        <w:rPr>
          <w:sz w:val="24"/>
          <w:szCs w:val="24"/>
        </w:rPr>
        <w:t>i questa</w:t>
      </w:r>
      <w:r w:rsidR="00313B10">
        <w:rPr>
          <w:sz w:val="24"/>
          <w:szCs w:val="24"/>
        </w:rPr>
        <w:t xml:space="preserve"> Missione </w:t>
      </w:r>
      <w:r w:rsidR="00F746EF">
        <w:rPr>
          <w:sz w:val="24"/>
          <w:szCs w:val="24"/>
        </w:rPr>
        <w:t>è</w:t>
      </w:r>
      <w:r>
        <w:rPr>
          <w:sz w:val="24"/>
          <w:szCs w:val="24"/>
        </w:rPr>
        <w:t xml:space="preserve"> </w:t>
      </w:r>
      <w:r w:rsidR="002E79E1">
        <w:rPr>
          <w:sz w:val="24"/>
          <w:szCs w:val="24"/>
        </w:rPr>
        <w:t xml:space="preserve">poi </w:t>
      </w:r>
      <w:r>
        <w:rPr>
          <w:sz w:val="24"/>
          <w:szCs w:val="24"/>
        </w:rPr>
        <w:t xml:space="preserve">quella relativa </w:t>
      </w:r>
      <w:r w:rsidR="009018A3">
        <w:rPr>
          <w:sz w:val="24"/>
          <w:szCs w:val="24"/>
        </w:rPr>
        <w:t>“</w:t>
      </w:r>
      <w:r>
        <w:rPr>
          <w:sz w:val="24"/>
          <w:szCs w:val="24"/>
        </w:rPr>
        <w:t>all’energia rinnovabile, idrogeno e mobilità sostenibile</w:t>
      </w:r>
      <w:r w:rsidR="009018A3">
        <w:rPr>
          <w:sz w:val="24"/>
          <w:szCs w:val="24"/>
        </w:rPr>
        <w:t>”</w:t>
      </w:r>
      <w:r>
        <w:rPr>
          <w:sz w:val="24"/>
          <w:szCs w:val="24"/>
        </w:rPr>
        <w:t xml:space="preserve">. Essa interviene </w:t>
      </w:r>
      <w:r w:rsidRPr="00BA08A9">
        <w:rPr>
          <w:sz w:val="24"/>
          <w:szCs w:val="24"/>
        </w:rPr>
        <w:t>innanzitutto sulla produzione e la distribuzione di energia, favorendo il</w:t>
      </w:r>
      <w:r>
        <w:rPr>
          <w:sz w:val="24"/>
          <w:szCs w:val="24"/>
        </w:rPr>
        <w:t xml:space="preserve"> </w:t>
      </w:r>
      <w:r w:rsidRPr="00BA08A9">
        <w:rPr>
          <w:sz w:val="24"/>
          <w:szCs w:val="24"/>
        </w:rPr>
        <w:t>ricorso alle fonti rinnovabili e predisponendo le infrastrutture necessarie per la loro integra</w:t>
      </w:r>
      <w:r>
        <w:rPr>
          <w:sz w:val="24"/>
          <w:szCs w:val="24"/>
        </w:rPr>
        <w:t>zione</w:t>
      </w:r>
      <w:r w:rsidR="00313B10">
        <w:rPr>
          <w:sz w:val="24"/>
          <w:szCs w:val="24"/>
        </w:rPr>
        <w:t xml:space="preserve">. A tal riguardo, Enel ha </w:t>
      </w:r>
      <w:r w:rsidR="008B271C">
        <w:rPr>
          <w:sz w:val="24"/>
          <w:szCs w:val="24"/>
        </w:rPr>
        <w:t>candidato</w:t>
      </w:r>
      <w:r w:rsidR="00313B10">
        <w:rPr>
          <w:sz w:val="24"/>
          <w:szCs w:val="24"/>
        </w:rPr>
        <w:t xml:space="preserve"> un progetto integrato che non solo è volto alla</w:t>
      </w:r>
      <w:r w:rsidR="00313B10" w:rsidRPr="004009F8">
        <w:rPr>
          <w:b/>
          <w:sz w:val="24"/>
          <w:szCs w:val="24"/>
        </w:rPr>
        <w:t xml:space="preserve"> realizzazione di reti di media e bassa tensione in ottica smart grid e digitalizzazione</w:t>
      </w:r>
      <w:r w:rsidR="00352858">
        <w:rPr>
          <w:sz w:val="24"/>
          <w:szCs w:val="24"/>
        </w:rPr>
        <w:t>,</w:t>
      </w:r>
      <w:r w:rsidR="00313B10">
        <w:rPr>
          <w:sz w:val="24"/>
          <w:szCs w:val="24"/>
        </w:rPr>
        <w:t xml:space="preserve"> ma anche interventi strutturali per </w:t>
      </w:r>
      <w:r w:rsidR="00313B10" w:rsidRPr="00313B10">
        <w:rPr>
          <w:sz w:val="24"/>
          <w:szCs w:val="24"/>
        </w:rPr>
        <w:t xml:space="preserve">l’incremento della </w:t>
      </w:r>
      <w:r w:rsidR="00313B10" w:rsidRPr="004009F8">
        <w:rPr>
          <w:b/>
          <w:sz w:val="24"/>
          <w:szCs w:val="24"/>
        </w:rPr>
        <w:t xml:space="preserve">resilienza </w:t>
      </w:r>
      <w:r w:rsidR="00313B10" w:rsidRPr="00313B10">
        <w:rPr>
          <w:sz w:val="24"/>
          <w:szCs w:val="24"/>
        </w:rPr>
        <w:t>della rete a fronte degli eventi meteo estremi</w:t>
      </w:r>
      <w:r w:rsidR="00313B10">
        <w:rPr>
          <w:sz w:val="24"/>
          <w:szCs w:val="24"/>
        </w:rPr>
        <w:t xml:space="preserve"> nonché </w:t>
      </w:r>
      <w:r w:rsidR="00313B10" w:rsidRPr="00313B10">
        <w:rPr>
          <w:sz w:val="24"/>
          <w:szCs w:val="24"/>
        </w:rPr>
        <w:t xml:space="preserve">interventi infrastrutturali per </w:t>
      </w:r>
      <w:r w:rsidR="00313B10" w:rsidRPr="004009F8">
        <w:rPr>
          <w:b/>
          <w:sz w:val="24"/>
          <w:szCs w:val="24"/>
        </w:rPr>
        <w:t>incrementare la capacità della rete di media tensione di integrare le fonti rinnovabili</w:t>
      </w:r>
      <w:r w:rsidR="00313B10">
        <w:rPr>
          <w:sz w:val="24"/>
          <w:szCs w:val="24"/>
        </w:rPr>
        <w:t>. Tale tipologia di progetti è vitale, ad oggi, per il raggiungimento di obiettivi sempre più sfidanti come quello</w:t>
      </w:r>
      <w:r w:rsidR="009018A3">
        <w:rPr>
          <w:sz w:val="24"/>
          <w:szCs w:val="24"/>
        </w:rPr>
        <w:t xml:space="preserve"> previsto dallo </w:t>
      </w:r>
      <w:r w:rsidR="009018A3" w:rsidRPr="007B6DCE">
        <w:rPr>
          <w:i/>
          <w:sz w:val="24"/>
          <w:szCs w:val="24"/>
        </w:rPr>
        <w:t>European Green Deal</w:t>
      </w:r>
      <w:r w:rsidR="009018A3" w:rsidRPr="009018A3">
        <w:rPr>
          <w:sz w:val="24"/>
          <w:szCs w:val="24"/>
        </w:rPr>
        <w:t xml:space="preserve"> </w:t>
      </w:r>
      <w:r w:rsidR="009018A3">
        <w:rPr>
          <w:sz w:val="24"/>
          <w:szCs w:val="24"/>
        </w:rPr>
        <w:t xml:space="preserve">che prevede la </w:t>
      </w:r>
      <w:r w:rsidR="009018A3" w:rsidRPr="009018A3">
        <w:rPr>
          <w:sz w:val="24"/>
          <w:szCs w:val="24"/>
        </w:rPr>
        <w:t>riduzione delle emissioni</w:t>
      </w:r>
      <w:r w:rsidR="009018A3">
        <w:rPr>
          <w:sz w:val="24"/>
          <w:szCs w:val="24"/>
        </w:rPr>
        <w:t xml:space="preserve"> </w:t>
      </w:r>
      <w:r w:rsidR="009018A3" w:rsidRPr="009018A3">
        <w:rPr>
          <w:sz w:val="24"/>
          <w:szCs w:val="24"/>
        </w:rPr>
        <w:t>di CO2 e gas clima alteranti, pari ad almeno il 55% entro il 2030 (in confronto al livello del 1990), e</w:t>
      </w:r>
      <w:r w:rsidR="009018A3">
        <w:rPr>
          <w:sz w:val="24"/>
          <w:szCs w:val="24"/>
        </w:rPr>
        <w:t xml:space="preserve"> </w:t>
      </w:r>
      <w:r w:rsidR="009018A3" w:rsidRPr="009018A3">
        <w:rPr>
          <w:sz w:val="24"/>
          <w:szCs w:val="24"/>
        </w:rPr>
        <w:t>di neutralità climatica entro il 2050</w:t>
      </w:r>
      <w:r w:rsidR="007B6DCE">
        <w:rPr>
          <w:sz w:val="24"/>
          <w:szCs w:val="24"/>
        </w:rPr>
        <w:t xml:space="preserve">. Tali obiettivi aumentano notevolmente, infatti, </w:t>
      </w:r>
      <w:r w:rsidR="009018A3" w:rsidRPr="009018A3">
        <w:rPr>
          <w:sz w:val="24"/>
          <w:szCs w:val="24"/>
        </w:rPr>
        <w:t>le stime dei fabbisogni di intervento sulla rete riportati nel PNIEC</w:t>
      </w:r>
      <w:r w:rsidR="009018A3">
        <w:rPr>
          <w:sz w:val="24"/>
          <w:szCs w:val="24"/>
        </w:rPr>
        <w:t xml:space="preserve">. </w:t>
      </w:r>
    </w:p>
    <w:p w14:paraId="47FEFDD8" w14:textId="77777777" w:rsidR="00C1112F" w:rsidRPr="007B6DCE" w:rsidRDefault="00C1112F" w:rsidP="00C1112F">
      <w:pPr>
        <w:jc w:val="both"/>
        <w:rPr>
          <w:b/>
          <w:sz w:val="24"/>
          <w:szCs w:val="24"/>
        </w:rPr>
      </w:pPr>
      <w:r>
        <w:rPr>
          <w:sz w:val="24"/>
          <w:szCs w:val="24"/>
        </w:rPr>
        <w:t>Inoltre, con riferimento alla linea di intervento</w:t>
      </w:r>
      <w:r w:rsidR="000E08DB">
        <w:rPr>
          <w:sz w:val="24"/>
          <w:szCs w:val="24"/>
        </w:rPr>
        <w:t xml:space="preserve"> del PNRR</w:t>
      </w:r>
      <w:r>
        <w:rPr>
          <w:sz w:val="24"/>
          <w:szCs w:val="24"/>
        </w:rPr>
        <w:t xml:space="preserve"> finalizzata</w:t>
      </w:r>
      <w:r w:rsidRPr="00C1112F">
        <w:rPr>
          <w:sz w:val="24"/>
          <w:szCs w:val="24"/>
        </w:rPr>
        <w:t xml:space="preserve"> ad aumentare la resilienza della rete di distribuzione</w:t>
      </w:r>
      <w:r>
        <w:rPr>
          <w:sz w:val="24"/>
          <w:szCs w:val="24"/>
        </w:rPr>
        <w:t xml:space="preserve"> </w:t>
      </w:r>
      <w:r w:rsidRPr="00C1112F">
        <w:rPr>
          <w:sz w:val="24"/>
          <w:szCs w:val="24"/>
        </w:rPr>
        <w:t>elettrica e ad istallare poli integrati di ricarica per veicoli elettrici</w:t>
      </w:r>
      <w:r>
        <w:rPr>
          <w:sz w:val="24"/>
          <w:szCs w:val="24"/>
        </w:rPr>
        <w:t xml:space="preserve">, </w:t>
      </w:r>
      <w:r w:rsidR="00A71B2A" w:rsidRPr="00A71B2A">
        <w:rPr>
          <w:b/>
          <w:sz w:val="24"/>
          <w:szCs w:val="24"/>
        </w:rPr>
        <w:t>Enel da</w:t>
      </w:r>
      <w:r w:rsidRPr="00A71B2A">
        <w:rPr>
          <w:b/>
          <w:sz w:val="24"/>
          <w:szCs w:val="24"/>
        </w:rPr>
        <w:t xml:space="preserve"> un lato ritiene che per raggiungere gli obiettivi europei in materia di decarbonizzazione</w:t>
      </w:r>
      <w:r w:rsidR="00A71B2A" w:rsidRPr="00A71B2A">
        <w:rPr>
          <w:b/>
          <w:sz w:val="24"/>
          <w:szCs w:val="24"/>
        </w:rPr>
        <w:t xml:space="preserve"> ed incidere efficacemente sulle emissioni prodotte dai trasporti sia necessario incentivare, ad esempio con la previsione di un bonus verde, l’acquisto dei veicoli elettrici,</w:t>
      </w:r>
      <w:r w:rsidR="00A71B2A">
        <w:rPr>
          <w:sz w:val="24"/>
          <w:szCs w:val="24"/>
        </w:rPr>
        <w:t xml:space="preserve"> </w:t>
      </w:r>
      <w:r w:rsidR="00A71B2A" w:rsidRPr="00A71B2A">
        <w:rPr>
          <w:b/>
          <w:sz w:val="24"/>
          <w:szCs w:val="24"/>
        </w:rPr>
        <w:t xml:space="preserve">dall’altro </w:t>
      </w:r>
      <w:r w:rsidR="00352858">
        <w:rPr>
          <w:b/>
          <w:sz w:val="24"/>
          <w:szCs w:val="24"/>
        </w:rPr>
        <w:t xml:space="preserve">ritiene </w:t>
      </w:r>
      <w:r w:rsidRPr="00A71B2A">
        <w:rPr>
          <w:b/>
          <w:sz w:val="24"/>
          <w:szCs w:val="24"/>
        </w:rPr>
        <w:t>essenziale promuovere lo sviluppo di una rete di stazioni di ricarica veloce</w:t>
      </w:r>
      <w:r w:rsidR="00A71B2A" w:rsidRPr="00A71B2A">
        <w:rPr>
          <w:b/>
          <w:sz w:val="24"/>
          <w:szCs w:val="24"/>
        </w:rPr>
        <w:t xml:space="preserve"> </w:t>
      </w:r>
      <w:r w:rsidR="00A71B2A" w:rsidRPr="007B6DCE">
        <w:rPr>
          <w:b/>
          <w:sz w:val="24"/>
          <w:szCs w:val="24"/>
        </w:rPr>
        <w:t>non solo presso reti</w:t>
      </w:r>
      <w:r w:rsidRPr="007B6DCE">
        <w:rPr>
          <w:b/>
          <w:sz w:val="24"/>
          <w:szCs w:val="24"/>
        </w:rPr>
        <w:t xml:space="preserve"> d</w:t>
      </w:r>
      <w:r w:rsidR="00A71B2A" w:rsidRPr="007B6DCE">
        <w:rPr>
          <w:b/>
          <w:sz w:val="24"/>
          <w:szCs w:val="24"/>
        </w:rPr>
        <w:t>i distribuzione dei carburanti, ma in maniera omogenea su tutto il territorio</w:t>
      </w:r>
      <w:r w:rsidR="000E08DB">
        <w:rPr>
          <w:b/>
          <w:sz w:val="24"/>
          <w:szCs w:val="24"/>
        </w:rPr>
        <w:t xml:space="preserve"> nazionale</w:t>
      </w:r>
      <w:r w:rsidR="00A71B2A" w:rsidRPr="007B6DCE">
        <w:rPr>
          <w:b/>
          <w:sz w:val="24"/>
          <w:szCs w:val="24"/>
        </w:rPr>
        <w:t>.</w:t>
      </w:r>
    </w:p>
    <w:p w14:paraId="1C5D2EB9" w14:textId="77777777" w:rsidR="00F746EF" w:rsidRPr="00F746EF" w:rsidRDefault="00F746EF" w:rsidP="000C2EA4">
      <w:pPr>
        <w:jc w:val="both"/>
        <w:rPr>
          <w:sz w:val="24"/>
          <w:szCs w:val="24"/>
        </w:rPr>
      </w:pPr>
      <w:r>
        <w:rPr>
          <w:sz w:val="24"/>
          <w:szCs w:val="24"/>
        </w:rPr>
        <w:t xml:space="preserve">Nell’ambito dell’energia rinnovabile, </w:t>
      </w:r>
      <w:r w:rsidR="00352858">
        <w:rPr>
          <w:sz w:val="24"/>
          <w:szCs w:val="24"/>
        </w:rPr>
        <w:t>inoltre</w:t>
      </w:r>
      <w:r>
        <w:rPr>
          <w:sz w:val="24"/>
          <w:szCs w:val="24"/>
        </w:rPr>
        <w:t>,</w:t>
      </w:r>
      <w:r w:rsidR="000C2EA4">
        <w:rPr>
          <w:sz w:val="24"/>
          <w:szCs w:val="24"/>
        </w:rPr>
        <w:t xml:space="preserve"> </w:t>
      </w:r>
      <w:r w:rsidR="000C2EA4" w:rsidRPr="004009F8">
        <w:rPr>
          <w:b/>
          <w:sz w:val="24"/>
          <w:szCs w:val="24"/>
        </w:rPr>
        <w:t>Enel sostiene con molto favore la linea di intervento individuata nel PNRR a supporto della crescita de</w:t>
      </w:r>
      <w:r w:rsidR="008B271C">
        <w:rPr>
          <w:b/>
          <w:sz w:val="24"/>
          <w:szCs w:val="24"/>
        </w:rPr>
        <w:t>lle</w:t>
      </w:r>
      <w:r w:rsidR="003C4597">
        <w:rPr>
          <w:b/>
          <w:sz w:val="24"/>
          <w:szCs w:val="24"/>
        </w:rPr>
        <w:t xml:space="preserve"> filiere </w:t>
      </w:r>
      <w:r w:rsidR="000C2EA4" w:rsidRPr="004009F8">
        <w:rPr>
          <w:b/>
          <w:sz w:val="24"/>
          <w:szCs w:val="24"/>
        </w:rPr>
        <w:t>legat</w:t>
      </w:r>
      <w:r w:rsidR="008B271C">
        <w:rPr>
          <w:b/>
          <w:sz w:val="24"/>
          <w:szCs w:val="24"/>
        </w:rPr>
        <w:t>e</w:t>
      </w:r>
      <w:r w:rsidR="000C2EA4" w:rsidRPr="004009F8">
        <w:rPr>
          <w:b/>
          <w:sz w:val="24"/>
          <w:szCs w:val="24"/>
        </w:rPr>
        <w:t xml:space="preserve"> alla produzione di tecnologie per la generazione elettrica da fonte rinnovabile</w:t>
      </w:r>
      <w:r w:rsidR="000C2EA4" w:rsidRPr="000C2EA4">
        <w:rPr>
          <w:sz w:val="24"/>
          <w:szCs w:val="24"/>
        </w:rPr>
        <w:t xml:space="preserve">. </w:t>
      </w:r>
      <w:r w:rsidR="000C2EA4">
        <w:rPr>
          <w:sz w:val="24"/>
          <w:szCs w:val="24"/>
        </w:rPr>
        <w:t>Tale intervento, si legge nel PNRR</w:t>
      </w:r>
      <w:r w:rsidR="007B6DCE">
        <w:rPr>
          <w:sz w:val="24"/>
          <w:szCs w:val="24"/>
        </w:rPr>
        <w:t>,</w:t>
      </w:r>
      <w:r w:rsidR="000C2EA4">
        <w:rPr>
          <w:sz w:val="24"/>
          <w:szCs w:val="24"/>
        </w:rPr>
        <w:t xml:space="preserve"> </w:t>
      </w:r>
      <w:r w:rsidR="000C2EA4" w:rsidRPr="000C2EA4">
        <w:rPr>
          <w:sz w:val="24"/>
          <w:szCs w:val="24"/>
        </w:rPr>
        <w:t>si concentra su due settori, fotovoltaico</w:t>
      </w:r>
      <w:r w:rsidR="000C2EA4">
        <w:rPr>
          <w:sz w:val="24"/>
          <w:szCs w:val="24"/>
        </w:rPr>
        <w:t xml:space="preserve"> ed eolico. In particolare, i</w:t>
      </w:r>
      <w:r>
        <w:rPr>
          <w:sz w:val="24"/>
          <w:szCs w:val="24"/>
        </w:rPr>
        <w:t xml:space="preserve">l fotovoltaico occupa una delle leve chiave della decarbonizzazione. Infatti è </w:t>
      </w:r>
      <w:r w:rsidRPr="00F746EF">
        <w:rPr>
          <w:sz w:val="24"/>
          <w:szCs w:val="24"/>
        </w:rPr>
        <w:t>destinato ad essere la fonte rinnovabile con più rapida crescita, con attese installazioni nell’area EMEA entro il 2040 di circa 30 GW/anno (rispetto ai circa 20 GW / anno attuali) per oltre 100 miliardi di euro di investimenti in moduli FV</w:t>
      </w:r>
      <w:r>
        <w:rPr>
          <w:sz w:val="24"/>
          <w:szCs w:val="24"/>
        </w:rPr>
        <w:t>.</w:t>
      </w:r>
      <w:r w:rsidRPr="00F746EF">
        <w:t xml:space="preserve"> </w:t>
      </w:r>
      <w:r w:rsidRPr="00F746EF">
        <w:rPr>
          <w:sz w:val="24"/>
          <w:szCs w:val="24"/>
        </w:rPr>
        <w:t xml:space="preserve">La tecnologia è la “chiave di volta” per un ruolo Europeo ed Italiano nel settore di produzione di moduli FV. </w:t>
      </w:r>
      <w:r w:rsidR="000C2EA4">
        <w:rPr>
          <w:sz w:val="24"/>
          <w:szCs w:val="24"/>
        </w:rPr>
        <w:t>In</w:t>
      </w:r>
      <w:r>
        <w:rPr>
          <w:sz w:val="24"/>
          <w:szCs w:val="24"/>
        </w:rPr>
        <w:t xml:space="preserve"> tal senso </w:t>
      </w:r>
      <w:r w:rsidRPr="004009F8">
        <w:rPr>
          <w:b/>
          <w:sz w:val="24"/>
          <w:szCs w:val="24"/>
        </w:rPr>
        <w:t xml:space="preserve">Enel </w:t>
      </w:r>
      <w:r w:rsidR="004009F8">
        <w:rPr>
          <w:b/>
          <w:sz w:val="24"/>
          <w:szCs w:val="24"/>
        </w:rPr>
        <w:t xml:space="preserve">ha </w:t>
      </w:r>
      <w:r w:rsidR="00D85D0B">
        <w:rPr>
          <w:b/>
          <w:sz w:val="24"/>
          <w:szCs w:val="24"/>
        </w:rPr>
        <w:t>candida</w:t>
      </w:r>
      <w:r w:rsidR="004009F8">
        <w:rPr>
          <w:b/>
          <w:sz w:val="24"/>
          <w:szCs w:val="24"/>
        </w:rPr>
        <w:t>to</w:t>
      </w:r>
      <w:r w:rsidRPr="004009F8">
        <w:rPr>
          <w:b/>
          <w:sz w:val="24"/>
          <w:szCs w:val="24"/>
        </w:rPr>
        <w:t xml:space="preserve"> un progetto di sviluppo di una fabbrica in piena scala (3,8 GW al 2023) di produzione di celle e moduli PV basati su tecnologia ad etero-ingiunzione, HJT (interamente italiana) in grado di raggiungere livelli di efficienza di generazione (superiori del 28% rispetto agli attuali)</w:t>
      </w:r>
      <w:r w:rsidR="00D85D0B">
        <w:rPr>
          <w:b/>
          <w:sz w:val="24"/>
          <w:szCs w:val="24"/>
        </w:rPr>
        <w:t>, con important</w:t>
      </w:r>
      <w:r w:rsidR="004009F8">
        <w:rPr>
          <w:b/>
          <w:sz w:val="24"/>
          <w:szCs w:val="24"/>
        </w:rPr>
        <w:t>i</w:t>
      </w:r>
      <w:r w:rsidR="00D85D0B">
        <w:rPr>
          <w:b/>
          <w:sz w:val="24"/>
          <w:szCs w:val="24"/>
        </w:rPr>
        <w:t xml:space="preserve"> ricadute economiche ed occupazionali</w:t>
      </w:r>
      <w:r w:rsidRPr="004009F8">
        <w:rPr>
          <w:b/>
          <w:sz w:val="24"/>
          <w:szCs w:val="24"/>
        </w:rPr>
        <w:t>.</w:t>
      </w:r>
    </w:p>
    <w:p w14:paraId="3DD62E39" w14:textId="77777777" w:rsidR="00D10428" w:rsidRDefault="007B2082" w:rsidP="007A3C20">
      <w:pPr>
        <w:jc w:val="both"/>
        <w:rPr>
          <w:sz w:val="24"/>
          <w:szCs w:val="24"/>
        </w:rPr>
      </w:pPr>
      <w:r>
        <w:rPr>
          <w:sz w:val="24"/>
          <w:szCs w:val="24"/>
        </w:rPr>
        <w:t xml:space="preserve">Nell’ottica della transizione verde cui orientare </w:t>
      </w:r>
      <w:r w:rsidRPr="00BA08A9">
        <w:rPr>
          <w:sz w:val="24"/>
          <w:szCs w:val="24"/>
        </w:rPr>
        <w:t xml:space="preserve">gli investimenti di Next </w:t>
      </w:r>
      <w:r w:rsidR="006C0721">
        <w:rPr>
          <w:sz w:val="24"/>
          <w:szCs w:val="24"/>
        </w:rPr>
        <w:t xml:space="preserve">Generation EU, il PNRR individua l’idrogeno </w:t>
      </w:r>
      <w:r w:rsidR="00352858">
        <w:rPr>
          <w:sz w:val="24"/>
          <w:szCs w:val="24"/>
        </w:rPr>
        <w:t>verde</w:t>
      </w:r>
      <w:r w:rsidR="00BA08A9" w:rsidRPr="00BA08A9">
        <w:rPr>
          <w:sz w:val="24"/>
          <w:szCs w:val="24"/>
        </w:rPr>
        <w:t xml:space="preserve"> come soluzione praticabile per decarbonizzare</w:t>
      </w:r>
      <w:r w:rsidR="006C0721">
        <w:rPr>
          <w:sz w:val="24"/>
          <w:szCs w:val="24"/>
        </w:rPr>
        <w:t xml:space="preserve"> diversi settori</w:t>
      </w:r>
      <w:r w:rsidR="006C0721" w:rsidRPr="006C0721">
        <w:rPr>
          <w:sz w:val="24"/>
          <w:szCs w:val="24"/>
        </w:rPr>
        <w:t xml:space="preserve"> energetici nel tempo, quali industria, trasporti, produzione di energia elettrica ed edilizia</w:t>
      </w:r>
      <w:r w:rsidR="006C0721">
        <w:rPr>
          <w:sz w:val="24"/>
          <w:szCs w:val="24"/>
        </w:rPr>
        <w:t xml:space="preserve">. </w:t>
      </w:r>
      <w:r w:rsidR="007A3C20">
        <w:rPr>
          <w:sz w:val="24"/>
          <w:szCs w:val="24"/>
        </w:rPr>
        <w:t>In linea con l’obiettivo</w:t>
      </w:r>
      <w:r w:rsidR="007B6DCE">
        <w:rPr>
          <w:sz w:val="24"/>
          <w:szCs w:val="24"/>
        </w:rPr>
        <w:t xml:space="preserve"> del PNRR</w:t>
      </w:r>
      <w:r w:rsidR="007A3C20">
        <w:rPr>
          <w:sz w:val="24"/>
          <w:szCs w:val="24"/>
        </w:rPr>
        <w:t xml:space="preserve"> volto a </w:t>
      </w:r>
      <w:r w:rsidR="007A3C20" w:rsidRPr="007A3C20">
        <w:rPr>
          <w:sz w:val="24"/>
          <w:szCs w:val="24"/>
        </w:rPr>
        <w:t>creare un polo industriale per la</w:t>
      </w:r>
      <w:r w:rsidR="007A3C20">
        <w:rPr>
          <w:sz w:val="24"/>
          <w:szCs w:val="24"/>
        </w:rPr>
        <w:t xml:space="preserve"> produzione di elettrolizzatori, E</w:t>
      </w:r>
      <w:r w:rsidR="007A3C20" w:rsidRPr="004009F8">
        <w:rPr>
          <w:b/>
          <w:sz w:val="24"/>
          <w:szCs w:val="24"/>
        </w:rPr>
        <w:t xml:space="preserve">nel ha presentato un progetto per la realizzazione di </w:t>
      </w:r>
      <w:r w:rsidR="00BA1639" w:rsidRPr="004009F8">
        <w:rPr>
          <w:b/>
          <w:sz w:val="24"/>
          <w:szCs w:val="24"/>
        </w:rPr>
        <w:t>impianti di produzione di idrogeno costituiti da elettrolizzatori (per complessivi 65 MW) accoppiati direttamente a impianti eolici o fotovoltaici che permetteranno la produzione e vendita di idrogeno</w:t>
      </w:r>
      <w:r w:rsidR="007A3C20" w:rsidRPr="004009F8">
        <w:rPr>
          <w:b/>
          <w:sz w:val="24"/>
          <w:szCs w:val="24"/>
        </w:rPr>
        <w:t xml:space="preserve"> verde</w:t>
      </w:r>
      <w:r w:rsidR="00BA1639" w:rsidRPr="004009F8">
        <w:rPr>
          <w:b/>
          <w:sz w:val="24"/>
          <w:szCs w:val="24"/>
        </w:rPr>
        <w:t xml:space="preserve"> a potenziali acquirenti industriali che ne necessitano nel proprio ciclo produttivo</w:t>
      </w:r>
      <w:r w:rsidR="00BA1639">
        <w:rPr>
          <w:sz w:val="24"/>
          <w:szCs w:val="24"/>
        </w:rPr>
        <w:t xml:space="preserve">. </w:t>
      </w:r>
    </w:p>
    <w:p w14:paraId="5CB81154" w14:textId="77777777" w:rsidR="00A76E6B" w:rsidRPr="004009F8" w:rsidRDefault="005F66D2" w:rsidP="00A76E6B">
      <w:pPr>
        <w:jc w:val="both"/>
        <w:rPr>
          <w:b/>
          <w:sz w:val="24"/>
          <w:szCs w:val="24"/>
        </w:rPr>
      </w:pPr>
      <w:r w:rsidRPr="005F66D2">
        <w:rPr>
          <w:sz w:val="24"/>
          <w:szCs w:val="24"/>
        </w:rPr>
        <w:lastRenderedPageBreak/>
        <w:t xml:space="preserve">Nell’ambito della </w:t>
      </w:r>
      <w:r w:rsidRPr="005F66D2">
        <w:rPr>
          <w:b/>
          <w:sz w:val="24"/>
          <w:szCs w:val="24"/>
        </w:rPr>
        <w:t>Missione  “Infrastrutture per la mobilità elettrica”</w:t>
      </w:r>
      <w:r w:rsidRPr="004009F8">
        <w:rPr>
          <w:sz w:val="24"/>
          <w:szCs w:val="24"/>
        </w:rPr>
        <w:t>,</w:t>
      </w:r>
      <w:r w:rsidRPr="005F66D2">
        <w:rPr>
          <w:sz w:val="24"/>
          <w:szCs w:val="24"/>
        </w:rPr>
        <w:t xml:space="preserve"> il Gruppo Enel</w:t>
      </w:r>
      <w:r w:rsidR="00C1112F">
        <w:rPr>
          <w:sz w:val="24"/>
          <w:szCs w:val="24"/>
        </w:rPr>
        <w:t xml:space="preserve"> ha concentrato maggiormente il proprio interesse nella</w:t>
      </w:r>
      <w:r w:rsidR="00A71B2A">
        <w:rPr>
          <w:sz w:val="24"/>
          <w:szCs w:val="24"/>
        </w:rPr>
        <w:t xml:space="preserve"> </w:t>
      </w:r>
      <w:r w:rsidR="00A71B2A" w:rsidRPr="004009F8">
        <w:rPr>
          <w:b/>
          <w:sz w:val="24"/>
          <w:szCs w:val="24"/>
        </w:rPr>
        <w:t xml:space="preserve">seconda </w:t>
      </w:r>
      <w:r w:rsidR="00C1112F" w:rsidRPr="004009F8">
        <w:rPr>
          <w:b/>
          <w:sz w:val="24"/>
          <w:szCs w:val="24"/>
        </w:rPr>
        <w:t>componente</w:t>
      </w:r>
      <w:r w:rsidR="00A71B2A" w:rsidRPr="004009F8">
        <w:rPr>
          <w:b/>
          <w:sz w:val="24"/>
          <w:szCs w:val="24"/>
        </w:rPr>
        <w:t xml:space="preserve"> “Intermodalità e logistica integrata”</w:t>
      </w:r>
      <w:r w:rsidR="0081362C">
        <w:rPr>
          <w:sz w:val="24"/>
          <w:szCs w:val="24"/>
        </w:rPr>
        <w:t xml:space="preserve">, </w:t>
      </w:r>
      <w:r w:rsidR="00A76E6B">
        <w:rPr>
          <w:sz w:val="24"/>
          <w:szCs w:val="24"/>
        </w:rPr>
        <w:t xml:space="preserve">linea di intervento </w:t>
      </w:r>
      <w:r w:rsidR="007B6DCE">
        <w:rPr>
          <w:sz w:val="24"/>
          <w:szCs w:val="24"/>
        </w:rPr>
        <w:t>relativa</w:t>
      </w:r>
      <w:r w:rsidR="00A76E6B">
        <w:rPr>
          <w:sz w:val="24"/>
          <w:szCs w:val="24"/>
        </w:rPr>
        <w:t xml:space="preserve"> alla </w:t>
      </w:r>
      <w:r w:rsidR="00A76E6B" w:rsidRPr="00A76E6B">
        <w:rPr>
          <w:sz w:val="24"/>
          <w:szCs w:val="24"/>
        </w:rPr>
        <w:t xml:space="preserve">sostenibilità ambientale dei porti </w:t>
      </w:r>
      <w:r w:rsidR="00A76E6B" w:rsidRPr="004009F8">
        <w:rPr>
          <w:b/>
          <w:sz w:val="24"/>
          <w:szCs w:val="24"/>
        </w:rPr>
        <w:t>“Green Ports” e elettrificazione</w:t>
      </w:r>
      <w:r w:rsidR="0081362C">
        <w:rPr>
          <w:sz w:val="24"/>
          <w:szCs w:val="24"/>
        </w:rPr>
        <w:t xml:space="preserve">. A tal riguardo </w:t>
      </w:r>
      <w:r w:rsidR="0081362C" w:rsidRPr="0081362C">
        <w:rPr>
          <w:sz w:val="24"/>
          <w:szCs w:val="24"/>
        </w:rPr>
        <w:t>Enel</w:t>
      </w:r>
      <w:r w:rsidR="0081362C">
        <w:rPr>
          <w:sz w:val="24"/>
          <w:szCs w:val="24"/>
        </w:rPr>
        <w:t>, consapevole che i</w:t>
      </w:r>
      <w:r w:rsidR="0081362C" w:rsidRPr="0081362C">
        <w:rPr>
          <w:sz w:val="24"/>
          <w:szCs w:val="24"/>
        </w:rPr>
        <w:t>l settore del trasporto marittimo di persone e cose contribuisce considerevolmente all’emissione di sostanze inquinanti nocive per l'aria costituendo pertanto un problema per le comunità portuali coinvolte</w:t>
      </w:r>
      <w:r w:rsidR="0081362C">
        <w:rPr>
          <w:sz w:val="24"/>
          <w:szCs w:val="24"/>
        </w:rPr>
        <w:t xml:space="preserve">, </w:t>
      </w:r>
      <w:r w:rsidR="0081362C" w:rsidRPr="004009F8">
        <w:rPr>
          <w:b/>
          <w:sz w:val="24"/>
          <w:szCs w:val="24"/>
        </w:rPr>
        <w:t>ha presentato un progetto per lo sviluppo dei porti verdi ed in particolare del cd. cold ironing</w:t>
      </w:r>
      <w:r w:rsidR="0081362C">
        <w:rPr>
          <w:sz w:val="24"/>
          <w:szCs w:val="24"/>
        </w:rPr>
        <w:t xml:space="preserve"> (i.e. </w:t>
      </w:r>
      <w:r w:rsidR="0081362C" w:rsidRPr="0081362C">
        <w:rPr>
          <w:sz w:val="24"/>
          <w:szCs w:val="24"/>
        </w:rPr>
        <w:t>elettrificazione delle banchine portuali che consente alle navi i generatori ausiliari a combustibile fossile durante la ricarica elettrica in porto, azzerandone così l’inquinamento acustico e riducendone di oltre il 30% le emissioni di CO2 e di oltre il 95% quelle di particolato e di ossidi di azoto</w:t>
      </w:r>
      <w:r w:rsidR="0081362C">
        <w:rPr>
          <w:sz w:val="24"/>
          <w:szCs w:val="24"/>
        </w:rPr>
        <w:t>)</w:t>
      </w:r>
      <w:r w:rsidR="0081362C" w:rsidRPr="0081362C">
        <w:rPr>
          <w:sz w:val="24"/>
          <w:szCs w:val="24"/>
        </w:rPr>
        <w:t xml:space="preserve">, puntando alla decarbonizzazione dei porti italiani. </w:t>
      </w:r>
      <w:r w:rsidR="0081362C">
        <w:rPr>
          <w:sz w:val="24"/>
          <w:szCs w:val="24"/>
        </w:rPr>
        <w:t xml:space="preserve">In tal senso, </w:t>
      </w:r>
      <w:r w:rsidR="0081362C" w:rsidRPr="004009F8">
        <w:rPr>
          <w:b/>
          <w:sz w:val="24"/>
          <w:szCs w:val="24"/>
        </w:rPr>
        <w:t>la realizzazione dell’infrastruttura elettrica delle banchine può rappresentare l’occasione per un efficientamento energetico complessivo dei porti e della loro logistica abilitando la movimentazione delle merci e degli operatori all’interno dell’area portuale con la mobilità elettrica; la gestione “smart” dei consumi energetici, lo smart lighting e l’autoproduzione da fonti rinnovabili.</w:t>
      </w:r>
    </w:p>
    <w:p w14:paraId="1C7DAE71" w14:textId="77777777" w:rsidR="008912ED" w:rsidRDefault="0081362C" w:rsidP="004009F8">
      <w:pPr>
        <w:jc w:val="both"/>
        <w:rPr>
          <w:sz w:val="24"/>
          <w:szCs w:val="24"/>
        </w:rPr>
      </w:pPr>
      <w:r>
        <w:rPr>
          <w:sz w:val="24"/>
          <w:szCs w:val="24"/>
        </w:rPr>
        <w:t xml:space="preserve">Quanto </w:t>
      </w:r>
      <w:r w:rsidR="008912ED">
        <w:rPr>
          <w:sz w:val="24"/>
          <w:szCs w:val="24"/>
        </w:rPr>
        <w:t xml:space="preserve">sopra </w:t>
      </w:r>
      <w:r w:rsidR="00B67E7F">
        <w:rPr>
          <w:sz w:val="24"/>
          <w:szCs w:val="24"/>
        </w:rPr>
        <w:t>indicato</w:t>
      </w:r>
      <w:r w:rsidR="00C22DF6">
        <w:rPr>
          <w:sz w:val="24"/>
          <w:szCs w:val="24"/>
        </w:rPr>
        <w:t xml:space="preserve"> costituisce, </w:t>
      </w:r>
      <w:r w:rsidR="007B6DCE">
        <w:rPr>
          <w:sz w:val="24"/>
          <w:szCs w:val="24"/>
        </w:rPr>
        <w:t xml:space="preserve">in termini di </w:t>
      </w:r>
      <w:r w:rsidR="00C22DF6">
        <w:rPr>
          <w:sz w:val="24"/>
          <w:szCs w:val="24"/>
        </w:rPr>
        <w:t>progettualità, l’analisi di quegli</w:t>
      </w:r>
      <w:r w:rsidR="007B6DCE">
        <w:rPr>
          <w:sz w:val="24"/>
          <w:szCs w:val="24"/>
        </w:rPr>
        <w:t xml:space="preserve"> interventi che </w:t>
      </w:r>
      <w:r w:rsidR="004009F8">
        <w:rPr>
          <w:sz w:val="24"/>
          <w:szCs w:val="24"/>
        </w:rPr>
        <w:t xml:space="preserve">Enel ritiene </w:t>
      </w:r>
      <w:r w:rsidR="007B6DCE">
        <w:rPr>
          <w:sz w:val="24"/>
          <w:szCs w:val="24"/>
        </w:rPr>
        <w:t>poss</w:t>
      </w:r>
      <w:r w:rsidR="004009F8">
        <w:rPr>
          <w:sz w:val="24"/>
          <w:szCs w:val="24"/>
        </w:rPr>
        <w:t>a</w:t>
      </w:r>
      <w:r w:rsidR="007B6DCE">
        <w:rPr>
          <w:sz w:val="24"/>
          <w:szCs w:val="24"/>
        </w:rPr>
        <w:t xml:space="preserve">no avere </w:t>
      </w:r>
      <w:r w:rsidR="004009F8">
        <w:rPr>
          <w:sz w:val="24"/>
          <w:szCs w:val="24"/>
        </w:rPr>
        <w:t xml:space="preserve">nel proprio ambito di attività </w:t>
      </w:r>
      <w:r w:rsidR="007B6DCE">
        <w:rPr>
          <w:sz w:val="24"/>
          <w:szCs w:val="24"/>
        </w:rPr>
        <w:t xml:space="preserve">un </w:t>
      </w:r>
      <w:r w:rsidR="007B6DCE" w:rsidRPr="007B6DCE">
        <w:rPr>
          <w:sz w:val="24"/>
          <w:szCs w:val="24"/>
        </w:rPr>
        <w:t xml:space="preserve">impatto positivo </w:t>
      </w:r>
      <w:r w:rsidR="00C22DF6">
        <w:rPr>
          <w:sz w:val="24"/>
          <w:szCs w:val="24"/>
        </w:rPr>
        <w:t xml:space="preserve">sulla </w:t>
      </w:r>
      <w:r w:rsidR="007B6DCE" w:rsidRPr="007B6DCE">
        <w:rPr>
          <w:sz w:val="24"/>
          <w:szCs w:val="24"/>
        </w:rPr>
        <w:t>qualità</w:t>
      </w:r>
      <w:r w:rsidR="00C22DF6">
        <w:rPr>
          <w:sz w:val="24"/>
          <w:szCs w:val="24"/>
        </w:rPr>
        <w:t xml:space="preserve"> della</w:t>
      </w:r>
      <w:r w:rsidR="007B6DCE" w:rsidRPr="007B6DCE">
        <w:rPr>
          <w:sz w:val="24"/>
          <w:szCs w:val="24"/>
        </w:rPr>
        <w:t xml:space="preserve"> capacità produttiva e occupazionale</w:t>
      </w:r>
      <w:r w:rsidR="00C22DF6">
        <w:rPr>
          <w:sz w:val="24"/>
          <w:szCs w:val="24"/>
        </w:rPr>
        <w:t xml:space="preserve"> del Paese</w:t>
      </w:r>
      <w:r w:rsidR="00C22DF6" w:rsidRPr="00C566F0">
        <w:rPr>
          <w:sz w:val="24"/>
          <w:szCs w:val="24"/>
        </w:rPr>
        <w:t>.</w:t>
      </w:r>
      <w:r w:rsidR="00C566F0" w:rsidRPr="00C566F0">
        <w:rPr>
          <w:sz w:val="24"/>
          <w:szCs w:val="24"/>
        </w:rPr>
        <w:t xml:space="preserve"> </w:t>
      </w:r>
    </w:p>
    <w:p w14:paraId="1C99E03F" w14:textId="77777777" w:rsidR="00947AA9" w:rsidRPr="00E3482F" w:rsidRDefault="00DC3BB3" w:rsidP="004009F8">
      <w:pPr>
        <w:jc w:val="both"/>
        <w:rPr>
          <w:sz w:val="24"/>
          <w:szCs w:val="24"/>
        </w:rPr>
      </w:pPr>
      <w:r w:rsidRPr="00E3482F">
        <w:rPr>
          <w:sz w:val="24"/>
          <w:szCs w:val="24"/>
        </w:rPr>
        <w:t xml:space="preserve">I </w:t>
      </w:r>
      <w:r w:rsidRPr="00E3482F">
        <w:rPr>
          <w:b/>
          <w:bCs/>
          <w:sz w:val="24"/>
          <w:szCs w:val="24"/>
        </w:rPr>
        <w:t>progetti in materia energetico-ambientale</w:t>
      </w:r>
      <w:r w:rsidRPr="00E3482F">
        <w:rPr>
          <w:sz w:val="24"/>
          <w:szCs w:val="24"/>
        </w:rPr>
        <w:t xml:space="preserve"> – in particolare quelli previsti nelle Missioni «Rivoluzione verde e transizione ecologica»  e «Infrastrutture per la Mobilità sostenibile» –  possono </w:t>
      </w:r>
      <w:r w:rsidR="008912ED">
        <w:rPr>
          <w:sz w:val="24"/>
          <w:szCs w:val="24"/>
        </w:rPr>
        <w:t xml:space="preserve">infatti </w:t>
      </w:r>
      <w:r w:rsidRPr="00E3482F">
        <w:rPr>
          <w:sz w:val="24"/>
          <w:szCs w:val="24"/>
        </w:rPr>
        <w:t xml:space="preserve">generare </w:t>
      </w:r>
      <w:r w:rsidRPr="00E3482F">
        <w:rPr>
          <w:b/>
          <w:bCs/>
          <w:sz w:val="24"/>
          <w:szCs w:val="24"/>
        </w:rPr>
        <w:t>importanti benefici anche a livello socio-economico ed occupazionale</w:t>
      </w:r>
      <w:r w:rsidR="004009F8">
        <w:rPr>
          <w:b/>
          <w:bCs/>
          <w:sz w:val="24"/>
          <w:szCs w:val="24"/>
        </w:rPr>
        <w:t>.</w:t>
      </w:r>
      <w:r w:rsidRPr="00E3482F">
        <w:rPr>
          <w:sz w:val="24"/>
          <w:szCs w:val="24"/>
        </w:rPr>
        <w:t xml:space="preserve"> </w:t>
      </w:r>
    </w:p>
    <w:p w14:paraId="563C9765" w14:textId="77777777" w:rsidR="00947AA9" w:rsidRPr="00E3482F" w:rsidRDefault="00DC3BB3" w:rsidP="008912ED">
      <w:pPr>
        <w:jc w:val="both"/>
        <w:rPr>
          <w:sz w:val="24"/>
          <w:szCs w:val="24"/>
        </w:rPr>
      </w:pPr>
      <w:r w:rsidRPr="00E3482F">
        <w:rPr>
          <w:sz w:val="24"/>
          <w:szCs w:val="24"/>
        </w:rPr>
        <w:t xml:space="preserve">Il PNRR può avere un ruolo </w:t>
      </w:r>
      <w:r w:rsidRPr="00E3482F">
        <w:rPr>
          <w:b/>
          <w:bCs/>
          <w:sz w:val="24"/>
          <w:szCs w:val="24"/>
        </w:rPr>
        <w:t xml:space="preserve">fondamentale per accelerare la realizzazione di interventi in materia di Decarbonizzazione, Reti e per l’Elettrificazione </w:t>
      </w:r>
      <w:r w:rsidRPr="00E3482F">
        <w:rPr>
          <w:sz w:val="24"/>
          <w:szCs w:val="24"/>
        </w:rPr>
        <w:t>dei consumi finali, leva determinante per realizzare il Green Deal</w:t>
      </w:r>
      <w:r w:rsidR="008912ED">
        <w:rPr>
          <w:sz w:val="24"/>
          <w:szCs w:val="24"/>
        </w:rPr>
        <w:t xml:space="preserve"> Europeo</w:t>
      </w:r>
      <w:r w:rsidRPr="00E3482F">
        <w:rPr>
          <w:sz w:val="24"/>
          <w:szCs w:val="24"/>
        </w:rPr>
        <w:t>, in linea con il PNIEC</w:t>
      </w:r>
      <w:r w:rsidR="004009F8">
        <w:rPr>
          <w:sz w:val="24"/>
          <w:szCs w:val="24"/>
        </w:rPr>
        <w:t>.</w:t>
      </w:r>
      <w:r w:rsidRPr="00E3482F">
        <w:rPr>
          <w:sz w:val="24"/>
          <w:szCs w:val="24"/>
        </w:rPr>
        <w:t xml:space="preserve">  </w:t>
      </w:r>
    </w:p>
    <w:p w14:paraId="6D88D49B" w14:textId="77777777" w:rsidR="00947AA9" w:rsidRPr="00E3482F" w:rsidRDefault="00DC3BB3" w:rsidP="008912ED">
      <w:pPr>
        <w:jc w:val="both"/>
        <w:rPr>
          <w:sz w:val="24"/>
          <w:szCs w:val="24"/>
        </w:rPr>
      </w:pPr>
      <w:r w:rsidRPr="00E3482F">
        <w:rPr>
          <w:b/>
          <w:bCs/>
          <w:sz w:val="24"/>
          <w:szCs w:val="24"/>
        </w:rPr>
        <w:t>Per non vanificare il proprio potenziale</w:t>
      </w:r>
      <w:r w:rsidRPr="00E3482F">
        <w:rPr>
          <w:sz w:val="24"/>
          <w:szCs w:val="24"/>
        </w:rPr>
        <w:t xml:space="preserve">, il PNRR dovrà essere accompagnato da una </w:t>
      </w:r>
      <w:r w:rsidRPr="00E3482F">
        <w:rPr>
          <w:b/>
          <w:bCs/>
          <w:sz w:val="24"/>
          <w:szCs w:val="24"/>
        </w:rPr>
        <w:t>complessiva azione legislativa di</w:t>
      </w:r>
      <w:r w:rsidRPr="00E3482F">
        <w:rPr>
          <w:sz w:val="24"/>
          <w:szCs w:val="24"/>
        </w:rPr>
        <w:t xml:space="preserve"> </w:t>
      </w:r>
      <w:r w:rsidRPr="00E3482F">
        <w:rPr>
          <w:b/>
          <w:bCs/>
          <w:sz w:val="24"/>
          <w:szCs w:val="24"/>
        </w:rPr>
        <w:t>semplificazione normativa, amministrativa e procedurale, in particolare nel permitting</w:t>
      </w:r>
      <w:r w:rsidRPr="00E3482F">
        <w:rPr>
          <w:sz w:val="24"/>
          <w:szCs w:val="24"/>
        </w:rPr>
        <w:t xml:space="preserve">, e da una attenta </w:t>
      </w:r>
      <w:r w:rsidRPr="00E3482F">
        <w:rPr>
          <w:b/>
          <w:bCs/>
          <w:sz w:val="24"/>
          <w:szCs w:val="24"/>
        </w:rPr>
        <w:t>azione istituzionale ed amministrativa</w:t>
      </w:r>
      <w:r w:rsidRPr="00E3482F">
        <w:rPr>
          <w:sz w:val="24"/>
          <w:szCs w:val="24"/>
        </w:rPr>
        <w:t xml:space="preserve"> </w:t>
      </w:r>
      <w:r w:rsidRPr="00E3482F">
        <w:rPr>
          <w:b/>
          <w:bCs/>
          <w:sz w:val="24"/>
          <w:szCs w:val="24"/>
        </w:rPr>
        <w:t>nella proposizione e realizzazione dei progetti</w:t>
      </w:r>
      <w:r w:rsidRPr="00E3482F">
        <w:rPr>
          <w:sz w:val="24"/>
          <w:szCs w:val="24"/>
        </w:rPr>
        <w:t xml:space="preserve">, in particolare rispetto alle condizioni imposte dalla normativa europea in materia di </w:t>
      </w:r>
      <w:r w:rsidRPr="00E3482F">
        <w:rPr>
          <w:b/>
          <w:bCs/>
          <w:sz w:val="24"/>
          <w:szCs w:val="24"/>
        </w:rPr>
        <w:t xml:space="preserve">Aiuti di Stato </w:t>
      </w:r>
      <w:r w:rsidRPr="00E3482F">
        <w:rPr>
          <w:sz w:val="24"/>
          <w:szCs w:val="24"/>
        </w:rPr>
        <w:t xml:space="preserve">e di </w:t>
      </w:r>
      <w:r w:rsidRPr="00E3482F">
        <w:rPr>
          <w:b/>
          <w:bCs/>
          <w:sz w:val="24"/>
          <w:szCs w:val="24"/>
        </w:rPr>
        <w:t>rendicontazione</w:t>
      </w:r>
      <w:r w:rsidRPr="00E3482F">
        <w:rPr>
          <w:sz w:val="24"/>
          <w:szCs w:val="24"/>
        </w:rPr>
        <w:t xml:space="preserve"> dei progetti</w:t>
      </w:r>
      <w:r w:rsidR="004009F8">
        <w:rPr>
          <w:sz w:val="24"/>
          <w:szCs w:val="24"/>
        </w:rPr>
        <w:t>.</w:t>
      </w:r>
    </w:p>
    <w:p w14:paraId="3551331F" w14:textId="77777777" w:rsidR="0081362C" w:rsidRPr="00C566F0" w:rsidRDefault="0081362C" w:rsidP="00A76E6B">
      <w:pPr>
        <w:jc w:val="both"/>
        <w:rPr>
          <w:sz w:val="24"/>
          <w:szCs w:val="24"/>
        </w:rPr>
      </w:pPr>
    </w:p>
    <w:sectPr w:rsidR="0081362C" w:rsidRPr="00C566F0" w:rsidSect="00733D6F">
      <w:headerReference w:type="default" r:id="rId12"/>
      <w:footerReference w:type="default" r:id="rId13"/>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FBE77" w14:textId="77777777" w:rsidR="00DC3BB3" w:rsidRDefault="00DC3BB3" w:rsidP="008257B1">
      <w:pPr>
        <w:spacing w:after="0" w:line="240" w:lineRule="auto"/>
      </w:pPr>
      <w:r>
        <w:separator/>
      </w:r>
    </w:p>
  </w:endnote>
  <w:endnote w:type="continuationSeparator" w:id="0">
    <w:p w14:paraId="6F53D889" w14:textId="77777777" w:rsidR="00DC3BB3" w:rsidRDefault="00DC3BB3" w:rsidP="0082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010631"/>
      <w:docPartObj>
        <w:docPartGallery w:val="Page Numbers (Bottom of Page)"/>
        <w:docPartUnique/>
      </w:docPartObj>
    </w:sdtPr>
    <w:sdtEndPr/>
    <w:sdtContent>
      <w:p w14:paraId="2E72C6B3" w14:textId="77777777" w:rsidR="00CA4668" w:rsidRDefault="00A95E0C">
        <w:pPr>
          <w:pStyle w:val="Pidipagina"/>
          <w:jc w:val="center"/>
        </w:pPr>
        <w:r>
          <w:fldChar w:fldCharType="begin"/>
        </w:r>
        <w:r>
          <w:instrText>PAGE   \* MERGEFORMAT</w:instrText>
        </w:r>
        <w:r>
          <w:fldChar w:fldCharType="separate"/>
        </w:r>
        <w:r w:rsidR="00760A4E">
          <w:rPr>
            <w:noProof/>
          </w:rPr>
          <w:t>1</w:t>
        </w:r>
        <w:r>
          <w:fldChar w:fldCharType="end"/>
        </w:r>
      </w:p>
      <w:p w14:paraId="67BC84F1" w14:textId="5F8FE5E1" w:rsidR="00A95E0C" w:rsidRDefault="00760A4E" w:rsidP="00CA4668">
        <w:pPr>
          <w:pStyle w:val="Pidipagina"/>
        </w:pPr>
      </w:p>
    </w:sdtContent>
  </w:sdt>
  <w:p w14:paraId="4645101B" w14:textId="77777777" w:rsidR="00A95E0C" w:rsidRDefault="00A95E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5938" w14:textId="77777777" w:rsidR="00DC3BB3" w:rsidRDefault="00DC3BB3" w:rsidP="008257B1">
      <w:pPr>
        <w:spacing w:after="0" w:line="240" w:lineRule="auto"/>
      </w:pPr>
      <w:r>
        <w:separator/>
      </w:r>
    </w:p>
  </w:footnote>
  <w:footnote w:type="continuationSeparator" w:id="0">
    <w:p w14:paraId="457B7CC3" w14:textId="77777777" w:rsidR="00DC3BB3" w:rsidRDefault="00DC3BB3" w:rsidP="00825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7F9C" w14:textId="54DD4A94" w:rsidR="00540E33" w:rsidRPr="00CF2BB6" w:rsidRDefault="00733D6F" w:rsidP="0054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textAlignment w:val="baseline"/>
      <w:rPr>
        <w:rFonts w:ascii="Arial" w:eastAsia="Times New Roman" w:hAnsi="Arial" w:cs="Arial"/>
        <w:i/>
        <w:color w:val="000000"/>
        <w:szCs w:val="20"/>
        <w:lang w:eastAsia="en-GB"/>
      </w:rPr>
    </w:pPr>
    <w:r w:rsidRPr="00733D6F">
      <w:rPr>
        <w:noProof/>
        <w:lang w:eastAsia="it-IT"/>
      </w:rPr>
      <w:drawing>
        <wp:anchor distT="0" distB="0" distL="114300" distR="114300" simplePos="0" relativeHeight="251657216" behindDoc="0" locked="0" layoutInCell="1" allowOverlap="1" wp14:anchorId="0DC05483" wp14:editId="071FC41E">
          <wp:simplePos x="0" y="0"/>
          <wp:positionH relativeFrom="margin">
            <wp:posOffset>0</wp:posOffset>
          </wp:positionH>
          <wp:positionV relativeFrom="margin">
            <wp:posOffset>-917575</wp:posOffset>
          </wp:positionV>
          <wp:extent cx="1440180" cy="522605"/>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440180" cy="522605"/>
                  </a:xfrm>
                  <a:prstGeom prst="rect">
                    <a:avLst/>
                  </a:prstGeom>
                </pic:spPr>
              </pic:pic>
            </a:graphicData>
          </a:graphic>
        </wp:anchor>
      </w:drawing>
    </w:r>
    <w:r w:rsidRPr="00733D6F">
      <w:rPr>
        <w:noProof/>
        <w:lang w:eastAsia="it-IT"/>
      </w:rPr>
      <w:drawing>
        <wp:anchor distT="0" distB="0" distL="114300" distR="114300" simplePos="0" relativeHeight="251726848" behindDoc="0" locked="0" layoutInCell="1" allowOverlap="1" wp14:anchorId="3AA2B9A1" wp14:editId="4260656C">
          <wp:simplePos x="0" y="0"/>
          <wp:positionH relativeFrom="margin">
            <wp:posOffset>60325</wp:posOffset>
          </wp:positionH>
          <wp:positionV relativeFrom="margin">
            <wp:posOffset>-206375</wp:posOffset>
          </wp:positionV>
          <wp:extent cx="340995" cy="109220"/>
          <wp:effectExtent l="0" t="0" r="1905"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2">
                    <a:extLst>
                      <a:ext uri="{28A0092B-C50C-407E-A947-70E740481C1C}">
                        <a14:useLocalDpi xmlns:a14="http://schemas.microsoft.com/office/drawing/2010/main" val="0"/>
                      </a:ext>
                    </a:extLst>
                  </a:blip>
                  <a:stretch>
                    <a:fillRect/>
                  </a:stretch>
                </pic:blipFill>
                <pic:spPr>
                  <a:xfrm>
                    <a:off x="0" y="0"/>
                    <a:ext cx="340995" cy="109220"/>
                  </a:xfrm>
                  <a:prstGeom prst="rect">
                    <a:avLst/>
                  </a:prstGeom>
                </pic:spPr>
              </pic:pic>
            </a:graphicData>
          </a:graphic>
          <wp14:sizeRelV relativeFrom="margin">
            <wp14:pctHeight>0</wp14:pctHeight>
          </wp14:sizeRelV>
        </wp:anchor>
      </w:drawing>
    </w:r>
    <w:r>
      <w:tab/>
    </w:r>
    <w:r w:rsidR="00540E33">
      <w:rPr>
        <w:rFonts w:ascii="Arial" w:eastAsia="Times New Roman" w:hAnsi="Arial" w:cs="Arial"/>
        <w:i/>
        <w:color w:val="000000"/>
        <w:szCs w:val="20"/>
        <w:lang w:eastAsia="en-GB"/>
      </w:rPr>
      <w:t>2 febbraio 2021</w:t>
    </w:r>
  </w:p>
  <w:p w14:paraId="67E1A7A1" w14:textId="6AA48D2A" w:rsidR="00733D6F" w:rsidRDefault="00733D6F" w:rsidP="00733D6F">
    <w:pPr>
      <w:pStyle w:val="Intestazione"/>
      <w:tabs>
        <w:tab w:val="clear" w:pos="4819"/>
        <w:tab w:val="clear" w:pos="9638"/>
        <w:tab w:val="left" w:pos="2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79"/>
    <w:multiLevelType w:val="hybridMultilevel"/>
    <w:tmpl w:val="1B6A1618"/>
    <w:lvl w:ilvl="0" w:tplc="16A6204A">
      <w:start w:val="1"/>
      <w:numFmt w:val="bullet"/>
      <w:lvlText w:val="•"/>
      <w:lvlJc w:val="left"/>
      <w:pPr>
        <w:tabs>
          <w:tab w:val="num" w:pos="720"/>
        </w:tabs>
        <w:ind w:left="720" w:hanging="360"/>
      </w:pPr>
      <w:rPr>
        <w:rFonts w:ascii="Arial" w:hAnsi="Arial" w:hint="default"/>
      </w:rPr>
    </w:lvl>
    <w:lvl w:ilvl="1" w:tplc="21E6E8AE" w:tentative="1">
      <w:start w:val="1"/>
      <w:numFmt w:val="bullet"/>
      <w:lvlText w:val="•"/>
      <w:lvlJc w:val="left"/>
      <w:pPr>
        <w:tabs>
          <w:tab w:val="num" w:pos="1440"/>
        </w:tabs>
        <w:ind w:left="1440" w:hanging="360"/>
      </w:pPr>
      <w:rPr>
        <w:rFonts w:ascii="Arial" w:hAnsi="Arial" w:hint="default"/>
      </w:rPr>
    </w:lvl>
    <w:lvl w:ilvl="2" w:tplc="1B804322" w:tentative="1">
      <w:start w:val="1"/>
      <w:numFmt w:val="bullet"/>
      <w:lvlText w:val="•"/>
      <w:lvlJc w:val="left"/>
      <w:pPr>
        <w:tabs>
          <w:tab w:val="num" w:pos="2160"/>
        </w:tabs>
        <w:ind w:left="2160" w:hanging="360"/>
      </w:pPr>
      <w:rPr>
        <w:rFonts w:ascii="Arial" w:hAnsi="Arial" w:hint="default"/>
      </w:rPr>
    </w:lvl>
    <w:lvl w:ilvl="3" w:tplc="C0F40A58" w:tentative="1">
      <w:start w:val="1"/>
      <w:numFmt w:val="bullet"/>
      <w:lvlText w:val="•"/>
      <w:lvlJc w:val="left"/>
      <w:pPr>
        <w:tabs>
          <w:tab w:val="num" w:pos="2880"/>
        </w:tabs>
        <w:ind w:left="2880" w:hanging="360"/>
      </w:pPr>
      <w:rPr>
        <w:rFonts w:ascii="Arial" w:hAnsi="Arial" w:hint="default"/>
      </w:rPr>
    </w:lvl>
    <w:lvl w:ilvl="4" w:tplc="43708698" w:tentative="1">
      <w:start w:val="1"/>
      <w:numFmt w:val="bullet"/>
      <w:lvlText w:val="•"/>
      <w:lvlJc w:val="left"/>
      <w:pPr>
        <w:tabs>
          <w:tab w:val="num" w:pos="3600"/>
        </w:tabs>
        <w:ind w:left="3600" w:hanging="360"/>
      </w:pPr>
      <w:rPr>
        <w:rFonts w:ascii="Arial" w:hAnsi="Arial" w:hint="default"/>
      </w:rPr>
    </w:lvl>
    <w:lvl w:ilvl="5" w:tplc="FBFC75C8" w:tentative="1">
      <w:start w:val="1"/>
      <w:numFmt w:val="bullet"/>
      <w:lvlText w:val="•"/>
      <w:lvlJc w:val="left"/>
      <w:pPr>
        <w:tabs>
          <w:tab w:val="num" w:pos="4320"/>
        </w:tabs>
        <w:ind w:left="4320" w:hanging="360"/>
      </w:pPr>
      <w:rPr>
        <w:rFonts w:ascii="Arial" w:hAnsi="Arial" w:hint="default"/>
      </w:rPr>
    </w:lvl>
    <w:lvl w:ilvl="6" w:tplc="043A6B60" w:tentative="1">
      <w:start w:val="1"/>
      <w:numFmt w:val="bullet"/>
      <w:lvlText w:val="•"/>
      <w:lvlJc w:val="left"/>
      <w:pPr>
        <w:tabs>
          <w:tab w:val="num" w:pos="5040"/>
        </w:tabs>
        <w:ind w:left="5040" w:hanging="360"/>
      </w:pPr>
      <w:rPr>
        <w:rFonts w:ascii="Arial" w:hAnsi="Arial" w:hint="default"/>
      </w:rPr>
    </w:lvl>
    <w:lvl w:ilvl="7" w:tplc="A12A65B2" w:tentative="1">
      <w:start w:val="1"/>
      <w:numFmt w:val="bullet"/>
      <w:lvlText w:val="•"/>
      <w:lvlJc w:val="left"/>
      <w:pPr>
        <w:tabs>
          <w:tab w:val="num" w:pos="5760"/>
        </w:tabs>
        <w:ind w:left="5760" w:hanging="360"/>
      </w:pPr>
      <w:rPr>
        <w:rFonts w:ascii="Arial" w:hAnsi="Arial" w:hint="default"/>
      </w:rPr>
    </w:lvl>
    <w:lvl w:ilvl="8" w:tplc="B4D00920" w:tentative="1">
      <w:start w:val="1"/>
      <w:numFmt w:val="bullet"/>
      <w:lvlText w:val="•"/>
      <w:lvlJc w:val="left"/>
      <w:pPr>
        <w:tabs>
          <w:tab w:val="num" w:pos="6480"/>
        </w:tabs>
        <w:ind w:left="6480" w:hanging="360"/>
      </w:pPr>
      <w:rPr>
        <w:rFonts w:ascii="Arial" w:hAnsi="Arial" w:hint="default"/>
      </w:rPr>
    </w:lvl>
  </w:abstractNum>
  <w:abstractNum w:abstractNumId="1">
    <w:nsid w:val="426555CD"/>
    <w:multiLevelType w:val="multilevel"/>
    <w:tmpl w:val="E140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73837"/>
    <w:multiLevelType w:val="hybridMultilevel"/>
    <w:tmpl w:val="8A1CE3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5"/>
    <w:rsid w:val="000033C1"/>
    <w:rsid w:val="00016589"/>
    <w:rsid w:val="00020DA6"/>
    <w:rsid w:val="00022D27"/>
    <w:rsid w:val="00023EF1"/>
    <w:rsid w:val="00023EFC"/>
    <w:rsid w:val="00037252"/>
    <w:rsid w:val="00046727"/>
    <w:rsid w:val="000716DA"/>
    <w:rsid w:val="00085718"/>
    <w:rsid w:val="00095BEE"/>
    <w:rsid w:val="000A025D"/>
    <w:rsid w:val="000B2560"/>
    <w:rsid w:val="000C2EA4"/>
    <w:rsid w:val="000E08DB"/>
    <w:rsid w:val="000F5E8E"/>
    <w:rsid w:val="0011716F"/>
    <w:rsid w:val="001313AD"/>
    <w:rsid w:val="00137264"/>
    <w:rsid w:val="00140BC2"/>
    <w:rsid w:val="00142287"/>
    <w:rsid w:val="00147B1B"/>
    <w:rsid w:val="00172ABC"/>
    <w:rsid w:val="00195FB7"/>
    <w:rsid w:val="001A01F8"/>
    <w:rsid w:val="001A3B38"/>
    <w:rsid w:val="001B39E3"/>
    <w:rsid w:val="00205036"/>
    <w:rsid w:val="00210003"/>
    <w:rsid w:val="0022045A"/>
    <w:rsid w:val="002402DC"/>
    <w:rsid w:val="00247EED"/>
    <w:rsid w:val="0025154E"/>
    <w:rsid w:val="0025674F"/>
    <w:rsid w:val="00264386"/>
    <w:rsid w:val="002D519E"/>
    <w:rsid w:val="002E1836"/>
    <w:rsid w:val="002E79E1"/>
    <w:rsid w:val="00304259"/>
    <w:rsid w:val="00313B10"/>
    <w:rsid w:val="00327BBD"/>
    <w:rsid w:val="00332F0C"/>
    <w:rsid w:val="00334B7A"/>
    <w:rsid w:val="00335905"/>
    <w:rsid w:val="00352858"/>
    <w:rsid w:val="00372060"/>
    <w:rsid w:val="00372564"/>
    <w:rsid w:val="003743F2"/>
    <w:rsid w:val="00374996"/>
    <w:rsid w:val="00393207"/>
    <w:rsid w:val="00395A83"/>
    <w:rsid w:val="003A1061"/>
    <w:rsid w:val="003A328A"/>
    <w:rsid w:val="003A77DA"/>
    <w:rsid w:val="003C4597"/>
    <w:rsid w:val="004009F8"/>
    <w:rsid w:val="00407557"/>
    <w:rsid w:val="00410B99"/>
    <w:rsid w:val="00417C5A"/>
    <w:rsid w:val="00430EC3"/>
    <w:rsid w:val="004333C4"/>
    <w:rsid w:val="0044260B"/>
    <w:rsid w:val="00447EA2"/>
    <w:rsid w:val="00472282"/>
    <w:rsid w:val="00485266"/>
    <w:rsid w:val="004A0875"/>
    <w:rsid w:val="004B1190"/>
    <w:rsid w:val="004B5707"/>
    <w:rsid w:val="004E4E4C"/>
    <w:rsid w:val="004F5B0D"/>
    <w:rsid w:val="005216F2"/>
    <w:rsid w:val="00521A35"/>
    <w:rsid w:val="00526021"/>
    <w:rsid w:val="005304BF"/>
    <w:rsid w:val="00540E33"/>
    <w:rsid w:val="00562C95"/>
    <w:rsid w:val="00567F51"/>
    <w:rsid w:val="00587270"/>
    <w:rsid w:val="005C20A7"/>
    <w:rsid w:val="005D1273"/>
    <w:rsid w:val="005F66D2"/>
    <w:rsid w:val="00605086"/>
    <w:rsid w:val="0062461B"/>
    <w:rsid w:val="00624BC0"/>
    <w:rsid w:val="0063111D"/>
    <w:rsid w:val="00636BDC"/>
    <w:rsid w:val="00651A53"/>
    <w:rsid w:val="006675D3"/>
    <w:rsid w:val="0067011A"/>
    <w:rsid w:val="00673ADE"/>
    <w:rsid w:val="0067633A"/>
    <w:rsid w:val="00690B2C"/>
    <w:rsid w:val="00693F21"/>
    <w:rsid w:val="00697733"/>
    <w:rsid w:val="006A1D1C"/>
    <w:rsid w:val="006B03FE"/>
    <w:rsid w:val="006C0721"/>
    <w:rsid w:val="00702D3E"/>
    <w:rsid w:val="00733D6F"/>
    <w:rsid w:val="00760A4E"/>
    <w:rsid w:val="0076553C"/>
    <w:rsid w:val="0077259B"/>
    <w:rsid w:val="007942B1"/>
    <w:rsid w:val="007A1356"/>
    <w:rsid w:val="007A2B89"/>
    <w:rsid w:val="007A3C20"/>
    <w:rsid w:val="007B2082"/>
    <w:rsid w:val="007B4A0B"/>
    <w:rsid w:val="007B6DCE"/>
    <w:rsid w:val="007C7C31"/>
    <w:rsid w:val="007D0B89"/>
    <w:rsid w:val="007D22F4"/>
    <w:rsid w:val="007F30C0"/>
    <w:rsid w:val="0081362C"/>
    <w:rsid w:val="008148A1"/>
    <w:rsid w:val="008257B1"/>
    <w:rsid w:val="008346E9"/>
    <w:rsid w:val="008912ED"/>
    <w:rsid w:val="008A28E0"/>
    <w:rsid w:val="008B271C"/>
    <w:rsid w:val="008C18D3"/>
    <w:rsid w:val="008C5BB4"/>
    <w:rsid w:val="008D4097"/>
    <w:rsid w:val="009018A3"/>
    <w:rsid w:val="00902D90"/>
    <w:rsid w:val="00914644"/>
    <w:rsid w:val="00935C63"/>
    <w:rsid w:val="00947059"/>
    <w:rsid w:val="00947AA9"/>
    <w:rsid w:val="00950DF9"/>
    <w:rsid w:val="00953111"/>
    <w:rsid w:val="0098118B"/>
    <w:rsid w:val="00995F92"/>
    <w:rsid w:val="009C3F3D"/>
    <w:rsid w:val="009C58A3"/>
    <w:rsid w:val="009D7C4D"/>
    <w:rsid w:val="009E25F4"/>
    <w:rsid w:val="009F146E"/>
    <w:rsid w:val="009F50EA"/>
    <w:rsid w:val="009F66CE"/>
    <w:rsid w:val="00A14E95"/>
    <w:rsid w:val="00A63180"/>
    <w:rsid w:val="00A71B2A"/>
    <w:rsid w:val="00A76E6B"/>
    <w:rsid w:val="00A804E9"/>
    <w:rsid w:val="00A86AE1"/>
    <w:rsid w:val="00A95E0C"/>
    <w:rsid w:val="00AA19CD"/>
    <w:rsid w:val="00AA2BD3"/>
    <w:rsid w:val="00AA47A3"/>
    <w:rsid w:val="00AB21B1"/>
    <w:rsid w:val="00AD75A4"/>
    <w:rsid w:val="00AE529B"/>
    <w:rsid w:val="00AF3201"/>
    <w:rsid w:val="00AF5DC9"/>
    <w:rsid w:val="00AF6C12"/>
    <w:rsid w:val="00B10FDA"/>
    <w:rsid w:val="00B24BF7"/>
    <w:rsid w:val="00B31AC5"/>
    <w:rsid w:val="00B53544"/>
    <w:rsid w:val="00B57345"/>
    <w:rsid w:val="00B62783"/>
    <w:rsid w:val="00B66BFD"/>
    <w:rsid w:val="00B67E7F"/>
    <w:rsid w:val="00B70410"/>
    <w:rsid w:val="00B81CC9"/>
    <w:rsid w:val="00B87642"/>
    <w:rsid w:val="00BA08A9"/>
    <w:rsid w:val="00BA1639"/>
    <w:rsid w:val="00BB2B3D"/>
    <w:rsid w:val="00BB2D77"/>
    <w:rsid w:val="00BB7EF7"/>
    <w:rsid w:val="00BD2455"/>
    <w:rsid w:val="00BD4EA7"/>
    <w:rsid w:val="00BD7960"/>
    <w:rsid w:val="00BE1255"/>
    <w:rsid w:val="00BE61E1"/>
    <w:rsid w:val="00BE7B6D"/>
    <w:rsid w:val="00BF7D42"/>
    <w:rsid w:val="00C1112F"/>
    <w:rsid w:val="00C14116"/>
    <w:rsid w:val="00C21874"/>
    <w:rsid w:val="00C22DF6"/>
    <w:rsid w:val="00C2615D"/>
    <w:rsid w:val="00C30865"/>
    <w:rsid w:val="00C41C2B"/>
    <w:rsid w:val="00C43B0B"/>
    <w:rsid w:val="00C52352"/>
    <w:rsid w:val="00C55C42"/>
    <w:rsid w:val="00C566F0"/>
    <w:rsid w:val="00C71DAC"/>
    <w:rsid w:val="00C86506"/>
    <w:rsid w:val="00C96074"/>
    <w:rsid w:val="00CA1BC3"/>
    <w:rsid w:val="00CA4668"/>
    <w:rsid w:val="00CB06A8"/>
    <w:rsid w:val="00CB445E"/>
    <w:rsid w:val="00CC79D5"/>
    <w:rsid w:val="00CC7CDD"/>
    <w:rsid w:val="00CD2238"/>
    <w:rsid w:val="00CE06CD"/>
    <w:rsid w:val="00CF02A9"/>
    <w:rsid w:val="00D10428"/>
    <w:rsid w:val="00D455E7"/>
    <w:rsid w:val="00D55D56"/>
    <w:rsid w:val="00D673B2"/>
    <w:rsid w:val="00D85D0B"/>
    <w:rsid w:val="00DA6CF7"/>
    <w:rsid w:val="00DC163A"/>
    <w:rsid w:val="00DC3BB3"/>
    <w:rsid w:val="00DC6B3D"/>
    <w:rsid w:val="00DD5C1B"/>
    <w:rsid w:val="00DD699E"/>
    <w:rsid w:val="00DE68EC"/>
    <w:rsid w:val="00DF1EBC"/>
    <w:rsid w:val="00DF2331"/>
    <w:rsid w:val="00DF38CD"/>
    <w:rsid w:val="00E02A4B"/>
    <w:rsid w:val="00E064D6"/>
    <w:rsid w:val="00E2257E"/>
    <w:rsid w:val="00E31E8A"/>
    <w:rsid w:val="00E3482F"/>
    <w:rsid w:val="00E3563D"/>
    <w:rsid w:val="00E47D5E"/>
    <w:rsid w:val="00E543D4"/>
    <w:rsid w:val="00E615F5"/>
    <w:rsid w:val="00E87585"/>
    <w:rsid w:val="00EB4570"/>
    <w:rsid w:val="00EB76B7"/>
    <w:rsid w:val="00EE5348"/>
    <w:rsid w:val="00EF3E22"/>
    <w:rsid w:val="00F068C8"/>
    <w:rsid w:val="00F27DA0"/>
    <w:rsid w:val="00F312EF"/>
    <w:rsid w:val="00F362FF"/>
    <w:rsid w:val="00F51CF9"/>
    <w:rsid w:val="00F520F7"/>
    <w:rsid w:val="00F729E2"/>
    <w:rsid w:val="00F746EF"/>
    <w:rsid w:val="00F91995"/>
    <w:rsid w:val="00FB663F"/>
    <w:rsid w:val="00FC4461"/>
    <w:rsid w:val="00FE13B5"/>
    <w:rsid w:val="00FE3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9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257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57B1"/>
    <w:rPr>
      <w:sz w:val="20"/>
      <w:szCs w:val="20"/>
    </w:rPr>
  </w:style>
  <w:style w:type="character" w:styleId="Rimandonotaapidipagina">
    <w:name w:val="footnote reference"/>
    <w:basedOn w:val="Carpredefinitoparagrafo"/>
    <w:uiPriority w:val="99"/>
    <w:semiHidden/>
    <w:unhideWhenUsed/>
    <w:rsid w:val="008257B1"/>
    <w:rPr>
      <w:vertAlign w:val="superscript"/>
    </w:rPr>
  </w:style>
  <w:style w:type="paragraph" w:styleId="Paragrafoelenco">
    <w:name w:val="List Paragraph"/>
    <w:basedOn w:val="Normale"/>
    <w:uiPriority w:val="34"/>
    <w:qFormat/>
    <w:rsid w:val="00950DF9"/>
    <w:pPr>
      <w:ind w:left="720"/>
      <w:contextualSpacing/>
    </w:pPr>
  </w:style>
  <w:style w:type="paragraph" w:styleId="Intestazione">
    <w:name w:val="header"/>
    <w:basedOn w:val="Normale"/>
    <w:link w:val="IntestazioneCarattere"/>
    <w:uiPriority w:val="99"/>
    <w:unhideWhenUsed/>
    <w:rsid w:val="00A95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E0C"/>
  </w:style>
  <w:style w:type="paragraph" w:styleId="Pidipagina">
    <w:name w:val="footer"/>
    <w:basedOn w:val="Normale"/>
    <w:link w:val="PidipaginaCarattere"/>
    <w:uiPriority w:val="99"/>
    <w:unhideWhenUsed/>
    <w:rsid w:val="00A95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E0C"/>
  </w:style>
  <w:style w:type="paragraph" w:styleId="Testofumetto">
    <w:name w:val="Balloon Text"/>
    <w:basedOn w:val="Normale"/>
    <w:link w:val="TestofumettoCarattere"/>
    <w:uiPriority w:val="99"/>
    <w:semiHidden/>
    <w:unhideWhenUsed/>
    <w:rsid w:val="009146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6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257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57B1"/>
    <w:rPr>
      <w:sz w:val="20"/>
      <w:szCs w:val="20"/>
    </w:rPr>
  </w:style>
  <w:style w:type="character" w:styleId="Rimandonotaapidipagina">
    <w:name w:val="footnote reference"/>
    <w:basedOn w:val="Carpredefinitoparagrafo"/>
    <w:uiPriority w:val="99"/>
    <w:semiHidden/>
    <w:unhideWhenUsed/>
    <w:rsid w:val="008257B1"/>
    <w:rPr>
      <w:vertAlign w:val="superscript"/>
    </w:rPr>
  </w:style>
  <w:style w:type="paragraph" w:styleId="Paragrafoelenco">
    <w:name w:val="List Paragraph"/>
    <w:basedOn w:val="Normale"/>
    <w:uiPriority w:val="34"/>
    <w:qFormat/>
    <w:rsid w:val="00950DF9"/>
    <w:pPr>
      <w:ind w:left="720"/>
      <w:contextualSpacing/>
    </w:pPr>
  </w:style>
  <w:style w:type="paragraph" w:styleId="Intestazione">
    <w:name w:val="header"/>
    <w:basedOn w:val="Normale"/>
    <w:link w:val="IntestazioneCarattere"/>
    <w:uiPriority w:val="99"/>
    <w:unhideWhenUsed/>
    <w:rsid w:val="00A95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E0C"/>
  </w:style>
  <w:style w:type="paragraph" w:styleId="Pidipagina">
    <w:name w:val="footer"/>
    <w:basedOn w:val="Normale"/>
    <w:link w:val="PidipaginaCarattere"/>
    <w:uiPriority w:val="99"/>
    <w:unhideWhenUsed/>
    <w:rsid w:val="00A95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E0C"/>
  </w:style>
  <w:style w:type="paragraph" w:styleId="Testofumetto">
    <w:name w:val="Balloon Text"/>
    <w:basedOn w:val="Normale"/>
    <w:link w:val="TestofumettoCarattere"/>
    <w:uiPriority w:val="99"/>
    <w:semiHidden/>
    <w:unhideWhenUsed/>
    <w:rsid w:val="009146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259">
      <w:bodyDiv w:val="1"/>
      <w:marLeft w:val="0"/>
      <w:marRight w:val="0"/>
      <w:marTop w:val="0"/>
      <w:marBottom w:val="0"/>
      <w:divBdr>
        <w:top w:val="none" w:sz="0" w:space="0" w:color="auto"/>
        <w:left w:val="none" w:sz="0" w:space="0" w:color="auto"/>
        <w:bottom w:val="none" w:sz="0" w:space="0" w:color="auto"/>
        <w:right w:val="none" w:sz="0" w:space="0" w:color="auto"/>
      </w:divBdr>
      <w:divsChild>
        <w:div w:id="783382160">
          <w:marLeft w:val="547"/>
          <w:marRight w:val="0"/>
          <w:marTop w:val="0"/>
          <w:marBottom w:val="0"/>
          <w:divBdr>
            <w:top w:val="none" w:sz="0" w:space="0" w:color="auto"/>
            <w:left w:val="none" w:sz="0" w:space="0" w:color="auto"/>
            <w:bottom w:val="none" w:sz="0" w:space="0" w:color="auto"/>
            <w:right w:val="none" w:sz="0" w:space="0" w:color="auto"/>
          </w:divBdr>
        </w:div>
        <w:div w:id="868105309">
          <w:marLeft w:val="547"/>
          <w:marRight w:val="0"/>
          <w:marTop w:val="0"/>
          <w:marBottom w:val="0"/>
          <w:divBdr>
            <w:top w:val="none" w:sz="0" w:space="0" w:color="auto"/>
            <w:left w:val="none" w:sz="0" w:space="0" w:color="auto"/>
            <w:bottom w:val="none" w:sz="0" w:space="0" w:color="auto"/>
            <w:right w:val="none" w:sz="0" w:space="0" w:color="auto"/>
          </w:divBdr>
        </w:div>
        <w:div w:id="1411076058">
          <w:marLeft w:val="547"/>
          <w:marRight w:val="0"/>
          <w:marTop w:val="0"/>
          <w:marBottom w:val="0"/>
          <w:divBdr>
            <w:top w:val="none" w:sz="0" w:space="0" w:color="auto"/>
            <w:left w:val="none" w:sz="0" w:space="0" w:color="auto"/>
            <w:bottom w:val="none" w:sz="0" w:space="0" w:color="auto"/>
            <w:right w:val="none" w:sz="0" w:space="0" w:color="auto"/>
          </w:divBdr>
        </w:div>
      </w:divsChild>
    </w:div>
    <w:div w:id="997735579">
      <w:bodyDiv w:val="1"/>
      <w:marLeft w:val="0"/>
      <w:marRight w:val="0"/>
      <w:marTop w:val="0"/>
      <w:marBottom w:val="0"/>
      <w:divBdr>
        <w:top w:val="none" w:sz="0" w:space="0" w:color="auto"/>
        <w:left w:val="none" w:sz="0" w:space="0" w:color="auto"/>
        <w:bottom w:val="none" w:sz="0" w:space="0" w:color="auto"/>
        <w:right w:val="none" w:sz="0" w:space="0" w:color="auto"/>
      </w:divBdr>
    </w:div>
    <w:div w:id="17385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5524E43822243AF3EEA8C0E07164E" ma:contentTypeVersion="9" ma:contentTypeDescription="Create a new document." ma:contentTypeScope="" ma:versionID="0f55369905489fcb0d0f11d7114a68f1">
  <xsd:schema xmlns:xsd="http://www.w3.org/2001/XMLSchema" xmlns:xs="http://www.w3.org/2001/XMLSchema" xmlns:p="http://schemas.microsoft.com/office/2006/metadata/properties" xmlns:ns2="0871b2b9-087e-47fe-bf60-19ec21de3236" targetNamespace="http://schemas.microsoft.com/office/2006/metadata/properties" ma:root="true" ma:fieldsID="37e78ea2287a014f2e5fd8930b7fad36" ns2:_="">
    <xsd:import namespace="0871b2b9-087e-47fe-bf60-19ec21de3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1b2b9-087e-47fe-bf60-19ec21de3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D2FB-6A3B-4DC7-8F91-4C9926004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1b2b9-087e-47fe-bf60-19ec21de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818B2-E75B-40B8-B3B5-6C478DB88DB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871b2b9-087e-47fe-bf60-19ec21de3236"/>
    <ds:schemaRef ds:uri="http://www.w3.org/XML/1998/namespace"/>
  </ds:schemaRefs>
</ds:datastoreItem>
</file>

<file path=customXml/itemProps3.xml><?xml version="1.0" encoding="utf-8"?>
<ds:datastoreItem xmlns:ds="http://schemas.openxmlformats.org/officeDocument/2006/customXml" ds:itemID="{E50046FF-BEDB-482E-AEF1-7A6212C4D344}">
  <ds:schemaRefs>
    <ds:schemaRef ds:uri="http://schemas.microsoft.com/sharepoint/v3/contenttype/forms"/>
  </ds:schemaRefs>
</ds:datastoreItem>
</file>

<file path=customXml/itemProps4.xml><?xml version="1.0" encoding="utf-8"?>
<ds:datastoreItem xmlns:ds="http://schemas.openxmlformats.org/officeDocument/2006/customXml" ds:itemID="{9AE2D81A-597D-495A-A0D9-6EFBB290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1461</Words>
  <Characters>8333</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Cascio Alessia (IT INST AFF)</dc:creator>
  <cp:lastModifiedBy>Cdd</cp:lastModifiedBy>
  <cp:revision>2</cp:revision>
  <cp:lastPrinted>2021-01-30T15:28:00Z</cp:lastPrinted>
  <dcterms:created xsi:type="dcterms:W3CDTF">2021-02-02T11:24:00Z</dcterms:created>
  <dcterms:modified xsi:type="dcterms:W3CDTF">2021-02-02T11:24:00Z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0x0101008F25524E43822243AF3EEA8C0E07164E</vt:lpwstr>
  </property>
</Properties>
</file>