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290A4" w14:textId="77777777" w:rsidR="00A82E48" w:rsidRPr="00FB4D72" w:rsidRDefault="00A82E48" w:rsidP="006047FE">
      <w:pPr>
        <w:jc w:val="both"/>
        <w:rPr>
          <w:rFonts w:ascii="Times New Roman" w:eastAsia="Times New Roman" w:hAnsi="Times New Roman" w:cs="Times New Roman"/>
          <w:color w:val="000000"/>
          <w:shd w:val="clear" w:color="auto" w:fill="FFFFFF"/>
        </w:rPr>
      </w:pPr>
      <w:bookmarkStart w:id="0" w:name="_GoBack"/>
      <w:bookmarkEnd w:id="0"/>
      <w:r w:rsidRPr="00FB4D72">
        <w:rPr>
          <w:rFonts w:ascii="Times New Roman" w:hAnsi="Times New Roman" w:cs="Times New Roman"/>
        </w:rPr>
        <w:t xml:space="preserve">Audizione informale presso le Commissioni riunite V (Bilancio) e XII (Affari sociali) della Camera dei Deputati, </w:t>
      </w:r>
      <w:r w:rsidRPr="00FB4D72">
        <w:rPr>
          <w:rFonts w:ascii="Times New Roman" w:eastAsia="Times New Roman" w:hAnsi="Times New Roman" w:cs="Times New Roman"/>
          <w:color w:val="000000"/>
          <w:shd w:val="clear" w:color="auto" w:fill="FFFFFF"/>
        </w:rPr>
        <w:t>nell’ambito dell’esame della Proposta di Piano nazionale di ripresa e resilienza (Doc. XXVII, n. 18)</w:t>
      </w:r>
    </w:p>
    <w:p w14:paraId="7353C01D" w14:textId="77777777" w:rsidR="00A82E48" w:rsidRPr="00FB4D72" w:rsidRDefault="00A82E48" w:rsidP="006047FE">
      <w:pPr>
        <w:jc w:val="both"/>
        <w:rPr>
          <w:rFonts w:ascii="Times New Roman" w:eastAsia="Times New Roman" w:hAnsi="Times New Roman" w:cs="Times New Roman"/>
          <w:color w:val="000000"/>
          <w:shd w:val="clear" w:color="auto" w:fill="FFFFFF"/>
        </w:rPr>
      </w:pPr>
    </w:p>
    <w:p w14:paraId="6EFE0A63" w14:textId="77777777" w:rsidR="00A82E48" w:rsidRPr="00FB4D72" w:rsidRDefault="00A82E48" w:rsidP="006047FE">
      <w:pPr>
        <w:jc w:val="both"/>
        <w:rPr>
          <w:rFonts w:ascii="Times New Roman" w:eastAsia="Times New Roman" w:hAnsi="Times New Roman" w:cs="Times New Roman"/>
          <w:color w:val="000000"/>
          <w:shd w:val="clear" w:color="auto" w:fill="FFFFFF"/>
        </w:rPr>
      </w:pPr>
      <w:r w:rsidRPr="00FB4D72">
        <w:rPr>
          <w:rFonts w:ascii="Times New Roman" w:eastAsia="Times New Roman" w:hAnsi="Times New Roman" w:cs="Times New Roman"/>
          <w:color w:val="000000"/>
          <w:shd w:val="clear" w:color="auto" w:fill="FFFFFF"/>
        </w:rPr>
        <w:t>Roberta Carlini</w:t>
      </w:r>
    </w:p>
    <w:p w14:paraId="22E16523" w14:textId="77777777" w:rsidR="00A82E48" w:rsidRPr="00FB4D72" w:rsidRDefault="00A82E48" w:rsidP="006047FE">
      <w:pPr>
        <w:jc w:val="both"/>
        <w:rPr>
          <w:rFonts w:ascii="Times New Roman" w:eastAsia="Times New Roman" w:hAnsi="Times New Roman" w:cs="Times New Roman"/>
          <w:color w:val="000000"/>
          <w:shd w:val="clear" w:color="auto" w:fill="FFFFFF"/>
        </w:rPr>
      </w:pPr>
      <w:r w:rsidRPr="00FB4D72">
        <w:rPr>
          <w:rFonts w:ascii="Times New Roman" w:eastAsia="Times New Roman" w:hAnsi="Times New Roman" w:cs="Times New Roman"/>
          <w:color w:val="000000"/>
          <w:shd w:val="clear" w:color="auto" w:fill="FFFFFF"/>
        </w:rPr>
        <w:t>Redazione di InGenere.it</w:t>
      </w:r>
    </w:p>
    <w:p w14:paraId="3BF1BC38" w14:textId="77777777" w:rsidR="00A82E48" w:rsidRPr="00FB4D72" w:rsidRDefault="00A82E48" w:rsidP="006047FE">
      <w:pPr>
        <w:jc w:val="both"/>
        <w:rPr>
          <w:rFonts w:ascii="Times New Roman" w:eastAsia="Times New Roman" w:hAnsi="Times New Roman" w:cs="Times New Roman"/>
          <w:color w:val="000000"/>
          <w:shd w:val="clear" w:color="auto" w:fill="FFFFFF"/>
        </w:rPr>
      </w:pPr>
      <w:r w:rsidRPr="00FB4D72">
        <w:rPr>
          <w:rFonts w:ascii="Times New Roman" w:eastAsia="Times New Roman" w:hAnsi="Times New Roman" w:cs="Times New Roman"/>
          <w:color w:val="000000"/>
          <w:shd w:val="clear" w:color="auto" w:fill="FFFFFF"/>
        </w:rPr>
        <w:t>2 febbraio 2021</w:t>
      </w:r>
    </w:p>
    <w:p w14:paraId="43CE7547" w14:textId="77777777" w:rsidR="00A82E48" w:rsidRPr="00FB4D72" w:rsidRDefault="00A82E48" w:rsidP="006047FE">
      <w:pPr>
        <w:jc w:val="both"/>
        <w:rPr>
          <w:rFonts w:ascii="Times New Roman" w:eastAsia="Times New Roman" w:hAnsi="Times New Roman" w:cs="Times New Roman"/>
          <w:color w:val="000000"/>
          <w:shd w:val="clear" w:color="auto" w:fill="FFFFFF"/>
        </w:rPr>
      </w:pPr>
    </w:p>
    <w:p w14:paraId="627602D4" w14:textId="37157C8C" w:rsidR="00A82E48" w:rsidRPr="00FB4D72" w:rsidRDefault="00A82E48" w:rsidP="006047FE">
      <w:pPr>
        <w:jc w:val="both"/>
        <w:rPr>
          <w:rFonts w:ascii="Times New Roman" w:eastAsia="Times New Roman" w:hAnsi="Times New Roman" w:cs="Times New Roman"/>
          <w:color w:val="000000"/>
          <w:shd w:val="clear" w:color="auto" w:fill="FFFFFF"/>
        </w:rPr>
      </w:pPr>
      <w:r w:rsidRPr="00FB4D72">
        <w:rPr>
          <w:rFonts w:ascii="Times New Roman" w:eastAsia="Times New Roman" w:hAnsi="Times New Roman" w:cs="Times New Roman"/>
          <w:color w:val="000000"/>
          <w:shd w:val="clear" w:color="auto" w:fill="FFFFFF"/>
        </w:rPr>
        <w:t>Al debutto del millennio, la strategia di Lisbona poneva per gli Stati membri dell’Unione europea l’obiettivo del 60% di occupazione femminile entro il 2010. Quel decennio</w:t>
      </w:r>
      <w:r w:rsidR="00225C5E" w:rsidRPr="00FB4D72">
        <w:rPr>
          <w:rFonts w:ascii="Times New Roman" w:eastAsia="Times New Roman" w:hAnsi="Times New Roman" w:cs="Times New Roman"/>
          <w:color w:val="000000"/>
          <w:shd w:val="clear" w:color="auto" w:fill="FFFFFF"/>
        </w:rPr>
        <w:t xml:space="preserve"> è passato,</w:t>
      </w:r>
      <w:r w:rsidRPr="00FB4D72">
        <w:rPr>
          <w:rFonts w:ascii="Times New Roman" w:eastAsia="Times New Roman" w:hAnsi="Times New Roman" w:cs="Times New Roman"/>
          <w:color w:val="000000"/>
          <w:shd w:val="clear" w:color="auto" w:fill="FFFFFF"/>
        </w:rPr>
        <w:t xml:space="preserve"> è passato anche il successivo, e le donne italiane sono lontanissime dall’obiettivo. Siamo ancora sotto il 50%.  Eppure, fino al 2020 il processo di aumento dell’occupazione femminile in Italia, sia pur lentissimo e territorialmente squilibrato, era andato avanti</w:t>
      </w:r>
      <w:r w:rsidR="00765041" w:rsidRPr="00FB4D72">
        <w:rPr>
          <w:rFonts w:ascii="Times New Roman" w:eastAsia="Times New Roman" w:hAnsi="Times New Roman" w:cs="Times New Roman"/>
          <w:color w:val="000000"/>
          <w:shd w:val="clear" w:color="auto" w:fill="FFFFFF"/>
        </w:rPr>
        <w:t xml:space="preserve"> per decenni</w:t>
      </w:r>
      <w:r w:rsidRPr="00FB4D72">
        <w:rPr>
          <w:rFonts w:ascii="Times New Roman" w:eastAsia="Times New Roman" w:hAnsi="Times New Roman" w:cs="Times New Roman"/>
          <w:color w:val="000000"/>
          <w:shd w:val="clear" w:color="auto" w:fill="FFFFFF"/>
        </w:rPr>
        <w:t xml:space="preserve">. Nel 2020 non si è solo interrotto: si è invertito. </w:t>
      </w:r>
      <w:r w:rsidR="00CF6F96" w:rsidRPr="00FB4D72">
        <w:rPr>
          <w:rFonts w:ascii="Times New Roman" w:eastAsia="Times New Roman" w:hAnsi="Times New Roman" w:cs="Times New Roman"/>
          <w:color w:val="000000"/>
          <w:shd w:val="clear" w:color="auto" w:fill="FFFFFF"/>
        </w:rPr>
        <w:t xml:space="preserve">L’impatto del COVID-19 sull’occupazione e sulle condizioni economiche e sociali delle donne, ampiamente documentato e evidenziato in tutto il mondo, è particolarmente evidente e grave nella situazione italiana: </w:t>
      </w:r>
      <w:r w:rsidRPr="00FB4D72">
        <w:rPr>
          <w:rFonts w:ascii="Times New Roman" w:eastAsia="Times New Roman" w:hAnsi="Times New Roman" w:cs="Times New Roman"/>
          <w:color w:val="000000"/>
          <w:shd w:val="clear" w:color="auto" w:fill="FFFFFF"/>
        </w:rPr>
        <w:t>meno 1,5 punti percentuali in termini di tasso di occupazione, meno 312.000 occupate da dicembre 2019 a dicembre 2020 (Istat, 2020a e Istat, 2020b)</w:t>
      </w:r>
      <w:r w:rsidR="00CF6F96" w:rsidRPr="00FB4D72">
        <w:rPr>
          <w:rFonts w:ascii="Times New Roman" w:eastAsia="Times New Roman" w:hAnsi="Times New Roman" w:cs="Times New Roman"/>
          <w:color w:val="000000"/>
          <w:shd w:val="clear" w:color="auto" w:fill="FFFFFF"/>
        </w:rPr>
        <w:t>. Allo stesso tempo, la reazione politica, le risorse e gli strumenti messi in campo dall’Unione europea costituiscono una straordinaria occasione per affrontare il nodo irrisolto della bassa occupazione femminile in Italia: un nodo strutturale, che non stringe solo la vita delle donne ma dell’intero Paese, e la cui soluzione non avvantaggerebbe solo le donne ma l’i</w:t>
      </w:r>
      <w:r w:rsidR="00225C5E" w:rsidRPr="00FB4D72">
        <w:rPr>
          <w:rFonts w:ascii="Times New Roman" w:eastAsia="Times New Roman" w:hAnsi="Times New Roman" w:cs="Times New Roman"/>
          <w:color w:val="000000"/>
          <w:shd w:val="clear" w:color="auto" w:fill="FFFFFF"/>
        </w:rPr>
        <w:t>n</w:t>
      </w:r>
      <w:r w:rsidR="00CF6F96" w:rsidRPr="00FB4D72">
        <w:rPr>
          <w:rFonts w:ascii="Times New Roman" w:eastAsia="Times New Roman" w:hAnsi="Times New Roman" w:cs="Times New Roman"/>
          <w:color w:val="000000"/>
          <w:shd w:val="clear" w:color="auto" w:fill="FFFFFF"/>
        </w:rPr>
        <w:t>tera società. Il PNRR italiano ci permette di cogliere questa irripetibile occasione?</w:t>
      </w:r>
    </w:p>
    <w:p w14:paraId="64575747" w14:textId="77777777" w:rsidR="00225C5E" w:rsidRPr="00FB4D72" w:rsidRDefault="00CF6F96" w:rsidP="006047FE">
      <w:pPr>
        <w:jc w:val="both"/>
        <w:rPr>
          <w:rFonts w:ascii="Times New Roman" w:eastAsia="Times New Roman" w:hAnsi="Times New Roman" w:cs="Times New Roman"/>
          <w:color w:val="000000"/>
          <w:shd w:val="clear" w:color="auto" w:fill="FFFFFF"/>
        </w:rPr>
      </w:pPr>
      <w:r w:rsidRPr="00FB4D72">
        <w:rPr>
          <w:rFonts w:ascii="Times New Roman" w:eastAsia="Times New Roman" w:hAnsi="Times New Roman" w:cs="Times New Roman"/>
          <w:color w:val="000000"/>
          <w:shd w:val="clear" w:color="auto" w:fill="FFFFFF"/>
        </w:rPr>
        <w:t>Proverò a rispondere a questa domanda portando le competenze e le elaborazioni di un gruppo di economiste e studiose sociali, raccolto da un decennio nell’esperienza di inGenere.it (sito di analisi, informazione e proposta politica su economia da un punto di vista di genere, edito dalla</w:t>
      </w:r>
      <w:r w:rsidR="00225C5E" w:rsidRPr="00FB4D72">
        <w:rPr>
          <w:rFonts w:ascii="Times New Roman" w:eastAsia="Times New Roman" w:hAnsi="Times New Roman" w:cs="Times New Roman"/>
          <w:color w:val="000000"/>
          <w:shd w:val="clear" w:color="auto" w:fill="FFFFFF"/>
        </w:rPr>
        <w:t xml:space="preserve"> Fondazione Giacomo Brodolini). In sintesi, la risposta è: si, a patto che a) si veda il lavoro delle donne non come un “problema” di conciliazione tra vita e famiglia, ma una leva di sviluppo economico, produttivo, tecnologico e sociale; b) che si quantifichino obiettivi, strumenti e tempi; c) che la cabina di regia del PNRR includa paritariamente le competenze delle donne. </w:t>
      </w:r>
    </w:p>
    <w:p w14:paraId="05BC3DF3" w14:textId="77777777" w:rsidR="00225C5E" w:rsidRPr="00FB4D72" w:rsidRDefault="00225C5E" w:rsidP="006047FE">
      <w:pPr>
        <w:jc w:val="both"/>
        <w:rPr>
          <w:rFonts w:ascii="Times New Roman" w:eastAsia="Times New Roman" w:hAnsi="Times New Roman" w:cs="Times New Roman"/>
          <w:color w:val="000000"/>
          <w:shd w:val="clear" w:color="auto" w:fill="FFFFFF"/>
        </w:rPr>
      </w:pPr>
    </w:p>
    <w:p w14:paraId="21A1501F" w14:textId="77777777" w:rsidR="00421B69" w:rsidRPr="00FB4D72" w:rsidRDefault="00225C5E" w:rsidP="006047FE">
      <w:pPr>
        <w:jc w:val="both"/>
        <w:rPr>
          <w:rFonts w:ascii="Times New Roman" w:hAnsi="Times New Roman" w:cs="Times New Roman"/>
        </w:rPr>
      </w:pPr>
      <w:r w:rsidRPr="00FB4D72">
        <w:rPr>
          <w:rFonts w:ascii="Times New Roman" w:eastAsia="Times New Roman" w:hAnsi="Times New Roman" w:cs="Times New Roman"/>
          <w:b/>
          <w:color w:val="000000"/>
          <w:shd w:val="clear" w:color="auto" w:fill="FFFFFF"/>
        </w:rPr>
        <w:t>Quello che siamo obbligati a fare.</w:t>
      </w:r>
      <w:r w:rsidRPr="00FB4D72">
        <w:rPr>
          <w:rFonts w:ascii="Times New Roman" w:eastAsia="Times New Roman" w:hAnsi="Times New Roman" w:cs="Times New Roman"/>
          <w:color w:val="000000"/>
          <w:shd w:val="clear" w:color="auto" w:fill="FFFFFF"/>
        </w:rPr>
        <w:t xml:space="preserve"> </w:t>
      </w:r>
      <w:r w:rsidR="00421B69" w:rsidRPr="00FB4D72">
        <w:rPr>
          <w:rFonts w:ascii="Times New Roman" w:hAnsi="Times New Roman" w:cs="Times New Roman"/>
        </w:rPr>
        <w:t xml:space="preserve">Le linee guida della Commissione europea per i Piani nazionali di ripresa e resilienza (Commissione europea, 2021) impongono ai governi di spiegare e dettagliare come il piano garantirà equità di genere e uguali opportunità. </w:t>
      </w:r>
    </w:p>
    <w:p w14:paraId="448B7B9F" w14:textId="77777777" w:rsidR="00421B69" w:rsidRPr="00FB4D72" w:rsidRDefault="00421B69" w:rsidP="006047FE">
      <w:pPr>
        <w:jc w:val="both"/>
        <w:rPr>
          <w:rFonts w:ascii="Times New Roman" w:eastAsia="Times New Roman" w:hAnsi="Times New Roman" w:cs="Times New Roman"/>
        </w:rPr>
      </w:pPr>
    </w:p>
    <w:p w14:paraId="36124BBE" w14:textId="77777777" w:rsidR="00421B69" w:rsidRPr="00FB4D72" w:rsidRDefault="00421B69" w:rsidP="006047FE">
      <w:pPr>
        <w:jc w:val="both"/>
        <w:rPr>
          <w:rFonts w:ascii="Times New Roman" w:eastAsia="Times New Roman" w:hAnsi="Times New Roman" w:cs="Times New Roman"/>
          <w:lang w:val="en-GB"/>
        </w:rPr>
      </w:pPr>
      <w:r w:rsidRPr="00FB4D72">
        <w:rPr>
          <w:rFonts w:ascii="Times New Roman" w:eastAsia="Times New Roman" w:hAnsi="Times New Roman" w:cs="Times New Roman"/>
          <w:lang w:val="en-GB"/>
        </w:rPr>
        <w:t>Article 15 (3) (</w:t>
      </w:r>
      <w:proofErr w:type="spellStart"/>
      <w:r w:rsidRPr="00FB4D72">
        <w:rPr>
          <w:rFonts w:ascii="Times New Roman" w:eastAsia="Times New Roman" w:hAnsi="Times New Roman" w:cs="Times New Roman"/>
          <w:lang w:val="en-GB"/>
        </w:rPr>
        <w:t>ia</w:t>
      </w:r>
      <w:proofErr w:type="spellEnd"/>
      <w:r w:rsidRPr="00FB4D72">
        <w:rPr>
          <w:rFonts w:ascii="Times New Roman" w:eastAsia="Times New Roman" w:hAnsi="Times New Roman" w:cs="Times New Roman"/>
          <w:lang w:val="en-GB"/>
        </w:rPr>
        <w:t>): “an explanation of how the measures in the plan are expected to contribute to gender equality and equal opportunities for all and the mainstreaming of these objectives in line with the principles 2 and 3 of the European Pillar of Social Rights, and principle 5 of the SDGs and the national Gender equality strategy, where relevant;”</w:t>
      </w:r>
    </w:p>
    <w:p w14:paraId="76F08EB6" w14:textId="77777777" w:rsidR="00421B69" w:rsidRPr="00FB4D72" w:rsidRDefault="00421B69" w:rsidP="006047FE">
      <w:pPr>
        <w:pStyle w:val="Paragrafoelenco"/>
        <w:jc w:val="both"/>
        <w:rPr>
          <w:rFonts w:ascii="Times New Roman" w:hAnsi="Times New Roman" w:cs="Times New Roman"/>
          <w:lang w:val="en-GB"/>
        </w:rPr>
      </w:pPr>
    </w:p>
    <w:p w14:paraId="059FE264" w14:textId="5683B192" w:rsidR="00421B69" w:rsidRPr="00FB4D72" w:rsidRDefault="00421B69" w:rsidP="006047FE">
      <w:pPr>
        <w:jc w:val="both"/>
        <w:rPr>
          <w:rFonts w:ascii="Times New Roman" w:hAnsi="Times New Roman" w:cs="Times New Roman"/>
        </w:rPr>
      </w:pPr>
      <w:r w:rsidRPr="00FB4D72">
        <w:rPr>
          <w:rFonts w:ascii="Times New Roman" w:hAnsi="Times New Roman" w:cs="Times New Roman"/>
        </w:rPr>
        <w:t xml:space="preserve">Gli obiettivi sono: assicurare parità di trattamento e opportunità tra uomini e donne in tutte le aree, incluse la partecipazione al mercato del lavoro, i termini e le condizioni dell’occupazione e la progressione delle carriere; il diritto a uguale salario a parità di lavoro; la non-discriminazione; pari opportunità per i gruppi sotto-rappresentati. Gli Stati devono dettagliare e dimostrare come i loro piani assicurano il raggiungimento di questi obiettivi, </w:t>
      </w:r>
      <w:r w:rsidR="00392D07" w:rsidRPr="00FB4D72">
        <w:rPr>
          <w:rFonts w:ascii="Times New Roman" w:hAnsi="Times New Roman" w:cs="Times New Roman"/>
          <w:i/>
        </w:rPr>
        <w:t>in tutte le missioni che sostanziano il piano</w:t>
      </w:r>
      <w:r w:rsidRPr="00FB4D72">
        <w:rPr>
          <w:rFonts w:ascii="Times New Roman" w:hAnsi="Times New Roman" w:cs="Times New Roman"/>
        </w:rPr>
        <w:t xml:space="preserve"> (p. 11). </w:t>
      </w:r>
      <w:r w:rsidR="00AD140F" w:rsidRPr="00FB4D72">
        <w:rPr>
          <w:rFonts w:ascii="Times New Roman" w:hAnsi="Times New Roman" w:cs="Times New Roman"/>
        </w:rPr>
        <w:t xml:space="preserve">Dunque quello che le linee guida europee ci chiedono è la trasversalità dell’approccio, nella individuazione, costruzione e valutazione delle politiche. Il PNRR risponde a questa richiesta? Sì, ponendo la parità di genere, assieme a giovani e Sud, tra le “valutazioni di parità trasversali” (pagina 43). Possiamo dunque dire che un passo in avanti è stato fatto, rispetto a </w:t>
      </w:r>
      <w:r w:rsidR="00B1394E" w:rsidRPr="00FB4D72">
        <w:rPr>
          <w:rFonts w:ascii="Times New Roman" w:hAnsi="Times New Roman" w:cs="Times New Roman"/>
        </w:rPr>
        <w:t xml:space="preserve">versioni precedenti nelle quali il tema della parità di genere era segregato all’interno di una “missione” specifica, seguendo una vecchia abitudine per cui </w:t>
      </w:r>
      <w:r w:rsidR="00AD140F" w:rsidRPr="00FB4D72">
        <w:rPr>
          <w:rFonts w:ascii="Times New Roman" w:hAnsi="Times New Roman" w:cs="Times New Roman"/>
        </w:rPr>
        <w:t xml:space="preserve">le </w:t>
      </w:r>
      <w:r w:rsidR="00AD140F" w:rsidRPr="00FB4D72">
        <w:rPr>
          <w:rFonts w:ascii="Times New Roman" w:hAnsi="Times New Roman" w:cs="Times New Roman"/>
        </w:rPr>
        <w:lastRenderedPageBreak/>
        <w:t xml:space="preserve">politiche “femminili” solo un capitolo tra le varie emergenze sociali da affrontare. </w:t>
      </w:r>
      <w:r w:rsidR="00B1394E" w:rsidRPr="00FB4D72">
        <w:rPr>
          <w:rFonts w:ascii="Times New Roman" w:hAnsi="Times New Roman" w:cs="Times New Roman"/>
        </w:rPr>
        <w:t xml:space="preserve">Questo vuol dire che </w:t>
      </w:r>
      <w:r w:rsidR="00B1394E" w:rsidRPr="00FB4D72">
        <w:rPr>
          <w:rFonts w:ascii="Times New Roman" w:hAnsi="Times New Roman" w:cs="Times New Roman"/>
          <w:i/>
        </w:rPr>
        <w:t>tutte</w:t>
      </w:r>
      <w:r w:rsidR="00B1394E" w:rsidRPr="00FB4D72">
        <w:rPr>
          <w:rFonts w:ascii="Times New Roman" w:hAnsi="Times New Roman" w:cs="Times New Roman"/>
        </w:rPr>
        <w:t xml:space="preserve"> le missioni del PNRR devono essere valutate e orientate per il loro effetto sull’occupazione femminile: </w:t>
      </w:r>
      <w:r w:rsidR="004B58F4" w:rsidRPr="00FB4D72">
        <w:rPr>
          <w:rFonts w:ascii="Times New Roman" w:hAnsi="Times New Roman" w:cs="Times New Roman"/>
        </w:rPr>
        <w:t xml:space="preserve">1) </w:t>
      </w:r>
      <w:r w:rsidR="00B1394E" w:rsidRPr="00FB4D72">
        <w:rPr>
          <w:rFonts w:ascii="Times New Roman" w:hAnsi="Times New Roman" w:cs="Times New Roman"/>
        </w:rPr>
        <w:t xml:space="preserve">Digitalizzazione, innovazione, competitività e cultura; </w:t>
      </w:r>
      <w:r w:rsidR="004B58F4" w:rsidRPr="00FB4D72">
        <w:rPr>
          <w:rFonts w:ascii="Times New Roman" w:hAnsi="Times New Roman" w:cs="Times New Roman"/>
        </w:rPr>
        <w:t xml:space="preserve">2) </w:t>
      </w:r>
      <w:r w:rsidR="00B1394E" w:rsidRPr="00FB4D72">
        <w:rPr>
          <w:rFonts w:ascii="Times New Roman" w:hAnsi="Times New Roman" w:cs="Times New Roman"/>
        </w:rPr>
        <w:t xml:space="preserve">Rivoluzione verde e transizione ecologica; </w:t>
      </w:r>
      <w:r w:rsidR="004B58F4" w:rsidRPr="00FB4D72">
        <w:rPr>
          <w:rFonts w:ascii="Times New Roman" w:hAnsi="Times New Roman" w:cs="Times New Roman"/>
        </w:rPr>
        <w:t xml:space="preserve">3) </w:t>
      </w:r>
      <w:r w:rsidR="00B1394E" w:rsidRPr="00FB4D72">
        <w:rPr>
          <w:rFonts w:ascii="Times New Roman" w:hAnsi="Times New Roman" w:cs="Times New Roman"/>
        </w:rPr>
        <w:t>Infrastrutture</w:t>
      </w:r>
      <w:r w:rsidR="004B58F4" w:rsidRPr="00FB4D72">
        <w:rPr>
          <w:rFonts w:ascii="Times New Roman" w:hAnsi="Times New Roman" w:cs="Times New Roman"/>
        </w:rPr>
        <w:t xml:space="preserve"> per una mobilità sostenibile; 4) I</w:t>
      </w:r>
      <w:r w:rsidR="00B1394E" w:rsidRPr="00FB4D72">
        <w:rPr>
          <w:rFonts w:ascii="Times New Roman" w:hAnsi="Times New Roman" w:cs="Times New Roman"/>
        </w:rPr>
        <w:t xml:space="preserve">struzione e ricerca; </w:t>
      </w:r>
      <w:r w:rsidR="004B58F4" w:rsidRPr="00FB4D72">
        <w:rPr>
          <w:rFonts w:ascii="Times New Roman" w:hAnsi="Times New Roman" w:cs="Times New Roman"/>
        </w:rPr>
        <w:t xml:space="preserve">5) </w:t>
      </w:r>
      <w:r w:rsidR="00B1394E" w:rsidRPr="00FB4D72">
        <w:rPr>
          <w:rFonts w:ascii="Times New Roman" w:hAnsi="Times New Roman" w:cs="Times New Roman"/>
        </w:rPr>
        <w:t xml:space="preserve">Inclusione e coesione; </w:t>
      </w:r>
      <w:r w:rsidR="004B58F4" w:rsidRPr="00FB4D72">
        <w:rPr>
          <w:rFonts w:ascii="Times New Roman" w:hAnsi="Times New Roman" w:cs="Times New Roman"/>
        </w:rPr>
        <w:t xml:space="preserve">6) </w:t>
      </w:r>
      <w:r w:rsidR="00B1394E" w:rsidRPr="00FB4D72">
        <w:rPr>
          <w:rFonts w:ascii="Times New Roman" w:hAnsi="Times New Roman" w:cs="Times New Roman"/>
        </w:rPr>
        <w:t xml:space="preserve">Salute. </w:t>
      </w:r>
      <w:r w:rsidR="004B58F4" w:rsidRPr="00FB4D72">
        <w:rPr>
          <w:rFonts w:ascii="Times New Roman" w:hAnsi="Times New Roman" w:cs="Times New Roman"/>
        </w:rPr>
        <w:t>Nel PNRR, solo le missioni 4 e 5 contengono per ora specifici progetti finalizzati alla parità di genere</w:t>
      </w:r>
      <w:r w:rsidR="00C663FA" w:rsidRPr="00FB4D72">
        <w:rPr>
          <w:rFonts w:ascii="Times New Roman" w:hAnsi="Times New Roman" w:cs="Times New Roman"/>
        </w:rPr>
        <w:t xml:space="preserve"> (la promozione dell’accesso delle donne alle materie STEM, il potenziamento dei servizi per l’infanzia e del tempo pieno, il sostegno all’imprenditoria femminile, il rafforzamento delle infrastrutture sociali a favore degli anziani e delle persone con disabilità)</w:t>
      </w:r>
      <w:r w:rsidR="004B58F4" w:rsidRPr="00FB4D72">
        <w:rPr>
          <w:rFonts w:ascii="Times New Roman" w:hAnsi="Times New Roman" w:cs="Times New Roman"/>
        </w:rPr>
        <w:t>. Mentre è cruciale includere l’obiettivo della parità di genere nelle missioni “digitale” e</w:t>
      </w:r>
      <w:r w:rsidR="00C663FA" w:rsidRPr="00FB4D72">
        <w:rPr>
          <w:rFonts w:ascii="Times New Roman" w:hAnsi="Times New Roman" w:cs="Times New Roman"/>
        </w:rPr>
        <w:t xml:space="preserve"> </w:t>
      </w:r>
      <w:r w:rsidR="004B58F4" w:rsidRPr="00FB4D72">
        <w:rPr>
          <w:rFonts w:ascii="Times New Roman" w:hAnsi="Times New Roman" w:cs="Times New Roman"/>
        </w:rPr>
        <w:t xml:space="preserve"> “green deal”, settori che partono con un forte squilibrio di genere</w:t>
      </w:r>
      <w:r w:rsidR="00C663FA" w:rsidRPr="00FB4D72">
        <w:rPr>
          <w:rFonts w:ascii="Times New Roman" w:hAnsi="Times New Roman" w:cs="Times New Roman"/>
        </w:rPr>
        <w:t xml:space="preserve">, il cui sviluppo è necessario e prioritario, ma che – di per sé, non governato -  potrebbe portare a un aumento, anziché una diminuzione, delle diseguaglianze tra uomini e donne. Aggiungiamo inoltre che, anche per le politiche già enunciate e con forte impatto sull’occupazione femminile (dalla cura degli anziani alla sanità territoriale), </w:t>
      </w:r>
      <w:r w:rsidR="004B58F4" w:rsidRPr="00FB4D72">
        <w:rPr>
          <w:rFonts w:ascii="Times New Roman" w:hAnsi="Times New Roman" w:cs="Times New Roman"/>
        </w:rPr>
        <w:t>nel passaggio alla definizione e scrittura dei progetti</w:t>
      </w:r>
      <w:r w:rsidR="00C663FA" w:rsidRPr="00FB4D72">
        <w:rPr>
          <w:rFonts w:ascii="Times New Roman" w:hAnsi="Times New Roman" w:cs="Times New Roman"/>
        </w:rPr>
        <w:t xml:space="preserve"> </w:t>
      </w:r>
      <w:r w:rsidR="00B1394E" w:rsidRPr="00FB4D72">
        <w:rPr>
          <w:rFonts w:ascii="Times New Roman" w:hAnsi="Times New Roman" w:cs="Times New Roman"/>
        </w:rPr>
        <w:t>c’è bisogno di una quantificazione</w:t>
      </w:r>
      <w:r w:rsidR="00AD140F" w:rsidRPr="00FB4D72">
        <w:rPr>
          <w:rFonts w:ascii="Times New Roman" w:hAnsi="Times New Roman" w:cs="Times New Roman"/>
        </w:rPr>
        <w:t xml:space="preserve"> </w:t>
      </w:r>
      <w:r w:rsidR="00B1394E" w:rsidRPr="00FB4D72">
        <w:rPr>
          <w:rFonts w:ascii="Times New Roman" w:hAnsi="Times New Roman" w:cs="Times New Roman"/>
        </w:rPr>
        <w:t>che ancora non si è fatta, o si è fatta poco; per la quale è a disposizione, nel mondo della ricerca e dell’attivismo civile, un patrimonio di studi, riflessioni e strumenti.</w:t>
      </w:r>
    </w:p>
    <w:p w14:paraId="61BCDCFC" w14:textId="77777777" w:rsidR="00622587" w:rsidRPr="00FB4D72" w:rsidRDefault="00622587" w:rsidP="006047FE">
      <w:pPr>
        <w:jc w:val="both"/>
        <w:rPr>
          <w:rFonts w:ascii="Times New Roman" w:hAnsi="Times New Roman" w:cs="Times New Roman"/>
          <w:b/>
        </w:rPr>
      </w:pPr>
    </w:p>
    <w:p w14:paraId="082B9814" w14:textId="16673E93" w:rsidR="00765041" w:rsidRPr="00FB4D72" w:rsidRDefault="004B58F4" w:rsidP="006047FE">
      <w:pPr>
        <w:jc w:val="both"/>
        <w:rPr>
          <w:rFonts w:ascii="Times New Roman" w:hAnsi="Times New Roman" w:cs="Times New Roman"/>
        </w:rPr>
      </w:pPr>
      <w:r w:rsidRPr="00FB4D72">
        <w:rPr>
          <w:rFonts w:ascii="Times New Roman" w:hAnsi="Times New Roman" w:cs="Times New Roman"/>
          <w:b/>
        </w:rPr>
        <w:t>Quello che vogliamo fare.</w:t>
      </w:r>
      <w:r w:rsidR="00765041" w:rsidRPr="00FB4D72">
        <w:rPr>
          <w:rFonts w:ascii="Times New Roman" w:hAnsi="Times New Roman" w:cs="Times New Roman"/>
        </w:rPr>
        <w:t xml:space="preserve"> Va quantificato l’</w:t>
      </w:r>
      <w:r w:rsidR="00765041" w:rsidRPr="00FB4D72">
        <w:rPr>
          <w:rFonts w:ascii="Times New Roman" w:hAnsi="Times New Roman" w:cs="Times New Roman"/>
          <w:b/>
        </w:rPr>
        <w:t>obiettivo</w:t>
      </w:r>
      <w:r w:rsidR="00765041" w:rsidRPr="00FB4D72">
        <w:rPr>
          <w:rFonts w:ascii="Times New Roman" w:hAnsi="Times New Roman" w:cs="Times New Roman"/>
        </w:rPr>
        <w:t xml:space="preserve">: tasso di occupazione femminile al </w:t>
      </w:r>
      <w:r w:rsidR="00C663FA" w:rsidRPr="00FB4D72">
        <w:rPr>
          <w:rFonts w:ascii="Times New Roman" w:hAnsi="Times New Roman" w:cs="Times New Roman"/>
        </w:rPr>
        <w:t>60 per cento</w:t>
      </w:r>
      <w:r w:rsidR="00765041" w:rsidRPr="00FB4D72">
        <w:rPr>
          <w:rFonts w:ascii="Times New Roman" w:hAnsi="Times New Roman" w:cs="Times New Roman"/>
        </w:rPr>
        <w:t xml:space="preserve">. Obiettivo da raggiungere per tappe negli anni di implementazione del piano e a regime nel 2030. </w:t>
      </w:r>
      <w:r w:rsidR="00C663FA" w:rsidRPr="00FB4D72">
        <w:rPr>
          <w:rFonts w:ascii="Times New Roman" w:hAnsi="Times New Roman" w:cs="Times New Roman"/>
        </w:rPr>
        <w:t>Gli investimenti in ciascuna</w:t>
      </w:r>
      <w:r w:rsidR="0077031E" w:rsidRPr="00FB4D72">
        <w:rPr>
          <w:rFonts w:ascii="Times New Roman" w:hAnsi="Times New Roman" w:cs="Times New Roman"/>
        </w:rPr>
        <w:t xml:space="preserve"> missione </w:t>
      </w:r>
      <w:r w:rsidR="00C663FA" w:rsidRPr="00FB4D72">
        <w:rPr>
          <w:rFonts w:ascii="Times New Roman" w:hAnsi="Times New Roman" w:cs="Times New Roman"/>
        </w:rPr>
        <w:t xml:space="preserve">vanno impostati e valutati nel loro contributo al </w:t>
      </w:r>
      <w:r w:rsidR="0077031E" w:rsidRPr="00FB4D72">
        <w:rPr>
          <w:rFonts w:ascii="Times New Roman" w:hAnsi="Times New Roman" w:cs="Times New Roman"/>
        </w:rPr>
        <w:t>ra</w:t>
      </w:r>
      <w:r w:rsidR="00C663FA" w:rsidRPr="00FB4D72">
        <w:rPr>
          <w:rFonts w:ascii="Times New Roman" w:hAnsi="Times New Roman" w:cs="Times New Roman"/>
        </w:rPr>
        <w:t>g</w:t>
      </w:r>
      <w:r w:rsidR="00765041" w:rsidRPr="00FB4D72">
        <w:rPr>
          <w:rFonts w:ascii="Times New Roman" w:hAnsi="Times New Roman" w:cs="Times New Roman"/>
        </w:rPr>
        <w:t xml:space="preserve">giungimento di questo obiettivo. </w:t>
      </w:r>
      <w:r w:rsidR="00F86AFF" w:rsidRPr="00FB4D72">
        <w:rPr>
          <w:rFonts w:ascii="Times New Roman" w:hAnsi="Times New Roman" w:cs="Times New Roman"/>
        </w:rPr>
        <w:t xml:space="preserve">Una consolidata letteratura e linea di ricerca ha dimostrato l’efficacia degli </w:t>
      </w:r>
      <w:r w:rsidR="00F86AFF" w:rsidRPr="00FB4D72">
        <w:rPr>
          <w:rFonts w:ascii="Times New Roman" w:hAnsi="Times New Roman" w:cs="Times New Roman"/>
          <w:b/>
        </w:rPr>
        <w:t>investimenti in infrastrutture sociali</w:t>
      </w:r>
      <w:r w:rsidR="00392D07" w:rsidRPr="00FB4D72">
        <w:rPr>
          <w:rFonts w:ascii="Times New Roman" w:hAnsi="Times New Roman" w:cs="Times New Roman"/>
        </w:rPr>
        <w:t xml:space="preserve"> (istruzione, salute, cura: v. Rosselli e </w:t>
      </w:r>
      <w:proofErr w:type="spellStart"/>
      <w:r w:rsidR="00392D07" w:rsidRPr="00FB4D72">
        <w:rPr>
          <w:rFonts w:ascii="Times New Roman" w:hAnsi="Times New Roman" w:cs="Times New Roman"/>
        </w:rPr>
        <w:t>Simonazzi</w:t>
      </w:r>
      <w:proofErr w:type="spellEnd"/>
      <w:r w:rsidR="00392D07" w:rsidRPr="00FB4D72">
        <w:rPr>
          <w:rFonts w:ascii="Times New Roman" w:hAnsi="Times New Roman" w:cs="Times New Roman"/>
        </w:rPr>
        <w:t>, 2016; e ITUC, 2016)</w:t>
      </w:r>
      <w:r w:rsidR="00F86AFF" w:rsidRPr="00FB4D72">
        <w:rPr>
          <w:rFonts w:ascii="Times New Roman" w:hAnsi="Times New Roman" w:cs="Times New Roman"/>
        </w:rPr>
        <w:t>, nel loro agire sia sul lato dell’offerta che della domanda di lavoro. E soprattutto, che la “cura” non è solo assistenza ma può diventare la leva per una grande innovazione sociale, economica e anche industriale.</w:t>
      </w:r>
      <w:r w:rsidR="00765041" w:rsidRPr="00FB4D72">
        <w:rPr>
          <w:rFonts w:ascii="Times New Roman" w:hAnsi="Times New Roman" w:cs="Times New Roman"/>
        </w:rPr>
        <w:t xml:space="preserve"> La trasversalità dell’approccio di genere diventa qui una ricetta economica che rompe la distinzione tradizionale tra le politiche sociali (redistribuzione, assistenza) e quelle economico-produttive. </w:t>
      </w:r>
    </w:p>
    <w:p w14:paraId="5C7DEB53" w14:textId="77777777" w:rsidR="00F106FB" w:rsidRPr="00FB4D72" w:rsidRDefault="00765041" w:rsidP="00F106FB">
      <w:pPr>
        <w:shd w:val="clear" w:color="auto" w:fill="FFFFFF"/>
        <w:spacing w:after="160" w:line="235" w:lineRule="atLeast"/>
        <w:jc w:val="both"/>
        <w:rPr>
          <w:rFonts w:ascii="Times New Roman" w:hAnsi="Times New Roman" w:cs="Times New Roman"/>
        </w:rPr>
      </w:pPr>
      <w:r w:rsidRPr="00FB4D72">
        <w:rPr>
          <w:rFonts w:ascii="Times New Roman" w:hAnsi="Times New Roman" w:cs="Times New Roman"/>
          <w:u w:val="single"/>
        </w:rPr>
        <w:t>Un esempio</w:t>
      </w:r>
      <w:r w:rsidR="00F106FB" w:rsidRPr="00FB4D72">
        <w:rPr>
          <w:rFonts w:ascii="Times New Roman" w:hAnsi="Times New Roman" w:cs="Times New Roman"/>
          <w:u w:val="single"/>
        </w:rPr>
        <w:t>:</w:t>
      </w:r>
      <w:r w:rsidRPr="00FB4D72">
        <w:rPr>
          <w:rFonts w:ascii="Times New Roman" w:hAnsi="Times New Roman" w:cs="Times New Roman"/>
        </w:rPr>
        <w:t xml:space="preserve"> </w:t>
      </w:r>
      <w:r w:rsidR="00F106FB" w:rsidRPr="00FB4D72">
        <w:rPr>
          <w:rFonts w:ascii="Times New Roman" w:hAnsi="Times New Roman" w:cs="Times New Roman"/>
          <w:u w:val="single"/>
        </w:rPr>
        <w:t>cura degli anziani e politica industriale</w:t>
      </w:r>
      <w:r w:rsidR="00F106FB" w:rsidRPr="00FB4D72">
        <w:rPr>
          <w:rFonts w:ascii="Times New Roman" w:hAnsi="Times New Roman" w:cs="Times New Roman"/>
        </w:rPr>
        <w:t xml:space="preserve">. </w:t>
      </w:r>
    </w:p>
    <w:p w14:paraId="11D85509" w14:textId="683BE2EF" w:rsidR="00765041" w:rsidRPr="00FB4D72" w:rsidRDefault="00F106FB" w:rsidP="00F106FB">
      <w:pPr>
        <w:shd w:val="clear" w:color="auto" w:fill="FFFFFF"/>
        <w:spacing w:after="160" w:line="235" w:lineRule="atLeast"/>
        <w:jc w:val="both"/>
        <w:rPr>
          <w:rFonts w:ascii="Times New Roman" w:hAnsi="Times New Roman" w:cs="Times New Roman"/>
        </w:rPr>
      </w:pPr>
      <w:r w:rsidRPr="00FB4D72">
        <w:rPr>
          <w:rFonts w:ascii="Times New Roman" w:hAnsi="Times New Roman" w:cs="Times New Roman"/>
        </w:rPr>
        <w:t>L’emergenza COVID 19 ha evidenziato la necessità di una profonda riforma del sistema di assistenza e cura per gli anziani, già evidente di fronte alle sfide dell’invecchiamento della popolazione. Tuttavia, queste linee sono sparse nelle varie missioni e legate a una pluralità di obiettivi spesso non omogenei. È necessario connettere, secondo il principio della trasversalità, gli interventi nelle diverse missioni. La riforma della cura degli anziani va collegata a strumenti e soluzioni innovative, che utilizzino la tecnologia per agevolare il lavoro di assistenza e cura, mettere in rete le persone e le strutture, portare nelle case e nelle residenze gli strumenti necessari. L’innovazione tecnologica nella cura potrebbe diventare così un fattore di politica industriale. In altri termini, l’uso delle tecnologie innovative nel settore della cura può fare da volano per una domanda pubblica e privata di tecnologie per l’assistenza, e così diventare un traino all’innovazione e uno strumento di politica industriale a supporto della produzione domestica, come già succede in altri paesi d’Europa. Con un impatto positivo sull’occupazione femminile – in quantità e qualità – e su tutta l’economia.</w:t>
      </w:r>
    </w:p>
    <w:p w14:paraId="1DD16626" w14:textId="185AA36A" w:rsidR="00F106FB" w:rsidRPr="00FB4D72" w:rsidRDefault="00F106FB" w:rsidP="00F106FB">
      <w:pPr>
        <w:shd w:val="clear" w:color="auto" w:fill="FFFFFF"/>
        <w:spacing w:after="160" w:line="235" w:lineRule="atLeast"/>
        <w:jc w:val="both"/>
        <w:rPr>
          <w:rFonts w:ascii="Times New Roman" w:hAnsi="Times New Roman" w:cs="Times New Roman"/>
        </w:rPr>
      </w:pPr>
      <w:r w:rsidRPr="00FB4D72">
        <w:rPr>
          <w:rFonts w:ascii="Times New Roman" w:hAnsi="Times New Roman" w:cs="Times New Roman"/>
          <w:u w:val="single"/>
        </w:rPr>
        <w:t xml:space="preserve">Asili nido: obiettivi regionali, offerta a tempo pieno e flessibile. </w:t>
      </w:r>
    </w:p>
    <w:p w14:paraId="5127F9A0" w14:textId="18C32572" w:rsidR="005D5AED" w:rsidRPr="00FB4D72" w:rsidRDefault="00F106FB" w:rsidP="00F106FB">
      <w:pPr>
        <w:shd w:val="clear" w:color="auto" w:fill="FFFFFF"/>
        <w:spacing w:after="160" w:line="235" w:lineRule="atLeast"/>
        <w:jc w:val="both"/>
        <w:rPr>
          <w:rFonts w:ascii="Times New Roman" w:hAnsi="Times New Roman" w:cs="Times New Roman"/>
        </w:rPr>
      </w:pPr>
      <w:r w:rsidRPr="00FB4D72">
        <w:rPr>
          <w:rFonts w:ascii="Times New Roman" w:hAnsi="Times New Roman" w:cs="Times New Roman"/>
        </w:rPr>
        <w:t xml:space="preserve">Un altro esempio di politiche “per le donne” che non servono solo alle donne è quello degli asili nido. Il </w:t>
      </w:r>
      <w:r w:rsidR="00F86AFF" w:rsidRPr="00FB4D72">
        <w:rPr>
          <w:rFonts w:ascii="Times New Roman" w:hAnsi="Times New Roman" w:cs="Times New Roman"/>
        </w:rPr>
        <w:t>PNNR</w:t>
      </w:r>
      <w:r w:rsidR="005D5AED" w:rsidRPr="00FB4D72">
        <w:rPr>
          <w:rFonts w:ascii="Times New Roman" w:hAnsi="Times New Roman" w:cs="Times New Roman"/>
        </w:rPr>
        <w:t xml:space="preserve"> ne prevede il potenziamento, e correttamente inserisce questa misura nella missione dell’istruzione: i nidi servono soprattutto ai bambini, al loro s</w:t>
      </w:r>
      <w:r w:rsidRPr="00FB4D72">
        <w:rPr>
          <w:rFonts w:ascii="Times New Roman" w:hAnsi="Times New Roman" w:cs="Times New Roman"/>
        </w:rPr>
        <w:t>viluppo cognitivo, e attraverso  alla riduzione nella differenza di opportunità di partenza</w:t>
      </w:r>
      <w:r w:rsidR="00392D07" w:rsidRPr="00FB4D72">
        <w:rPr>
          <w:rFonts w:ascii="Times New Roman" w:hAnsi="Times New Roman" w:cs="Times New Roman"/>
        </w:rPr>
        <w:t xml:space="preserve">. L’Italia, salvo che in alcune regioni, è distante dagli antichi obiettivi della strategia di Lisbona, </w:t>
      </w:r>
      <w:r w:rsidR="00F86AFF" w:rsidRPr="00FB4D72">
        <w:rPr>
          <w:rFonts w:ascii="Times New Roman" w:hAnsi="Times New Roman" w:cs="Times New Roman"/>
        </w:rPr>
        <w:t xml:space="preserve"> </w:t>
      </w:r>
      <w:r w:rsidR="00392D07" w:rsidRPr="00FB4D72">
        <w:rPr>
          <w:rFonts w:ascii="Times New Roman" w:hAnsi="Times New Roman" w:cs="Times New Roman"/>
        </w:rPr>
        <w:t xml:space="preserve">e dalle nazioni-faro </w:t>
      </w:r>
      <w:r w:rsidR="00392D07" w:rsidRPr="00FB4D72">
        <w:rPr>
          <w:rFonts w:ascii="Times New Roman" w:hAnsi="Times New Roman" w:cs="Times New Roman"/>
        </w:rPr>
        <w:lastRenderedPageBreak/>
        <w:t>dell’Unione europea (</w:t>
      </w:r>
      <w:r w:rsidR="005D5AED" w:rsidRPr="00FB4D72">
        <w:rPr>
          <w:rFonts w:ascii="Times New Roman" w:hAnsi="Times New Roman" w:cs="Times New Roman"/>
        </w:rPr>
        <w:t xml:space="preserve">la Danimarca è al 71.7%, la Svezia al 52,7%) (Commissione Europea 2019). </w:t>
      </w:r>
      <w:r w:rsidRPr="00FB4D72">
        <w:rPr>
          <w:rFonts w:ascii="Times New Roman" w:hAnsi="Times New Roman" w:cs="Times New Roman"/>
        </w:rPr>
        <w:t xml:space="preserve">L’obiettivo posto nel PNRR </w:t>
      </w:r>
      <w:r w:rsidR="00392D07" w:rsidRPr="00FB4D72">
        <w:rPr>
          <w:rFonts w:ascii="Times New Roman" w:hAnsi="Times New Roman" w:cs="Times New Roman"/>
        </w:rPr>
        <w:t>valutato alla luce di rigorosi parametri quant</w:t>
      </w:r>
      <w:r w:rsidR="00FB4D72" w:rsidRPr="00FB4D72">
        <w:rPr>
          <w:rFonts w:ascii="Times New Roman" w:hAnsi="Times New Roman" w:cs="Times New Roman"/>
        </w:rPr>
        <w:t>itativi; e dovrebbe essere posto non nella media nazionale, ma per ciascuna regione</w:t>
      </w:r>
      <w:r w:rsidR="005D5AED" w:rsidRPr="00FB4D72">
        <w:rPr>
          <w:rFonts w:ascii="Times New Roman" w:hAnsi="Times New Roman" w:cs="Times New Roman"/>
        </w:rPr>
        <w:t xml:space="preserve">. Ma soprattutto la nuova offerta di asili dovrò essere a tempo pieno e con orari flessibili. Una errata o mancata quantificazione dei costi e dei benefici, anche in relazione ai bisogni dei giovani genitori lavoratori, potrebbe portare il rischio di creare nuovi asili ma senza domanda; oppure di far cadere un carico eccessivo sui Comuni. </w:t>
      </w:r>
      <w:r w:rsidR="009E5C46" w:rsidRPr="00FB4D72">
        <w:rPr>
          <w:rFonts w:ascii="Times New Roman" w:hAnsi="Times New Roman" w:cs="Times New Roman"/>
        </w:rPr>
        <w:t xml:space="preserve">(per una valutazione e </w:t>
      </w:r>
      <w:r w:rsidR="00BB34FB" w:rsidRPr="00FB4D72">
        <w:rPr>
          <w:rFonts w:ascii="Times New Roman" w:hAnsi="Times New Roman" w:cs="Times New Roman"/>
        </w:rPr>
        <w:t>una simulazione quantitative</w:t>
      </w:r>
      <w:r w:rsidR="00622587" w:rsidRPr="00FB4D72">
        <w:rPr>
          <w:rFonts w:ascii="Times New Roman" w:hAnsi="Times New Roman" w:cs="Times New Roman"/>
        </w:rPr>
        <w:t>, comprensive dei costi di attivazione e gestione</w:t>
      </w:r>
      <w:r w:rsidR="00BB34FB" w:rsidRPr="00FB4D72">
        <w:rPr>
          <w:rFonts w:ascii="Times New Roman" w:hAnsi="Times New Roman" w:cs="Times New Roman"/>
        </w:rPr>
        <w:t xml:space="preserve">, si veda Bettio-Gentili 2020). </w:t>
      </w:r>
    </w:p>
    <w:p w14:paraId="723E5056" w14:textId="1E7F3C04" w:rsidR="00622587" w:rsidRPr="00FB4D72" w:rsidRDefault="00622587" w:rsidP="006047FE">
      <w:pPr>
        <w:shd w:val="clear" w:color="auto" w:fill="FFFFFF"/>
        <w:spacing w:after="160" w:line="235" w:lineRule="atLeast"/>
        <w:jc w:val="both"/>
        <w:rPr>
          <w:rFonts w:ascii="Times New Roman" w:hAnsi="Times New Roman" w:cs="Times New Roman"/>
        </w:rPr>
      </w:pPr>
      <w:r w:rsidRPr="00FB4D72">
        <w:rPr>
          <w:rFonts w:ascii="Times New Roman" w:hAnsi="Times New Roman" w:cs="Times New Roman"/>
        </w:rPr>
        <w:t>Molti altri esempi si potrebbero fare</w:t>
      </w:r>
      <w:r w:rsidR="00FB4D72" w:rsidRPr="00FB4D72">
        <w:rPr>
          <w:rFonts w:ascii="Times New Roman" w:hAnsi="Times New Roman" w:cs="Times New Roman"/>
        </w:rPr>
        <w:t xml:space="preserve"> </w:t>
      </w:r>
      <w:r w:rsidRPr="00FB4D72">
        <w:rPr>
          <w:rFonts w:ascii="Times New Roman" w:hAnsi="Times New Roman" w:cs="Times New Roman"/>
        </w:rPr>
        <w:t xml:space="preserve"> (dal disegno della “mobilità sostenibile” in relazione ai tempi delle donne e degli uomini nelle città; alle misure per incrementare la presenza delle donne nei settori del digitale e del green, per esempio partendo da una clausola di preferenza nei bandi pubblici, a parità di altre caratteristiche, per le imprese con maggiore occupazione femminile)</w:t>
      </w:r>
      <w:r w:rsidR="00FB4D72">
        <w:rPr>
          <w:rFonts w:ascii="Times New Roman" w:hAnsi="Times New Roman" w:cs="Times New Roman"/>
        </w:rPr>
        <w:t xml:space="preserve"> e molte proposte e materiali di ricerca sono a disposizione, nella comunità scientifica e nell’attivismo associativo delle donne</w:t>
      </w:r>
      <w:r w:rsidR="00FB4D72" w:rsidRPr="00FB4D72">
        <w:rPr>
          <w:rFonts w:ascii="Times New Roman" w:hAnsi="Times New Roman" w:cs="Times New Roman"/>
        </w:rPr>
        <w:t xml:space="preserve">. </w:t>
      </w:r>
    </w:p>
    <w:p w14:paraId="5B9CF8C3" w14:textId="0F77F811" w:rsidR="006047FE" w:rsidRPr="00FB4D72" w:rsidRDefault="00622587" w:rsidP="006047FE">
      <w:pPr>
        <w:shd w:val="clear" w:color="auto" w:fill="FFFFFF"/>
        <w:spacing w:after="160" w:line="235" w:lineRule="atLeast"/>
        <w:jc w:val="both"/>
        <w:rPr>
          <w:rFonts w:ascii="Times New Roman" w:hAnsi="Times New Roman" w:cs="Times New Roman"/>
          <w:b/>
        </w:rPr>
      </w:pPr>
      <w:r w:rsidRPr="00FB4D72">
        <w:rPr>
          <w:rFonts w:ascii="Times New Roman" w:hAnsi="Times New Roman" w:cs="Times New Roman"/>
          <w:b/>
        </w:rPr>
        <w:t xml:space="preserve">La necessità di una governance paritaria. </w:t>
      </w:r>
      <w:r w:rsidR="00FB4D72" w:rsidRPr="00FB4D72">
        <w:rPr>
          <w:rFonts w:ascii="Times New Roman" w:hAnsi="Times New Roman" w:cs="Times New Roman"/>
          <w:b/>
        </w:rPr>
        <w:t>50 e 50.</w:t>
      </w:r>
    </w:p>
    <w:p w14:paraId="3000450E" w14:textId="3755F807" w:rsidR="00622587" w:rsidRPr="00FB4D72" w:rsidRDefault="00622587" w:rsidP="006047FE">
      <w:pPr>
        <w:shd w:val="clear" w:color="auto" w:fill="FFFFFF"/>
        <w:spacing w:after="160" w:line="235" w:lineRule="atLeast"/>
        <w:jc w:val="both"/>
        <w:rPr>
          <w:rFonts w:ascii="Times New Roman" w:hAnsi="Times New Roman" w:cs="Times New Roman"/>
        </w:rPr>
      </w:pPr>
      <w:r w:rsidRPr="00FB4D72">
        <w:rPr>
          <w:rFonts w:ascii="Times New Roman" w:hAnsi="Times New Roman" w:cs="Times New Roman"/>
        </w:rPr>
        <w:t xml:space="preserve">Il tema della governance del PNRR, molto discusso all’inizio del percorso, è stato per ora accantonato. </w:t>
      </w:r>
      <w:r w:rsidR="006047FE" w:rsidRPr="00FB4D72">
        <w:rPr>
          <w:rFonts w:ascii="Times New Roman" w:hAnsi="Times New Roman" w:cs="Times New Roman"/>
        </w:rPr>
        <w:t>Una vasta campagna di opinione chiede una presenza paritaria delle donne nella cabina di regia del PNRR. Sarebbe paradossale se un piano improntato, secondo le linee guida citate all’inizio, al perseguimento dell’obiettivo della parità di genere, fosse affidato dalla sua ideazione alla sua realizzazione a una struttura non paritaria. Purtroppo questa non farebbe che ricalcare il drammatico squilibrio nella leadership che, soprattutto nella scena politica e istituzionale, caratterizza il nostro Paese. Una presenza paritaria delle donne è dunque una condizione minima; alla quale ne va affiancata un’altra, necessaria, che è quella del portare nella sede decisionale il bagaglio di competenze in tematiche di genere che in tutti i campi nella comunità scientifica e nella società civile si sono costruite e che non hanno finora trovato sufficiente accesso alle sedi decisionali</w:t>
      </w:r>
      <w:r w:rsidR="00392D07" w:rsidRPr="00FB4D72">
        <w:rPr>
          <w:rFonts w:ascii="Times New Roman" w:hAnsi="Times New Roman" w:cs="Times New Roman"/>
        </w:rPr>
        <w:t xml:space="preserve"> (v. Kenny 2021)</w:t>
      </w:r>
      <w:r w:rsidR="006047FE" w:rsidRPr="00FB4D72">
        <w:rPr>
          <w:rFonts w:ascii="Times New Roman" w:hAnsi="Times New Roman" w:cs="Times New Roman"/>
        </w:rPr>
        <w:t xml:space="preserve">. </w:t>
      </w:r>
    </w:p>
    <w:p w14:paraId="1565F95D" w14:textId="77777777" w:rsidR="00C663FA" w:rsidRPr="00FB4D72" w:rsidRDefault="00C663FA" w:rsidP="006047FE">
      <w:pPr>
        <w:jc w:val="both"/>
        <w:rPr>
          <w:rFonts w:ascii="Times New Roman" w:hAnsi="Times New Roman" w:cs="Times New Roman"/>
        </w:rPr>
      </w:pPr>
    </w:p>
    <w:p w14:paraId="041C1F02" w14:textId="77777777" w:rsidR="00C663FA" w:rsidRPr="00FB4D72" w:rsidRDefault="00C663FA" w:rsidP="006047FE">
      <w:pPr>
        <w:jc w:val="both"/>
        <w:rPr>
          <w:rFonts w:ascii="Times New Roman" w:hAnsi="Times New Roman" w:cs="Times New Roman"/>
        </w:rPr>
      </w:pPr>
    </w:p>
    <w:p w14:paraId="45DE485F" w14:textId="77777777" w:rsidR="005D5AED" w:rsidRPr="00FB4D72" w:rsidRDefault="006047FE" w:rsidP="006047FE">
      <w:pPr>
        <w:jc w:val="both"/>
        <w:rPr>
          <w:rFonts w:ascii="Times New Roman" w:eastAsia="Times New Roman" w:hAnsi="Times New Roman" w:cs="Times New Roman"/>
          <w:color w:val="000000"/>
          <w:shd w:val="clear" w:color="auto" w:fill="FFFFFF"/>
          <w:lang w:val="en-GB"/>
        </w:rPr>
      </w:pPr>
      <w:r w:rsidRPr="00FB4D72">
        <w:rPr>
          <w:rFonts w:ascii="Times New Roman" w:eastAsia="Times New Roman" w:hAnsi="Times New Roman" w:cs="Times New Roman"/>
          <w:color w:val="000000"/>
          <w:shd w:val="clear" w:color="auto" w:fill="FFFFFF"/>
        </w:rPr>
        <w:t xml:space="preserve">Bettio, Francesca e Gentili, Elena, 2020. Quota quaranta per arrivare a sessanta.  </w:t>
      </w:r>
      <w:hyperlink r:id="rId6" w:history="1">
        <w:r w:rsidR="00BB34FB" w:rsidRPr="00FB4D72">
          <w:rPr>
            <w:rStyle w:val="Collegamentoipertestuale"/>
            <w:rFonts w:ascii="Times New Roman" w:hAnsi="Times New Roman" w:cs="Times New Roman"/>
            <w:spacing w:val="-12"/>
            <w:lang w:val="en-GB"/>
          </w:rPr>
          <w:t>http://www.ingenere.it/articoli/quota-quaranta-arrivare-sessanta</w:t>
        </w:r>
      </w:hyperlink>
    </w:p>
    <w:p w14:paraId="7B8B4AA3" w14:textId="77777777" w:rsidR="006047FE" w:rsidRPr="00FB4D72" w:rsidRDefault="006047FE" w:rsidP="006047FE">
      <w:pPr>
        <w:jc w:val="both"/>
        <w:rPr>
          <w:rFonts w:ascii="Times New Roman" w:eastAsia="Times New Roman" w:hAnsi="Times New Roman" w:cs="Times New Roman"/>
          <w:color w:val="000000"/>
          <w:shd w:val="clear" w:color="auto" w:fill="FFFFFF"/>
          <w:lang w:val="en-GB"/>
        </w:rPr>
      </w:pPr>
    </w:p>
    <w:p w14:paraId="29BB3F29" w14:textId="77777777" w:rsidR="006047FE" w:rsidRPr="00FB4D72" w:rsidRDefault="006047FE" w:rsidP="006047FE">
      <w:pPr>
        <w:jc w:val="both"/>
        <w:rPr>
          <w:rFonts w:ascii="Times New Roman" w:eastAsia="Times New Roman" w:hAnsi="Times New Roman" w:cs="Times New Roman"/>
          <w:color w:val="000000"/>
          <w:shd w:val="clear" w:color="auto" w:fill="FFFFFF"/>
          <w:lang w:val="en-GB"/>
        </w:rPr>
      </w:pPr>
      <w:proofErr w:type="spellStart"/>
      <w:r w:rsidRPr="00FB4D72">
        <w:rPr>
          <w:rFonts w:ascii="Times New Roman" w:eastAsia="Times New Roman" w:hAnsi="Times New Roman" w:cs="Times New Roman"/>
          <w:color w:val="000000"/>
          <w:shd w:val="clear" w:color="auto" w:fill="FFFFFF"/>
          <w:lang w:val="en-GB"/>
        </w:rPr>
        <w:t>Commissione</w:t>
      </w:r>
      <w:proofErr w:type="spellEnd"/>
      <w:r w:rsidRPr="00FB4D72">
        <w:rPr>
          <w:rFonts w:ascii="Times New Roman" w:eastAsia="Times New Roman" w:hAnsi="Times New Roman" w:cs="Times New Roman"/>
          <w:color w:val="000000"/>
          <w:shd w:val="clear" w:color="auto" w:fill="FFFFFF"/>
          <w:lang w:val="en-GB"/>
        </w:rPr>
        <w:t xml:space="preserve"> </w:t>
      </w:r>
      <w:proofErr w:type="spellStart"/>
      <w:r w:rsidRPr="00FB4D72">
        <w:rPr>
          <w:rFonts w:ascii="Times New Roman" w:eastAsia="Times New Roman" w:hAnsi="Times New Roman" w:cs="Times New Roman"/>
          <w:color w:val="000000"/>
          <w:shd w:val="clear" w:color="auto" w:fill="FFFFFF"/>
          <w:lang w:val="en-GB"/>
        </w:rPr>
        <w:t>Europea</w:t>
      </w:r>
      <w:proofErr w:type="spellEnd"/>
      <w:r w:rsidRPr="00FB4D72">
        <w:rPr>
          <w:rFonts w:ascii="Times New Roman" w:eastAsia="Times New Roman" w:hAnsi="Times New Roman" w:cs="Times New Roman"/>
          <w:color w:val="000000"/>
          <w:shd w:val="clear" w:color="auto" w:fill="FFFFFF"/>
          <w:lang w:val="en-GB"/>
        </w:rPr>
        <w:t xml:space="preserve">, 2019, Key data on early childhood education and care in Europe </w:t>
      </w:r>
    </w:p>
    <w:p w14:paraId="0F72C9C3" w14:textId="77777777" w:rsidR="006047FE" w:rsidRPr="00FB4D72" w:rsidRDefault="00AB6A44" w:rsidP="006047FE">
      <w:pPr>
        <w:jc w:val="both"/>
        <w:rPr>
          <w:rFonts w:ascii="Times New Roman" w:eastAsia="Times New Roman" w:hAnsi="Times New Roman" w:cs="Times New Roman"/>
          <w:color w:val="000000"/>
          <w:shd w:val="clear" w:color="auto" w:fill="FFFFFF"/>
          <w:lang w:val="en-GB"/>
        </w:rPr>
      </w:pPr>
      <w:hyperlink r:id="rId7" w:history="1">
        <w:r w:rsidR="006047FE" w:rsidRPr="00FB4D72">
          <w:rPr>
            <w:rStyle w:val="Collegamentoipertestuale"/>
            <w:rFonts w:ascii="Times New Roman" w:eastAsia="Times New Roman" w:hAnsi="Times New Roman" w:cs="Times New Roman"/>
            <w:shd w:val="clear" w:color="auto" w:fill="FFFFFF"/>
            <w:lang w:val="en-GB"/>
          </w:rPr>
          <w:t>https://eacea.ec.europa.eu/national-policies/eurydice/sites/eurydice/files/ec0319375enn_0.pdf</w:t>
        </w:r>
      </w:hyperlink>
    </w:p>
    <w:p w14:paraId="41B2E45A" w14:textId="77777777" w:rsidR="006047FE" w:rsidRPr="00FB4D72" w:rsidRDefault="006047FE" w:rsidP="006047FE">
      <w:pPr>
        <w:jc w:val="both"/>
        <w:rPr>
          <w:rFonts w:ascii="Times New Roman" w:eastAsia="Times New Roman" w:hAnsi="Times New Roman" w:cs="Times New Roman"/>
          <w:color w:val="000000"/>
          <w:shd w:val="clear" w:color="auto" w:fill="FFFFFF"/>
          <w:lang w:val="en-GB"/>
        </w:rPr>
      </w:pPr>
    </w:p>
    <w:p w14:paraId="06EF387A" w14:textId="77777777" w:rsidR="00421B69" w:rsidRPr="00FB4D72" w:rsidRDefault="00421B69" w:rsidP="006047FE">
      <w:pPr>
        <w:jc w:val="both"/>
        <w:rPr>
          <w:rFonts w:ascii="Times New Roman" w:eastAsia="Times New Roman" w:hAnsi="Times New Roman" w:cs="Times New Roman"/>
          <w:color w:val="000000"/>
          <w:shd w:val="clear" w:color="auto" w:fill="FFFFFF"/>
          <w:lang w:val="en-GB"/>
        </w:rPr>
      </w:pPr>
      <w:proofErr w:type="spellStart"/>
      <w:r w:rsidRPr="00FB4D72">
        <w:rPr>
          <w:rFonts w:ascii="Times New Roman" w:eastAsia="Times New Roman" w:hAnsi="Times New Roman" w:cs="Times New Roman"/>
          <w:color w:val="000000"/>
          <w:shd w:val="clear" w:color="auto" w:fill="FFFFFF"/>
          <w:lang w:val="en-GB"/>
        </w:rPr>
        <w:t>Commissione</w:t>
      </w:r>
      <w:proofErr w:type="spellEnd"/>
      <w:r w:rsidRPr="00FB4D72">
        <w:rPr>
          <w:rFonts w:ascii="Times New Roman" w:eastAsia="Times New Roman" w:hAnsi="Times New Roman" w:cs="Times New Roman"/>
          <w:color w:val="000000"/>
          <w:shd w:val="clear" w:color="auto" w:fill="FFFFFF"/>
          <w:lang w:val="en-GB"/>
        </w:rPr>
        <w:t xml:space="preserve"> </w:t>
      </w:r>
      <w:proofErr w:type="spellStart"/>
      <w:r w:rsidRPr="00FB4D72">
        <w:rPr>
          <w:rFonts w:ascii="Times New Roman" w:eastAsia="Times New Roman" w:hAnsi="Times New Roman" w:cs="Times New Roman"/>
          <w:color w:val="000000"/>
          <w:shd w:val="clear" w:color="auto" w:fill="FFFFFF"/>
          <w:lang w:val="en-GB"/>
        </w:rPr>
        <w:t>Europea</w:t>
      </w:r>
      <w:proofErr w:type="spellEnd"/>
      <w:r w:rsidRPr="00FB4D72">
        <w:rPr>
          <w:rFonts w:ascii="Times New Roman" w:eastAsia="Times New Roman" w:hAnsi="Times New Roman" w:cs="Times New Roman"/>
          <w:color w:val="000000"/>
          <w:shd w:val="clear" w:color="auto" w:fill="FFFFFF"/>
          <w:lang w:val="en-GB"/>
        </w:rPr>
        <w:t xml:space="preserve">, 2021. </w:t>
      </w:r>
      <w:r w:rsidRPr="00FB4D72">
        <w:rPr>
          <w:rFonts w:ascii="Times New Roman" w:hAnsi="Times New Roman" w:cs="Times New Roman"/>
          <w:lang w:val="en-GB"/>
        </w:rPr>
        <w:t xml:space="preserve">COMMISSION STAFF WORKING DOCUMENT GUIDANCE TO MEMBER STATES RECOVERY AND RESILIENCE PLANS </w:t>
      </w:r>
      <w:hyperlink r:id="rId8" w:history="1">
        <w:r w:rsidR="00AD140F" w:rsidRPr="00FB4D72">
          <w:rPr>
            <w:rStyle w:val="Collegamentoipertestuale"/>
            <w:rFonts w:ascii="Times New Roman" w:eastAsia="Times New Roman" w:hAnsi="Times New Roman" w:cs="Times New Roman"/>
            <w:shd w:val="clear" w:color="auto" w:fill="FFFFFF"/>
            <w:lang w:val="en-GB"/>
          </w:rPr>
          <w:t>https://ec.europa.eu/info/sites/info/files/document_travail_service_part1_v2_en.pdf</w:t>
        </w:r>
      </w:hyperlink>
    </w:p>
    <w:p w14:paraId="22564364" w14:textId="77777777" w:rsidR="00AD140F" w:rsidRPr="00FB4D72" w:rsidRDefault="00AD140F" w:rsidP="006047FE">
      <w:pPr>
        <w:jc w:val="both"/>
        <w:rPr>
          <w:rFonts w:ascii="Times New Roman" w:eastAsia="Times New Roman" w:hAnsi="Times New Roman" w:cs="Times New Roman"/>
          <w:color w:val="000000"/>
          <w:shd w:val="clear" w:color="auto" w:fill="FFFFFF"/>
          <w:lang w:val="en-GB"/>
        </w:rPr>
      </w:pPr>
    </w:p>
    <w:p w14:paraId="6264071A" w14:textId="77777777" w:rsidR="00D43F08" w:rsidRPr="00FB4D72" w:rsidRDefault="006047FE" w:rsidP="006047FE">
      <w:pPr>
        <w:jc w:val="both"/>
        <w:rPr>
          <w:rFonts w:ascii="Times New Roman" w:eastAsia="Times New Roman" w:hAnsi="Times New Roman" w:cs="Times New Roman"/>
          <w:color w:val="000000"/>
          <w:shd w:val="clear" w:color="auto" w:fill="FFFFFF"/>
        </w:rPr>
      </w:pPr>
      <w:r w:rsidRPr="00FB4D72">
        <w:rPr>
          <w:rFonts w:ascii="Times New Roman" w:eastAsia="Times New Roman" w:hAnsi="Times New Roman" w:cs="Times New Roman"/>
          <w:color w:val="000000"/>
          <w:shd w:val="clear" w:color="auto" w:fill="FFFFFF"/>
        </w:rPr>
        <w:t>Istat 2020</w:t>
      </w:r>
      <w:r w:rsidR="00D43F08" w:rsidRPr="00FB4D72">
        <w:rPr>
          <w:rFonts w:ascii="Times New Roman" w:eastAsia="Times New Roman" w:hAnsi="Times New Roman" w:cs="Times New Roman"/>
          <w:color w:val="000000"/>
          <w:shd w:val="clear" w:color="auto" w:fill="FFFFFF"/>
        </w:rPr>
        <w:t xml:space="preserve">a, Il mercato del lavoro, III trimestre 2020, </w:t>
      </w:r>
      <w:hyperlink r:id="rId9" w:history="1">
        <w:r w:rsidRPr="00FB4D72">
          <w:rPr>
            <w:rStyle w:val="Collegamentoipertestuale"/>
            <w:rFonts w:ascii="Times New Roman" w:eastAsia="Times New Roman" w:hAnsi="Times New Roman" w:cs="Times New Roman"/>
            <w:shd w:val="clear" w:color="auto" w:fill="FFFFFF"/>
          </w:rPr>
          <w:t>https://www.istat.it/it/files/2020/12/Mercato-del-lavoro-III-trim-2020.pdf</w:t>
        </w:r>
      </w:hyperlink>
    </w:p>
    <w:p w14:paraId="32715DFE" w14:textId="77777777" w:rsidR="006047FE" w:rsidRPr="00FB4D72" w:rsidRDefault="006047FE" w:rsidP="006047FE">
      <w:pPr>
        <w:jc w:val="both"/>
        <w:rPr>
          <w:rFonts w:ascii="Times New Roman" w:eastAsia="Times New Roman" w:hAnsi="Times New Roman" w:cs="Times New Roman"/>
          <w:color w:val="000000"/>
          <w:shd w:val="clear" w:color="auto" w:fill="FFFFFF"/>
        </w:rPr>
      </w:pPr>
    </w:p>
    <w:p w14:paraId="422FA22E" w14:textId="77777777" w:rsidR="00A82E48" w:rsidRPr="00FB4D72" w:rsidRDefault="006047FE" w:rsidP="006047FE">
      <w:pPr>
        <w:jc w:val="both"/>
        <w:rPr>
          <w:rFonts w:ascii="Times New Roman" w:eastAsia="Times New Roman" w:hAnsi="Times New Roman" w:cs="Times New Roman"/>
          <w:color w:val="000000"/>
          <w:shd w:val="clear" w:color="auto" w:fill="FFFFFF"/>
        </w:rPr>
      </w:pPr>
      <w:r w:rsidRPr="00FB4D72">
        <w:rPr>
          <w:rFonts w:ascii="Times New Roman" w:eastAsia="Times New Roman" w:hAnsi="Times New Roman" w:cs="Times New Roman"/>
          <w:color w:val="000000"/>
          <w:shd w:val="clear" w:color="auto" w:fill="FFFFFF"/>
        </w:rPr>
        <w:t>Istat 2020</w:t>
      </w:r>
      <w:r w:rsidR="00A82E48" w:rsidRPr="00FB4D72">
        <w:rPr>
          <w:rFonts w:ascii="Times New Roman" w:eastAsia="Times New Roman" w:hAnsi="Times New Roman" w:cs="Times New Roman"/>
          <w:color w:val="000000"/>
          <w:shd w:val="clear" w:color="auto" w:fill="FFFFFF"/>
        </w:rPr>
        <w:t>b</w:t>
      </w:r>
      <w:r w:rsidR="00D43F08" w:rsidRPr="00FB4D72">
        <w:rPr>
          <w:rFonts w:ascii="Times New Roman" w:eastAsia="Times New Roman" w:hAnsi="Times New Roman" w:cs="Times New Roman"/>
          <w:color w:val="000000"/>
          <w:shd w:val="clear" w:color="auto" w:fill="FFFFFF"/>
        </w:rPr>
        <w:t>, O</w:t>
      </w:r>
      <w:r w:rsidR="005D5AED" w:rsidRPr="00FB4D72">
        <w:rPr>
          <w:rFonts w:ascii="Times New Roman" w:eastAsia="Times New Roman" w:hAnsi="Times New Roman" w:cs="Times New Roman"/>
          <w:color w:val="000000"/>
          <w:shd w:val="clear" w:color="auto" w:fill="FFFFFF"/>
        </w:rPr>
        <w:t>ccu</w:t>
      </w:r>
      <w:r w:rsidR="00D43F08" w:rsidRPr="00FB4D72">
        <w:rPr>
          <w:rFonts w:ascii="Times New Roman" w:eastAsia="Times New Roman" w:hAnsi="Times New Roman" w:cs="Times New Roman"/>
          <w:color w:val="000000"/>
          <w:shd w:val="clear" w:color="auto" w:fill="FFFFFF"/>
        </w:rPr>
        <w:t>pati e disoccupati, dicembre 2020, dati provvisori</w:t>
      </w:r>
      <w:r w:rsidR="00A82E48" w:rsidRPr="00FB4D72">
        <w:rPr>
          <w:rFonts w:ascii="Times New Roman" w:eastAsia="Times New Roman" w:hAnsi="Times New Roman" w:cs="Times New Roman"/>
          <w:color w:val="000000"/>
          <w:shd w:val="clear" w:color="auto" w:fill="FFFFFF"/>
        </w:rPr>
        <w:t xml:space="preserve"> </w:t>
      </w:r>
      <w:hyperlink r:id="rId10" w:history="1">
        <w:r w:rsidR="00A82E48" w:rsidRPr="00FB4D72">
          <w:rPr>
            <w:rStyle w:val="Collegamentoipertestuale"/>
            <w:rFonts w:ascii="Times New Roman" w:eastAsia="Times New Roman" w:hAnsi="Times New Roman" w:cs="Times New Roman"/>
            <w:shd w:val="clear" w:color="auto" w:fill="FFFFFF"/>
          </w:rPr>
          <w:t>https://www.istat.it/it/files//2021/02/Occupati-e-disoccupati_dicembre_2020.pdf</w:t>
        </w:r>
      </w:hyperlink>
    </w:p>
    <w:p w14:paraId="386D8E6F" w14:textId="77777777" w:rsidR="00A82E48" w:rsidRPr="00FB4D72" w:rsidRDefault="00A82E48" w:rsidP="006047FE">
      <w:pPr>
        <w:jc w:val="both"/>
        <w:rPr>
          <w:rFonts w:ascii="Times New Roman" w:eastAsia="Times New Roman" w:hAnsi="Times New Roman" w:cs="Times New Roman"/>
          <w:color w:val="000000"/>
          <w:shd w:val="clear" w:color="auto" w:fill="FFFFFF"/>
        </w:rPr>
      </w:pPr>
    </w:p>
    <w:p w14:paraId="326E297D" w14:textId="1F625E0B" w:rsidR="00392D07" w:rsidRPr="00FB4D72" w:rsidRDefault="00392D07" w:rsidP="006047FE">
      <w:pPr>
        <w:jc w:val="both"/>
        <w:rPr>
          <w:rFonts w:ascii="Times New Roman" w:hAnsi="Times New Roman" w:cs="Times New Roman"/>
          <w:lang w:val="en-GB"/>
        </w:rPr>
      </w:pPr>
      <w:r w:rsidRPr="00FB4D72">
        <w:rPr>
          <w:rFonts w:ascii="Times New Roman" w:hAnsi="Times New Roman" w:cs="Times New Roman"/>
          <w:lang w:val="en-GB"/>
        </w:rPr>
        <w:t>ITUC, 2016, Investing in the care economy.</w:t>
      </w:r>
    </w:p>
    <w:p w14:paraId="2BA62190" w14:textId="6AB8B7AE" w:rsidR="00392D07" w:rsidRPr="00FB4D72" w:rsidRDefault="00AB6A44" w:rsidP="006047FE">
      <w:pPr>
        <w:jc w:val="both"/>
        <w:rPr>
          <w:rFonts w:ascii="Times New Roman" w:hAnsi="Times New Roman" w:cs="Times New Roman"/>
          <w:lang w:val="en-GB"/>
        </w:rPr>
      </w:pPr>
      <w:hyperlink r:id="rId11" w:history="1">
        <w:r w:rsidR="00392D07" w:rsidRPr="00FB4D72">
          <w:rPr>
            <w:rStyle w:val="Collegamentoipertestuale"/>
            <w:rFonts w:ascii="Times New Roman" w:hAnsi="Times New Roman" w:cs="Times New Roman"/>
            <w:lang w:val="en-GB"/>
          </w:rPr>
          <w:t>https://www.ituc-csi.org/IMG/pdf/care_economy_en.pdf</w:t>
        </w:r>
      </w:hyperlink>
    </w:p>
    <w:p w14:paraId="3AC9F7E1" w14:textId="77777777" w:rsidR="00392D07" w:rsidRPr="00FB4D72" w:rsidRDefault="00392D07" w:rsidP="006047FE">
      <w:pPr>
        <w:jc w:val="both"/>
        <w:rPr>
          <w:rFonts w:ascii="Times New Roman" w:hAnsi="Times New Roman" w:cs="Times New Roman"/>
          <w:lang w:val="en-GB"/>
        </w:rPr>
      </w:pPr>
    </w:p>
    <w:p w14:paraId="5DFE1C5A" w14:textId="7818FA7C" w:rsidR="00503F45" w:rsidRPr="00FB4D72" w:rsidRDefault="00A3769A" w:rsidP="006047FE">
      <w:pPr>
        <w:jc w:val="both"/>
        <w:rPr>
          <w:rFonts w:ascii="Times New Roman" w:hAnsi="Times New Roman" w:cs="Times New Roman"/>
        </w:rPr>
      </w:pPr>
      <w:r w:rsidRPr="00FB4D72">
        <w:rPr>
          <w:rFonts w:ascii="Times New Roman" w:hAnsi="Times New Roman" w:cs="Times New Roman"/>
        </w:rPr>
        <w:t>Kenny, Barbara</w:t>
      </w:r>
      <w:r w:rsidR="00392D07" w:rsidRPr="00FB4D72">
        <w:rPr>
          <w:rFonts w:ascii="Times New Roman" w:hAnsi="Times New Roman" w:cs="Times New Roman"/>
        </w:rPr>
        <w:t xml:space="preserve">, 2021. </w:t>
      </w:r>
      <w:r w:rsidRPr="00FB4D72">
        <w:rPr>
          <w:rFonts w:ascii="Times New Roman" w:hAnsi="Times New Roman" w:cs="Times New Roman"/>
        </w:rPr>
        <w:t xml:space="preserve"> “Non esiste una ripresa taglia unica” </w:t>
      </w:r>
      <w:hyperlink r:id="rId12" w:history="1">
        <w:r w:rsidR="00392D07" w:rsidRPr="00FB4D72">
          <w:rPr>
            <w:rStyle w:val="Collegamentoipertestuale"/>
            <w:rFonts w:ascii="Times New Roman" w:hAnsi="Times New Roman" w:cs="Times New Roman"/>
          </w:rPr>
          <w:t>http://www.ingenere.it/articoli/non-esiste-una-ripresa-taglia-unica</w:t>
        </w:r>
      </w:hyperlink>
    </w:p>
    <w:p w14:paraId="09DEBA0D" w14:textId="77777777" w:rsidR="00392D07" w:rsidRPr="00FB4D72" w:rsidRDefault="00392D07" w:rsidP="006047FE">
      <w:pPr>
        <w:jc w:val="both"/>
        <w:rPr>
          <w:rFonts w:ascii="Times New Roman" w:hAnsi="Times New Roman" w:cs="Times New Roman"/>
        </w:rPr>
      </w:pPr>
    </w:p>
    <w:p w14:paraId="74FD6E9A" w14:textId="48982904" w:rsidR="00392D07" w:rsidRPr="00FB4D72" w:rsidRDefault="00392D07" w:rsidP="006047FE">
      <w:pPr>
        <w:jc w:val="both"/>
        <w:rPr>
          <w:rFonts w:ascii="Times New Roman" w:hAnsi="Times New Roman" w:cs="Times New Roman"/>
        </w:rPr>
      </w:pPr>
      <w:r w:rsidRPr="00FB4D72">
        <w:rPr>
          <w:rFonts w:ascii="Times New Roman" w:hAnsi="Times New Roman" w:cs="Times New Roman"/>
        </w:rPr>
        <w:t xml:space="preserve">Rosselli, Annalisa e </w:t>
      </w:r>
      <w:proofErr w:type="spellStart"/>
      <w:r w:rsidRPr="00FB4D72">
        <w:rPr>
          <w:rFonts w:ascii="Times New Roman" w:hAnsi="Times New Roman" w:cs="Times New Roman"/>
        </w:rPr>
        <w:t>Simonazzi</w:t>
      </w:r>
      <w:proofErr w:type="spellEnd"/>
      <w:r w:rsidRPr="00FB4D72">
        <w:rPr>
          <w:rFonts w:ascii="Times New Roman" w:hAnsi="Times New Roman" w:cs="Times New Roman"/>
        </w:rPr>
        <w:t>, Annamaria, 2016, La ricetta contro la crisi si chiama “infrastrutture sociali”</w:t>
      </w:r>
    </w:p>
    <w:p w14:paraId="106A5DD7" w14:textId="20FD59E3" w:rsidR="00392D07" w:rsidRPr="00FB4D72" w:rsidRDefault="00AB6A44" w:rsidP="006047FE">
      <w:pPr>
        <w:jc w:val="both"/>
        <w:rPr>
          <w:rFonts w:ascii="Times New Roman" w:hAnsi="Times New Roman" w:cs="Times New Roman"/>
        </w:rPr>
      </w:pPr>
      <w:hyperlink r:id="rId13" w:history="1">
        <w:r w:rsidR="00392D07" w:rsidRPr="00FB4D72">
          <w:rPr>
            <w:rStyle w:val="Collegamentoipertestuale"/>
            <w:rFonts w:ascii="Times New Roman" w:hAnsi="Times New Roman" w:cs="Times New Roman"/>
          </w:rPr>
          <w:t>https://www.ingenere.it/articoli/ricetta-contro-crisi-si-chiama-infrastrutture-sociali</w:t>
        </w:r>
      </w:hyperlink>
    </w:p>
    <w:p w14:paraId="7B1BBC11" w14:textId="77777777" w:rsidR="00392D07" w:rsidRPr="00A3769A" w:rsidRDefault="00392D07" w:rsidP="006047FE">
      <w:pPr>
        <w:jc w:val="both"/>
        <w:rPr>
          <w:rFonts w:ascii="Times New Roman" w:hAnsi="Times New Roman" w:cs="Times New Roman"/>
        </w:rPr>
      </w:pPr>
    </w:p>
    <w:sectPr w:rsidR="00392D07" w:rsidRPr="00A3769A">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B510" w16cex:dateUtc="2021-02-01T16:12:00Z"/>
  <w16cex:commentExtensible w16cex:durableId="23C2BC16" w16cex:dateUtc="2021-02-01T16:42:00Z"/>
  <w16cex:commentExtensible w16cex:durableId="23C2B68F" w16cex:dateUtc="2021-02-01T1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89538F" w16cid:durableId="23C2B510"/>
  <w16cid:commentId w16cid:paraId="5C8E2FEC" w16cid:durableId="23C2BC16"/>
  <w16cid:commentId w16cid:paraId="0C71D404" w16cid:durableId="23C2B6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altName w:val="Times New Roman"/>
    <w:charset w:val="00"/>
    <w:family w:val="auto"/>
    <w:pitch w:val="variable"/>
    <w:sig w:usb0="00000000"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455A9"/>
    <w:multiLevelType w:val="hybridMultilevel"/>
    <w:tmpl w:val="F3F83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1850FC"/>
    <w:multiLevelType w:val="hybridMultilevel"/>
    <w:tmpl w:val="59101080"/>
    <w:lvl w:ilvl="0" w:tplc="31248F14">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revisionView w:inkAnnotations="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48"/>
    <w:rsid w:val="000A6FB9"/>
    <w:rsid w:val="00225C5E"/>
    <w:rsid w:val="002C56F8"/>
    <w:rsid w:val="003125A2"/>
    <w:rsid w:val="00392D07"/>
    <w:rsid w:val="00421B69"/>
    <w:rsid w:val="004B58F4"/>
    <w:rsid w:val="00503F45"/>
    <w:rsid w:val="005D5AED"/>
    <w:rsid w:val="006047FE"/>
    <w:rsid w:val="00622587"/>
    <w:rsid w:val="00765041"/>
    <w:rsid w:val="0077031E"/>
    <w:rsid w:val="007761A4"/>
    <w:rsid w:val="009E5C46"/>
    <w:rsid w:val="00A3769A"/>
    <w:rsid w:val="00A82E48"/>
    <w:rsid w:val="00AB6A44"/>
    <w:rsid w:val="00AD140F"/>
    <w:rsid w:val="00B1394E"/>
    <w:rsid w:val="00BB34FB"/>
    <w:rsid w:val="00C663FA"/>
    <w:rsid w:val="00CF6F96"/>
    <w:rsid w:val="00D43F08"/>
    <w:rsid w:val="00F106FB"/>
    <w:rsid w:val="00F86AFF"/>
    <w:rsid w:val="00FB4D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12FB"/>
  <w15:docId w15:val="{F1E13AD3-AD39-403B-A68A-62D9E3FC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2E48"/>
    <w:pPr>
      <w:spacing w:after="0" w:line="240" w:lineRule="auto"/>
    </w:pPr>
    <w:rPr>
      <w:rFonts w:eastAsiaTheme="minorEastAsia"/>
      <w:sz w:val="24"/>
      <w:szCs w:val="24"/>
      <w:lang w:val="it-IT" w:eastAsia="it-IT"/>
    </w:rPr>
  </w:style>
  <w:style w:type="paragraph" w:styleId="Titolo1">
    <w:name w:val="heading 1"/>
    <w:basedOn w:val="Normale"/>
    <w:link w:val="Titolo1Carattere"/>
    <w:uiPriority w:val="9"/>
    <w:qFormat/>
    <w:rsid w:val="00BB34FB"/>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82E48"/>
    <w:rPr>
      <w:color w:val="0563C1" w:themeColor="hyperlink"/>
      <w:u w:val="single"/>
    </w:rPr>
  </w:style>
  <w:style w:type="paragraph" w:styleId="Paragrafoelenco">
    <w:name w:val="List Paragraph"/>
    <w:basedOn w:val="Normale"/>
    <w:uiPriority w:val="34"/>
    <w:qFormat/>
    <w:rsid w:val="00225C5E"/>
    <w:pPr>
      <w:ind w:left="720"/>
      <w:contextualSpacing/>
    </w:pPr>
  </w:style>
  <w:style w:type="character" w:customStyle="1" w:styleId="Titolo1Carattere">
    <w:name w:val="Titolo 1 Carattere"/>
    <w:basedOn w:val="Carpredefinitoparagrafo"/>
    <w:link w:val="Titolo1"/>
    <w:uiPriority w:val="9"/>
    <w:rsid w:val="00BB34FB"/>
    <w:rPr>
      <w:rFonts w:ascii="Times New Roman" w:eastAsia="Times New Roman" w:hAnsi="Times New Roman" w:cs="Times New Roman"/>
      <w:b/>
      <w:bCs/>
      <w:kern w:val="36"/>
      <w:sz w:val="48"/>
      <w:szCs w:val="48"/>
      <w:lang w:eastAsia="en-GB"/>
    </w:rPr>
  </w:style>
  <w:style w:type="character" w:styleId="Rimandocommento">
    <w:name w:val="annotation reference"/>
    <w:basedOn w:val="Carpredefinitoparagrafo"/>
    <w:uiPriority w:val="99"/>
    <w:semiHidden/>
    <w:unhideWhenUsed/>
    <w:rsid w:val="002C56F8"/>
    <w:rPr>
      <w:sz w:val="16"/>
      <w:szCs w:val="16"/>
    </w:rPr>
  </w:style>
  <w:style w:type="paragraph" w:styleId="Testocommento">
    <w:name w:val="annotation text"/>
    <w:basedOn w:val="Normale"/>
    <w:link w:val="TestocommentoCarattere"/>
    <w:uiPriority w:val="99"/>
    <w:semiHidden/>
    <w:unhideWhenUsed/>
    <w:rsid w:val="002C56F8"/>
    <w:rPr>
      <w:sz w:val="20"/>
      <w:szCs w:val="20"/>
    </w:rPr>
  </w:style>
  <w:style w:type="character" w:customStyle="1" w:styleId="TestocommentoCarattere">
    <w:name w:val="Testo commento Carattere"/>
    <w:basedOn w:val="Carpredefinitoparagrafo"/>
    <w:link w:val="Testocommento"/>
    <w:uiPriority w:val="99"/>
    <w:semiHidden/>
    <w:rsid w:val="002C56F8"/>
    <w:rPr>
      <w:rFonts w:eastAsiaTheme="minorEastAsia"/>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2C56F8"/>
    <w:rPr>
      <w:b/>
      <w:bCs/>
    </w:rPr>
  </w:style>
  <w:style w:type="character" w:customStyle="1" w:styleId="SoggettocommentoCarattere">
    <w:name w:val="Soggetto commento Carattere"/>
    <w:basedOn w:val="TestocommentoCarattere"/>
    <w:link w:val="Soggettocommento"/>
    <w:uiPriority w:val="99"/>
    <w:semiHidden/>
    <w:rsid w:val="002C56F8"/>
    <w:rPr>
      <w:rFonts w:eastAsiaTheme="minorEastAsia"/>
      <w:b/>
      <w:bCs/>
      <w:sz w:val="20"/>
      <w:szCs w:val="20"/>
      <w:lang w:val="it-IT" w:eastAsia="it-IT"/>
    </w:rPr>
  </w:style>
  <w:style w:type="paragraph" w:styleId="Testofumetto">
    <w:name w:val="Balloon Text"/>
    <w:basedOn w:val="Normale"/>
    <w:link w:val="TestofumettoCarattere"/>
    <w:uiPriority w:val="99"/>
    <w:semiHidden/>
    <w:unhideWhenUsed/>
    <w:rsid w:val="00392D0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92D07"/>
    <w:rPr>
      <w:rFonts w:ascii="Lucida Grande" w:eastAsiaTheme="minorEastAsia" w:hAnsi="Lucida Grande"/>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350382">
      <w:bodyDiv w:val="1"/>
      <w:marLeft w:val="0"/>
      <w:marRight w:val="0"/>
      <w:marTop w:val="0"/>
      <w:marBottom w:val="0"/>
      <w:divBdr>
        <w:top w:val="none" w:sz="0" w:space="0" w:color="auto"/>
        <w:left w:val="none" w:sz="0" w:space="0" w:color="auto"/>
        <w:bottom w:val="none" w:sz="0" w:space="0" w:color="auto"/>
        <w:right w:val="none" w:sz="0" w:space="0" w:color="auto"/>
      </w:divBdr>
    </w:div>
    <w:div w:id="1850291205">
      <w:bodyDiv w:val="1"/>
      <w:marLeft w:val="0"/>
      <w:marRight w:val="0"/>
      <w:marTop w:val="0"/>
      <w:marBottom w:val="0"/>
      <w:divBdr>
        <w:top w:val="none" w:sz="0" w:space="0" w:color="auto"/>
        <w:left w:val="none" w:sz="0" w:space="0" w:color="auto"/>
        <w:bottom w:val="none" w:sz="0" w:space="0" w:color="auto"/>
        <w:right w:val="none" w:sz="0" w:space="0" w:color="auto"/>
      </w:divBdr>
    </w:div>
    <w:div w:id="192448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sites/info/files/document_travail_service_part1_v2_en.pdf" TargetMode="External"/><Relationship Id="rId13" Type="http://schemas.openxmlformats.org/officeDocument/2006/relationships/hyperlink" Target="https://www.ingenere.it/articoli/ricetta-contro-crisi-si-chiama-infrastrutture-sociali" TargetMode="External"/><Relationship Id="rId3" Type="http://schemas.openxmlformats.org/officeDocument/2006/relationships/styles" Target="styles.xml"/><Relationship Id="rId7" Type="http://schemas.openxmlformats.org/officeDocument/2006/relationships/hyperlink" Target="https://eacea.ec.europa.eu/national-policies/eurydice/sites/eurydice/files/ec0319375enn_0.pdf" TargetMode="External"/><Relationship Id="rId12" Type="http://schemas.openxmlformats.org/officeDocument/2006/relationships/hyperlink" Target="http://www.ingenere.it/articoli/non-esiste-una-ripresa-taglia-unica" TargetMode="Externa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hyperlink" Target="http://www.ingenere.it/articoli/quota-quaranta-arrivare-sessanta" TargetMode="External"/><Relationship Id="rId11" Type="http://schemas.openxmlformats.org/officeDocument/2006/relationships/hyperlink" Target="https://www.ituc-csi.org/IMG/pdf/care_economy_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stat.it/it/files//2021/02/Occupati-e-disoccupati_dicembre_2020.pdf"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istat.it/it/files/2020/12/Mercato-del-lavoro-III-trim-202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F0E8C-255E-4E04-9945-08487CC8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1867</Words>
  <Characters>10646</Characters>
  <Application>Microsoft Office Word</Application>
  <DocSecurity>4</DocSecurity>
  <Lines>88</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Carlini, Roberta Maria</dc:creator>
  <cp:keywords/>
  <dc:description/>
  <cp:lastModifiedBy>Cdd</cp:lastModifiedBy>
  <cp:revision>2</cp:revision>
  <cp:lastPrinted>2021-02-02T09:43:00Z</cp:lastPrinted>
  <dcterms:created xsi:type="dcterms:W3CDTF">2021-02-02T09:44:00Z</dcterms:created>
  <dcterms:modified xsi:type="dcterms:W3CDTF">2021-02-02T09:44:00Z</dcterms:modified>
</cp:coreProperties>
</file>