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D8" w:rsidRPr="001D4C14" w:rsidRDefault="00C25F77" w:rsidP="006C4ED8">
      <w:pPr>
        <w:ind w:right="-144"/>
        <w:jc w:val="center"/>
        <w:rPr>
          <w:rFonts w:ascii="Times New Roman" w:hAnsi="Times New Roman" w:cs="Times New Roman"/>
          <w:i/>
          <w:iCs/>
          <w:color w:val="0000FF"/>
          <w:sz w:val="18"/>
          <w:szCs w:val="18"/>
          <w:lang w:eastAsia="ar-SA"/>
        </w:rPr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114935" distR="114935" simplePos="0" relativeHeight="251657728" behindDoc="0" locked="0" layoutInCell="1" allowOverlap="1" wp14:anchorId="69B29BEF" wp14:editId="04151E02">
            <wp:simplePos x="0" y="0"/>
            <wp:positionH relativeFrom="column">
              <wp:posOffset>-50165</wp:posOffset>
            </wp:positionH>
            <wp:positionV relativeFrom="paragraph">
              <wp:posOffset>-572135</wp:posOffset>
            </wp:positionV>
            <wp:extent cx="6448425" cy="795655"/>
            <wp:effectExtent l="0" t="0" r="0" b="0"/>
            <wp:wrapTopAndBottom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ED8" w:rsidRPr="001D4C14">
        <w:rPr>
          <w:rFonts w:ascii="Times New Roman" w:hAnsi="Times New Roman" w:cs="Times New Roman"/>
          <w:i/>
          <w:iCs/>
          <w:color w:val="0000FF"/>
          <w:sz w:val="18"/>
          <w:szCs w:val="18"/>
          <w:lang w:eastAsia="ar-SA"/>
        </w:rPr>
        <w:t xml:space="preserve">Un paese vuol dire non essere soli, sapere che nella gente, nelle piante, nella terra c’è qualcosa di tuo e che anche quando non ci sei </w:t>
      </w:r>
    </w:p>
    <w:p w:rsidR="006C4ED8" w:rsidRDefault="006C4ED8" w:rsidP="006C4ED8">
      <w:pPr>
        <w:ind w:right="-144"/>
        <w:jc w:val="center"/>
        <w:rPr>
          <w:rFonts w:ascii="Times New Roman" w:hAnsi="Times New Roman" w:cs="Times New Roman"/>
          <w:i/>
          <w:iCs/>
          <w:color w:val="0000FF"/>
          <w:sz w:val="18"/>
          <w:szCs w:val="18"/>
          <w:lang w:eastAsia="ar-SA"/>
        </w:rPr>
      </w:pPr>
      <w:r w:rsidRPr="001D4C14">
        <w:rPr>
          <w:rFonts w:ascii="Times New Roman" w:hAnsi="Times New Roman" w:cs="Times New Roman"/>
          <w:i/>
          <w:iCs/>
          <w:color w:val="0000FF"/>
          <w:sz w:val="18"/>
          <w:szCs w:val="18"/>
          <w:lang w:eastAsia="ar-SA"/>
        </w:rPr>
        <w:t>resta ad aspettarti.  (Cesare Pavese</w:t>
      </w:r>
      <w:r w:rsidRPr="00B60523">
        <w:rPr>
          <w:rFonts w:ascii="Times New Roman" w:hAnsi="Times New Roman" w:cs="Times New Roman"/>
          <w:i/>
          <w:iCs/>
          <w:color w:val="0000FF"/>
          <w:sz w:val="18"/>
          <w:szCs w:val="18"/>
          <w:lang w:eastAsia="ar-SA"/>
        </w:rPr>
        <w:t>)</w:t>
      </w:r>
    </w:p>
    <w:p w:rsidR="006C4ED8" w:rsidRDefault="006C4ED8" w:rsidP="006C4ED8">
      <w:pPr>
        <w:ind w:right="-144"/>
        <w:jc w:val="center"/>
        <w:rPr>
          <w:rFonts w:ascii="Times New Roman" w:hAnsi="Times New Roman" w:cs="Times New Roman"/>
          <w:i/>
          <w:iCs/>
          <w:color w:val="0000FF"/>
          <w:sz w:val="18"/>
          <w:szCs w:val="18"/>
          <w:lang w:eastAsia="ar-SA"/>
        </w:rPr>
      </w:pPr>
    </w:p>
    <w:p w:rsidR="006C4ED8" w:rsidRPr="001D4C14" w:rsidRDefault="006C4ED8" w:rsidP="006C4ED8">
      <w:pPr>
        <w:ind w:right="-144"/>
        <w:jc w:val="center"/>
        <w:rPr>
          <w:rFonts w:ascii="Times New Roman" w:hAnsi="Times New Roman" w:cs="Times New Roman"/>
          <w:i/>
          <w:iCs/>
          <w:lang w:eastAsia="ar-SA"/>
        </w:rPr>
      </w:pPr>
    </w:p>
    <w:p w:rsidR="00C55739" w:rsidRPr="001F4D72" w:rsidRDefault="00C55739" w:rsidP="00C55739">
      <w:pPr>
        <w:rPr>
          <w:rFonts w:ascii="Arial" w:hAnsi="Arial" w:cs="Arial"/>
        </w:rPr>
      </w:pPr>
    </w:p>
    <w:p w:rsidR="00C55739" w:rsidRPr="001F4D72" w:rsidRDefault="00C55739" w:rsidP="00C55739">
      <w:pPr>
        <w:rPr>
          <w:rFonts w:ascii="Arial" w:hAnsi="Arial" w:cs="Arial"/>
        </w:rPr>
      </w:pPr>
    </w:p>
    <w:p w:rsidR="00972E6C" w:rsidRPr="00561EFC" w:rsidRDefault="00C55739" w:rsidP="00972E6C">
      <w:pPr>
        <w:pStyle w:val="NormaleWeb"/>
        <w:ind w:left="1134" w:hanging="1134"/>
        <w:jc w:val="both"/>
        <w:rPr>
          <w:rFonts w:ascii="Arial" w:hAnsi="Arial" w:cs="Arial"/>
          <w:b/>
        </w:rPr>
      </w:pPr>
      <w:r w:rsidRPr="00561EFC">
        <w:rPr>
          <w:rFonts w:ascii="Arial" w:hAnsi="Arial" w:cs="Arial"/>
          <w:b/>
        </w:rPr>
        <w:t xml:space="preserve">Oggetto: </w:t>
      </w:r>
      <w:r w:rsidR="00972E6C" w:rsidRPr="00561EFC">
        <w:rPr>
          <w:rFonts w:ascii="Arial" w:hAnsi="Arial" w:cs="Arial"/>
          <w:b/>
        </w:rPr>
        <w:tab/>
        <w:t>AUDIZIONE ANPCI IN COMMISSIONE V BILANCIO CAMERA DEI DEPUTATI 1 giugno 2021 su DDL AC 3132 Conversione in legge del decreto-legge 25 maggio 2021, n. 73, recante “Misure urgenti connesse all’emergenza da COVID-19, per le imprese, il lavoro, i giovani, la salute e i servizi territoriali” (cd. Decreto Sostegni – bis)</w:t>
      </w:r>
    </w:p>
    <w:p w:rsidR="00C55739" w:rsidRPr="00561EFC" w:rsidRDefault="00C55739" w:rsidP="00C55739">
      <w:pPr>
        <w:rPr>
          <w:rFonts w:ascii="Arial" w:hAnsi="Arial" w:cs="Arial"/>
          <w:b/>
        </w:rPr>
      </w:pPr>
    </w:p>
    <w:p w:rsidR="00C111F4" w:rsidRPr="00C111F4" w:rsidRDefault="00C111F4" w:rsidP="00646FCC">
      <w:pPr>
        <w:spacing w:before="120" w:after="120"/>
        <w:jc w:val="both"/>
        <w:rPr>
          <w:rFonts w:ascii="Arial" w:eastAsia="Times New Roman" w:hAnsi="Arial" w:cs="Arial"/>
          <w:b/>
          <w:bCs/>
          <w:kern w:val="0"/>
          <w:sz w:val="26"/>
          <w:szCs w:val="26"/>
          <w:lang w:eastAsia="it-IT" w:bidi="ar-SA"/>
        </w:rPr>
      </w:pPr>
      <w:r w:rsidRPr="00C111F4">
        <w:rPr>
          <w:rFonts w:ascii="Arial" w:eastAsia="Times New Roman" w:hAnsi="Arial" w:cs="Arial"/>
          <w:b/>
          <w:bCs/>
          <w:kern w:val="0"/>
          <w:sz w:val="26"/>
          <w:szCs w:val="26"/>
          <w:lang w:eastAsia="it-IT" w:bidi="ar-SA"/>
        </w:rPr>
        <w:t xml:space="preserve">PREMESSA </w:t>
      </w:r>
    </w:p>
    <w:p w:rsidR="00F67FC0" w:rsidRDefault="00972E6C" w:rsidP="00646FCC">
      <w:pPr>
        <w:jc w:val="both"/>
        <w:rPr>
          <w:rFonts w:ascii="Arial" w:hAnsi="Arial" w:cs="Arial"/>
          <w:bCs/>
        </w:rPr>
      </w:pPr>
      <w:r w:rsidRPr="00561EFC">
        <w:rPr>
          <w:rFonts w:ascii="Arial" w:hAnsi="Arial" w:cs="Arial"/>
          <w:bCs/>
        </w:rPr>
        <w:t>Il</w:t>
      </w:r>
      <w:r w:rsidR="00773514" w:rsidRPr="00561EFC">
        <w:rPr>
          <w:rFonts w:ascii="Arial" w:hAnsi="Arial" w:cs="Arial"/>
          <w:bCs/>
        </w:rPr>
        <w:t xml:space="preserve"> DL 25 maggio 2021</w:t>
      </w:r>
      <w:r w:rsidR="00DE0139">
        <w:rPr>
          <w:rFonts w:ascii="Arial" w:hAnsi="Arial" w:cs="Arial"/>
          <w:bCs/>
        </w:rPr>
        <w:t>,</w:t>
      </w:r>
      <w:r w:rsidR="00773514" w:rsidRPr="00561EFC">
        <w:rPr>
          <w:rFonts w:ascii="Arial" w:hAnsi="Arial" w:cs="Arial"/>
          <w:bCs/>
        </w:rPr>
        <w:t xml:space="preserve"> n 73</w:t>
      </w:r>
      <w:r w:rsidR="00DE0139">
        <w:rPr>
          <w:rFonts w:ascii="Arial" w:hAnsi="Arial" w:cs="Arial"/>
          <w:bCs/>
        </w:rPr>
        <w:t>,</w:t>
      </w:r>
      <w:r w:rsidR="00773514" w:rsidRPr="00561EFC">
        <w:rPr>
          <w:rFonts w:ascii="Arial" w:hAnsi="Arial" w:cs="Arial"/>
          <w:bCs/>
        </w:rPr>
        <w:t xml:space="preserve"> riprende le voci già riconosciute nel 2020 come ristori specifici di entrata e di spesa ai comuni. </w:t>
      </w:r>
    </w:p>
    <w:p w:rsidR="00F67FC0" w:rsidRDefault="00F67FC0" w:rsidP="00646F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Vorremmo sottolineare come l’emergenza sanitaria abbia posto in evidenza l’importanza dei piccoli comuni e dei territori rispetto ai modelli di vita, di lavoro e di sviluppo che favorisco</w:t>
      </w:r>
      <w:r w:rsidR="00DE0139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 xml:space="preserve"> da sempre le città e i grandi agglomerati urbani. </w:t>
      </w:r>
    </w:p>
    <w:p w:rsidR="00F67FC0" w:rsidRDefault="00F67FC0" w:rsidP="00646F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Nei piccoli comuni si vive meglio, si previene meglio il disagio sociale e umano, si presta maggiore attenzione ai veri bisogni delle comunità</w:t>
      </w:r>
      <w:r w:rsidR="00DE013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DE0139">
        <w:rPr>
          <w:rFonts w:ascii="Arial" w:hAnsi="Arial" w:cs="Arial"/>
          <w:bCs/>
        </w:rPr>
        <w:t>n</w:t>
      </w:r>
      <w:r w:rsidR="00942D6C">
        <w:rPr>
          <w:rFonts w:ascii="Arial" w:hAnsi="Arial" w:cs="Arial"/>
          <w:bCs/>
        </w:rPr>
        <w:t>on si parla di numeri</w:t>
      </w:r>
      <w:r w:rsidR="008D6D3E">
        <w:rPr>
          <w:rFonts w:ascii="Arial" w:hAnsi="Arial" w:cs="Arial"/>
          <w:bCs/>
        </w:rPr>
        <w:t>,</w:t>
      </w:r>
      <w:r w:rsidR="00942D6C">
        <w:rPr>
          <w:rFonts w:ascii="Arial" w:hAnsi="Arial" w:cs="Arial"/>
          <w:bCs/>
        </w:rPr>
        <w:t xml:space="preserve"> ma di persone.</w:t>
      </w:r>
    </w:p>
    <w:p w:rsidR="00DE0139" w:rsidRDefault="00DE0139" w:rsidP="00646F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E’ tempo di riequilibrare il rapporto tra piccolo comune e grande città.</w:t>
      </w:r>
    </w:p>
    <w:p w:rsidR="00DE0139" w:rsidRDefault="00DE0139" w:rsidP="00DE013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Quando si parla di sostegni per la ripartenza, non si devono perdere di vista gli obiettivi di medio e lungo periodo. </w:t>
      </w:r>
    </w:p>
    <w:p w:rsidR="00DE0139" w:rsidRDefault="00DE0139" w:rsidP="00DE013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nostra società ripartirà se sapremo dare la giusta importanza ai temi della qualità della vita e della sostenibilità ambientale e sociale, non sempre e solo alle questioni economiche e di redditività.</w:t>
      </w:r>
    </w:p>
    <w:p w:rsidR="00DE0139" w:rsidRDefault="00DE0139" w:rsidP="006C2C64">
      <w:pPr>
        <w:jc w:val="both"/>
        <w:rPr>
          <w:rFonts w:ascii="Arial" w:hAnsi="Arial" w:cs="Arial"/>
          <w:bCs/>
        </w:rPr>
      </w:pPr>
    </w:p>
    <w:p w:rsidR="00C55739" w:rsidRPr="006C2C64" w:rsidRDefault="00773514" w:rsidP="006C2C64">
      <w:pPr>
        <w:jc w:val="both"/>
        <w:rPr>
          <w:rFonts w:ascii="Arial" w:hAnsi="Arial" w:cs="Arial"/>
          <w:bCs/>
        </w:rPr>
      </w:pPr>
      <w:r w:rsidRPr="00561EFC">
        <w:rPr>
          <w:rFonts w:ascii="Arial" w:hAnsi="Arial" w:cs="Arial"/>
          <w:bCs/>
        </w:rPr>
        <w:t>Nello specifico riportiamo le nostre valutazioni su</w:t>
      </w:r>
      <w:r w:rsidR="00516C5A" w:rsidRPr="00561EFC">
        <w:rPr>
          <w:rFonts w:ascii="Arial" w:hAnsi="Arial" w:cs="Arial"/>
          <w:bCs/>
        </w:rPr>
        <w:t>gli articoli oggetto di interesse per i comuni di piccole dimensioni.</w:t>
      </w:r>
    </w:p>
    <w:p w:rsidR="00972E6C" w:rsidRPr="00561EFC" w:rsidRDefault="00972E6C" w:rsidP="006C2C64">
      <w:pPr>
        <w:pStyle w:val="NormaleWeb"/>
        <w:spacing w:before="240" w:beforeAutospacing="0" w:after="120" w:afterAutospacing="0"/>
        <w:rPr>
          <w:rFonts w:ascii="Arial" w:hAnsi="Arial" w:cs="Arial"/>
          <w:b/>
          <w:bCs/>
          <w:i/>
          <w:iCs/>
          <w:sz w:val="26"/>
          <w:szCs w:val="26"/>
        </w:rPr>
      </w:pPr>
      <w:r w:rsidRPr="00561EFC">
        <w:rPr>
          <w:rFonts w:ascii="Arial" w:hAnsi="Arial" w:cs="Arial"/>
          <w:b/>
          <w:bCs/>
          <w:sz w:val="26"/>
          <w:szCs w:val="26"/>
        </w:rPr>
        <w:t xml:space="preserve">Articolo 6 </w:t>
      </w:r>
      <w:r w:rsidRPr="00561EFC">
        <w:rPr>
          <w:rFonts w:ascii="Arial" w:hAnsi="Arial" w:cs="Arial"/>
          <w:b/>
          <w:bCs/>
          <w:i/>
          <w:iCs/>
          <w:sz w:val="26"/>
          <w:szCs w:val="26"/>
        </w:rPr>
        <w:t>(</w:t>
      </w:r>
      <w:r w:rsidRPr="007D3020">
        <w:rPr>
          <w:rFonts w:ascii="Arial" w:hAnsi="Arial" w:cs="Arial"/>
          <w:b/>
          <w:bCs/>
          <w:iCs/>
          <w:sz w:val="26"/>
          <w:szCs w:val="26"/>
        </w:rPr>
        <w:t>Agevolazioni Tari</w:t>
      </w:r>
      <w:r w:rsidRPr="00561EFC">
        <w:rPr>
          <w:rFonts w:ascii="Arial" w:hAnsi="Arial" w:cs="Arial"/>
          <w:b/>
          <w:bCs/>
          <w:i/>
          <w:iCs/>
          <w:sz w:val="26"/>
          <w:szCs w:val="26"/>
        </w:rPr>
        <w:t xml:space="preserve">) </w:t>
      </w:r>
    </w:p>
    <w:p w:rsidR="00561EFC" w:rsidRPr="00561EFC" w:rsidRDefault="00516C5A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 w:rsidRP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Si rileva che </w:t>
      </w:r>
      <w:r w:rsidR="00561EFC" w:rsidRP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la tabella allegata al D.M. 59033/2021 prevede una perdita di gettito stimata in 1.020 milioni di euro a valere sul 2020, mentre l’art. 6 </w:t>
      </w:r>
      <w:r w:rsid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in oggetto </w:t>
      </w:r>
      <w:r w:rsidR="00561EFC" w:rsidRP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prevede un finanziamento di 500 milioni sul 2021. Certamente il periodo di chiusura </w:t>
      </w:r>
      <w:r w:rsid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delle attività </w:t>
      </w:r>
      <w:r w:rsidR="00561EFC" w:rsidRPr="00561EFC">
        <w:rPr>
          <w:rFonts w:ascii="Arial" w:eastAsia="Arial Unicode MS" w:hAnsi="Arial" w:cs="Arial"/>
          <w:bCs/>
          <w:kern w:val="1"/>
          <w:lang w:eastAsia="zh-CN" w:bidi="hi-IN"/>
        </w:rPr>
        <w:t>del 2021 risulterà inferiore al 2020, ma le attività non domestiche avranno comunque bisogno di ulteriori sostegni pe</w:t>
      </w:r>
      <w:r w:rsidR="00561EFC">
        <w:rPr>
          <w:rFonts w:ascii="Arial" w:eastAsia="Arial Unicode MS" w:hAnsi="Arial" w:cs="Arial"/>
          <w:bCs/>
          <w:kern w:val="1"/>
          <w:lang w:eastAsia="zh-CN" w:bidi="hi-IN"/>
        </w:rPr>
        <w:t>r</w:t>
      </w:r>
      <w:r w:rsidR="00561EFC" w:rsidRP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 riprendere l’attività. Chiediamo di poter verificare lo stanziamento per riconoscere </w:t>
      </w:r>
      <w:r w:rsid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eventualmente </w:t>
      </w:r>
      <w:r w:rsidR="00561EFC" w:rsidRP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ulteriori riduzioni della TARI alle </w:t>
      </w:r>
      <w:r w:rsidR="00561EFC">
        <w:rPr>
          <w:rFonts w:ascii="Arial" w:eastAsia="Arial Unicode MS" w:hAnsi="Arial" w:cs="Arial"/>
          <w:bCs/>
          <w:kern w:val="1"/>
          <w:lang w:eastAsia="zh-CN" w:bidi="hi-IN"/>
        </w:rPr>
        <w:t>utenze non domestiche</w:t>
      </w:r>
      <w:r w:rsidR="00561EFC" w:rsidRP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 a valere sul 202</w:t>
      </w:r>
      <w:r w:rsidR="00561EFC">
        <w:rPr>
          <w:rFonts w:ascii="Arial" w:eastAsia="Arial Unicode MS" w:hAnsi="Arial" w:cs="Arial"/>
          <w:bCs/>
          <w:kern w:val="1"/>
          <w:lang w:eastAsia="zh-CN" w:bidi="hi-IN"/>
        </w:rPr>
        <w:t>1</w:t>
      </w:r>
      <w:r w:rsidR="00561EFC" w:rsidRP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. </w:t>
      </w:r>
    </w:p>
    <w:p w:rsidR="00516C5A" w:rsidRPr="00561EFC" w:rsidRDefault="00561EFC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 w:rsidRP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Ci permettiamo di chiedere che questo argomento possa essere ripreso alla luce anche delle richieste di esclusione dal servizio pubblico </w:t>
      </w:r>
      <w:r>
        <w:rPr>
          <w:rFonts w:ascii="Arial" w:eastAsia="Arial Unicode MS" w:hAnsi="Arial" w:cs="Arial"/>
          <w:bCs/>
          <w:kern w:val="1"/>
          <w:lang w:eastAsia="zh-CN" w:bidi="hi-IN"/>
        </w:rPr>
        <w:t>di alcune</w:t>
      </w:r>
      <w:r w:rsidRPr="00561EFC">
        <w:rPr>
          <w:rFonts w:ascii="Arial" w:eastAsia="Arial Unicode MS" w:hAnsi="Arial" w:cs="Arial"/>
          <w:bCs/>
          <w:kern w:val="1"/>
          <w:lang w:eastAsia="zh-CN" w:bidi="hi-IN"/>
        </w:rPr>
        <w:t xml:space="preserve"> utenze non domestiche ai sensi del d.lgs. 116/2020, che si ripercuoterà, inevitabilmente, in un aumento significativo dell’imposta a carico delle famiglie intestatarie di utenze domestiche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e delle utenze non domestiche senza attività di produzione</w:t>
      </w:r>
      <w:r w:rsidRPr="00561EFC">
        <w:rPr>
          <w:rFonts w:ascii="Arial" w:eastAsia="Arial Unicode MS" w:hAnsi="Arial" w:cs="Arial"/>
          <w:bCs/>
          <w:kern w:val="1"/>
          <w:lang w:eastAsia="zh-CN" w:bidi="hi-IN"/>
        </w:rPr>
        <w:t>.</w:t>
      </w:r>
    </w:p>
    <w:p w:rsidR="00972E6C" w:rsidRPr="00646FCC" w:rsidRDefault="00972E6C" w:rsidP="006C2C64">
      <w:pPr>
        <w:spacing w:before="240" w:after="120"/>
        <w:jc w:val="both"/>
        <w:rPr>
          <w:rFonts w:ascii="Arial" w:eastAsia="Times New Roman" w:hAnsi="Arial" w:cs="Arial"/>
          <w:b/>
          <w:bCs/>
          <w:kern w:val="0"/>
          <w:sz w:val="26"/>
          <w:szCs w:val="26"/>
          <w:lang w:eastAsia="it-IT" w:bidi="ar-SA"/>
        </w:rPr>
      </w:pPr>
      <w:r w:rsidRPr="00646FCC">
        <w:rPr>
          <w:rFonts w:ascii="Arial" w:eastAsia="Times New Roman" w:hAnsi="Arial" w:cs="Arial"/>
          <w:b/>
          <w:bCs/>
          <w:kern w:val="0"/>
          <w:sz w:val="26"/>
          <w:szCs w:val="26"/>
          <w:lang w:eastAsia="it-IT" w:bidi="ar-SA"/>
        </w:rPr>
        <w:t xml:space="preserve">Articolo 21 (Fondo di liquidità per il pagamento dei debiti commerciali degli enti territoriali) </w:t>
      </w:r>
    </w:p>
    <w:p w:rsidR="00FF71F5" w:rsidRDefault="00561EFC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 w:rsidRPr="00FF71F5">
        <w:rPr>
          <w:rFonts w:ascii="Arial" w:eastAsia="Arial Unicode MS" w:hAnsi="Arial" w:cs="Arial"/>
          <w:bCs/>
          <w:kern w:val="1"/>
          <w:lang w:eastAsia="zh-CN" w:bidi="hi-IN"/>
        </w:rPr>
        <w:lastRenderedPageBreak/>
        <w:t>Misura utile e necessaria</w:t>
      </w:r>
      <w:r w:rsidR="00FF71F5">
        <w:rPr>
          <w:rFonts w:ascii="Arial" w:eastAsia="Arial Unicode MS" w:hAnsi="Arial" w:cs="Arial"/>
          <w:bCs/>
          <w:kern w:val="1"/>
          <w:lang w:eastAsia="zh-CN" w:bidi="hi-IN"/>
        </w:rPr>
        <w:t xml:space="preserve"> nel caso di anticipazione da parte degli enti di pagamenti finanziati da livelli superiori della pubblica amministrazione: Stato, UE, Regioni e province. Per i piccoli comuni ricevere i contributi a fondo perduto dopo la quietanza del pagamento delle opere rappresenta spesso una difficoltà.</w:t>
      </w:r>
      <w:r w:rsidR="00FF71F5" w:rsidRPr="00FF71F5"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</w:p>
    <w:p w:rsidR="00561EFC" w:rsidRPr="00FF71F5" w:rsidRDefault="00FF71F5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 w:rsidRPr="00FF71F5">
        <w:rPr>
          <w:rFonts w:ascii="Arial" w:eastAsia="Arial Unicode MS" w:hAnsi="Arial" w:cs="Arial"/>
          <w:bCs/>
          <w:kern w:val="1"/>
          <w:lang w:eastAsia="zh-CN" w:bidi="hi-IN"/>
        </w:rPr>
        <w:t>Tuttavia</w:t>
      </w:r>
      <w:r>
        <w:rPr>
          <w:rFonts w:ascii="Arial" w:eastAsia="Arial Unicode MS" w:hAnsi="Arial" w:cs="Arial"/>
          <w:bCs/>
          <w:kern w:val="1"/>
          <w:lang w:eastAsia="zh-CN" w:bidi="hi-IN"/>
        </w:rPr>
        <w:t>,</w:t>
      </w:r>
      <w:r w:rsidRPr="00FF71F5"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>
        <w:rPr>
          <w:rFonts w:ascii="Arial" w:eastAsia="Arial Unicode MS" w:hAnsi="Arial" w:cs="Arial"/>
          <w:bCs/>
          <w:kern w:val="1"/>
          <w:lang w:eastAsia="zh-CN" w:bidi="hi-IN"/>
        </w:rPr>
        <w:t>prevedere con questa norma il finanziamento dei debiti fuori bilancio, la carenza di liquidità corrente, la copertura dei disavanzi di amministrazione</w:t>
      </w:r>
      <w:r w:rsidR="006C2C64">
        <w:rPr>
          <w:rFonts w:ascii="Arial" w:eastAsia="Arial Unicode MS" w:hAnsi="Arial" w:cs="Arial"/>
          <w:bCs/>
          <w:kern w:val="1"/>
          <w:lang w:eastAsia="zh-CN" w:bidi="hi-IN"/>
        </w:rPr>
        <w:t xml:space="preserve"> di cui anche al successivo art. 52</w:t>
      </w:r>
      <w:r>
        <w:rPr>
          <w:rFonts w:ascii="Arial" w:eastAsia="Arial Unicode MS" w:hAnsi="Arial" w:cs="Arial"/>
          <w:bCs/>
          <w:kern w:val="1"/>
          <w:lang w:eastAsia="zh-CN" w:bidi="hi-IN"/>
        </w:rPr>
        <w:t>, evi</w:t>
      </w:r>
      <w:r w:rsidR="006C2C64">
        <w:rPr>
          <w:rFonts w:ascii="Arial" w:eastAsia="Arial Unicode MS" w:hAnsi="Arial" w:cs="Arial"/>
          <w:bCs/>
          <w:kern w:val="1"/>
          <w:lang w:eastAsia="zh-CN" w:bidi="hi-IN"/>
        </w:rPr>
        <w:t>d</w:t>
      </w:r>
      <w:r>
        <w:rPr>
          <w:rFonts w:ascii="Arial" w:eastAsia="Arial Unicode MS" w:hAnsi="Arial" w:cs="Arial"/>
          <w:bCs/>
          <w:kern w:val="1"/>
          <w:lang w:eastAsia="zh-CN" w:bidi="hi-IN"/>
        </w:rPr>
        <w:t>enzia come lo Stato continui a premiare comportamenti scorretti di enti che sovrastimano le entrate o autorizzano lavori senza le necessarie coperture finanziarie. Crediamo che nello sforzo collettivo di risanamento della pubblica amministrazione, questi comportamenti siano da disincentivare.</w:t>
      </w:r>
    </w:p>
    <w:p w:rsidR="00972E6C" w:rsidRDefault="00972E6C" w:rsidP="006C2C64">
      <w:pPr>
        <w:pStyle w:val="NormaleWeb"/>
        <w:spacing w:before="240" w:beforeAutospacing="0" w:after="120" w:afterAutospacing="0"/>
        <w:rPr>
          <w:rFonts w:ascii="Arial" w:hAnsi="Arial" w:cs="Arial"/>
          <w:b/>
          <w:bCs/>
          <w:sz w:val="26"/>
          <w:szCs w:val="26"/>
        </w:rPr>
      </w:pPr>
      <w:r w:rsidRPr="00561EFC">
        <w:rPr>
          <w:rFonts w:ascii="Arial" w:hAnsi="Arial" w:cs="Arial"/>
          <w:b/>
          <w:bCs/>
          <w:sz w:val="26"/>
          <w:szCs w:val="26"/>
        </w:rPr>
        <w:t xml:space="preserve">Articolo 51 (Disposizioni urgenti in materia di trasporto pubblico locale) </w:t>
      </w:r>
    </w:p>
    <w:p w:rsidR="00FF71F5" w:rsidRPr="00561EFC" w:rsidRDefault="00C111F4" w:rsidP="00646FC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>Il tema del trasporto pubblico tra i piccoli comuni e centri scolastici e di lavoro merita un approfondimento specifico. In questa fase emergenziale concordiamo con l’indirizzo della norma.</w:t>
      </w:r>
    </w:p>
    <w:p w:rsidR="00972E6C" w:rsidRDefault="00972E6C" w:rsidP="006C2C64">
      <w:pPr>
        <w:pStyle w:val="NormaleWeb"/>
        <w:spacing w:before="240" w:beforeAutospacing="0" w:after="12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561EFC">
        <w:rPr>
          <w:rFonts w:ascii="Arial" w:hAnsi="Arial" w:cs="Arial"/>
          <w:b/>
          <w:bCs/>
          <w:sz w:val="26"/>
          <w:szCs w:val="26"/>
        </w:rPr>
        <w:t xml:space="preserve">Articolo 52, commi 1, 2 e 4 (Misure di sostegno all’equilibrio di bilancio degli enti locali) </w:t>
      </w:r>
    </w:p>
    <w:p w:rsidR="00C111F4" w:rsidRDefault="006C2C64" w:rsidP="006C2C64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Consideriamo utile la norma in questa fase emergenziale. Richiamiamo quanto espresso in merito al precedente art. 21. </w:t>
      </w:r>
    </w:p>
    <w:p w:rsidR="0044278B" w:rsidRPr="0044278B" w:rsidRDefault="0044278B" w:rsidP="0044278B">
      <w:pPr>
        <w:pStyle w:val="NormaleWeb"/>
        <w:spacing w:before="240" w:beforeAutospacing="0" w:after="12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44278B">
        <w:rPr>
          <w:rFonts w:ascii="Arial" w:hAnsi="Arial" w:cs="Arial"/>
          <w:b/>
          <w:bCs/>
          <w:sz w:val="26"/>
          <w:szCs w:val="26"/>
        </w:rPr>
        <w:t xml:space="preserve">Articolo 52, commi 3 e 4 (Incremento delle risorse finalizzate a favorire le fusione di comuni) </w:t>
      </w:r>
    </w:p>
    <w:p w:rsidR="0044278B" w:rsidRDefault="0044278B" w:rsidP="006C2C64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>Riteniamo che questa norma non abbia nessuna pertinenza con il provvedimento in oggetto.</w:t>
      </w:r>
    </w:p>
    <w:p w:rsidR="0044278B" w:rsidRDefault="0044278B" w:rsidP="006C2C64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Le fusioni si sono rivelate un fallimento da tutti i punti di vista. Senza entrare nel merito basti valutare il numero delle fusioni che si sono attuate in questi oltre 10 anni di esperienza. </w:t>
      </w:r>
    </w:p>
    <w:p w:rsidR="0044278B" w:rsidRPr="004E1B18" w:rsidRDefault="0044278B" w:rsidP="006C2C64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/>
          <w:bCs/>
          <w:kern w:val="1"/>
          <w:lang w:eastAsia="zh-CN" w:bidi="hi-IN"/>
        </w:rPr>
      </w:pPr>
      <w:r w:rsidRPr="004E1B18">
        <w:rPr>
          <w:rFonts w:ascii="Arial" w:eastAsia="Arial Unicode MS" w:hAnsi="Arial" w:cs="Arial"/>
          <w:b/>
          <w:bCs/>
          <w:kern w:val="1"/>
          <w:lang w:eastAsia="zh-CN" w:bidi="hi-IN"/>
        </w:rPr>
        <w:t>Non è servito a nulla incentivare economicamente</w:t>
      </w:r>
      <w:r w:rsidR="005C6BEA" w:rsidRPr="004E1B18">
        <w:rPr>
          <w:rFonts w:ascii="Arial" w:eastAsia="Arial Unicode MS" w:hAnsi="Arial" w:cs="Arial"/>
          <w:b/>
          <w:bCs/>
          <w:kern w:val="1"/>
          <w:lang w:eastAsia="zh-CN" w:bidi="hi-IN"/>
        </w:rPr>
        <w:t xml:space="preserve"> un provvedimento senza logica e senza prospettiva. Chiediamo che venga abrogato il comma 3 dell’art. 52.</w:t>
      </w:r>
    </w:p>
    <w:p w:rsidR="005C6BEA" w:rsidRPr="00561EFC" w:rsidRDefault="005C6BEA" w:rsidP="0023754E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>I comuni che intendono fondersi o procedere all’incorporazione liberi di farlo, ma senza incentivi economici</w:t>
      </w:r>
      <w:r w:rsidR="004E1B18">
        <w:rPr>
          <w:rFonts w:ascii="Arial" w:eastAsia="Arial Unicode MS" w:hAnsi="Arial" w:cs="Arial"/>
          <w:bCs/>
          <w:kern w:val="1"/>
          <w:lang w:eastAsia="zh-CN" w:bidi="hi-IN"/>
        </w:rPr>
        <w:t xml:space="preserve"> da parte dello Stato</w:t>
      </w:r>
      <w:r w:rsidR="008E4DEC">
        <w:rPr>
          <w:rFonts w:ascii="Arial" w:eastAsia="Arial Unicode MS" w:hAnsi="Arial" w:cs="Arial"/>
          <w:bCs/>
          <w:kern w:val="1"/>
          <w:lang w:eastAsia="zh-CN" w:bidi="hi-IN"/>
        </w:rPr>
        <w:t xml:space="preserve"> sottraendoli</w:t>
      </w:r>
      <w:r w:rsidR="004E1B18">
        <w:rPr>
          <w:rFonts w:ascii="Arial" w:eastAsia="Arial Unicode MS" w:hAnsi="Arial" w:cs="Arial"/>
          <w:bCs/>
          <w:kern w:val="1"/>
          <w:lang w:eastAsia="zh-CN" w:bidi="hi-IN"/>
        </w:rPr>
        <w:t xml:space="preserve"> a</w:t>
      </w:r>
      <w:r w:rsidR="0023754E">
        <w:rPr>
          <w:rFonts w:ascii="Arial" w:eastAsia="Arial Unicode MS" w:hAnsi="Arial" w:cs="Arial"/>
          <w:bCs/>
          <w:kern w:val="1"/>
          <w:lang w:eastAsia="zh-CN" w:bidi="hi-IN"/>
        </w:rPr>
        <w:t>i</w:t>
      </w:r>
      <w:r w:rsidR="008E4DEC">
        <w:rPr>
          <w:rFonts w:ascii="Arial" w:eastAsia="Arial Unicode MS" w:hAnsi="Arial" w:cs="Arial"/>
          <w:bCs/>
          <w:kern w:val="1"/>
          <w:lang w:eastAsia="zh-CN" w:bidi="hi-IN"/>
        </w:rPr>
        <w:t xml:space="preserve"> piccoli comuni che gestiscono la cosa pubblica rispondendo all’obiettivo di efficacia, efficienza ed economicità</w:t>
      </w:r>
      <w:r w:rsidR="0023754E">
        <w:rPr>
          <w:rFonts w:ascii="Arial" w:eastAsia="Arial Unicode MS" w:hAnsi="Arial" w:cs="Arial"/>
          <w:bCs/>
          <w:kern w:val="1"/>
          <w:lang w:eastAsia="zh-CN" w:bidi="hi-IN"/>
        </w:rPr>
        <w:t xml:space="preserve">. </w:t>
      </w:r>
      <w:r>
        <w:rPr>
          <w:rFonts w:ascii="Arial" w:eastAsia="Arial Unicode MS" w:hAnsi="Arial" w:cs="Arial"/>
          <w:bCs/>
          <w:kern w:val="1"/>
          <w:lang w:eastAsia="zh-CN" w:bidi="hi-IN"/>
        </w:rPr>
        <w:t>Questi fondi possono essere meglio utilizzati per ristorare</w:t>
      </w:r>
      <w:r w:rsidR="00E80464"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 w:rsidR="0023754E">
        <w:rPr>
          <w:rFonts w:ascii="Arial" w:eastAsia="Arial Unicode MS" w:hAnsi="Arial" w:cs="Arial"/>
          <w:bCs/>
          <w:kern w:val="1"/>
          <w:lang w:eastAsia="zh-CN" w:bidi="hi-IN"/>
        </w:rPr>
        <w:t xml:space="preserve">proprio 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i piccoli comuni </w:t>
      </w:r>
      <w:r w:rsidR="0023754E">
        <w:rPr>
          <w:rFonts w:ascii="Arial" w:eastAsia="Arial Unicode MS" w:hAnsi="Arial" w:cs="Arial"/>
          <w:bCs/>
          <w:kern w:val="1"/>
          <w:lang w:eastAsia="zh-CN" w:bidi="hi-IN"/>
        </w:rPr>
        <w:t xml:space="preserve">d’Italia </w:t>
      </w:r>
      <w:r>
        <w:rPr>
          <w:rFonts w:ascii="Arial" w:eastAsia="Arial Unicode MS" w:hAnsi="Arial" w:cs="Arial"/>
          <w:bCs/>
          <w:kern w:val="1"/>
          <w:lang w:eastAsia="zh-CN" w:bidi="hi-IN"/>
        </w:rPr>
        <w:t>che</w:t>
      </w:r>
      <w:r w:rsidR="00E80464">
        <w:rPr>
          <w:rFonts w:ascii="Arial" w:eastAsia="Arial Unicode MS" w:hAnsi="Arial" w:cs="Arial"/>
          <w:bCs/>
          <w:kern w:val="1"/>
          <w:lang w:eastAsia="zh-CN" w:bidi="hi-IN"/>
        </w:rPr>
        <w:t>, a causa degli eccessivi tagli subiti negli anni ai trasferimenti erariali,</w:t>
      </w:r>
      <w:r w:rsidR="00ED6871">
        <w:rPr>
          <w:rFonts w:ascii="Arial" w:eastAsia="Arial Unicode MS" w:hAnsi="Arial" w:cs="Arial"/>
          <w:bCs/>
          <w:kern w:val="1"/>
          <w:lang w:eastAsia="zh-CN" w:bidi="hi-IN"/>
        </w:rPr>
        <w:t xml:space="preserve"> faticano a garantire i servizi essenziali alla</w:t>
      </w:r>
      <w:r w:rsidR="00E80464"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 w:rsidR="00ED6871">
        <w:rPr>
          <w:rFonts w:ascii="Arial" w:eastAsia="Arial Unicode MS" w:hAnsi="Arial" w:cs="Arial"/>
          <w:bCs/>
          <w:kern w:val="1"/>
          <w:lang w:eastAsia="zh-CN" w:bidi="hi-IN"/>
        </w:rPr>
        <w:t>pers</w:t>
      </w:r>
      <w:r w:rsidR="00E80464">
        <w:rPr>
          <w:rFonts w:ascii="Arial" w:eastAsia="Arial Unicode MS" w:hAnsi="Arial" w:cs="Arial"/>
          <w:bCs/>
          <w:kern w:val="1"/>
          <w:lang w:eastAsia="zh-CN" w:bidi="hi-IN"/>
        </w:rPr>
        <w:t>ona, nonché</w:t>
      </w:r>
      <w:r w:rsidR="00ED6871"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 w:rsidR="00E80464">
        <w:rPr>
          <w:rFonts w:ascii="Arial" w:eastAsia="Arial Unicode MS" w:hAnsi="Arial" w:cs="Arial"/>
          <w:bCs/>
          <w:kern w:val="1"/>
          <w:lang w:eastAsia="zh-CN" w:bidi="hi-IN"/>
        </w:rPr>
        <w:t>a manutenere il territorio</w:t>
      </w:r>
      <w:r w:rsidR="0023754E">
        <w:rPr>
          <w:rFonts w:ascii="Arial" w:eastAsia="Arial Unicode MS" w:hAnsi="Arial" w:cs="Arial"/>
          <w:bCs/>
          <w:kern w:val="1"/>
          <w:lang w:eastAsia="zh-CN" w:bidi="hi-IN"/>
        </w:rPr>
        <w:t>. Un territorio</w:t>
      </w:r>
      <w:r w:rsidR="00E80464"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 w:rsidR="0023754E">
        <w:rPr>
          <w:rFonts w:ascii="Arial" w:eastAsia="Arial Unicode MS" w:hAnsi="Arial" w:cs="Arial"/>
          <w:bCs/>
          <w:kern w:val="1"/>
          <w:lang w:eastAsia="zh-CN" w:bidi="hi-IN"/>
        </w:rPr>
        <w:t>a forte rischio idrogeologico che necessita di cura costa</w:t>
      </w:r>
      <w:r w:rsidR="000D3717">
        <w:rPr>
          <w:rFonts w:ascii="Arial" w:eastAsia="Arial Unicode MS" w:hAnsi="Arial" w:cs="Arial"/>
          <w:bCs/>
          <w:kern w:val="1"/>
          <w:lang w:eastAsia="zh-CN" w:bidi="hi-IN"/>
        </w:rPr>
        <w:t>n</w:t>
      </w:r>
      <w:r w:rsidR="0023754E">
        <w:rPr>
          <w:rFonts w:ascii="Arial" w:eastAsia="Arial Unicode MS" w:hAnsi="Arial" w:cs="Arial"/>
          <w:bCs/>
          <w:kern w:val="1"/>
          <w:lang w:eastAsia="zh-CN" w:bidi="hi-IN"/>
        </w:rPr>
        <w:t xml:space="preserve">te </w:t>
      </w:r>
      <w:r w:rsidR="000D3717">
        <w:rPr>
          <w:rFonts w:ascii="Arial" w:eastAsia="Arial Unicode MS" w:hAnsi="Arial" w:cs="Arial"/>
          <w:bCs/>
          <w:kern w:val="1"/>
          <w:lang w:eastAsia="zh-CN" w:bidi="hi-IN"/>
        </w:rPr>
        <w:t xml:space="preserve">e </w:t>
      </w:r>
      <w:r w:rsidR="0023754E">
        <w:rPr>
          <w:rFonts w:ascii="Arial" w:eastAsia="Arial Unicode MS" w:hAnsi="Arial" w:cs="Arial"/>
          <w:bCs/>
          <w:kern w:val="1"/>
          <w:lang w:eastAsia="zh-CN" w:bidi="hi-IN"/>
        </w:rPr>
        <w:t xml:space="preserve">che solo il presidio piccolo comune può garantire. </w:t>
      </w:r>
    </w:p>
    <w:p w:rsidR="00972E6C" w:rsidRDefault="00972E6C" w:rsidP="006C2C64">
      <w:pPr>
        <w:pStyle w:val="NormaleWeb"/>
        <w:spacing w:before="240" w:beforeAutospacing="0" w:after="12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561EFC">
        <w:rPr>
          <w:rFonts w:ascii="Arial" w:hAnsi="Arial" w:cs="Arial"/>
          <w:b/>
          <w:bCs/>
          <w:sz w:val="26"/>
          <w:szCs w:val="26"/>
        </w:rPr>
        <w:t xml:space="preserve">Articolo 53 (Misure urgenti di </w:t>
      </w:r>
      <w:r w:rsidR="006C2C64" w:rsidRPr="00561EFC">
        <w:rPr>
          <w:rFonts w:ascii="Arial" w:hAnsi="Arial" w:cs="Arial"/>
          <w:b/>
          <w:bCs/>
          <w:sz w:val="26"/>
          <w:szCs w:val="26"/>
        </w:rPr>
        <w:t>solidarietà</w:t>
      </w:r>
      <w:r w:rsidRPr="00561EFC">
        <w:rPr>
          <w:rFonts w:ascii="Arial" w:hAnsi="Arial" w:cs="Arial"/>
          <w:b/>
          <w:bCs/>
          <w:sz w:val="26"/>
          <w:szCs w:val="26"/>
        </w:rPr>
        <w:t>̀ alimentare e di sostegno</w:t>
      </w:r>
      <w:r w:rsidRPr="00561EFC">
        <w:rPr>
          <w:rFonts w:ascii="Arial" w:hAnsi="Arial" w:cs="Arial"/>
          <w:b/>
          <w:bCs/>
          <w:sz w:val="26"/>
          <w:szCs w:val="26"/>
        </w:rPr>
        <w:br/>
        <w:t>alle famiglie per il pagamento dei canoni di locazione e delle</w:t>
      </w:r>
      <w:r w:rsidR="007D3020">
        <w:rPr>
          <w:rFonts w:ascii="Arial" w:hAnsi="Arial" w:cs="Arial"/>
          <w:b/>
          <w:bCs/>
          <w:sz w:val="26"/>
          <w:szCs w:val="26"/>
        </w:rPr>
        <w:t xml:space="preserve"> </w:t>
      </w:r>
      <w:r w:rsidRPr="00561EFC">
        <w:rPr>
          <w:rFonts w:ascii="Arial" w:hAnsi="Arial" w:cs="Arial"/>
          <w:b/>
          <w:bCs/>
          <w:sz w:val="26"/>
          <w:szCs w:val="26"/>
        </w:rPr>
        <w:t xml:space="preserve">utenze domestiche) </w:t>
      </w:r>
    </w:p>
    <w:p w:rsidR="0044278B" w:rsidRDefault="006C2C64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Concordiamo pienamente con l’estensione dell’utilizzo </w:t>
      </w:r>
      <w:r w:rsidR="0044278B">
        <w:rPr>
          <w:rFonts w:ascii="Arial" w:eastAsia="Arial Unicode MS" w:hAnsi="Arial" w:cs="Arial"/>
          <w:bCs/>
          <w:kern w:val="1"/>
          <w:lang w:eastAsia="zh-CN" w:bidi="hi-IN"/>
        </w:rPr>
        <w:t xml:space="preserve">dei fondi dell’art. 53 al sostegno degli affitti e del pagamento delle utenze. </w:t>
      </w:r>
    </w:p>
    <w:p w:rsidR="0044278B" w:rsidRDefault="0044278B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Ci permettiamo di evidenziare che a fronte di una corretta politica di sostegno da parte del legislatore non corrisponde una uguale sensibilità da parte degli organi di controllo. </w:t>
      </w:r>
    </w:p>
    <w:p w:rsidR="0044278B" w:rsidRDefault="0044278B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In particolare la Corte dei Conti sta richiedendo sul 2020 ai piccoli comuni adempimenti burocratici per la nomina di agenti contabili e di rendicontazioni specifiche che risultano spesso più onerose dei contributi stessi erogati. </w:t>
      </w:r>
    </w:p>
    <w:p w:rsidR="00C111F4" w:rsidRPr="00561EFC" w:rsidRDefault="0044278B" w:rsidP="00646FC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>Pur riconoscendo la fondamentale necessità del controllo non possono essere imposti adempimenti ai comuni che superano nei costi i ristori previsti, vanificandone gli obiettivi.</w:t>
      </w:r>
    </w:p>
    <w:p w:rsidR="00972E6C" w:rsidRDefault="00972E6C" w:rsidP="006C2C64">
      <w:pPr>
        <w:pStyle w:val="NormaleWeb"/>
        <w:spacing w:before="240" w:beforeAutospacing="0" w:after="12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561EFC">
        <w:rPr>
          <w:rFonts w:ascii="Arial" w:hAnsi="Arial" w:cs="Arial"/>
          <w:b/>
          <w:bCs/>
          <w:sz w:val="26"/>
          <w:szCs w:val="26"/>
        </w:rPr>
        <w:lastRenderedPageBreak/>
        <w:t xml:space="preserve">Articolo 55 (Incremento contributo mancato incasso imposta di soggiorno) </w:t>
      </w:r>
    </w:p>
    <w:p w:rsidR="00BE2DBF" w:rsidRDefault="00BE2DBF" w:rsidP="006C2C64">
      <w:pPr>
        <w:pStyle w:val="NormaleWeb"/>
        <w:spacing w:before="240" w:beforeAutospacing="0" w:after="12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>Concordiamo con la norma prevista che incrementa il fondo.</w:t>
      </w:r>
    </w:p>
    <w:p w:rsidR="00972E6C" w:rsidRDefault="00972E6C" w:rsidP="006C2C64">
      <w:pPr>
        <w:pStyle w:val="NormaleWeb"/>
        <w:spacing w:before="240" w:beforeAutospacing="0" w:after="12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561EFC">
        <w:rPr>
          <w:rFonts w:ascii="Arial" w:hAnsi="Arial" w:cs="Arial"/>
          <w:b/>
          <w:bCs/>
          <w:sz w:val="26"/>
          <w:szCs w:val="26"/>
        </w:rPr>
        <w:t xml:space="preserve">Articolo 56, comma 1 (Utilizzo nell’anno 2021 dei ristori 2020 assegnati agli enti locali per </w:t>
      </w:r>
      <w:r w:rsidR="006C2C64" w:rsidRPr="00561EFC">
        <w:rPr>
          <w:rFonts w:ascii="Arial" w:hAnsi="Arial" w:cs="Arial"/>
          <w:b/>
          <w:bCs/>
          <w:sz w:val="26"/>
          <w:szCs w:val="26"/>
        </w:rPr>
        <w:t>finalità</w:t>
      </w:r>
      <w:r w:rsidRPr="00561EFC">
        <w:rPr>
          <w:rFonts w:ascii="Arial" w:hAnsi="Arial" w:cs="Arial"/>
          <w:b/>
          <w:bCs/>
          <w:sz w:val="26"/>
          <w:szCs w:val="26"/>
        </w:rPr>
        <w:t xml:space="preserve">̀ connesse all'emergenza epidemiologica) </w:t>
      </w:r>
    </w:p>
    <w:p w:rsidR="00804F5D" w:rsidRDefault="00804F5D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>Corretta la possibilità di utilizzare i fondi non utilizzati nel 2020 sul bilancio 2021.</w:t>
      </w:r>
    </w:p>
    <w:p w:rsidR="00C111F4" w:rsidRDefault="0006453D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La certificazione del necessario vincolo </w:t>
      </w:r>
      <w:r w:rsidR="00804F5D">
        <w:rPr>
          <w:rFonts w:ascii="Arial" w:eastAsia="Arial Unicode MS" w:hAnsi="Arial" w:cs="Arial"/>
          <w:bCs/>
          <w:kern w:val="1"/>
          <w:lang w:eastAsia="zh-CN" w:bidi="hi-IN"/>
        </w:rPr>
        <w:t>di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destinazione dei fondi attributi per l’emergenza Covid-19</w:t>
      </w:r>
      <w:r w:rsidR="00C111F4"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non può </w:t>
      </w:r>
      <w:r w:rsidR="00804F5D">
        <w:rPr>
          <w:rFonts w:ascii="Arial" w:eastAsia="Arial Unicode MS" w:hAnsi="Arial" w:cs="Arial"/>
          <w:bCs/>
          <w:kern w:val="1"/>
          <w:lang w:eastAsia="zh-CN" w:bidi="hi-IN"/>
        </w:rPr>
        <w:t xml:space="preserve">però </w:t>
      </w:r>
      <w:r>
        <w:rPr>
          <w:rFonts w:ascii="Arial" w:eastAsia="Arial Unicode MS" w:hAnsi="Arial" w:cs="Arial"/>
          <w:bCs/>
          <w:kern w:val="1"/>
          <w:lang w:eastAsia="zh-CN" w:bidi="hi-IN"/>
        </w:rPr>
        <w:t>essere motivo di sanzion</w:t>
      </w:r>
      <w:r w:rsidR="00804F5D">
        <w:rPr>
          <w:rFonts w:ascii="Arial" w:eastAsia="Arial Unicode MS" w:hAnsi="Arial" w:cs="Arial"/>
          <w:bCs/>
          <w:kern w:val="1"/>
          <w:lang w:eastAsia="zh-CN" w:bidi="hi-IN"/>
        </w:rPr>
        <w:t>i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sproporzionat</w:t>
      </w:r>
      <w:r w:rsidR="00804F5D">
        <w:rPr>
          <w:rFonts w:ascii="Arial" w:eastAsia="Arial Unicode MS" w:hAnsi="Arial" w:cs="Arial"/>
          <w:bCs/>
          <w:kern w:val="1"/>
          <w:lang w:eastAsia="zh-CN" w:bidi="hi-IN"/>
        </w:rPr>
        <w:t>e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nel caso di </w:t>
      </w:r>
      <w:r w:rsidR="00804F5D">
        <w:rPr>
          <w:rFonts w:ascii="Arial" w:eastAsia="Arial Unicode MS" w:hAnsi="Arial" w:cs="Arial"/>
          <w:bCs/>
          <w:kern w:val="1"/>
          <w:lang w:eastAsia="zh-CN" w:bidi="hi-IN"/>
        </w:rPr>
        <w:t>non rispetto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dei termini per l’inoltro. </w:t>
      </w:r>
      <w:r w:rsidR="00804F5D">
        <w:rPr>
          <w:rFonts w:ascii="Arial" w:eastAsia="Arial Unicode MS" w:hAnsi="Arial" w:cs="Arial"/>
          <w:bCs/>
          <w:kern w:val="1"/>
          <w:lang w:eastAsia="zh-CN" w:bidi="hi-IN"/>
        </w:rPr>
        <w:t xml:space="preserve">Nei piccoli comuni mancano segretari, ragionieri, geometri, vigili e operai. 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Restituire l’80% </w:t>
      </w:r>
      <w:r w:rsidR="00804F5D">
        <w:rPr>
          <w:rFonts w:ascii="Arial" w:eastAsia="Arial Unicode MS" w:hAnsi="Arial" w:cs="Arial"/>
          <w:bCs/>
          <w:kern w:val="1"/>
          <w:lang w:eastAsia="zh-CN" w:bidi="hi-IN"/>
        </w:rPr>
        <w:t>dei fondi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trasferit</w:t>
      </w:r>
      <w:r w:rsidR="00804F5D">
        <w:rPr>
          <w:rFonts w:ascii="Arial" w:eastAsia="Arial Unicode MS" w:hAnsi="Arial" w:cs="Arial"/>
          <w:bCs/>
          <w:kern w:val="1"/>
          <w:lang w:eastAsia="zh-CN" w:bidi="hi-IN"/>
        </w:rPr>
        <w:t>i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perché </w:t>
      </w:r>
      <w:r w:rsidR="00804F5D">
        <w:rPr>
          <w:rFonts w:ascii="Arial" w:eastAsia="Arial Unicode MS" w:hAnsi="Arial" w:cs="Arial"/>
          <w:bCs/>
          <w:kern w:val="1"/>
          <w:lang w:eastAsia="zh-CN" w:bidi="hi-IN"/>
        </w:rPr>
        <w:t>manca il personale che possa predisporre le certificazioni è una dimostrazione dell’arroganza dello Stato nei confronti delle amministrazioni con cui dovrebbe stabilire rapporti di collaborazione</w:t>
      </w:r>
      <w:r w:rsidR="004E1B18">
        <w:rPr>
          <w:rFonts w:ascii="Arial" w:eastAsia="Arial Unicode MS" w:hAnsi="Arial" w:cs="Arial"/>
          <w:bCs/>
          <w:kern w:val="1"/>
          <w:lang w:eastAsia="zh-CN" w:bidi="hi-IN"/>
        </w:rPr>
        <w:t>,</w:t>
      </w:r>
      <w:r w:rsidR="00804F5D">
        <w:rPr>
          <w:rFonts w:ascii="Arial" w:eastAsia="Arial Unicode MS" w:hAnsi="Arial" w:cs="Arial"/>
          <w:bCs/>
          <w:kern w:val="1"/>
          <w:lang w:eastAsia="zh-CN" w:bidi="hi-IN"/>
        </w:rPr>
        <w:t xml:space="preserve"> non di sudditanza.</w:t>
      </w:r>
    </w:p>
    <w:p w:rsidR="00972E6C" w:rsidRDefault="00972E6C" w:rsidP="006C2C64">
      <w:pPr>
        <w:pStyle w:val="NormaleWeb"/>
        <w:spacing w:before="240" w:beforeAutospacing="0" w:after="12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561EFC">
        <w:rPr>
          <w:rFonts w:ascii="Arial" w:hAnsi="Arial" w:cs="Arial"/>
          <w:b/>
          <w:bCs/>
          <w:sz w:val="26"/>
          <w:szCs w:val="26"/>
        </w:rPr>
        <w:t xml:space="preserve">Articolo 63 (Misure per favorire le </w:t>
      </w:r>
      <w:r w:rsidR="006C2C64" w:rsidRPr="00561EFC">
        <w:rPr>
          <w:rFonts w:ascii="Arial" w:hAnsi="Arial" w:cs="Arial"/>
          <w:b/>
          <w:bCs/>
          <w:sz w:val="26"/>
          <w:szCs w:val="26"/>
        </w:rPr>
        <w:t>opportunità</w:t>
      </w:r>
      <w:r w:rsidRPr="00561EFC">
        <w:rPr>
          <w:rFonts w:ascii="Arial" w:hAnsi="Arial" w:cs="Arial"/>
          <w:b/>
          <w:bCs/>
          <w:sz w:val="26"/>
          <w:szCs w:val="26"/>
        </w:rPr>
        <w:t>̀ e per il contrasto</w:t>
      </w:r>
      <w:r w:rsidR="007D3020">
        <w:rPr>
          <w:rFonts w:ascii="Arial" w:hAnsi="Arial" w:cs="Arial"/>
          <w:b/>
          <w:bCs/>
          <w:sz w:val="26"/>
          <w:szCs w:val="26"/>
        </w:rPr>
        <w:t xml:space="preserve"> </w:t>
      </w:r>
      <w:r w:rsidRPr="00561EFC">
        <w:rPr>
          <w:rFonts w:ascii="Arial" w:hAnsi="Arial" w:cs="Arial"/>
          <w:b/>
          <w:bCs/>
          <w:sz w:val="26"/>
          <w:szCs w:val="26"/>
        </w:rPr>
        <w:t xml:space="preserve">alla </w:t>
      </w:r>
      <w:r w:rsidR="006C2C64" w:rsidRPr="00561EFC">
        <w:rPr>
          <w:rFonts w:ascii="Arial" w:hAnsi="Arial" w:cs="Arial"/>
          <w:b/>
          <w:bCs/>
          <w:sz w:val="26"/>
          <w:szCs w:val="26"/>
        </w:rPr>
        <w:t>povertà</w:t>
      </w:r>
      <w:r w:rsidRPr="00561EFC">
        <w:rPr>
          <w:rFonts w:ascii="Arial" w:hAnsi="Arial" w:cs="Arial"/>
          <w:b/>
          <w:bCs/>
          <w:sz w:val="26"/>
          <w:szCs w:val="26"/>
        </w:rPr>
        <w:t xml:space="preserve">̀ educativa) </w:t>
      </w:r>
    </w:p>
    <w:p w:rsidR="006C718E" w:rsidRDefault="00C111F4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Il tema </w:t>
      </w:r>
      <w:r w:rsidR="00804F5D">
        <w:rPr>
          <w:rFonts w:ascii="Arial" w:eastAsia="Arial Unicode MS" w:hAnsi="Arial" w:cs="Arial"/>
          <w:bCs/>
          <w:kern w:val="1"/>
          <w:lang w:eastAsia="zh-CN" w:bidi="hi-IN"/>
        </w:rPr>
        <w:t xml:space="preserve">dei centri estivi e dei servizi socio-educativi è fondamentale per il piccoli comuni. </w:t>
      </w:r>
    </w:p>
    <w:p w:rsidR="006C718E" w:rsidRDefault="00804F5D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Un approfondimento di questo tema meriterebbe tutta l’attenzione del legislatore per riattivare i servizi nel piccoli comuni, in modo che i giovani possano continuare a vivere e possano tornare </w:t>
      </w:r>
      <w:r w:rsidR="006C718E">
        <w:rPr>
          <w:rFonts w:ascii="Arial" w:eastAsia="Arial Unicode MS" w:hAnsi="Arial" w:cs="Arial"/>
          <w:bCs/>
          <w:kern w:val="1"/>
          <w:lang w:eastAsia="zh-CN" w:bidi="hi-IN"/>
        </w:rPr>
        <w:t xml:space="preserve">a vivere 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nei territori in cui sono nati e sono vissuti i genitori. </w:t>
      </w:r>
    </w:p>
    <w:p w:rsidR="00C111F4" w:rsidRPr="00561EFC" w:rsidRDefault="00804F5D" w:rsidP="00646FC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In relazione anche al successivo art. 64, si deve aprire una seria valutazione su come riutilizzare abitazioni </w:t>
      </w:r>
      <w:r w:rsidR="006C718E">
        <w:rPr>
          <w:rFonts w:ascii="Arial" w:eastAsia="Arial Unicode MS" w:hAnsi="Arial" w:cs="Arial"/>
          <w:bCs/>
          <w:kern w:val="1"/>
          <w:lang w:eastAsia="zh-CN" w:bidi="hi-IN"/>
        </w:rPr>
        <w:t xml:space="preserve">e 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spazi comuni (ex scuole e immobili pubblici non più utilizzati) per favorire lo </w:t>
      </w:r>
      <w:proofErr w:type="spellStart"/>
      <w:r>
        <w:rPr>
          <w:rFonts w:ascii="Arial" w:eastAsia="Arial Unicode MS" w:hAnsi="Arial" w:cs="Arial"/>
          <w:bCs/>
          <w:kern w:val="1"/>
          <w:lang w:eastAsia="zh-CN" w:bidi="hi-IN"/>
        </w:rPr>
        <w:t>smart-working</w:t>
      </w:r>
      <w:proofErr w:type="spellEnd"/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e nuovi spazi di co-</w:t>
      </w:r>
      <w:proofErr w:type="spellStart"/>
      <w:r>
        <w:rPr>
          <w:rFonts w:ascii="Arial" w:eastAsia="Arial Unicode MS" w:hAnsi="Arial" w:cs="Arial"/>
          <w:bCs/>
          <w:kern w:val="1"/>
          <w:lang w:eastAsia="zh-CN" w:bidi="hi-IN"/>
        </w:rPr>
        <w:t>working</w:t>
      </w:r>
      <w:proofErr w:type="spellEnd"/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, per consentire ai giovani di </w:t>
      </w:r>
      <w:r w:rsidR="006C718E">
        <w:rPr>
          <w:rFonts w:ascii="Arial" w:eastAsia="Arial Unicode MS" w:hAnsi="Arial" w:cs="Arial"/>
          <w:bCs/>
          <w:kern w:val="1"/>
          <w:lang w:eastAsia="zh-CN" w:bidi="hi-IN"/>
        </w:rPr>
        <w:t>avere nuove opportunità e servizi anche nei piccoli comuni.</w:t>
      </w:r>
    </w:p>
    <w:p w:rsidR="00972E6C" w:rsidRDefault="00972E6C" w:rsidP="006C2C64">
      <w:pPr>
        <w:pStyle w:val="NormaleWeb"/>
        <w:spacing w:before="240" w:beforeAutospacing="0" w:after="12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561EFC">
        <w:rPr>
          <w:rFonts w:ascii="Arial" w:hAnsi="Arial" w:cs="Arial"/>
          <w:b/>
          <w:bCs/>
          <w:sz w:val="26"/>
          <w:szCs w:val="26"/>
        </w:rPr>
        <w:t xml:space="preserve">Articolo 64 (Misure in favore dell’acquisto della casa di abitazione) </w:t>
      </w:r>
    </w:p>
    <w:p w:rsidR="006C718E" w:rsidRDefault="00C111F4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Il tema </w:t>
      </w:r>
      <w:r w:rsidR="006C718E">
        <w:rPr>
          <w:rFonts w:ascii="Arial" w:eastAsia="Arial Unicode MS" w:hAnsi="Arial" w:cs="Arial"/>
          <w:bCs/>
          <w:kern w:val="1"/>
          <w:lang w:eastAsia="zh-CN" w:bidi="hi-IN"/>
        </w:rPr>
        <w:t xml:space="preserve"> della casa e della proprietà immobiliare è fondamentale per la ripresa economica e sociale del paese. Attualmente oltre il 70% del patrimonio immobiliare è nella disponibilità di persone con oltre 65 anni. La difficoltà di accesso al credito, unit</w:t>
      </w:r>
      <w:r w:rsidR="004E1B18">
        <w:rPr>
          <w:rFonts w:ascii="Arial" w:eastAsia="Arial Unicode MS" w:hAnsi="Arial" w:cs="Arial"/>
          <w:bCs/>
          <w:kern w:val="1"/>
          <w:lang w:eastAsia="zh-CN" w:bidi="hi-IN"/>
        </w:rPr>
        <w:t>a</w:t>
      </w:r>
      <w:r w:rsidR="006C718E">
        <w:rPr>
          <w:rFonts w:ascii="Arial" w:eastAsia="Arial Unicode MS" w:hAnsi="Arial" w:cs="Arial"/>
          <w:bCs/>
          <w:kern w:val="1"/>
          <w:lang w:eastAsia="zh-CN" w:bidi="hi-IN"/>
        </w:rPr>
        <w:t xml:space="preserve"> alla precarietà del lavoro dei giovani, impedisce il rinnovamento delle abitazioni e l’investimento sul patrimonio immobiliare. </w:t>
      </w:r>
    </w:p>
    <w:p w:rsidR="006C718E" w:rsidRDefault="006C718E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Ottima la disposizione del art. 64. </w:t>
      </w:r>
    </w:p>
    <w:p w:rsidR="00C111F4" w:rsidRPr="00561EFC" w:rsidRDefault="006C718E" w:rsidP="00646FC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>Sarebbe opportuno lasciare maggior libertà fiscale ai piccoli comuni per favorire il recupero demografico, finalizzato ad una rivitalizzazione reale e duratura della residenza, non della speculazione e dell’elusione fiscale.</w:t>
      </w:r>
    </w:p>
    <w:p w:rsidR="00972E6C" w:rsidRDefault="00972E6C" w:rsidP="004E1B18">
      <w:pPr>
        <w:pStyle w:val="NormaleWeb"/>
        <w:spacing w:before="240" w:beforeAutospacing="0" w:after="12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561EFC">
        <w:rPr>
          <w:rFonts w:ascii="Arial" w:hAnsi="Arial" w:cs="Arial"/>
          <w:b/>
          <w:bCs/>
          <w:sz w:val="26"/>
          <w:szCs w:val="26"/>
        </w:rPr>
        <w:t xml:space="preserve">Articolo 77, comma 4 (Incremento risorse del Fondo unico per l’edilizia scolastica) </w:t>
      </w:r>
    </w:p>
    <w:p w:rsidR="00875F50" w:rsidRDefault="00C111F4" w:rsidP="00646FCC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Il tema </w:t>
      </w:r>
      <w:r w:rsidR="006C718E">
        <w:rPr>
          <w:rFonts w:ascii="Arial" w:eastAsia="Arial Unicode MS" w:hAnsi="Arial" w:cs="Arial"/>
          <w:bCs/>
          <w:kern w:val="1"/>
          <w:lang w:eastAsia="zh-CN" w:bidi="hi-IN"/>
        </w:rPr>
        <w:t xml:space="preserve">dell’edilizia scolastica, riferita </w:t>
      </w:r>
      <w:r w:rsidR="004E1B18">
        <w:rPr>
          <w:rFonts w:ascii="Arial" w:eastAsia="Arial Unicode MS" w:hAnsi="Arial" w:cs="Arial"/>
          <w:bCs/>
          <w:kern w:val="1"/>
          <w:lang w:eastAsia="zh-CN" w:bidi="hi-IN"/>
        </w:rPr>
        <w:t xml:space="preserve">alla </w:t>
      </w:r>
      <w:r w:rsidR="006C718E">
        <w:rPr>
          <w:rFonts w:ascii="Arial" w:eastAsia="Arial Unicode MS" w:hAnsi="Arial" w:cs="Arial"/>
          <w:bCs/>
          <w:kern w:val="1"/>
          <w:lang w:eastAsia="zh-CN" w:bidi="hi-IN"/>
        </w:rPr>
        <w:t xml:space="preserve">possibilità di offrire ai giovani servizi anche nei piccoli comuni, meriterebbe maggiori risorse. </w:t>
      </w:r>
    </w:p>
    <w:p w:rsidR="00C111F4" w:rsidRPr="00561EFC" w:rsidRDefault="00875F50" w:rsidP="00646FC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Arial Unicode MS" w:hAnsi="Arial" w:cs="Arial"/>
          <w:bCs/>
          <w:kern w:val="1"/>
          <w:lang w:eastAsia="zh-CN" w:bidi="hi-IN"/>
        </w:rPr>
        <w:t>L’art. 77, comma 4, va comunque nella giusta direzione.</w:t>
      </w:r>
    </w:p>
    <w:p w:rsidR="00C55739" w:rsidRDefault="00C55739">
      <w:pPr>
        <w:jc w:val="both"/>
        <w:rPr>
          <w:rFonts w:ascii="Arial" w:hAnsi="Arial"/>
        </w:rPr>
      </w:pPr>
    </w:p>
    <w:p w:rsidR="008648CF" w:rsidRDefault="008648CF">
      <w:pPr>
        <w:jc w:val="both"/>
        <w:rPr>
          <w:rFonts w:ascii="Arial" w:hAnsi="Arial"/>
        </w:rPr>
      </w:pPr>
    </w:p>
    <w:p w:rsidR="008648CF" w:rsidRDefault="00225D9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Roma </w:t>
      </w:r>
      <w:r w:rsidR="00875F50">
        <w:rPr>
          <w:rFonts w:ascii="Arial" w:hAnsi="Arial"/>
        </w:rPr>
        <w:t>30 maggio 2021</w:t>
      </w:r>
    </w:p>
    <w:p w:rsidR="004A0F1A" w:rsidRDefault="004A0F1A">
      <w:pPr>
        <w:jc w:val="both"/>
        <w:rPr>
          <w:rFonts w:ascii="Arial" w:hAnsi="Arial"/>
        </w:rPr>
      </w:pPr>
    </w:p>
    <w:p w:rsidR="004A0F1A" w:rsidRDefault="004A0F1A">
      <w:pPr>
        <w:jc w:val="both"/>
        <w:rPr>
          <w:rFonts w:ascii="Arial" w:hAnsi="Arial"/>
        </w:rPr>
      </w:pPr>
      <w:r>
        <w:rPr>
          <w:rFonts w:ascii="Arial" w:hAnsi="Arial"/>
        </w:rPr>
        <w:t>La Presidente                                                                                               Il Consulente</w:t>
      </w:r>
    </w:p>
    <w:p w:rsidR="004A0F1A" w:rsidRDefault="004A0F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Franca Biglio                                                                                                Roberto Gregori </w:t>
      </w:r>
    </w:p>
    <w:p w:rsidR="00225D9F" w:rsidRDefault="00225D9F">
      <w:pPr>
        <w:jc w:val="both"/>
        <w:rPr>
          <w:rFonts w:ascii="Arial" w:hAnsi="Arial"/>
        </w:rPr>
      </w:pPr>
    </w:p>
    <w:sectPr w:rsidR="00225D9F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E2" w:rsidRDefault="000E1BE2" w:rsidP="006C4ED8">
      <w:pPr>
        <w:rPr>
          <w:rFonts w:hint="eastAsia"/>
        </w:rPr>
      </w:pPr>
      <w:r>
        <w:separator/>
      </w:r>
    </w:p>
  </w:endnote>
  <w:endnote w:type="continuationSeparator" w:id="0">
    <w:p w:rsidR="000E1BE2" w:rsidRDefault="000E1BE2" w:rsidP="006C4E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8F" w:rsidRPr="005A1265" w:rsidRDefault="004B7B8F" w:rsidP="006C4ED8">
    <w:pPr>
      <w:tabs>
        <w:tab w:val="center" w:pos="4819"/>
        <w:tab w:val="right" w:pos="9636"/>
      </w:tabs>
      <w:ind w:left="-500" w:right="-380"/>
      <w:jc w:val="center"/>
      <w:rPr>
        <w:rFonts w:ascii="Arial Narrow" w:hAnsi="Arial Narrow" w:cs="Arial"/>
        <w:sz w:val="16"/>
        <w:szCs w:val="16"/>
      </w:rPr>
    </w:pPr>
    <w:r w:rsidRPr="005A1265">
      <w:rPr>
        <w:rFonts w:ascii="Arial Narrow" w:hAnsi="Arial Narrow" w:cs="Arial"/>
        <w:b/>
        <w:sz w:val="16"/>
        <w:szCs w:val="16"/>
      </w:rPr>
      <w:t>ANPCI:</w:t>
    </w:r>
    <w:r w:rsidRPr="005A1265">
      <w:rPr>
        <w:rFonts w:ascii="Arial Narrow" w:hAnsi="Arial Narrow" w:cs="Arial"/>
        <w:sz w:val="16"/>
        <w:szCs w:val="16"/>
      </w:rPr>
      <w:t xml:space="preserve"> </w:t>
    </w:r>
    <w:r w:rsidRPr="005A1265">
      <w:rPr>
        <w:rFonts w:ascii="Arial" w:hAnsi="Arial" w:cs="Arial"/>
        <w:sz w:val="16"/>
        <w:szCs w:val="16"/>
      </w:rPr>
      <w:t xml:space="preserve">Via delle </w:t>
    </w:r>
    <w:proofErr w:type="spellStart"/>
    <w:r w:rsidRPr="005A1265">
      <w:rPr>
        <w:rFonts w:ascii="Arial" w:hAnsi="Arial" w:cs="Arial"/>
        <w:sz w:val="16"/>
        <w:szCs w:val="16"/>
      </w:rPr>
      <w:t>Muratte</w:t>
    </w:r>
    <w:proofErr w:type="spellEnd"/>
    <w:r w:rsidRPr="005A1265">
      <w:rPr>
        <w:rFonts w:ascii="Arial" w:hAnsi="Arial" w:cs="Arial"/>
        <w:sz w:val="16"/>
        <w:szCs w:val="16"/>
      </w:rPr>
      <w:t>, 9</w:t>
    </w:r>
    <w:r>
      <w:rPr>
        <w:rFonts w:ascii="Arial" w:hAnsi="Arial" w:cs="Arial"/>
        <w:sz w:val="16"/>
        <w:szCs w:val="16"/>
      </w:rPr>
      <w:t>-</w:t>
    </w:r>
    <w:r w:rsidRPr="005A1265">
      <w:rPr>
        <w:rFonts w:ascii="Arial" w:hAnsi="Arial" w:cs="Arial"/>
        <w:sz w:val="16"/>
        <w:szCs w:val="16"/>
      </w:rPr>
      <w:t>00187 ROMA</w:t>
    </w:r>
    <w:r w:rsidRPr="005A1265">
      <w:rPr>
        <w:rFonts w:ascii="Arial Narrow" w:hAnsi="Arial Narrow" w:cs="Arial"/>
        <w:sz w:val="16"/>
        <w:szCs w:val="16"/>
      </w:rPr>
      <w:t xml:space="preserve">  </w:t>
    </w:r>
    <w:proofErr w:type="spellStart"/>
    <w:r w:rsidRPr="005A1265">
      <w:rPr>
        <w:rFonts w:ascii="Arial" w:hAnsi="Arial" w:cs="Arial"/>
        <w:sz w:val="16"/>
        <w:szCs w:val="16"/>
      </w:rPr>
      <w:t>tel</w:t>
    </w:r>
    <w:proofErr w:type="spellEnd"/>
    <w:r w:rsidRPr="005A1265">
      <w:rPr>
        <w:rFonts w:ascii="Arial" w:hAnsi="Arial" w:cs="Arial"/>
        <w:sz w:val="16"/>
        <w:szCs w:val="16"/>
      </w:rPr>
      <w:t>/fax  06 6991756 Urgenze 329 6225731</w:t>
    </w:r>
    <w:r w:rsidRPr="005A1265">
      <w:rPr>
        <w:rFonts w:ascii="Arial Narrow" w:hAnsi="Arial Narrow" w:cs="Arial"/>
        <w:sz w:val="16"/>
        <w:szCs w:val="16"/>
      </w:rPr>
      <w:t xml:space="preserve"> </w:t>
    </w:r>
    <w:hyperlink r:id="rId1" w:history="1">
      <w:r w:rsidRPr="006C4ED8">
        <w:rPr>
          <w:rFonts w:ascii="Arial Narrow" w:hAnsi="Arial Narrow" w:cs="Arial"/>
          <w:color w:val="0000FF"/>
          <w:sz w:val="16"/>
          <w:szCs w:val="16"/>
          <w:u w:val="single"/>
        </w:rPr>
        <w:t>www.anpci.it  segreteria@anpci.eu</w:t>
      </w:r>
    </w:hyperlink>
    <w:r w:rsidRPr="005A1265">
      <w:rPr>
        <w:rFonts w:ascii="Arial Narrow" w:hAnsi="Arial Narrow" w:cs="Arial"/>
        <w:sz w:val="16"/>
        <w:szCs w:val="16"/>
      </w:rPr>
      <w:t xml:space="preserve">  </w:t>
    </w:r>
    <w:hyperlink r:id="rId2" w:history="1">
      <w:r w:rsidRPr="005A1265">
        <w:rPr>
          <w:rFonts w:ascii="Arial Narrow" w:hAnsi="Arial Narrow" w:cs="Arial"/>
          <w:color w:val="0000FF"/>
          <w:sz w:val="16"/>
          <w:szCs w:val="16"/>
          <w:u w:val="single"/>
        </w:rPr>
        <w:t>anpci@pec.it</w:t>
      </w:r>
    </w:hyperlink>
    <w:r w:rsidRPr="005A1265">
      <w:rPr>
        <w:rFonts w:ascii="Arial Narrow" w:hAnsi="Arial Narrow" w:cs="Arial"/>
        <w:sz w:val="16"/>
        <w:szCs w:val="16"/>
      </w:rPr>
      <w:t xml:space="preserve"> C.F. 05884711002</w:t>
    </w:r>
  </w:p>
  <w:p w:rsidR="004B7B8F" w:rsidRPr="005A1265" w:rsidRDefault="004B7B8F" w:rsidP="006C4ED8">
    <w:pPr>
      <w:tabs>
        <w:tab w:val="center" w:pos="4819"/>
        <w:tab w:val="right" w:pos="9636"/>
      </w:tabs>
      <w:ind w:left="-500" w:right="-380"/>
      <w:jc w:val="center"/>
      <w:rPr>
        <w:rFonts w:ascii="Arial" w:hAnsi="Arial" w:cs="Arial"/>
        <w:sz w:val="16"/>
        <w:szCs w:val="16"/>
      </w:rPr>
    </w:pPr>
    <w:r w:rsidRPr="005A1265">
      <w:rPr>
        <w:rFonts w:ascii="Arial" w:hAnsi="Arial" w:cs="Arial"/>
        <w:b/>
        <w:sz w:val="16"/>
        <w:szCs w:val="16"/>
      </w:rPr>
      <w:t>Presidenza</w:t>
    </w:r>
    <w:r>
      <w:rPr>
        <w:rFonts w:ascii="Arial" w:hAnsi="Arial" w:cs="Arial"/>
        <w:sz w:val="16"/>
        <w:szCs w:val="16"/>
      </w:rPr>
      <w:t xml:space="preserve">:  C/o </w:t>
    </w:r>
    <w:r w:rsidRPr="005A1265">
      <w:rPr>
        <w:rFonts w:ascii="Arial" w:hAnsi="Arial" w:cs="Arial"/>
        <w:sz w:val="16"/>
        <w:szCs w:val="16"/>
      </w:rPr>
      <w:t>Municipio di MARSAGLIA</w:t>
    </w:r>
    <w:r>
      <w:rPr>
        <w:rFonts w:ascii="Arial" w:hAnsi="Arial" w:cs="Arial"/>
        <w:sz w:val="16"/>
        <w:szCs w:val="16"/>
      </w:rPr>
      <w:t xml:space="preserve"> -</w:t>
    </w:r>
    <w:r w:rsidRPr="005A1265">
      <w:rPr>
        <w:rFonts w:ascii="Arial" w:hAnsi="Arial" w:cs="Arial"/>
        <w:sz w:val="16"/>
        <w:szCs w:val="16"/>
      </w:rPr>
      <w:t>12060</w:t>
    </w:r>
    <w:r>
      <w:rPr>
        <w:rFonts w:ascii="Arial" w:hAnsi="Arial" w:cs="Arial"/>
        <w:sz w:val="16"/>
        <w:szCs w:val="16"/>
      </w:rPr>
      <w:t xml:space="preserve"> </w:t>
    </w:r>
    <w:r w:rsidRPr="005A1265">
      <w:rPr>
        <w:rFonts w:ascii="Arial" w:hAnsi="Arial" w:cs="Arial"/>
        <w:sz w:val="16"/>
        <w:szCs w:val="16"/>
      </w:rPr>
      <w:t xml:space="preserve"> (CN</w:t>
    </w:r>
    <w:r>
      <w:rPr>
        <w:rFonts w:ascii="Arial" w:hAnsi="Arial" w:cs="Arial"/>
        <w:sz w:val="16"/>
        <w:szCs w:val="16"/>
      </w:rPr>
      <w:t xml:space="preserve">)  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 xml:space="preserve">  0174-787112   fax 0174-</w:t>
    </w:r>
    <w:r w:rsidRPr="005A1265">
      <w:rPr>
        <w:rFonts w:ascii="Arial" w:hAnsi="Arial" w:cs="Arial"/>
        <w:sz w:val="16"/>
        <w:szCs w:val="16"/>
      </w:rPr>
      <w:t xml:space="preserve">787900   </w:t>
    </w:r>
    <w:proofErr w:type="spellStart"/>
    <w:r w:rsidRPr="005A1265">
      <w:rPr>
        <w:rFonts w:ascii="Arial" w:hAnsi="Arial" w:cs="Arial"/>
        <w:sz w:val="16"/>
        <w:szCs w:val="16"/>
      </w:rPr>
      <w:t>cell</w:t>
    </w:r>
    <w:proofErr w:type="spellEnd"/>
    <w:r w:rsidRPr="005A1265">
      <w:rPr>
        <w:rFonts w:ascii="Arial" w:hAnsi="Arial" w:cs="Arial"/>
        <w:sz w:val="16"/>
        <w:szCs w:val="16"/>
      </w:rPr>
      <w:t xml:space="preserve"> 348 3140670   </w:t>
    </w:r>
    <w:r w:rsidRPr="005A1265">
      <w:rPr>
        <w:rFonts w:ascii="Arial" w:hAnsi="Arial" w:cs="Arial"/>
        <w:color w:val="0000FF"/>
        <w:sz w:val="16"/>
        <w:szCs w:val="16"/>
        <w:u w:val="single"/>
      </w:rPr>
      <w:t>franca.biglio@anpci.eu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E2" w:rsidRDefault="000E1BE2" w:rsidP="006C4ED8">
      <w:pPr>
        <w:rPr>
          <w:rFonts w:hint="eastAsia"/>
        </w:rPr>
      </w:pPr>
      <w:r>
        <w:separator/>
      </w:r>
    </w:p>
  </w:footnote>
  <w:footnote w:type="continuationSeparator" w:id="0">
    <w:p w:rsidR="000E1BE2" w:rsidRDefault="000E1BE2" w:rsidP="006C4E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C"/>
    <w:rsid w:val="0006453D"/>
    <w:rsid w:val="000D3717"/>
    <w:rsid w:val="000D6B89"/>
    <w:rsid w:val="000E1BE2"/>
    <w:rsid w:val="00202B52"/>
    <w:rsid w:val="00225D9F"/>
    <w:rsid w:val="0023754E"/>
    <w:rsid w:val="003D5FB8"/>
    <w:rsid w:val="0044278B"/>
    <w:rsid w:val="004A0F1A"/>
    <w:rsid w:val="004B7B8F"/>
    <w:rsid w:val="004C27C2"/>
    <w:rsid w:val="004E1B18"/>
    <w:rsid w:val="00516C5A"/>
    <w:rsid w:val="00561EFC"/>
    <w:rsid w:val="005C6BEA"/>
    <w:rsid w:val="00646FCC"/>
    <w:rsid w:val="006625E8"/>
    <w:rsid w:val="00667F10"/>
    <w:rsid w:val="006C2C64"/>
    <w:rsid w:val="006C4ED8"/>
    <w:rsid w:val="006C718E"/>
    <w:rsid w:val="00773514"/>
    <w:rsid w:val="007D3020"/>
    <w:rsid w:val="007D509F"/>
    <w:rsid w:val="00804F5D"/>
    <w:rsid w:val="008648CF"/>
    <w:rsid w:val="00875F50"/>
    <w:rsid w:val="008D6D3E"/>
    <w:rsid w:val="008E4DEC"/>
    <w:rsid w:val="00942D6C"/>
    <w:rsid w:val="00972E6C"/>
    <w:rsid w:val="00B46573"/>
    <w:rsid w:val="00BE2DBF"/>
    <w:rsid w:val="00C111F4"/>
    <w:rsid w:val="00C153A3"/>
    <w:rsid w:val="00C25F77"/>
    <w:rsid w:val="00C55739"/>
    <w:rsid w:val="00CE4BED"/>
    <w:rsid w:val="00DD7A48"/>
    <w:rsid w:val="00DE0139"/>
    <w:rsid w:val="00E80464"/>
    <w:rsid w:val="00E905FB"/>
    <w:rsid w:val="00ED6871"/>
    <w:rsid w:val="00F67FC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49ECF5-188D-4FFE-A68D-25406D29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6C4ED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C4ED8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C4ED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C4ED8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unhideWhenUsed/>
    <w:rsid w:val="00972E6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02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020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pci@pec.it" TargetMode="External"/><Relationship Id="rId1" Type="http://schemas.openxmlformats.org/officeDocument/2006/relationships/hyperlink" Target="http://www.anpci.it%20%20segreteria@anpc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BA14F6-A3A2-48D8-B4E5-72ED60E7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paese vuol dire non essere soli, sapere che nella gente, nelle piante, nella terra c’è qualcosa di tuo e che anche quando non ci sei</vt:lpstr>
    </vt:vector>
  </TitlesOfParts>
  <Company>Comune di Marsaglia</Company>
  <LinksUpToDate>false</LinksUpToDate>
  <CharactersWithSpaces>8981</CharactersWithSpaces>
  <SharedDoc>false</SharedDoc>
  <HLinks>
    <vt:vector size="12" baseType="variant">
      <vt:variant>
        <vt:i4>6291532</vt:i4>
      </vt:variant>
      <vt:variant>
        <vt:i4>3</vt:i4>
      </vt:variant>
      <vt:variant>
        <vt:i4>0</vt:i4>
      </vt:variant>
      <vt:variant>
        <vt:i4>5</vt:i4>
      </vt:variant>
      <vt:variant>
        <vt:lpwstr>mailto:anpci@pec.it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http://www.anpci.it  segreteria@anpci.eu/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paese vuol dire non essere soli, sapere che nella gente, nelle piante, nella terra c’è qualcosa di tuo e che anche quando non ci sei</dc:title>
  <dc:creator>Microsoft Office User</dc:creator>
  <cp:lastModifiedBy>Cdd</cp:lastModifiedBy>
  <cp:revision>2</cp:revision>
  <cp:lastPrinted>2021-05-30T15:33:00Z</cp:lastPrinted>
  <dcterms:created xsi:type="dcterms:W3CDTF">2021-05-31T07:29:00Z</dcterms:created>
  <dcterms:modified xsi:type="dcterms:W3CDTF">2021-05-31T07:29:00Z</dcterms:modified>
</cp:coreProperties>
</file>