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18D9E" w14:textId="47CDA32E" w:rsidR="00B13B4A" w:rsidRDefault="00B13B4A" w:rsidP="00CC078B">
      <w:pPr>
        <w:pStyle w:val="Standard"/>
        <w:jc w:val="center"/>
        <w:rPr>
          <w:b/>
          <w:bCs/>
        </w:rPr>
      </w:pPr>
      <w:bookmarkStart w:id="0" w:name="_Hlk75274806"/>
      <w:bookmarkStart w:id="1" w:name="_GoBack"/>
      <w:bookmarkEnd w:id="1"/>
      <w:r>
        <w:rPr>
          <w:b/>
          <w:bCs/>
          <w:noProof/>
          <w:lang w:eastAsia="it-IT"/>
        </w:rPr>
        <w:drawing>
          <wp:inline distT="0" distB="0" distL="0" distR="0" wp14:anchorId="5964690C" wp14:editId="3CA89A54">
            <wp:extent cx="1038225" cy="856459"/>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253" cy="865556"/>
                    </a:xfrm>
                    <a:prstGeom prst="rect">
                      <a:avLst/>
                    </a:prstGeom>
                  </pic:spPr>
                </pic:pic>
              </a:graphicData>
            </a:graphic>
          </wp:inline>
        </w:drawing>
      </w:r>
    </w:p>
    <w:p w14:paraId="633B21F2" w14:textId="0BDDC499" w:rsidR="00663268" w:rsidRDefault="00663268" w:rsidP="00CC078B">
      <w:pPr>
        <w:pStyle w:val="Standard"/>
        <w:jc w:val="center"/>
        <w:rPr>
          <w:b/>
          <w:bCs/>
          <w:sz w:val="28"/>
          <w:szCs w:val="28"/>
        </w:rPr>
      </w:pPr>
    </w:p>
    <w:p w14:paraId="1DB1BAD7" w14:textId="77777777" w:rsidR="009C0EC3" w:rsidRDefault="009C0EC3" w:rsidP="00CC078B">
      <w:pPr>
        <w:pStyle w:val="Standard"/>
        <w:jc w:val="center"/>
        <w:rPr>
          <w:b/>
          <w:bCs/>
          <w:sz w:val="28"/>
          <w:szCs w:val="28"/>
        </w:rPr>
      </w:pPr>
    </w:p>
    <w:p w14:paraId="71A3D544" w14:textId="77777777" w:rsidR="009C0EC3" w:rsidRDefault="009C0EC3" w:rsidP="00CC078B">
      <w:pPr>
        <w:pStyle w:val="Standard"/>
        <w:jc w:val="center"/>
        <w:rPr>
          <w:b/>
          <w:bCs/>
          <w:sz w:val="28"/>
          <w:szCs w:val="28"/>
        </w:rPr>
      </w:pPr>
    </w:p>
    <w:p w14:paraId="55CBE40B" w14:textId="465979D6" w:rsidR="00663268" w:rsidRDefault="00663268" w:rsidP="00CC078B">
      <w:pPr>
        <w:pStyle w:val="Standard"/>
        <w:jc w:val="center"/>
        <w:rPr>
          <w:b/>
          <w:bCs/>
          <w:sz w:val="28"/>
          <w:szCs w:val="28"/>
        </w:rPr>
      </w:pPr>
      <w:r>
        <w:rPr>
          <w:b/>
          <w:bCs/>
          <w:sz w:val="28"/>
          <w:szCs w:val="28"/>
        </w:rPr>
        <w:t>A.C. 3146</w:t>
      </w:r>
    </w:p>
    <w:p w14:paraId="4D56C1AA" w14:textId="35E8D7C2" w:rsidR="00663268" w:rsidRDefault="00663268" w:rsidP="00CC078B">
      <w:pPr>
        <w:pStyle w:val="Standard"/>
        <w:jc w:val="center"/>
        <w:rPr>
          <w:b/>
          <w:bCs/>
          <w:sz w:val="28"/>
          <w:szCs w:val="28"/>
        </w:rPr>
      </w:pPr>
      <w:r w:rsidRPr="00663268">
        <w:rPr>
          <w:b/>
          <w:bCs/>
          <w:sz w:val="28"/>
          <w:szCs w:val="28"/>
        </w:rPr>
        <w:t>Co</w:t>
      </w:r>
      <w:r>
        <w:rPr>
          <w:b/>
          <w:bCs/>
          <w:sz w:val="28"/>
          <w:szCs w:val="28"/>
        </w:rPr>
        <w:t>nversione in legge del decreto-legge 31 maggio 2021, n</w:t>
      </w:r>
      <w:r w:rsidR="00F12695">
        <w:rPr>
          <w:b/>
          <w:bCs/>
          <w:sz w:val="28"/>
          <w:szCs w:val="28"/>
        </w:rPr>
        <w:t xml:space="preserve">. </w:t>
      </w:r>
      <w:r>
        <w:rPr>
          <w:b/>
          <w:bCs/>
          <w:sz w:val="28"/>
          <w:szCs w:val="28"/>
        </w:rPr>
        <w:t>77, recante governance del Piano nazionale di ripresa e di resilienza e prime misure di rafforzamento delle strutture amministrative e di accelerazione e snellimento delle procedure.</w:t>
      </w:r>
    </w:p>
    <w:p w14:paraId="6F861206" w14:textId="4C4EF6BC" w:rsidR="00663268" w:rsidRDefault="00663268" w:rsidP="00CC078B">
      <w:pPr>
        <w:pStyle w:val="Standard"/>
        <w:jc w:val="center"/>
        <w:rPr>
          <w:b/>
          <w:bCs/>
          <w:sz w:val="28"/>
          <w:szCs w:val="28"/>
        </w:rPr>
      </w:pPr>
    </w:p>
    <w:p w14:paraId="0C5C7945" w14:textId="52A4FFEA" w:rsidR="00663268" w:rsidRDefault="00663268" w:rsidP="00CC078B">
      <w:pPr>
        <w:pStyle w:val="Standard"/>
        <w:jc w:val="center"/>
        <w:rPr>
          <w:b/>
          <w:bCs/>
          <w:sz w:val="28"/>
          <w:szCs w:val="28"/>
        </w:rPr>
      </w:pPr>
    </w:p>
    <w:p w14:paraId="1EFAA886" w14:textId="63B8AE60" w:rsidR="00663268" w:rsidRDefault="00663268" w:rsidP="00CC078B">
      <w:pPr>
        <w:pStyle w:val="Standard"/>
        <w:jc w:val="center"/>
        <w:rPr>
          <w:b/>
          <w:bCs/>
          <w:sz w:val="28"/>
          <w:szCs w:val="28"/>
        </w:rPr>
      </w:pPr>
      <w:r>
        <w:rPr>
          <w:b/>
          <w:bCs/>
          <w:sz w:val="28"/>
          <w:szCs w:val="28"/>
        </w:rPr>
        <w:t>Proposte emendative UPI</w:t>
      </w:r>
    </w:p>
    <w:p w14:paraId="7730C47C" w14:textId="77777777" w:rsidR="00663268" w:rsidRDefault="00663268" w:rsidP="00CC078B">
      <w:pPr>
        <w:pStyle w:val="Standard"/>
        <w:jc w:val="center"/>
        <w:rPr>
          <w:b/>
          <w:bCs/>
          <w:sz w:val="28"/>
          <w:szCs w:val="28"/>
        </w:rPr>
      </w:pPr>
    </w:p>
    <w:p w14:paraId="7810098B" w14:textId="77777777" w:rsidR="00663268" w:rsidRDefault="00663268" w:rsidP="00CC078B">
      <w:pPr>
        <w:pStyle w:val="Standard"/>
        <w:jc w:val="center"/>
        <w:rPr>
          <w:b/>
          <w:bCs/>
          <w:sz w:val="28"/>
          <w:szCs w:val="28"/>
        </w:rPr>
      </w:pPr>
    </w:p>
    <w:p w14:paraId="4BCCF4E1" w14:textId="77777777" w:rsidR="00663268" w:rsidRDefault="00663268" w:rsidP="00CC078B">
      <w:pPr>
        <w:pStyle w:val="Standard"/>
        <w:jc w:val="center"/>
        <w:rPr>
          <w:b/>
          <w:bCs/>
          <w:sz w:val="28"/>
          <w:szCs w:val="28"/>
        </w:rPr>
      </w:pPr>
    </w:p>
    <w:p w14:paraId="4380ED80" w14:textId="3F06879F" w:rsidR="00663268" w:rsidRDefault="00663268" w:rsidP="00CC078B">
      <w:pPr>
        <w:pStyle w:val="Standard"/>
        <w:jc w:val="center"/>
        <w:rPr>
          <w:b/>
          <w:bCs/>
          <w:sz w:val="28"/>
          <w:szCs w:val="28"/>
        </w:rPr>
      </w:pPr>
    </w:p>
    <w:p w14:paraId="788DA411" w14:textId="6CDC210D" w:rsidR="00663268" w:rsidRDefault="00663268" w:rsidP="00CC078B">
      <w:pPr>
        <w:pStyle w:val="Standard"/>
        <w:jc w:val="center"/>
        <w:rPr>
          <w:b/>
          <w:bCs/>
          <w:sz w:val="28"/>
          <w:szCs w:val="28"/>
        </w:rPr>
      </w:pPr>
    </w:p>
    <w:p w14:paraId="53ECD9BF" w14:textId="406A4F20" w:rsidR="00663268" w:rsidRDefault="00663268" w:rsidP="00CC078B">
      <w:pPr>
        <w:pStyle w:val="Standard"/>
        <w:jc w:val="center"/>
        <w:rPr>
          <w:b/>
          <w:bCs/>
          <w:sz w:val="28"/>
          <w:szCs w:val="28"/>
        </w:rPr>
      </w:pPr>
    </w:p>
    <w:p w14:paraId="496A5731" w14:textId="0F9FC11B" w:rsidR="00663268" w:rsidRDefault="00663268" w:rsidP="00CC078B">
      <w:pPr>
        <w:pStyle w:val="Standard"/>
        <w:jc w:val="center"/>
        <w:rPr>
          <w:b/>
          <w:bCs/>
          <w:sz w:val="28"/>
          <w:szCs w:val="28"/>
        </w:rPr>
      </w:pPr>
    </w:p>
    <w:p w14:paraId="7EBFD52A" w14:textId="20619A7B" w:rsidR="00663268" w:rsidRDefault="00663268" w:rsidP="00CC078B">
      <w:pPr>
        <w:pStyle w:val="Standard"/>
        <w:jc w:val="center"/>
        <w:rPr>
          <w:b/>
          <w:bCs/>
          <w:sz w:val="28"/>
          <w:szCs w:val="28"/>
        </w:rPr>
      </w:pPr>
    </w:p>
    <w:p w14:paraId="5B701BA7" w14:textId="76E1ADA1" w:rsidR="00663268" w:rsidRDefault="00663268" w:rsidP="00CC078B">
      <w:pPr>
        <w:pStyle w:val="Standard"/>
        <w:jc w:val="center"/>
        <w:rPr>
          <w:b/>
          <w:bCs/>
          <w:sz w:val="28"/>
          <w:szCs w:val="28"/>
        </w:rPr>
      </w:pPr>
    </w:p>
    <w:p w14:paraId="4ACF0322" w14:textId="02B7FCC2" w:rsidR="00663268" w:rsidRDefault="00663268" w:rsidP="00CC078B">
      <w:pPr>
        <w:pStyle w:val="Standard"/>
        <w:jc w:val="center"/>
        <w:rPr>
          <w:b/>
          <w:bCs/>
          <w:sz w:val="28"/>
          <w:szCs w:val="28"/>
        </w:rPr>
      </w:pPr>
    </w:p>
    <w:p w14:paraId="676843F0" w14:textId="26034780" w:rsidR="00663268" w:rsidRDefault="00663268" w:rsidP="00CC078B">
      <w:pPr>
        <w:pStyle w:val="Standard"/>
        <w:jc w:val="center"/>
        <w:rPr>
          <w:b/>
          <w:bCs/>
          <w:sz w:val="28"/>
          <w:szCs w:val="28"/>
        </w:rPr>
      </w:pPr>
    </w:p>
    <w:p w14:paraId="66DAC6E6" w14:textId="720D57BE" w:rsidR="00663268" w:rsidRDefault="00663268" w:rsidP="00CC078B">
      <w:pPr>
        <w:pStyle w:val="Standard"/>
        <w:jc w:val="center"/>
        <w:rPr>
          <w:b/>
          <w:bCs/>
          <w:sz w:val="28"/>
          <w:szCs w:val="28"/>
        </w:rPr>
      </w:pPr>
    </w:p>
    <w:p w14:paraId="56F8D20B" w14:textId="229EE676" w:rsidR="00663268" w:rsidRDefault="00663268" w:rsidP="00CC078B">
      <w:pPr>
        <w:pStyle w:val="Standard"/>
        <w:jc w:val="center"/>
        <w:rPr>
          <w:b/>
          <w:bCs/>
          <w:sz w:val="28"/>
          <w:szCs w:val="28"/>
        </w:rPr>
      </w:pPr>
    </w:p>
    <w:p w14:paraId="44FC027A" w14:textId="12F7D259" w:rsidR="00663268" w:rsidRDefault="00663268" w:rsidP="00CC078B">
      <w:pPr>
        <w:pStyle w:val="Standard"/>
        <w:jc w:val="center"/>
        <w:rPr>
          <w:b/>
          <w:bCs/>
          <w:sz w:val="28"/>
          <w:szCs w:val="28"/>
        </w:rPr>
      </w:pPr>
    </w:p>
    <w:p w14:paraId="484D5382" w14:textId="52F66C98" w:rsidR="00663268" w:rsidRPr="009C0EC3" w:rsidRDefault="00663268" w:rsidP="00CC078B">
      <w:pPr>
        <w:pStyle w:val="Standard"/>
        <w:jc w:val="center"/>
        <w:rPr>
          <w:b/>
          <w:bCs/>
          <w:i/>
          <w:iCs/>
          <w:sz w:val="28"/>
          <w:szCs w:val="28"/>
        </w:rPr>
      </w:pPr>
      <w:r w:rsidRPr="009C0EC3">
        <w:rPr>
          <w:b/>
          <w:bCs/>
          <w:i/>
          <w:iCs/>
          <w:sz w:val="28"/>
          <w:szCs w:val="28"/>
        </w:rPr>
        <w:t xml:space="preserve">Roma, </w:t>
      </w:r>
      <w:r w:rsidR="002F2857">
        <w:rPr>
          <w:b/>
          <w:bCs/>
          <w:i/>
          <w:iCs/>
          <w:sz w:val="28"/>
          <w:szCs w:val="28"/>
        </w:rPr>
        <w:t>2</w:t>
      </w:r>
      <w:r w:rsidR="00F04A97">
        <w:rPr>
          <w:b/>
          <w:bCs/>
          <w:i/>
          <w:iCs/>
          <w:sz w:val="28"/>
          <w:szCs w:val="28"/>
        </w:rPr>
        <w:t>3</w:t>
      </w:r>
      <w:r w:rsidR="002F2857">
        <w:rPr>
          <w:b/>
          <w:bCs/>
          <w:i/>
          <w:iCs/>
          <w:sz w:val="28"/>
          <w:szCs w:val="28"/>
        </w:rPr>
        <w:t xml:space="preserve"> </w:t>
      </w:r>
      <w:r w:rsidRPr="009C0EC3">
        <w:rPr>
          <w:b/>
          <w:bCs/>
          <w:i/>
          <w:iCs/>
          <w:sz w:val="28"/>
          <w:szCs w:val="28"/>
        </w:rPr>
        <w:t>giugno 2021</w:t>
      </w:r>
    </w:p>
    <w:p w14:paraId="17C4645F" w14:textId="737C9DBC" w:rsidR="00663268" w:rsidRPr="00D547A5" w:rsidRDefault="00663268" w:rsidP="00D748E0">
      <w:pPr>
        <w:pStyle w:val="Standard"/>
        <w:jc w:val="right"/>
        <w:rPr>
          <w:rFonts w:asciiTheme="minorHAnsi" w:hAnsiTheme="minorHAnsi" w:cstheme="minorHAnsi"/>
          <w:i/>
          <w:iCs/>
          <w:sz w:val="24"/>
          <w:szCs w:val="24"/>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00D748E0" w:rsidRPr="00D547A5">
        <w:rPr>
          <w:rFonts w:asciiTheme="minorHAnsi" w:hAnsiTheme="minorHAnsi" w:cstheme="minorHAnsi"/>
          <w:i/>
          <w:iCs/>
          <w:sz w:val="24"/>
          <w:szCs w:val="24"/>
        </w:rPr>
        <w:t>TITOLO I PARTE I - GOVERNANCE – CABINA DI REGIA</w:t>
      </w:r>
    </w:p>
    <w:p w14:paraId="5B06F7B1" w14:textId="35592E53" w:rsidR="00663268" w:rsidRPr="00D547A5" w:rsidRDefault="00663268" w:rsidP="00B633A3">
      <w:pPr>
        <w:pStyle w:val="Standard"/>
        <w:jc w:val="both"/>
        <w:rPr>
          <w:rFonts w:asciiTheme="minorHAnsi" w:hAnsiTheme="minorHAnsi" w:cstheme="minorHAnsi"/>
          <w:i/>
          <w:iCs/>
          <w:sz w:val="24"/>
          <w:szCs w:val="24"/>
        </w:rPr>
      </w:pPr>
    </w:p>
    <w:p w14:paraId="3952E4A5" w14:textId="4AD243A3" w:rsidR="00663268" w:rsidRPr="00D547A5" w:rsidRDefault="00663268" w:rsidP="00F80BD3">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Art. 2</w:t>
      </w:r>
    </w:p>
    <w:p w14:paraId="7F798FE4" w14:textId="7BAEFA97" w:rsidR="00663268" w:rsidRPr="00D547A5" w:rsidRDefault="00663268" w:rsidP="00F80BD3">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(Cabina di regia)</w:t>
      </w:r>
    </w:p>
    <w:p w14:paraId="02D060B4" w14:textId="77777777" w:rsidR="00F80BD3" w:rsidRPr="00D547A5" w:rsidRDefault="00F80BD3" w:rsidP="00F80BD3">
      <w:pPr>
        <w:pStyle w:val="Standard"/>
        <w:spacing w:after="0" w:line="240" w:lineRule="auto"/>
        <w:jc w:val="center"/>
        <w:rPr>
          <w:rFonts w:asciiTheme="minorHAnsi" w:hAnsiTheme="minorHAnsi" w:cstheme="minorHAnsi"/>
          <w:sz w:val="24"/>
          <w:szCs w:val="24"/>
        </w:rPr>
      </w:pPr>
    </w:p>
    <w:p w14:paraId="1BF2DD1D" w14:textId="194CF6B9" w:rsidR="00663268" w:rsidRPr="00D547A5" w:rsidRDefault="00663268" w:rsidP="00663268">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 xml:space="preserve">All’art. 2, comma </w:t>
      </w:r>
      <w:r w:rsidR="0045373A" w:rsidRPr="00D547A5">
        <w:rPr>
          <w:rFonts w:asciiTheme="minorHAnsi" w:hAnsiTheme="minorHAnsi" w:cstheme="minorHAnsi"/>
          <w:color w:val="000000"/>
          <w:sz w:val="24"/>
          <w:szCs w:val="24"/>
        </w:rPr>
        <w:t>3</w:t>
      </w:r>
      <w:r w:rsidRPr="00D547A5">
        <w:rPr>
          <w:rFonts w:asciiTheme="minorHAnsi" w:hAnsiTheme="minorHAnsi" w:cstheme="minorHAnsi"/>
          <w:color w:val="000000"/>
          <w:sz w:val="24"/>
          <w:szCs w:val="24"/>
        </w:rPr>
        <w:t xml:space="preserve">, primo </w:t>
      </w:r>
      <w:r w:rsidR="0045373A" w:rsidRPr="00D547A5">
        <w:rPr>
          <w:rFonts w:asciiTheme="minorHAnsi" w:hAnsiTheme="minorHAnsi" w:cstheme="minorHAnsi"/>
          <w:color w:val="000000"/>
          <w:sz w:val="24"/>
          <w:szCs w:val="24"/>
        </w:rPr>
        <w:t xml:space="preserve">periodo </w:t>
      </w:r>
      <w:r w:rsidRPr="00D547A5">
        <w:rPr>
          <w:rFonts w:asciiTheme="minorHAnsi" w:hAnsiTheme="minorHAnsi" w:cstheme="minorHAnsi"/>
          <w:color w:val="000000"/>
          <w:sz w:val="24"/>
          <w:szCs w:val="24"/>
        </w:rPr>
        <w:t>dopo le parole “</w:t>
      </w:r>
      <w:r w:rsidR="00885993">
        <w:rPr>
          <w:rFonts w:asciiTheme="minorHAnsi" w:hAnsiTheme="minorHAnsi" w:cstheme="minorHAnsi"/>
          <w:color w:val="000000"/>
          <w:sz w:val="24"/>
          <w:szCs w:val="24"/>
        </w:rPr>
        <w:t xml:space="preserve">il Presidente della Conferenza delle regioni e delle </w:t>
      </w:r>
      <w:r w:rsidR="0045373A" w:rsidRPr="00D547A5">
        <w:rPr>
          <w:rFonts w:asciiTheme="minorHAnsi" w:hAnsiTheme="minorHAnsi" w:cstheme="minorHAnsi"/>
          <w:color w:val="000000"/>
          <w:sz w:val="24"/>
          <w:szCs w:val="24"/>
        </w:rPr>
        <w:t>province autonome</w:t>
      </w:r>
      <w:r w:rsidRPr="00D547A5">
        <w:rPr>
          <w:rFonts w:asciiTheme="minorHAnsi" w:hAnsiTheme="minorHAnsi" w:cstheme="minorHAnsi"/>
          <w:color w:val="000000"/>
          <w:sz w:val="24"/>
          <w:szCs w:val="24"/>
        </w:rPr>
        <w:t xml:space="preserve">” aggiungere </w:t>
      </w:r>
      <w:r w:rsidR="0045373A" w:rsidRPr="00D547A5">
        <w:rPr>
          <w:rFonts w:asciiTheme="minorHAnsi" w:hAnsiTheme="minorHAnsi" w:cstheme="minorHAnsi"/>
          <w:color w:val="000000"/>
          <w:sz w:val="24"/>
          <w:szCs w:val="24"/>
        </w:rPr>
        <w:t xml:space="preserve">le parole </w:t>
      </w:r>
      <w:r w:rsidRPr="00D547A5">
        <w:rPr>
          <w:rFonts w:asciiTheme="minorHAnsi" w:hAnsiTheme="minorHAnsi" w:cstheme="minorHAnsi"/>
          <w:color w:val="000000"/>
          <w:sz w:val="24"/>
          <w:szCs w:val="24"/>
        </w:rPr>
        <w:t>“</w:t>
      </w:r>
      <w:r w:rsidR="00576282" w:rsidRPr="00D547A5">
        <w:rPr>
          <w:rFonts w:asciiTheme="minorHAnsi" w:hAnsiTheme="minorHAnsi" w:cstheme="minorHAnsi"/>
          <w:color w:val="000000"/>
          <w:sz w:val="24"/>
          <w:szCs w:val="24"/>
        </w:rPr>
        <w:t xml:space="preserve">, ovvero </w:t>
      </w:r>
      <w:r w:rsidRPr="00D547A5">
        <w:rPr>
          <w:rFonts w:asciiTheme="minorHAnsi" w:hAnsiTheme="minorHAnsi" w:cstheme="minorHAnsi"/>
          <w:color w:val="000000"/>
          <w:sz w:val="24"/>
          <w:szCs w:val="24"/>
        </w:rPr>
        <w:t xml:space="preserve">il Presidente </w:t>
      </w:r>
      <w:r w:rsidR="00576282" w:rsidRPr="00D547A5">
        <w:rPr>
          <w:rFonts w:asciiTheme="minorHAnsi" w:hAnsiTheme="minorHAnsi" w:cstheme="minorHAnsi"/>
          <w:color w:val="000000"/>
          <w:sz w:val="24"/>
          <w:szCs w:val="24"/>
        </w:rPr>
        <w:t>dell’</w:t>
      </w:r>
      <w:r w:rsidRPr="00D547A5">
        <w:rPr>
          <w:rFonts w:asciiTheme="minorHAnsi" w:hAnsiTheme="minorHAnsi" w:cstheme="minorHAnsi"/>
          <w:color w:val="000000"/>
          <w:sz w:val="24"/>
          <w:szCs w:val="24"/>
        </w:rPr>
        <w:t>Anci</w:t>
      </w:r>
      <w:r w:rsidR="0045373A" w:rsidRPr="00D547A5">
        <w:rPr>
          <w:rFonts w:asciiTheme="minorHAnsi" w:hAnsiTheme="minorHAnsi" w:cstheme="minorHAnsi"/>
          <w:color w:val="000000"/>
          <w:sz w:val="24"/>
          <w:szCs w:val="24"/>
        </w:rPr>
        <w:t xml:space="preserve"> e </w:t>
      </w:r>
      <w:r w:rsidRPr="00D547A5">
        <w:rPr>
          <w:rFonts w:asciiTheme="minorHAnsi" w:hAnsiTheme="minorHAnsi" w:cstheme="minorHAnsi"/>
          <w:color w:val="000000"/>
          <w:sz w:val="24"/>
          <w:szCs w:val="24"/>
        </w:rPr>
        <w:t>il Presidente d</w:t>
      </w:r>
      <w:r w:rsidR="00576282" w:rsidRPr="00D547A5">
        <w:rPr>
          <w:rFonts w:asciiTheme="minorHAnsi" w:hAnsiTheme="minorHAnsi" w:cstheme="minorHAnsi"/>
          <w:color w:val="000000"/>
          <w:sz w:val="24"/>
          <w:szCs w:val="24"/>
        </w:rPr>
        <w:t>ell’</w:t>
      </w:r>
      <w:r w:rsidRPr="00D547A5">
        <w:rPr>
          <w:rFonts w:asciiTheme="minorHAnsi" w:hAnsiTheme="minorHAnsi" w:cstheme="minorHAnsi"/>
          <w:color w:val="000000"/>
          <w:sz w:val="24"/>
          <w:szCs w:val="24"/>
        </w:rPr>
        <w:t>UPI</w:t>
      </w:r>
      <w:r w:rsidR="00576282" w:rsidRPr="00D547A5">
        <w:rPr>
          <w:rFonts w:asciiTheme="minorHAnsi" w:hAnsiTheme="minorHAnsi" w:cstheme="minorHAnsi"/>
          <w:color w:val="000000"/>
          <w:sz w:val="24"/>
          <w:szCs w:val="24"/>
        </w:rPr>
        <w:t xml:space="preserve"> quando sono esaminate questioni di interesse locale</w:t>
      </w:r>
      <w:r w:rsidRPr="00D547A5">
        <w:rPr>
          <w:rFonts w:asciiTheme="minorHAnsi" w:hAnsiTheme="minorHAnsi" w:cstheme="minorHAnsi"/>
          <w:color w:val="000000"/>
          <w:sz w:val="24"/>
          <w:szCs w:val="24"/>
        </w:rPr>
        <w:t>.”</w:t>
      </w:r>
    </w:p>
    <w:p w14:paraId="1CF29FBB" w14:textId="22E69C55" w:rsidR="00663268" w:rsidRPr="00D547A5" w:rsidRDefault="00663268" w:rsidP="00663268">
      <w:pPr>
        <w:pStyle w:val="Standard"/>
        <w:jc w:val="both"/>
        <w:rPr>
          <w:rFonts w:asciiTheme="minorHAnsi" w:hAnsiTheme="minorHAnsi" w:cstheme="minorHAnsi"/>
          <w:color w:val="000000"/>
          <w:sz w:val="24"/>
          <w:szCs w:val="24"/>
        </w:rPr>
      </w:pPr>
    </w:p>
    <w:p w14:paraId="040822BA" w14:textId="479D7D3C" w:rsidR="00663268" w:rsidRPr="00D547A5" w:rsidRDefault="00D547A5" w:rsidP="0066326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MOTIVAZIONE</w:t>
      </w:r>
    </w:p>
    <w:p w14:paraId="587C5ED1" w14:textId="6A9CFEB2" w:rsidR="006205E0" w:rsidRPr="00D547A5" w:rsidRDefault="006205E0" w:rsidP="0066326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L’</w:t>
      </w:r>
      <w:r w:rsidR="00663268" w:rsidRPr="00D547A5">
        <w:rPr>
          <w:rFonts w:asciiTheme="minorHAnsi" w:hAnsiTheme="minorHAnsi" w:cstheme="minorHAnsi"/>
          <w:i/>
          <w:iCs/>
          <w:color w:val="000000"/>
          <w:sz w:val="24"/>
          <w:szCs w:val="24"/>
        </w:rPr>
        <w:t>articolo 2</w:t>
      </w:r>
      <w:r w:rsidR="009C0EC3">
        <w:rPr>
          <w:rFonts w:asciiTheme="minorHAnsi" w:hAnsiTheme="minorHAnsi" w:cstheme="minorHAnsi"/>
          <w:i/>
          <w:iCs/>
          <w:color w:val="000000"/>
          <w:sz w:val="24"/>
          <w:szCs w:val="24"/>
        </w:rPr>
        <w:t>,</w:t>
      </w:r>
      <w:r w:rsidR="00663268" w:rsidRPr="00D547A5">
        <w:rPr>
          <w:rFonts w:asciiTheme="minorHAnsi" w:hAnsiTheme="minorHAnsi" w:cstheme="minorHAnsi"/>
          <w:i/>
          <w:iCs/>
          <w:color w:val="000000"/>
          <w:sz w:val="24"/>
          <w:szCs w:val="24"/>
        </w:rPr>
        <w:t xml:space="preserve"> </w:t>
      </w:r>
      <w:r w:rsidRPr="00D547A5">
        <w:rPr>
          <w:rFonts w:asciiTheme="minorHAnsi" w:hAnsiTheme="minorHAnsi" w:cstheme="minorHAnsi"/>
          <w:i/>
          <w:iCs/>
          <w:color w:val="000000"/>
          <w:sz w:val="24"/>
          <w:szCs w:val="24"/>
        </w:rPr>
        <w:t>come attualmente formulato</w:t>
      </w:r>
      <w:r w:rsidR="009C0EC3">
        <w:rPr>
          <w:rFonts w:asciiTheme="minorHAnsi" w:hAnsiTheme="minorHAnsi" w:cstheme="minorHAnsi"/>
          <w:i/>
          <w:iCs/>
          <w:color w:val="000000"/>
          <w:sz w:val="24"/>
          <w:szCs w:val="24"/>
        </w:rPr>
        <w:t>,</w:t>
      </w:r>
      <w:r w:rsidRPr="00D547A5">
        <w:rPr>
          <w:rFonts w:asciiTheme="minorHAnsi" w:hAnsiTheme="minorHAnsi" w:cstheme="minorHAnsi"/>
          <w:i/>
          <w:iCs/>
          <w:color w:val="000000"/>
          <w:sz w:val="24"/>
          <w:szCs w:val="24"/>
        </w:rPr>
        <w:t xml:space="preserve"> </w:t>
      </w:r>
      <w:r w:rsidR="00663268" w:rsidRPr="00D547A5">
        <w:rPr>
          <w:rFonts w:asciiTheme="minorHAnsi" w:hAnsiTheme="minorHAnsi" w:cstheme="minorHAnsi"/>
          <w:i/>
          <w:iCs/>
          <w:color w:val="000000"/>
          <w:sz w:val="24"/>
          <w:szCs w:val="24"/>
        </w:rPr>
        <w:t xml:space="preserve">esclude la rappresentanza di Province, Comuni e Città metropolitane </w:t>
      </w:r>
      <w:r w:rsidRPr="00D547A5">
        <w:rPr>
          <w:rFonts w:asciiTheme="minorHAnsi" w:hAnsiTheme="minorHAnsi" w:cstheme="minorHAnsi"/>
          <w:i/>
          <w:iCs/>
          <w:color w:val="000000"/>
          <w:sz w:val="24"/>
          <w:szCs w:val="24"/>
        </w:rPr>
        <w:t>dalla Cabina di Regia istituita presso la Presidenza del Consiglio dei Ministri, con scopi di indirizzo, impulso e coordinamento della fase attuativa del Piano nazionale di ripresa e resilienza.</w:t>
      </w:r>
    </w:p>
    <w:p w14:paraId="5EEE2803" w14:textId="2BEE9F17" w:rsidR="00663268" w:rsidRPr="00D547A5" w:rsidRDefault="00CA3B34" w:rsidP="00663268">
      <w:pPr>
        <w:pStyle w:val="Standard"/>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 xml:space="preserve">Ciò </w:t>
      </w:r>
      <w:r w:rsidR="00663268" w:rsidRPr="00D547A5">
        <w:rPr>
          <w:rFonts w:asciiTheme="minorHAnsi" w:hAnsiTheme="minorHAnsi" w:cstheme="minorHAnsi"/>
          <w:i/>
          <w:iCs/>
          <w:color w:val="000000"/>
          <w:sz w:val="24"/>
          <w:szCs w:val="24"/>
        </w:rPr>
        <w:t>rappresenta un grave vulnus</w:t>
      </w:r>
      <w:r w:rsidR="006205E0" w:rsidRPr="00D547A5">
        <w:rPr>
          <w:rFonts w:asciiTheme="minorHAnsi" w:hAnsiTheme="minorHAnsi" w:cstheme="minorHAnsi"/>
          <w:i/>
          <w:iCs/>
          <w:color w:val="000000"/>
          <w:sz w:val="24"/>
          <w:szCs w:val="24"/>
        </w:rPr>
        <w:t xml:space="preserve"> sia rispetto al</w:t>
      </w:r>
      <w:r w:rsidR="00663268" w:rsidRPr="00D547A5">
        <w:rPr>
          <w:rFonts w:asciiTheme="minorHAnsi" w:hAnsiTheme="minorHAnsi" w:cstheme="minorHAnsi"/>
          <w:i/>
          <w:iCs/>
          <w:color w:val="000000"/>
          <w:sz w:val="24"/>
          <w:szCs w:val="24"/>
        </w:rPr>
        <w:t>l’art, 114 della Costituzione che definisce Regioni, Province e Comuni quali istituzioni su cui a pari livello si fonda la Repubblica</w:t>
      </w:r>
      <w:r w:rsidR="006205E0" w:rsidRPr="00D547A5">
        <w:rPr>
          <w:rFonts w:asciiTheme="minorHAnsi" w:hAnsiTheme="minorHAnsi" w:cstheme="minorHAnsi"/>
          <w:i/>
          <w:iCs/>
          <w:color w:val="000000"/>
          <w:sz w:val="24"/>
          <w:szCs w:val="24"/>
        </w:rPr>
        <w:t xml:space="preserve">, sia rispetto alla dialettica tra Governo, Parlamento ed enti territoriali </w:t>
      </w:r>
      <w:r w:rsidR="00663268" w:rsidRPr="00D547A5">
        <w:rPr>
          <w:rFonts w:asciiTheme="minorHAnsi" w:hAnsiTheme="minorHAnsi" w:cstheme="minorHAnsi"/>
          <w:i/>
          <w:iCs/>
          <w:color w:val="000000"/>
          <w:sz w:val="24"/>
          <w:szCs w:val="24"/>
        </w:rPr>
        <w:t>che</w:t>
      </w:r>
      <w:r w:rsidR="006205E0" w:rsidRPr="00D547A5">
        <w:rPr>
          <w:rFonts w:asciiTheme="minorHAnsi" w:hAnsiTheme="minorHAnsi" w:cstheme="minorHAnsi"/>
          <w:i/>
          <w:iCs/>
          <w:color w:val="000000"/>
          <w:sz w:val="24"/>
          <w:szCs w:val="24"/>
        </w:rPr>
        <w:t xml:space="preserve"> in tutte le sedi di confronto (Conferenza Unificata e Stato città, audizioni con il Parlamento)</w:t>
      </w:r>
      <w:r w:rsidR="00663268" w:rsidRPr="00D547A5">
        <w:rPr>
          <w:rFonts w:asciiTheme="minorHAnsi" w:hAnsiTheme="minorHAnsi" w:cstheme="minorHAnsi"/>
          <w:i/>
          <w:iCs/>
          <w:color w:val="000000"/>
          <w:sz w:val="24"/>
          <w:szCs w:val="24"/>
        </w:rPr>
        <w:t xml:space="preserve"> </w:t>
      </w:r>
      <w:r w:rsidR="006205E0" w:rsidRPr="00D547A5">
        <w:rPr>
          <w:rFonts w:asciiTheme="minorHAnsi" w:hAnsiTheme="minorHAnsi" w:cstheme="minorHAnsi"/>
          <w:i/>
          <w:iCs/>
          <w:color w:val="000000"/>
          <w:sz w:val="24"/>
          <w:szCs w:val="24"/>
        </w:rPr>
        <w:t xml:space="preserve">si svolge attraverso </w:t>
      </w:r>
      <w:r w:rsidR="00663268" w:rsidRPr="00D547A5">
        <w:rPr>
          <w:rFonts w:asciiTheme="minorHAnsi" w:hAnsiTheme="minorHAnsi" w:cstheme="minorHAnsi"/>
          <w:i/>
          <w:iCs/>
          <w:color w:val="000000"/>
          <w:sz w:val="24"/>
          <w:szCs w:val="24"/>
        </w:rPr>
        <w:t>ANCI e UPI</w:t>
      </w:r>
      <w:r w:rsidR="006205E0" w:rsidRPr="00D547A5">
        <w:rPr>
          <w:rFonts w:asciiTheme="minorHAnsi" w:hAnsiTheme="minorHAnsi" w:cstheme="minorHAnsi"/>
          <w:i/>
          <w:iCs/>
          <w:color w:val="000000"/>
          <w:sz w:val="24"/>
          <w:szCs w:val="24"/>
        </w:rPr>
        <w:t xml:space="preserve">. </w:t>
      </w:r>
    </w:p>
    <w:p w14:paraId="7C59F69D" w14:textId="4C086166" w:rsidR="00CA3B34" w:rsidRPr="00D547A5" w:rsidRDefault="00CA3B34" w:rsidP="00CA3B34">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Province, Comuni e Città metropolitane</w:t>
      </w:r>
      <w:r>
        <w:rPr>
          <w:rFonts w:asciiTheme="minorHAnsi" w:hAnsiTheme="minorHAnsi" w:cstheme="minorHAnsi"/>
          <w:i/>
          <w:iCs/>
          <w:color w:val="000000"/>
          <w:sz w:val="24"/>
          <w:szCs w:val="24"/>
        </w:rPr>
        <w:t>,</w:t>
      </w:r>
      <w:r w:rsidRPr="00D547A5">
        <w:rPr>
          <w:rFonts w:asciiTheme="minorHAnsi" w:hAnsiTheme="minorHAnsi" w:cstheme="minorHAnsi"/>
          <w:i/>
          <w:iCs/>
          <w:color w:val="000000"/>
          <w:sz w:val="24"/>
          <w:szCs w:val="24"/>
        </w:rPr>
        <w:t xml:space="preserve"> insieme alle Regioni</w:t>
      </w:r>
      <w:r>
        <w:rPr>
          <w:rFonts w:asciiTheme="minorHAnsi" w:hAnsiTheme="minorHAnsi" w:cstheme="minorHAnsi"/>
          <w:i/>
          <w:iCs/>
          <w:color w:val="000000"/>
          <w:sz w:val="24"/>
          <w:szCs w:val="24"/>
        </w:rPr>
        <w:t>,</w:t>
      </w:r>
      <w:r w:rsidRPr="00D547A5">
        <w:rPr>
          <w:rFonts w:asciiTheme="minorHAnsi" w:hAnsiTheme="minorHAnsi" w:cstheme="minorHAnsi"/>
          <w:i/>
          <w:iCs/>
          <w:color w:val="000000"/>
          <w:sz w:val="24"/>
          <w:szCs w:val="24"/>
        </w:rPr>
        <w:t xml:space="preserve"> sono chiamate ad attuare oltre il 40% degli interventi previsti dal Piano, per una mole di investimenti che il </w:t>
      </w:r>
      <w:r w:rsidR="009C0EC3">
        <w:rPr>
          <w:rFonts w:asciiTheme="minorHAnsi" w:hAnsiTheme="minorHAnsi" w:cstheme="minorHAnsi"/>
          <w:i/>
          <w:iCs/>
          <w:color w:val="000000"/>
          <w:sz w:val="24"/>
          <w:szCs w:val="24"/>
        </w:rPr>
        <w:t xml:space="preserve">MEF </w:t>
      </w:r>
      <w:r w:rsidRPr="00D547A5">
        <w:rPr>
          <w:rFonts w:asciiTheme="minorHAnsi" w:hAnsiTheme="minorHAnsi" w:cstheme="minorHAnsi"/>
          <w:i/>
          <w:iCs/>
          <w:color w:val="000000"/>
          <w:sz w:val="24"/>
          <w:szCs w:val="24"/>
        </w:rPr>
        <w:t>ha quantificato in 84 miliardi.</w:t>
      </w:r>
    </w:p>
    <w:p w14:paraId="27B98F60" w14:textId="647650E9" w:rsidR="006205E0" w:rsidRPr="00D547A5" w:rsidRDefault="006205E0" w:rsidP="0066326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 xml:space="preserve">Il presente emendamento risolve questa grave criticità, inserendo la previsione </w:t>
      </w:r>
      <w:r w:rsidR="00CA3B34">
        <w:rPr>
          <w:rFonts w:asciiTheme="minorHAnsi" w:hAnsiTheme="minorHAnsi" w:cstheme="minorHAnsi"/>
          <w:i/>
          <w:iCs/>
          <w:color w:val="000000"/>
          <w:sz w:val="24"/>
          <w:szCs w:val="24"/>
        </w:rPr>
        <w:t>della partecipazione alla Cabina di regia del Presidente dell’UPI</w:t>
      </w:r>
      <w:r w:rsidRPr="00D547A5">
        <w:rPr>
          <w:rFonts w:asciiTheme="minorHAnsi" w:hAnsiTheme="minorHAnsi" w:cstheme="minorHAnsi"/>
          <w:i/>
          <w:iCs/>
          <w:color w:val="000000"/>
          <w:sz w:val="24"/>
          <w:szCs w:val="24"/>
        </w:rPr>
        <w:t xml:space="preserve">, </w:t>
      </w:r>
      <w:r w:rsidR="00CA3B34">
        <w:rPr>
          <w:rFonts w:asciiTheme="minorHAnsi" w:hAnsiTheme="minorHAnsi" w:cstheme="minorHAnsi"/>
          <w:i/>
          <w:iCs/>
          <w:color w:val="000000"/>
          <w:sz w:val="24"/>
          <w:szCs w:val="24"/>
        </w:rPr>
        <w:t xml:space="preserve">in rappresentanza delle Province, e del </w:t>
      </w:r>
      <w:r w:rsidR="009C0EC3">
        <w:rPr>
          <w:rFonts w:asciiTheme="minorHAnsi" w:hAnsiTheme="minorHAnsi" w:cstheme="minorHAnsi"/>
          <w:i/>
          <w:iCs/>
          <w:color w:val="000000"/>
          <w:sz w:val="24"/>
          <w:szCs w:val="24"/>
        </w:rPr>
        <w:t>P</w:t>
      </w:r>
      <w:r w:rsidR="00CA3B34">
        <w:rPr>
          <w:rFonts w:asciiTheme="minorHAnsi" w:hAnsiTheme="minorHAnsi" w:cstheme="minorHAnsi"/>
          <w:i/>
          <w:iCs/>
          <w:color w:val="000000"/>
          <w:sz w:val="24"/>
          <w:szCs w:val="24"/>
        </w:rPr>
        <w:t xml:space="preserve">residente dell’ANCI, in rappresentanza </w:t>
      </w:r>
      <w:r w:rsidRPr="00D547A5">
        <w:rPr>
          <w:rFonts w:asciiTheme="minorHAnsi" w:hAnsiTheme="minorHAnsi" w:cstheme="minorHAnsi"/>
          <w:i/>
          <w:iCs/>
          <w:color w:val="000000"/>
          <w:sz w:val="24"/>
          <w:szCs w:val="24"/>
        </w:rPr>
        <w:t>dei Comuni e delle Città metropolitane</w:t>
      </w:r>
      <w:r w:rsidR="00CA3B34">
        <w:rPr>
          <w:rFonts w:asciiTheme="minorHAnsi" w:hAnsiTheme="minorHAnsi" w:cstheme="minorHAnsi"/>
          <w:i/>
          <w:iCs/>
          <w:color w:val="000000"/>
          <w:sz w:val="24"/>
          <w:szCs w:val="24"/>
        </w:rPr>
        <w:t>,</w:t>
      </w:r>
      <w:r w:rsidRPr="00D547A5">
        <w:rPr>
          <w:rFonts w:asciiTheme="minorHAnsi" w:hAnsiTheme="minorHAnsi" w:cstheme="minorHAnsi"/>
          <w:i/>
          <w:iCs/>
          <w:color w:val="000000"/>
          <w:sz w:val="24"/>
          <w:szCs w:val="24"/>
        </w:rPr>
        <w:t xml:space="preserve"> secondo le medesime modalità </w:t>
      </w:r>
      <w:r w:rsidR="00CA3B34">
        <w:rPr>
          <w:rFonts w:asciiTheme="minorHAnsi" w:hAnsiTheme="minorHAnsi" w:cstheme="minorHAnsi"/>
          <w:i/>
          <w:iCs/>
          <w:color w:val="000000"/>
          <w:sz w:val="24"/>
          <w:szCs w:val="24"/>
        </w:rPr>
        <w:t xml:space="preserve">che sono state </w:t>
      </w:r>
      <w:r w:rsidRPr="00D547A5">
        <w:rPr>
          <w:rFonts w:asciiTheme="minorHAnsi" w:hAnsiTheme="minorHAnsi" w:cstheme="minorHAnsi"/>
          <w:i/>
          <w:iCs/>
          <w:color w:val="000000"/>
          <w:sz w:val="24"/>
          <w:szCs w:val="24"/>
        </w:rPr>
        <w:t xml:space="preserve">previste per </w:t>
      </w:r>
      <w:r w:rsidR="00CA3B34">
        <w:rPr>
          <w:rFonts w:asciiTheme="minorHAnsi" w:hAnsiTheme="minorHAnsi" w:cstheme="minorHAnsi"/>
          <w:i/>
          <w:iCs/>
          <w:color w:val="000000"/>
          <w:sz w:val="24"/>
          <w:szCs w:val="24"/>
        </w:rPr>
        <w:t>il Presidente della</w:t>
      </w:r>
      <w:r w:rsidRPr="00D547A5">
        <w:rPr>
          <w:rFonts w:asciiTheme="minorHAnsi" w:hAnsiTheme="minorHAnsi" w:cstheme="minorHAnsi"/>
          <w:i/>
          <w:iCs/>
          <w:color w:val="000000"/>
          <w:sz w:val="24"/>
          <w:szCs w:val="24"/>
        </w:rPr>
        <w:t xml:space="preserve"> Conferenza delle </w:t>
      </w:r>
      <w:r w:rsidR="00CA3B34">
        <w:rPr>
          <w:rFonts w:asciiTheme="minorHAnsi" w:hAnsiTheme="minorHAnsi" w:cstheme="minorHAnsi"/>
          <w:i/>
          <w:iCs/>
          <w:color w:val="000000"/>
          <w:sz w:val="24"/>
          <w:szCs w:val="24"/>
        </w:rPr>
        <w:t>r</w:t>
      </w:r>
      <w:r w:rsidRPr="00D547A5">
        <w:rPr>
          <w:rFonts w:asciiTheme="minorHAnsi" w:hAnsiTheme="minorHAnsi" w:cstheme="minorHAnsi"/>
          <w:i/>
          <w:iCs/>
          <w:color w:val="000000"/>
          <w:sz w:val="24"/>
          <w:szCs w:val="24"/>
        </w:rPr>
        <w:t>egioni.</w:t>
      </w:r>
    </w:p>
    <w:p w14:paraId="5F65ADD1" w14:textId="43F1626E" w:rsidR="00C02592" w:rsidRPr="00D547A5" w:rsidRDefault="00C02592" w:rsidP="00C02592">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 xml:space="preserve">Una governance non esaustiva o non pienamente coerente con l’impianto del Piano rischia di inficiare </w:t>
      </w:r>
      <w:r w:rsidR="00CA3B34">
        <w:rPr>
          <w:rFonts w:asciiTheme="minorHAnsi" w:hAnsiTheme="minorHAnsi" w:cstheme="minorHAnsi"/>
          <w:i/>
          <w:iCs/>
          <w:color w:val="000000"/>
          <w:sz w:val="24"/>
          <w:szCs w:val="24"/>
        </w:rPr>
        <w:t xml:space="preserve">l’avvio dell’attuazione </w:t>
      </w:r>
      <w:r w:rsidRPr="00D547A5">
        <w:rPr>
          <w:rFonts w:asciiTheme="minorHAnsi" w:hAnsiTheme="minorHAnsi" w:cstheme="minorHAnsi"/>
          <w:i/>
          <w:iCs/>
          <w:color w:val="000000"/>
          <w:sz w:val="24"/>
          <w:szCs w:val="24"/>
        </w:rPr>
        <w:t xml:space="preserve">e quindi di innescare da subito primi rallentamenti. Il timing serrato imposto dall’Unione Europea per l’attuazione del Piano ci obbliga invece a </w:t>
      </w:r>
      <w:r w:rsidR="00CA3B34">
        <w:rPr>
          <w:rFonts w:asciiTheme="minorHAnsi" w:hAnsiTheme="minorHAnsi" w:cstheme="minorHAnsi"/>
          <w:i/>
          <w:iCs/>
          <w:color w:val="000000"/>
          <w:sz w:val="24"/>
          <w:szCs w:val="24"/>
        </w:rPr>
        <w:t>promuovere la leale collaborazione tra tutte le istituzioni costitutive della Repubblica per il raggiungimento degli obiettivi previsti nel PNRR</w:t>
      </w:r>
      <w:r w:rsidRPr="00D547A5">
        <w:rPr>
          <w:rFonts w:asciiTheme="minorHAnsi" w:hAnsiTheme="minorHAnsi" w:cstheme="minorHAnsi"/>
          <w:i/>
          <w:iCs/>
          <w:color w:val="000000"/>
          <w:sz w:val="24"/>
          <w:szCs w:val="24"/>
        </w:rPr>
        <w:t>.</w:t>
      </w:r>
    </w:p>
    <w:p w14:paraId="73D3EAD7" w14:textId="77777777" w:rsidR="00F80BD3" w:rsidRPr="00D547A5" w:rsidRDefault="00F80BD3">
      <w:pPr>
        <w:widowControl/>
        <w:suppressAutoHyphens w:val="0"/>
        <w:spacing w:after="160" w:line="259" w:lineRule="auto"/>
        <w:rPr>
          <w:rFonts w:asciiTheme="minorHAnsi" w:hAnsiTheme="minorHAnsi" w:cstheme="minorHAnsi"/>
          <w:i/>
          <w:iCs/>
          <w:kern w:val="0"/>
          <w:lang w:eastAsia="en-US" w:bidi="ar-SA"/>
        </w:rPr>
      </w:pPr>
      <w:r w:rsidRPr="00D547A5">
        <w:rPr>
          <w:rFonts w:asciiTheme="minorHAnsi" w:hAnsiTheme="minorHAnsi" w:cstheme="minorHAnsi"/>
          <w:i/>
          <w:iCs/>
        </w:rPr>
        <w:br w:type="page"/>
      </w:r>
    </w:p>
    <w:p w14:paraId="214D12E3" w14:textId="0380BDF9" w:rsidR="006205E0" w:rsidRPr="00D547A5" w:rsidRDefault="00D748E0" w:rsidP="00F80BD3">
      <w:pPr>
        <w:pStyle w:val="Standard"/>
        <w:jc w:val="right"/>
        <w:rPr>
          <w:rFonts w:asciiTheme="minorHAnsi" w:hAnsiTheme="minorHAnsi" w:cstheme="minorHAnsi"/>
          <w:i/>
          <w:iCs/>
          <w:sz w:val="24"/>
          <w:szCs w:val="24"/>
        </w:rPr>
      </w:pPr>
      <w:r w:rsidRPr="00D547A5">
        <w:rPr>
          <w:rFonts w:asciiTheme="minorHAnsi" w:hAnsiTheme="minorHAnsi" w:cstheme="minorHAnsi"/>
          <w:i/>
          <w:iCs/>
          <w:sz w:val="24"/>
          <w:szCs w:val="24"/>
        </w:rPr>
        <w:lastRenderedPageBreak/>
        <w:t>TITOLO I PARTE I - GOVERNANCE – CABINA DI REGIA</w:t>
      </w:r>
    </w:p>
    <w:p w14:paraId="139B50A0" w14:textId="51E2CAA3" w:rsidR="00F80BD3" w:rsidRPr="00D547A5" w:rsidRDefault="00F80BD3" w:rsidP="00F80BD3">
      <w:pPr>
        <w:pStyle w:val="Standard"/>
        <w:spacing w:after="0" w:line="240" w:lineRule="auto"/>
        <w:jc w:val="center"/>
        <w:rPr>
          <w:rFonts w:asciiTheme="minorHAnsi" w:hAnsiTheme="minorHAnsi" w:cstheme="minorHAnsi"/>
          <w:sz w:val="24"/>
          <w:szCs w:val="24"/>
        </w:rPr>
      </w:pPr>
    </w:p>
    <w:p w14:paraId="0484B007" w14:textId="7161A3BA" w:rsidR="00F80BD3" w:rsidRPr="00D547A5" w:rsidRDefault="00F80BD3" w:rsidP="00F80BD3">
      <w:pPr>
        <w:pStyle w:val="Standard"/>
        <w:spacing w:after="0" w:line="240" w:lineRule="auto"/>
        <w:jc w:val="center"/>
        <w:rPr>
          <w:rFonts w:asciiTheme="minorHAnsi" w:hAnsiTheme="minorHAnsi" w:cstheme="minorHAnsi"/>
          <w:sz w:val="24"/>
          <w:szCs w:val="24"/>
        </w:rPr>
      </w:pPr>
    </w:p>
    <w:p w14:paraId="49D316B3" w14:textId="77777777" w:rsidR="00F80BD3" w:rsidRPr="00D547A5" w:rsidRDefault="00F80BD3" w:rsidP="00F80BD3">
      <w:pPr>
        <w:pStyle w:val="Standard"/>
        <w:spacing w:after="0" w:line="240" w:lineRule="auto"/>
        <w:jc w:val="center"/>
        <w:rPr>
          <w:rFonts w:asciiTheme="minorHAnsi" w:hAnsiTheme="minorHAnsi" w:cstheme="minorHAnsi"/>
          <w:sz w:val="24"/>
          <w:szCs w:val="24"/>
        </w:rPr>
      </w:pPr>
    </w:p>
    <w:p w14:paraId="24DA411E" w14:textId="463C5525" w:rsidR="006205E0" w:rsidRPr="00D547A5" w:rsidRDefault="006205E0" w:rsidP="00F80BD3">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Art. 2</w:t>
      </w:r>
    </w:p>
    <w:p w14:paraId="6400EDA5" w14:textId="504C3B24" w:rsidR="006205E0" w:rsidRPr="00D547A5" w:rsidRDefault="006205E0" w:rsidP="00F80BD3">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(Cabina di regia)</w:t>
      </w:r>
    </w:p>
    <w:p w14:paraId="308DF066" w14:textId="77777777" w:rsidR="00F80BD3" w:rsidRPr="00D547A5" w:rsidRDefault="00F80BD3" w:rsidP="00F80BD3">
      <w:pPr>
        <w:pStyle w:val="Standard"/>
        <w:spacing w:after="0" w:line="240" w:lineRule="auto"/>
        <w:jc w:val="center"/>
        <w:rPr>
          <w:rFonts w:asciiTheme="minorHAnsi" w:hAnsiTheme="minorHAnsi" w:cstheme="minorHAnsi"/>
          <w:sz w:val="24"/>
          <w:szCs w:val="24"/>
        </w:rPr>
      </w:pPr>
    </w:p>
    <w:p w14:paraId="1326177B" w14:textId="34AE560E" w:rsidR="00663268" w:rsidRPr="00D547A5" w:rsidRDefault="006205E0" w:rsidP="00663268">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Al</w:t>
      </w:r>
      <w:r w:rsidR="00A03977" w:rsidRPr="00D547A5">
        <w:rPr>
          <w:rFonts w:asciiTheme="minorHAnsi" w:hAnsiTheme="minorHAnsi" w:cstheme="minorHAnsi"/>
          <w:color w:val="000000"/>
          <w:sz w:val="24"/>
          <w:szCs w:val="24"/>
        </w:rPr>
        <w:t xml:space="preserve">l’art. 2, </w:t>
      </w:r>
      <w:r w:rsidRPr="00D547A5">
        <w:rPr>
          <w:rFonts w:asciiTheme="minorHAnsi" w:hAnsiTheme="minorHAnsi" w:cstheme="minorHAnsi"/>
          <w:color w:val="000000"/>
          <w:sz w:val="24"/>
          <w:szCs w:val="24"/>
        </w:rPr>
        <w:t>comma 4, primo periodo, dopo le parole “svolgono, nelle materie di rispettiva competenza</w:t>
      </w:r>
      <w:proofErr w:type="gramStart"/>
      <w:r w:rsidRPr="00D547A5">
        <w:rPr>
          <w:rFonts w:asciiTheme="minorHAnsi" w:hAnsiTheme="minorHAnsi" w:cstheme="minorHAnsi"/>
          <w:color w:val="000000"/>
          <w:sz w:val="24"/>
          <w:szCs w:val="24"/>
        </w:rPr>
        <w:t xml:space="preserve"> ….</w:t>
      </w:r>
      <w:proofErr w:type="gramEnd"/>
      <w:r w:rsidRPr="00D547A5">
        <w:rPr>
          <w:rFonts w:asciiTheme="minorHAnsi" w:hAnsiTheme="minorHAnsi" w:cstheme="minorHAnsi"/>
          <w:color w:val="000000"/>
          <w:sz w:val="24"/>
          <w:szCs w:val="24"/>
        </w:rPr>
        <w:t>. coordinamento tecnico” inserire “e a tal fine sono integrati da</w:t>
      </w:r>
      <w:r w:rsidR="00CF6DF1">
        <w:rPr>
          <w:rFonts w:asciiTheme="minorHAnsi" w:hAnsiTheme="minorHAnsi" w:cstheme="minorHAnsi"/>
          <w:color w:val="000000"/>
          <w:sz w:val="24"/>
          <w:szCs w:val="24"/>
        </w:rPr>
        <w:t xml:space="preserve"> 3 rappresentanti delle autonomie territoriali designati in Conferenza unificata</w:t>
      </w:r>
      <w:r w:rsidRPr="00D547A5">
        <w:rPr>
          <w:rFonts w:asciiTheme="minorHAnsi" w:hAnsiTheme="minorHAnsi" w:cstheme="minorHAnsi"/>
          <w:color w:val="000000"/>
          <w:sz w:val="24"/>
          <w:szCs w:val="24"/>
        </w:rPr>
        <w:t>”</w:t>
      </w:r>
    </w:p>
    <w:p w14:paraId="4ED8BA53" w14:textId="6B70E07C" w:rsidR="006205E0" w:rsidRPr="00D547A5" w:rsidRDefault="006205E0" w:rsidP="00663268">
      <w:pPr>
        <w:pStyle w:val="Standard"/>
        <w:jc w:val="both"/>
        <w:rPr>
          <w:rFonts w:asciiTheme="minorHAnsi" w:hAnsiTheme="minorHAnsi" w:cstheme="minorHAnsi"/>
          <w:color w:val="000000"/>
          <w:sz w:val="24"/>
          <w:szCs w:val="24"/>
        </w:rPr>
      </w:pPr>
    </w:p>
    <w:p w14:paraId="3CF00E65" w14:textId="77777777" w:rsidR="009D5E38" w:rsidRPr="00D547A5" w:rsidRDefault="009D5E38" w:rsidP="009D5E3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MOTIVAZIONE</w:t>
      </w:r>
    </w:p>
    <w:p w14:paraId="32C0CE62" w14:textId="53CA1FFE" w:rsidR="006205E0" w:rsidRPr="00D547A5" w:rsidRDefault="001C788F" w:rsidP="0066326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 xml:space="preserve">Il Comitato interministeriale per la transizione digitale e il Comitato interministeriale per la transizione ecologica avranno compiti di indirizzo e controllo su Missioni del PNRR – in particolare la prima e la seconda – che avranno riflessi importanti e significativi sulla Pubblica Amministrazione nazionale e locale e sui territori e le comunità. La presenza delle rappresentanze degli enti territoriali consentirà di procedere in maniera più spedita, risolvendo, attraverso il confronto preventivo, le criticità che si verificheranno durante tutto l’iter di attuazione. </w:t>
      </w:r>
    </w:p>
    <w:p w14:paraId="0C3A3270" w14:textId="2FAD9A07" w:rsidR="00A03977" w:rsidRPr="00D547A5" w:rsidRDefault="00A03977" w:rsidP="00663268">
      <w:pPr>
        <w:pStyle w:val="Standard"/>
        <w:jc w:val="both"/>
        <w:rPr>
          <w:rFonts w:asciiTheme="minorHAnsi" w:hAnsiTheme="minorHAnsi" w:cstheme="minorHAnsi"/>
          <w:i/>
          <w:iCs/>
          <w:color w:val="000000"/>
          <w:sz w:val="24"/>
          <w:szCs w:val="24"/>
        </w:rPr>
      </w:pPr>
    </w:p>
    <w:p w14:paraId="31FABFE2" w14:textId="7BA0038F" w:rsidR="00A03977" w:rsidRPr="00D547A5" w:rsidRDefault="00A03977" w:rsidP="00663268">
      <w:pPr>
        <w:pStyle w:val="Standard"/>
        <w:jc w:val="both"/>
        <w:rPr>
          <w:rFonts w:asciiTheme="minorHAnsi" w:hAnsiTheme="minorHAnsi" w:cstheme="minorHAnsi"/>
          <w:i/>
          <w:iCs/>
          <w:color w:val="000000"/>
          <w:sz w:val="24"/>
          <w:szCs w:val="24"/>
        </w:rPr>
      </w:pPr>
    </w:p>
    <w:p w14:paraId="44B58993" w14:textId="036B935D" w:rsidR="00A03977" w:rsidRPr="00D547A5" w:rsidRDefault="00A03977" w:rsidP="00663268">
      <w:pPr>
        <w:pStyle w:val="Standard"/>
        <w:jc w:val="both"/>
        <w:rPr>
          <w:rFonts w:asciiTheme="minorHAnsi" w:hAnsiTheme="minorHAnsi" w:cstheme="minorHAnsi"/>
          <w:i/>
          <w:iCs/>
          <w:color w:val="000000"/>
          <w:sz w:val="24"/>
          <w:szCs w:val="24"/>
        </w:rPr>
      </w:pPr>
    </w:p>
    <w:p w14:paraId="51010AC9" w14:textId="77777777" w:rsidR="00A03977" w:rsidRPr="00D547A5" w:rsidRDefault="00A03977" w:rsidP="00663268">
      <w:pPr>
        <w:pStyle w:val="Standard"/>
        <w:jc w:val="both"/>
        <w:rPr>
          <w:rFonts w:asciiTheme="minorHAnsi" w:hAnsiTheme="minorHAnsi" w:cstheme="minorHAnsi"/>
          <w:i/>
          <w:iCs/>
          <w:color w:val="000000"/>
          <w:sz w:val="24"/>
          <w:szCs w:val="24"/>
        </w:rPr>
      </w:pPr>
    </w:p>
    <w:p w14:paraId="6A6E4BF1" w14:textId="69747E24" w:rsidR="006205E0" w:rsidRPr="00D547A5" w:rsidRDefault="006205E0" w:rsidP="00663268">
      <w:pPr>
        <w:pStyle w:val="Standard"/>
        <w:jc w:val="both"/>
        <w:rPr>
          <w:rFonts w:asciiTheme="minorHAnsi" w:hAnsiTheme="minorHAnsi" w:cstheme="minorHAnsi"/>
          <w:color w:val="000000"/>
          <w:sz w:val="24"/>
          <w:szCs w:val="24"/>
        </w:rPr>
      </w:pPr>
    </w:p>
    <w:p w14:paraId="0A2D0DC0" w14:textId="77777777" w:rsidR="00663268" w:rsidRPr="00D547A5" w:rsidRDefault="00663268" w:rsidP="00663268">
      <w:pPr>
        <w:pStyle w:val="Standard"/>
        <w:jc w:val="both"/>
        <w:rPr>
          <w:rFonts w:asciiTheme="minorHAnsi" w:hAnsiTheme="minorHAnsi" w:cstheme="minorHAnsi"/>
          <w:sz w:val="24"/>
          <w:szCs w:val="24"/>
        </w:rPr>
      </w:pPr>
    </w:p>
    <w:p w14:paraId="3121D812" w14:textId="03A9799D" w:rsidR="00663268" w:rsidRPr="00D547A5" w:rsidRDefault="00663268" w:rsidP="00B633A3">
      <w:pPr>
        <w:pStyle w:val="Standard"/>
        <w:jc w:val="both"/>
        <w:rPr>
          <w:rFonts w:asciiTheme="minorHAnsi" w:hAnsiTheme="minorHAnsi" w:cstheme="minorHAnsi"/>
          <w:sz w:val="24"/>
          <w:szCs w:val="24"/>
        </w:rPr>
      </w:pPr>
    </w:p>
    <w:p w14:paraId="17AB4026" w14:textId="1FC8A98E" w:rsidR="00A03977" w:rsidRPr="00D547A5" w:rsidRDefault="00A03977" w:rsidP="00B633A3">
      <w:pPr>
        <w:pStyle w:val="Standard"/>
        <w:jc w:val="both"/>
        <w:rPr>
          <w:rFonts w:asciiTheme="minorHAnsi" w:hAnsiTheme="minorHAnsi" w:cstheme="minorHAnsi"/>
          <w:sz w:val="24"/>
          <w:szCs w:val="24"/>
        </w:rPr>
      </w:pPr>
    </w:p>
    <w:p w14:paraId="701D6574" w14:textId="32CA0E2D" w:rsidR="00A03977" w:rsidRPr="00D547A5" w:rsidRDefault="00A03977" w:rsidP="00B633A3">
      <w:pPr>
        <w:pStyle w:val="Standard"/>
        <w:jc w:val="both"/>
        <w:rPr>
          <w:rFonts w:asciiTheme="minorHAnsi" w:hAnsiTheme="minorHAnsi" w:cstheme="minorHAnsi"/>
          <w:sz w:val="24"/>
          <w:szCs w:val="24"/>
        </w:rPr>
      </w:pPr>
    </w:p>
    <w:p w14:paraId="0C8E91B8" w14:textId="5478EA41" w:rsidR="00A03977" w:rsidRPr="00D547A5" w:rsidRDefault="00A03977" w:rsidP="00B633A3">
      <w:pPr>
        <w:pStyle w:val="Standard"/>
        <w:jc w:val="both"/>
        <w:rPr>
          <w:rFonts w:asciiTheme="minorHAnsi" w:hAnsiTheme="minorHAnsi" w:cstheme="minorHAnsi"/>
          <w:sz w:val="24"/>
          <w:szCs w:val="24"/>
        </w:rPr>
      </w:pPr>
    </w:p>
    <w:p w14:paraId="3DBF921C" w14:textId="7955157C" w:rsidR="00A03977" w:rsidRPr="00D547A5" w:rsidRDefault="00A03977" w:rsidP="00B633A3">
      <w:pPr>
        <w:pStyle w:val="Standard"/>
        <w:jc w:val="both"/>
        <w:rPr>
          <w:rFonts w:asciiTheme="minorHAnsi" w:hAnsiTheme="minorHAnsi" w:cstheme="minorHAnsi"/>
          <w:sz w:val="24"/>
          <w:szCs w:val="24"/>
        </w:rPr>
      </w:pPr>
    </w:p>
    <w:p w14:paraId="502623AB" w14:textId="62332711" w:rsidR="00A03977" w:rsidRPr="00D547A5" w:rsidRDefault="00A03977" w:rsidP="00B633A3">
      <w:pPr>
        <w:pStyle w:val="Standard"/>
        <w:jc w:val="both"/>
        <w:rPr>
          <w:rFonts w:asciiTheme="minorHAnsi" w:hAnsiTheme="minorHAnsi" w:cstheme="minorHAnsi"/>
          <w:sz w:val="24"/>
          <w:szCs w:val="24"/>
        </w:rPr>
      </w:pPr>
    </w:p>
    <w:p w14:paraId="5F6EB01C" w14:textId="34670275" w:rsidR="00A03977" w:rsidRPr="00D547A5" w:rsidRDefault="00A03977" w:rsidP="00B633A3">
      <w:pPr>
        <w:pStyle w:val="Standard"/>
        <w:jc w:val="both"/>
        <w:rPr>
          <w:rFonts w:asciiTheme="minorHAnsi" w:hAnsiTheme="minorHAnsi" w:cstheme="minorHAnsi"/>
          <w:sz w:val="24"/>
          <w:szCs w:val="24"/>
        </w:rPr>
      </w:pPr>
    </w:p>
    <w:p w14:paraId="6ED605A3" w14:textId="23A334D4" w:rsidR="00A03977" w:rsidRPr="00D547A5" w:rsidRDefault="00A03977" w:rsidP="00B633A3">
      <w:pPr>
        <w:pStyle w:val="Standard"/>
        <w:jc w:val="both"/>
        <w:rPr>
          <w:rFonts w:asciiTheme="minorHAnsi" w:hAnsiTheme="minorHAnsi" w:cstheme="minorHAnsi"/>
          <w:sz w:val="24"/>
          <w:szCs w:val="24"/>
        </w:rPr>
      </w:pPr>
    </w:p>
    <w:p w14:paraId="472E712C" w14:textId="421A9BE2" w:rsidR="00F80BD3" w:rsidRPr="00D547A5" w:rsidRDefault="00F80BD3">
      <w:pPr>
        <w:widowControl/>
        <w:suppressAutoHyphens w:val="0"/>
        <w:spacing w:after="160" w:line="259" w:lineRule="auto"/>
        <w:rPr>
          <w:rFonts w:asciiTheme="minorHAnsi" w:hAnsiTheme="minorHAnsi" w:cstheme="minorHAnsi"/>
          <w:kern w:val="0"/>
          <w:lang w:eastAsia="en-US" w:bidi="ar-SA"/>
        </w:rPr>
      </w:pPr>
      <w:r w:rsidRPr="00D547A5">
        <w:rPr>
          <w:rFonts w:asciiTheme="minorHAnsi" w:hAnsiTheme="minorHAnsi" w:cstheme="minorHAnsi"/>
        </w:rPr>
        <w:br w:type="page"/>
      </w:r>
    </w:p>
    <w:p w14:paraId="288CB569" w14:textId="22E5EC03" w:rsidR="00A03977" w:rsidRPr="00D547A5" w:rsidRDefault="00D748E0" w:rsidP="00F80BD3">
      <w:pPr>
        <w:pStyle w:val="Standard"/>
        <w:jc w:val="right"/>
        <w:rPr>
          <w:rFonts w:asciiTheme="minorHAnsi" w:hAnsiTheme="minorHAnsi" w:cstheme="minorHAnsi"/>
          <w:i/>
          <w:iCs/>
          <w:sz w:val="24"/>
          <w:szCs w:val="24"/>
        </w:rPr>
      </w:pPr>
      <w:r w:rsidRPr="00D547A5">
        <w:rPr>
          <w:rFonts w:asciiTheme="minorHAnsi" w:hAnsiTheme="minorHAnsi" w:cstheme="minorHAnsi"/>
          <w:i/>
          <w:iCs/>
          <w:sz w:val="24"/>
          <w:szCs w:val="24"/>
        </w:rPr>
        <w:lastRenderedPageBreak/>
        <w:t>TITOLO I PARTE I - GOVERNANCE – CABINA DI REGIA</w:t>
      </w:r>
    </w:p>
    <w:p w14:paraId="192EC09E" w14:textId="1789E10C" w:rsidR="00F80BD3" w:rsidRPr="00D547A5" w:rsidRDefault="00F80BD3" w:rsidP="00F80BD3">
      <w:pPr>
        <w:pStyle w:val="Standard"/>
        <w:spacing w:after="0" w:line="240" w:lineRule="auto"/>
        <w:jc w:val="center"/>
        <w:rPr>
          <w:rFonts w:asciiTheme="minorHAnsi" w:hAnsiTheme="minorHAnsi" w:cstheme="minorHAnsi"/>
          <w:sz w:val="24"/>
          <w:szCs w:val="24"/>
        </w:rPr>
      </w:pPr>
    </w:p>
    <w:p w14:paraId="1F8B5963" w14:textId="77777777" w:rsidR="00F80BD3" w:rsidRPr="00D547A5" w:rsidRDefault="00F80BD3" w:rsidP="00F80BD3">
      <w:pPr>
        <w:pStyle w:val="Standard"/>
        <w:spacing w:after="0" w:line="240" w:lineRule="auto"/>
        <w:jc w:val="center"/>
        <w:rPr>
          <w:rFonts w:asciiTheme="minorHAnsi" w:hAnsiTheme="minorHAnsi" w:cstheme="minorHAnsi"/>
          <w:sz w:val="24"/>
          <w:szCs w:val="24"/>
        </w:rPr>
      </w:pPr>
    </w:p>
    <w:p w14:paraId="68E8CE39" w14:textId="77777777" w:rsidR="00F80BD3" w:rsidRPr="00D547A5" w:rsidRDefault="00F80BD3" w:rsidP="00F80BD3">
      <w:pPr>
        <w:pStyle w:val="Standard"/>
        <w:spacing w:after="0" w:line="240" w:lineRule="auto"/>
        <w:jc w:val="center"/>
        <w:rPr>
          <w:rFonts w:asciiTheme="minorHAnsi" w:hAnsiTheme="minorHAnsi" w:cstheme="minorHAnsi"/>
          <w:sz w:val="24"/>
          <w:szCs w:val="24"/>
        </w:rPr>
      </w:pPr>
    </w:p>
    <w:p w14:paraId="39183FD5" w14:textId="31A02CF0" w:rsidR="00A03977" w:rsidRPr="00D547A5" w:rsidRDefault="00A03977" w:rsidP="00F80BD3">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Art. 2</w:t>
      </w:r>
    </w:p>
    <w:p w14:paraId="72559B2D" w14:textId="77777777" w:rsidR="00A03977" w:rsidRPr="00D547A5" w:rsidRDefault="00A03977" w:rsidP="00F80BD3">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 xml:space="preserve">(Cabina di regia) </w:t>
      </w:r>
    </w:p>
    <w:p w14:paraId="4F705BA0" w14:textId="592F1484" w:rsidR="00A03977" w:rsidRPr="00D547A5" w:rsidRDefault="00A03977" w:rsidP="00B633A3">
      <w:pPr>
        <w:pStyle w:val="Standard"/>
        <w:jc w:val="both"/>
        <w:rPr>
          <w:rFonts w:asciiTheme="minorHAnsi" w:hAnsiTheme="minorHAnsi" w:cstheme="minorHAnsi"/>
          <w:sz w:val="24"/>
          <w:szCs w:val="24"/>
        </w:rPr>
      </w:pPr>
    </w:p>
    <w:p w14:paraId="7E32FFDD" w14:textId="058EC16B" w:rsidR="00A03977" w:rsidRPr="00D547A5" w:rsidRDefault="00A03977" w:rsidP="00B633A3">
      <w:pPr>
        <w:pStyle w:val="Standard"/>
        <w:jc w:val="both"/>
        <w:rPr>
          <w:rFonts w:asciiTheme="minorHAnsi" w:hAnsiTheme="minorHAnsi" w:cstheme="minorHAnsi"/>
          <w:sz w:val="24"/>
          <w:szCs w:val="24"/>
        </w:rPr>
      </w:pPr>
    </w:p>
    <w:p w14:paraId="6FA73CF1" w14:textId="54C61382" w:rsidR="00987528" w:rsidRPr="00D547A5" w:rsidRDefault="00A03977" w:rsidP="00B633A3">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 xml:space="preserve">All’art. 2, comma 5, </w:t>
      </w:r>
      <w:r w:rsidR="00987528" w:rsidRPr="00D547A5">
        <w:rPr>
          <w:rFonts w:asciiTheme="minorHAnsi" w:hAnsiTheme="minorHAnsi" w:cstheme="minorHAnsi"/>
          <w:color w:val="000000"/>
          <w:sz w:val="24"/>
          <w:szCs w:val="24"/>
        </w:rPr>
        <w:t>sostituire l’ultimo periodo con il seguente</w:t>
      </w:r>
      <w:r w:rsidR="00576282" w:rsidRPr="00D547A5">
        <w:rPr>
          <w:rFonts w:asciiTheme="minorHAnsi" w:hAnsiTheme="minorHAnsi" w:cstheme="minorHAnsi"/>
          <w:color w:val="000000"/>
          <w:sz w:val="24"/>
          <w:szCs w:val="24"/>
        </w:rPr>
        <w:t>:</w:t>
      </w:r>
    </w:p>
    <w:p w14:paraId="01C2CEFD" w14:textId="4DE525D3" w:rsidR="00576282" w:rsidRPr="00D547A5" w:rsidRDefault="00987528" w:rsidP="00B633A3">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 xml:space="preserve">“Nei casi di cui al primo periodo, quando si tratta di materie nelle quali </w:t>
      </w:r>
      <w:r w:rsidR="009D5E38">
        <w:rPr>
          <w:rFonts w:asciiTheme="minorHAnsi" w:hAnsiTheme="minorHAnsi" w:cstheme="minorHAnsi"/>
          <w:color w:val="000000"/>
          <w:sz w:val="24"/>
          <w:szCs w:val="24"/>
        </w:rPr>
        <w:t>R</w:t>
      </w:r>
      <w:r w:rsidRPr="00D547A5">
        <w:rPr>
          <w:rFonts w:asciiTheme="minorHAnsi" w:hAnsiTheme="minorHAnsi" w:cstheme="minorHAnsi"/>
          <w:color w:val="000000"/>
          <w:sz w:val="24"/>
          <w:szCs w:val="24"/>
        </w:rPr>
        <w:t xml:space="preserve">egioni, </w:t>
      </w:r>
      <w:r w:rsidR="009D5E38">
        <w:rPr>
          <w:rFonts w:asciiTheme="minorHAnsi" w:hAnsiTheme="minorHAnsi" w:cstheme="minorHAnsi"/>
          <w:color w:val="000000"/>
          <w:sz w:val="24"/>
          <w:szCs w:val="24"/>
        </w:rPr>
        <w:t>P</w:t>
      </w:r>
      <w:r w:rsidRPr="00D547A5">
        <w:rPr>
          <w:rFonts w:asciiTheme="minorHAnsi" w:hAnsiTheme="minorHAnsi" w:cstheme="minorHAnsi"/>
          <w:color w:val="000000"/>
          <w:sz w:val="24"/>
          <w:szCs w:val="24"/>
        </w:rPr>
        <w:t xml:space="preserve">rovince autonome, Province, Comuni e Città metropolitane </w:t>
      </w:r>
      <w:r w:rsidR="009D5E38">
        <w:rPr>
          <w:rFonts w:asciiTheme="minorHAnsi" w:hAnsiTheme="minorHAnsi" w:cstheme="minorHAnsi"/>
          <w:color w:val="000000"/>
          <w:sz w:val="24"/>
          <w:szCs w:val="24"/>
        </w:rPr>
        <w:t xml:space="preserve">abbiano </w:t>
      </w:r>
      <w:r w:rsidRPr="00D547A5">
        <w:rPr>
          <w:rFonts w:asciiTheme="minorHAnsi" w:hAnsiTheme="minorHAnsi" w:cstheme="minorHAnsi"/>
          <w:color w:val="000000"/>
          <w:sz w:val="24"/>
          <w:szCs w:val="24"/>
        </w:rPr>
        <w:t xml:space="preserve">uno specifico interesse, ai predetti Comitati partecipano </w:t>
      </w:r>
      <w:r w:rsidR="00A03977" w:rsidRPr="00D547A5">
        <w:rPr>
          <w:rFonts w:asciiTheme="minorHAnsi" w:hAnsiTheme="minorHAnsi" w:cstheme="minorHAnsi"/>
          <w:color w:val="000000"/>
          <w:sz w:val="24"/>
          <w:szCs w:val="24"/>
        </w:rPr>
        <w:t>il Presidente della Conferenza delle Regioni e delle Province autonome</w:t>
      </w:r>
      <w:r w:rsidRPr="00D547A5">
        <w:rPr>
          <w:rFonts w:asciiTheme="minorHAnsi" w:hAnsiTheme="minorHAnsi" w:cstheme="minorHAnsi"/>
          <w:color w:val="000000"/>
          <w:sz w:val="24"/>
          <w:szCs w:val="24"/>
        </w:rPr>
        <w:t xml:space="preserve">, </w:t>
      </w:r>
      <w:r w:rsidR="00A03977" w:rsidRPr="00D547A5">
        <w:rPr>
          <w:rFonts w:asciiTheme="minorHAnsi" w:hAnsiTheme="minorHAnsi" w:cstheme="minorHAnsi"/>
          <w:color w:val="000000"/>
          <w:sz w:val="24"/>
          <w:szCs w:val="24"/>
        </w:rPr>
        <w:t>il Presidente d</w:t>
      </w:r>
      <w:r w:rsidR="00576282" w:rsidRPr="00D547A5">
        <w:rPr>
          <w:rFonts w:asciiTheme="minorHAnsi" w:hAnsiTheme="minorHAnsi" w:cstheme="minorHAnsi"/>
          <w:color w:val="000000"/>
          <w:sz w:val="24"/>
          <w:szCs w:val="24"/>
        </w:rPr>
        <w:t>ell’</w:t>
      </w:r>
      <w:r w:rsidR="00A03977" w:rsidRPr="00D547A5">
        <w:rPr>
          <w:rFonts w:asciiTheme="minorHAnsi" w:hAnsiTheme="minorHAnsi" w:cstheme="minorHAnsi"/>
          <w:color w:val="000000"/>
          <w:sz w:val="24"/>
          <w:szCs w:val="24"/>
        </w:rPr>
        <w:t>ANCI e il Presidente d</w:t>
      </w:r>
      <w:r w:rsidR="00576282" w:rsidRPr="00D547A5">
        <w:rPr>
          <w:rFonts w:asciiTheme="minorHAnsi" w:hAnsiTheme="minorHAnsi" w:cstheme="minorHAnsi"/>
          <w:color w:val="000000"/>
          <w:sz w:val="24"/>
          <w:szCs w:val="24"/>
        </w:rPr>
        <w:t>ell’</w:t>
      </w:r>
      <w:r w:rsidR="00A03977" w:rsidRPr="00D547A5">
        <w:rPr>
          <w:rFonts w:asciiTheme="minorHAnsi" w:hAnsiTheme="minorHAnsi" w:cstheme="minorHAnsi"/>
          <w:color w:val="000000"/>
          <w:sz w:val="24"/>
          <w:szCs w:val="24"/>
        </w:rPr>
        <w:t>UPI</w:t>
      </w:r>
      <w:r w:rsidR="00576282" w:rsidRPr="00D547A5">
        <w:rPr>
          <w:rFonts w:asciiTheme="minorHAnsi" w:hAnsiTheme="minorHAnsi" w:cstheme="minorHAnsi"/>
          <w:color w:val="000000"/>
          <w:sz w:val="24"/>
          <w:szCs w:val="24"/>
        </w:rPr>
        <w:t>.</w:t>
      </w:r>
      <w:r w:rsidRPr="00D547A5">
        <w:rPr>
          <w:rFonts w:asciiTheme="minorHAnsi" w:hAnsiTheme="minorHAnsi" w:cstheme="minorHAnsi"/>
          <w:color w:val="000000"/>
          <w:sz w:val="24"/>
          <w:szCs w:val="24"/>
        </w:rPr>
        <w:t>”</w:t>
      </w:r>
    </w:p>
    <w:p w14:paraId="48E97E59" w14:textId="40A10ADA" w:rsidR="00A03977" w:rsidRPr="00D547A5" w:rsidRDefault="00A03977" w:rsidP="00B633A3">
      <w:pPr>
        <w:pStyle w:val="Standard"/>
        <w:jc w:val="both"/>
        <w:rPr>
          <w:rFonts w:asciiTheme="minorHAnsi" w:hAnsiTheme="minorHAnsi" w:cstheme="minorHAnsi"/>
          <w:color w:val="000000"/>
          <w:sz w:val="24"/>
          <w:szCs w:val="24"/>
        </w:rPr>
      </w:pPr>
    </w:p>
    <w:p w14:paraId="60650592" w14:textId="77777777" w:rsidR="009D5E38" w:rsidRPr="00D547A5" w:rsidRDefault="009D5E38" w:rsidP="009D5E3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MOTIVAZIONE</w:t>
      </w:r>
    </w:p>
    <w:p w14:paraId="69F8C2A3" w14:textId="0ABB76D9" w:rsidR="004119CE" w:rsidRPr="00D547A5" w:rsidRDefault="00987528" w:rsidP="00B633A3">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L’articolo come formulato esclude</w:t>
      </w:r>
      <w:r w:rsidR="00D5777C">
        <w:rPr>
          <w:rFonts w:asciiTheme="minorHAnsi" w:hAnsiTheme="minorHAnsi" w:cstheme="minorHAnsi"/>
          <w:i/>
          <w:iCs/>
          <w:color w:val="000000"/>
          <w:sz w:val="24"/>
          <w:szCs w:val="24"/>
        </w:rPr>
        <w:t xml:space="preserve">ndo </w:t>
      </w:r>
      <w:r w:rsidR="00D5777C" w:rsidRPr="00D547A5">
        <w:rPr>
          <w:rFonts w:asciiTheme="minorHAnsi" w:hAnsiTheme="minorHAnsi" w:cstheme="minorHAnsi"/>
          <w:i/>
          <w:iCs/>
          <w:color w:val="000000"/>
          <w:sz w:val="24"/>
          <w:szCs w:val="24"/>
        </w:rPr>
        <w:t>la rappresentanza di ANCI e UPI</w:t>
      </w:r>
      <w:r w:rsidR="00D5777C">
        <w:rPr>
          <w:rFonts w:asciiTheme="minorHAnsi" w:hAnsiTheme="minorHAnsi" w:cstheme="minorHAnsi"/>
          <w:i/>
          <w:iCs/>
          <w:color w:val="000000"/>
          <w:sz w:val="24"/>
          <w:szCs w:val="24"/>
        </w:rPr>
        <w:t xml:space="preserve"> preclude </w:t>
      </w:r>
      <w:r w:rsidRPr="00D547A5">
        <w:rPr>
          <w:rFonts w:asciiTheme="minorHAnsi" w:hAnsiTheme="minorHAnsi" w:cstheme="minorHAnsi"/>
          <w:i/>
          <w:iCs/>
          <w:color w:val="000000"/>
          <w:sz w:val="24"/>
          <w:szCs w:val="24"/>
        </w:rPr>
        <w:t xml:space="preserve">la possibilità di salvaguardare gli interessi di Province, Comuni e </w:t>
      </w:r>
      <w:r w:rsidR="00D5777C">
        <w:rPr>
          <w:rFonts w:asciiTheme="minorHAnsi" w:hAnsiTheme="minorHAnsi" w:cstheme="minorHAnsi"/>
          <w:i/>
          <w:iCs/>
          <w:color w:val="000000"/>
          <w:sz w:val="24"/>
          <w:szCs w:val="24"/>
        </w:rPr>
        <w:t>C</w:t>
      </w:r>
      <w:r w:rsidRPr="00D547A5">
        <w:rPr>
          <w:rFonts w:asciiTheme="minorHAnsi" w:hAnsiTheme="minorHAnsi" w:cstheme="minorHAnsi"/>
          <w:i/>
          <w:iCs/>
          <w:color w:val="000000"/>
          <w:sz w:val="24"/>
          <w:szCs w:val="24"/>
        </w:rPr>
        <w:t>ittà metropolitane, considerando esclusivamente le Regioni e le Province autonome quali istituzioni cui riservare specifico confronto. La formulazione attuale</w:t>
      </w:r>
      <w:r w:rsidR="004119CE" w:rsidRPr="00D547A5">
        <w:rPr>
          <w:rFonts w:asciiTheme="minorHAnsi" w:hAnsiTheme="minorHAnsi" w:cstheme="minorHAnsi"/>
          <w:i/>
          <w:iCs/>
          <w:color w:val="000000"/>
          <w:sz w:val="24"/>
          <w:szCs w:val="24"/>
        </w:rPr>
        <w:t>,</w:t>
      </w:r>
      <w:r w:rsidRPr="00D547A5">
        <w:rPr>
          <w:rFonts w:asciiTheme="minorHAnsi" w:hAnsiTheme="minorHAnsi" w:cstheme="minorHAnsi"/>
          <w:i/>
          <w:iCs/>
          <w:color w:val="000000"/>
          <w:sz w:val="24"/>
          <w:szCs w:val="24"/>
        </w:rPr>
        <w:t xml:space="preserve"> dunque non tutela le comunità e i territori. </w:t>
      </w:r>
    </w:p>
    <w:p w14:paraId="1D42FE81" w14:textId="09D072A4" w:rsidR="004119CE" w:rsidRPr="00D547A5" w:rsidRDefault="004119CE" w:rsidP="00B633A3">
      <w:pPr>
        <w:pStyle w:val="Standard"/>
        <w:jc w:val="both"/>
        <w:rPr>
          <w:rFonts w:asciiTheme="minorHAnsi" w:hAnsiTheme="minorHAnsi" w:cstheme="minorHAnsi"/>
          <w:i/>
          <w:iCs/>
          <w:color w:val="000000"/>
          <w:sz w:val="24"/>
          <w:szCs w:val="24"/>
        </w:rPr>
      </w:pPr>
    </w:p>
    <w:p w14:paraId="1CCAB746" w14:textId="27E5CD07" w:rsidR="004119CE" w:rsidRPr="00D547A5" w:rsidRDefault="004119CE" w:rsidP="00B633A3">
      <w:pPr>
        <w:pStyle w:val="Standard"/>
        <w:jc w:val="both"/>
        <w:rPr>
          <w:rFonts w:asciiTheme="minorHAnsi" w:hAnsiTheme="minorHAnsi" w:cstheme="minorHAnsi"/>
          <w:i/>
          <w:iCs/>
          <w:color w:val="000000"/>
          <w:sz w:val="24"/>
          <w:szCs w:val="24"/>
        </w:rPr>
      </w:pPr>
    </w:p>
    <w:p w14:paraId="34E46F73" w14:textId="3A9463F9" w:rsidR="004119CE" w:rsidRPr="00D547A5" w:rsidRDefault="004119CE" w:rsidP="00B633A3">
      <w:pPr>
        <w:pStyle w:val="Standard"/>
        <w:jc w:val="both"/>
        <w:rPr>
          <w:rFonts w:asciiTheme="minorHAnsi" w:hAnsiTheme="minorHAnsi" w:cstheme="minorHAnsi"/>
          <w:i/>
          <w:iCs/>
          <w:color w:val="000000"/>
          <w:sz w:val="24"/>
          <w:szCs w:val="24"/>
        </w:rPr>
      </w:pPr>
    </w:p>
    <w:p w14:paraId="69CC0F16" w14:textId="546BB1B5" w:rsidR="004119CE" w:rsidRPr="00D547A5" w:rsidRDefault="004119CE" w:rsidP="00B633A3">
      <w:pPr>
        <w:pStyle w:val="Standard"/>
        <w:jc w:val="both"/>
        <w:rPr>
          <w:rFonts w:asciiTheme="minorHAnsi" w:hAnsiTheme="minorHAnsi" w:cstheme="minorHAnsi"/>
          <w:i/>
          <w:iCs/>
          <w:color w:val="000000"/>
          <w:sz w:val="24"/>
          <w:szCs w:val="24"/>
        </w:rPr>
      </w:pPr>
    </w:p>
    <w:p w14:paraId="428D4A1D" w14:textId="416120D0" w:rsidR="004119CE" w:rsidRPr="00D547A5" w:rsidRDefault="004119CE" w:rsidP="00B633A3">
      <w:pPr>
        <w:pStyle w:val="Standard"/>
        <w:jc w:val="both"/>
        <w:rPr>
          <w:rFonts w:asciiTheme="minorHAnsi" w:hAnsiTheme="minorHAnsi" w:cstheme="minorHAnsi"/>
          <w:i/>
          <w:iCs/>
          <w:color w:val="000000"/>
          <w:sz w:val="24"/>
          <w:szCs w:val="24"/>
        </w:rPr>
      </w:pPr>
    </w:p>
    <w:p w14:paraId="4634A314" w14:textId="6C611619" w:rsidR="004119CE" w:rsidRPr="00D547A5" w:rsidRDefault="004119CE" w:rsidP="00B633A3">
      <w:pPr>
        <w:pStyle w:val="Standard"/>
        <w:jc w:val="both"/>
        <w:rPr>
          <w:rFonts w:asciiTheme="minorHAnsi" w:hAnsiTheme="minorHAnsi" w:cstheme="minorHAnsi"/>
          <w:i/>
          <w:iCs/>
          <w:color w:val="000000"/>
          <w:sz w:val="24"/>
          <w:szCs w:val="24"/>
        </w:rPr>
      </w:pPr>
    </w:p>
    <w:p w14:paraId="6399A322" w14:textId="1814387B" w:rsidR="004119CE" w:rsidRPr="00D547A5" w:rsidRDefault="004119CE" w:rsidP="00B633A3">
      <w:pPr>
        <w:pStyle w:val="Standard"/>
        <w:jc w:val="both"/>
        <w:rPr>
          <w:rFonts w:asciiTheme="minorHAnsi" w:hAnsiTheme="minorHAnsi" w:cstheme="minorHAnsi"/>
          <w:i/>
          <w:iCs/>
          <w:color w:val="000000"/>
          <w:sz w:val="24"/>
          <w:szCs w:val="24"/>
        </w:rPr>
      </w:pPr>
    </w:p>
    <w:p w14:paraId="5EFD22AE" w14:textId="77777777" w:rsidR="004119CE" w:rsidRPr="00D547A5" w:rsidRDefault="004119CE" w:rsidP="00B633A3">
      <w:pPr>
        <w:pStyle w:val="Standard"/>
        <w:jc w:val="both"/>
        <w:rPr>
          <w:rFonts w:asciiTheme="minorHAnsi" w:hAnsiTheme="minorHAnsi" w:cstheme="minorHAnsi"/>
          <w:i/>
          <w:iCs/>
          <w:color w:val="000000"/>
          <w:sz w:val="24"/>
          <w:szCs w:val="24"/>
        </w:rPr>
      </w:pPr>
    </w:p>
    <w:p w14:paraId="1905F82D" w14:textId="653AF209" w:rsidR="00F80BD3" w:rsidRPr="00D547A5" w:rsidRDefault="00F80BD3">
      <w:pPr>
        <w:widowControl/>
        <w:suppressAutoHyphens w:val="0"/>
        <w:spacing w:after="160" w:line="259" w:lineRule="auto"/>
        <w:rPr>
          <w:rFonts w:asciiTheme="minorHAnsi" w:hAnsiTheme="minorHAnsi" w:cstheme="minorHAnsi"/>
          <w:i/>
          <w:iCs/>
          <w:color w:val="000000"/>
          <w:kern w:val="0"/>
          <w:lang w:eastAsia="en-US" w:bidi="ar-SA"/>
        </w:rPr>
      </w:pPr>
      <w:r w:rsidRPr="00D547A5">
        <w:rPr>
          <w:rFonts w:asciiTheme="minorHAnsi" w:hAnsiTheme="minorHAnsi" w:cstheme="minorHAnsi"/>
          <w:i/>
          <w:iCs/>
          <w:color w:val="000000"/>
        </w:rPr>
        <w:br w:type="page"/>
      </w:r>
    </w:p>
    <w:p w14:paraId="334BCF54" w14:textId="77777777" w:rsidR="005335A8" w:rsidRPr="00D547A5" w:rsidRDefault="005335A8" w:rsidP="005335A8">
      <w:pPr>
        <w:widowControl/>
        <w:suppressAutoHyphens w:val="0"/>
        <w:spacing w:before="100" w:beforeAutospacing="1" w:after="100" w:afterAutospacing="1"/>
        <w:jc w:val="right"/>
        <w:rPr>
          <w:rFonts w:asciiTheme="minorHAnsi" w:eastAsia="Times New Roman" w:hAnsiTheme="minorHAnsi" w:cstheme="minorHAnsi"/>
          <w:color w:val="000000"/>
          <w:kern w:val="0"/>
          <w:lang w:eastAsia="it-IT" w:bidi="ar-SA"/>
        </w:rPr>
      </w:pPr>
      <w:r w:rsidRPr="00D547A5">
        <w:rPr>
          <w:rFonts w:asciiTheme="minorHAnsi" w:hAnsiTheme="minorHAnsi" w:cstheme="minorHAnsi"/>
          <w:i/>
          <w:iCs/>
        </w:rPr>
        <w:lastRenderedPageBreak/>
        <w:t>TITOLO II - POTERI SOSTITUTIVI</w:t>
      </w:r>
    </w:p>
    <w:p w14:paraId="5F9A5FF4" w14:textId="77777777" w:rsidR="00F80BD3" w:rsidRPr="00D547A5" w:rsidRDefault="00F80BD3" w:rsidP="00F80BD3">
      <w:pPr>
        <w:widowControl/>
        <w:suppressAutoHyphens w:val="0"/>
        <w:spacing w:before="100" w:beforeAutospacing="1" w:after="100" w:afterAutospacing="1"/>
        <w:jc w:val="both"/>
        <w:rPr>
          <w:rFonts w:asciiTheme="minorHAnsi" w:eastAsia="Times New Roman" w:hAnsiTheme="minorHAnsi" w:cstheme="minorHAnsi"/>
          <w:color w:val="000000"/>
          <w:kern w:val="0"/>
          <w:lang w:eastAsia="it-IT" w:bidi="ar-SA"/>
        </w:rPr>
      </w:pPr>
    </w:p>
    <w:p w14:paraId="4060030F" w14:textId="77777777" w:rsidR="00F80BD3" w:rsidRPr="00D547A5" w:rsidRDefault="00F80BD3" w:rsidP="00F80BD3">
      <w:pPr>
        <w:widowControl/>
        <w:suppressAutoHyphens w:val="0"/>
        <w:spacing w:before="100" w:beforeAutospacing="1" w:after="100" w:afterAutospacing="1"/>
        <w:jc w:val="both"/>
        <w:rPr>
          <w:rFonts w:asciiTheme="minorHAnsi" w:eastAsia="Times New Roman" w:hAnsiTheme="minorHAnsi" w:cstheme="minorHAnsi"/>
          <w:color w:val="000000"/>
          <w:kern w:val="0"/>
          <w:lang w:eastAsia="it-IT" w:bidi="ar-SA"/>
        </w:rPr>
      </w:pPr>
    </w:p>
    <w:p w14:paraId="15FCFFD5" w14:textId="77777777" w:rsidR="005335A8" w:rsidRPr="00D547A5" w:rsidRDefault="005335A8" w:rsidP="005335A8">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Art. 12</w:t>
      </w:r>
    </w:p>
    <w:p w14:paraId="25EF3D36" w14:textId="77777777" w:rsidR="005335A8" w:rsidRPr="00D547A5" w:rsidRDefault="005335A8" w:rsidP="005335A8">
      <w:pPr>
        <w:pStyle w:val="Standard"/>
        <w:spacing w:after="0" w:line="240" w:lineRule="auto"/>
        <w:jc w:val="center"/>
        <w:rPr>
          <w:rFonts w:asciiTheme="minorHAnsi" w:hAnsiTheme="minorHAnsi" w:cstheme="minorHAnsi"/>
          <w:sz w:val="24"/>
          <w:szCs w:val="24"/>
        </w:rPr>
      </w:pPr>
      <w:r w:rsidRPr="00D547A5">
        <w:rPr>
          <w:rFonts w:asciiTheme="minorHAnsi" w:hAnsiTheme="minorHAnsi" w:cstheme="minorHAnsi"/>
          <w:sz w:val="24"/>
          <w:szCs w:val="24"/>
        </w:rPr>
        <w:t xml:space="preserve">(Poteri sostitutivi) </w:t>
      </w:r>
    </w:p>
    <w:p w14:paraId="660C083F" w14:textId="77777777" w:rsidR="005335A8" w:rsidRPr="00D547A5" w:rsidRDefault="005335A8" w:rsidP="005335A8">
      <w:pPr>
        <w:pStyle w:val="Standard"/>
        <w:jc w:val="both"/>
        <w:rPr>
          <w:rFonts w:asciiTheme="minorHAnsi" w:hAnsiTheme="minorHAnsi" w:cstheme="minorHAnsi"/>
          <w:sz w:val="24"/>
          <w:szCs w:val="24"/>
        </w:rPr>
      </w:pPr>
    </w:p>
    <w:p w14:paraId="76A54B99" w14:textId="77777777" w:rsidR="005335A8" w:rsidRPr="00D547A5" w:rsidRDefault="005335A8" w:rsidP="005335A8">
      <w:pPr>
        <w:pStyle w:val="Standard"/>
        <w:jc w:val="both"/>
        <w:rPr>
          <w:rFonts w:asciiTheme="minorHAnsi" w:hAnsiTheme="minorHAnsi" w:cstheme="minorHAnsi"/>
          <w:sz w:val="24"/>
          <w:szCs w:val="24"/>
        </w:rPr>
      </w:pPr>
    </w:p>
    <w:p w14:paraId="3E52304E" w14:textId="77777777" w:rsidR="005335A8" w:rsidRPr="00D547A5" w:rsidRDefault="005335A8" w:rsidP="005335A8">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All’art. 12, comma 1, alla fine aggiungere le seguenti parole “, nel rispetto di quanto previsto dall’articolo 8, comma 4, della legge 5 giugno 2003, n. 131.”</w:t>
      </w:r>
    </w:p>
    <w:p w14:paraId="721406C3" w14:textId="77777777" w:rsidR="005335A8" w:rsidRPr="00D547A5" w:rsidRDefault="005335A8" w:rsidP="005335A8">
      <w:pPr>
        <w:pStyle w:val="Standard"/>
        <w:jc w:val="both"/>
        <w:rPr>
          <w:rFonts w:asciiTheme="minorHAnsi" w:hAnsiTheme="minorHAnsi" w:cstheme="minorHAnsi"/>
          <w:color w:val="000000"/>
          <w:sz w:val="24"/>
          <w:szCs w:val="24"/>
        </w:rPr>
      </w:pPr>
    </w:p>
    <w:p w14:paraId="1E938A75" w14:textId="77777777" w:rsidR="009D5E38" w:rsidRPr="00D547A5" w:rsidRDefault="009D5E38" w:rsidP="009D5E3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MOTIVAZIONE</w:t>
      </w:r>
    </w:p>
    <w:p w14:paraId="0DFFB0FE" w14:textId="70E716E7" w:rsidR="005335A8" w:rsidRPr="00D547A5" w:rsidRDefault="005335A8" w:rsidP="005335A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L’esercizio dei poteri sostitutivi per l’attuazione dei progetti del PNRR deve comunque avvenire in un quadro di leale collaborazione istituzionale con le autonomie territoriali e nel rispetto delle procedure previste dalla legge 131/03</w:t>
      </w:r>
      <w:r w:rsidR="006852EE">
        <w:rPr>
          <w:rFonts w:asciiTheme="minorHAnsi" w:hAnsiTheme="minorHAnsi" w:cstheme="minorHAnsi"/>
          <w:i/>
          <w:iCs/>
          <w:color w:val="000000"/>
          <w:sz w:val="24"/>
          <w:szCs w:val="24"/>
        </w:rPr>
        <w:t xml:space="preserve"> che prevede il coinvolgimento delle sedi di raccordo istituzionale, quali la Conferenza Stato – Regione e la Conferenza Stato – Città ed autonomie locali.</w:t>
      </w:r>
    </w:p>
    <w:p w14:paraId="61E05577" w14:textId="77777777" w:rsidR="005174A7" w:rsidRPr="00D547A5" w:rsidRDefault="005174A7">
      <w:pPr>
        <w:widowControl/>
        <w:suppressAutoHyphens w:val="0"/>
        <w:spacing w:after="160" w:line="259" w:lineRule="auto"/>
        <w:rPr>
          <w:rFonts w:asciiTheme="minorHAnsi" w:hAnsiTheme="minorHAnsi" w:cstheme="minorHAnsi"/>
          <w:color w:val="333333"/>
          <w:shd w:val="clear" w:color="auto" w:fill="FFFFFF"/>
        </w:rPr>
      </w:pPr>
      <w:r w:rsidRPr="00D547A5">
        <w:rPr>
          <w:rFonts w:asciiTheme="minorHAnsi" w:hAnsiTheme="minorHAnsi" w:cstheme="minorHAnsi"/>
          <w:color w:val="333333"/>
          <w:shd w:val="clear" w:color="auto" w:fill="FFFFFF"/>
        </w:rPr>
        <w:br w:type="page"/>
      </w:r>
    </w:p>
    <w:p w14:paraId="763BA45F" w14:textId="2BD8E393" w:rsidR="005174A7" w:rsidRPr="00D547A5" w:rsidRDefault="005174A7" w:rsidP="009E15DE">
      <w:pPr>
        <w:widowControl/>
        <w:suppressAutoHyphens w:val="0"/>
        <w:spacing w:before="100" w:beforeAutospacing="1" w:after="100" w:afterAutospacing="1"/>
        <w:jc w:val="right"/>
        <w:rPr>
          <w:rFonts w:asciiTheme="minorHAnsi" w:eastAsia="Times New Roman" w:hAnsiTheme="minorHAnsi" w:cstheme="minorHAnsi"/>
          <w:color w:val="000000"/>
          <w:kern w:val="0"/>
          <w:lang w:eastAsia="it-IT" w:bidi="ar-SA"/>
        </w:rPr>
      </w:pPr>
      <w:r w:rsidRPr="00D547A5">
        <w:rPr>
          <w:rFonts w:asciiTheme="minorHAnsi" w:hAnsiTheme="minorHAnsi" w:cstheme="minorHAnsi"/>
          <w:i/>
          <w:iCs/>
        </w:rPr>
        <w:lastRenderedPageBreak/>
        <w:t>TITOLO II - POTERI SOSTITUTIVI</w:t>
      </w:r>
    </w:p>
    <w:p w14:paraId="691DD129" w14:textId="77777777" w:rsidR="005174A7" w:rsidRPr="00D547A5" w:rsidRDefault="005174A7" w:rsidP="005174A7">
      <w:pPr>
        <w:widowControl/>
        <w:suppressAutoHyphens w:val="0"/>
        <w:spacing w:before="100" w:beforeAutospacing="1" w:after="100" w:afterAutospacing="1"/>
        <w:jc w:val="center"/>
        <w:rPr>
          <w:rFonts w:asciiTheme="minorHAnsi" w:eastAsia="Times New Roman" w:hAnsiTheme="minorHAnsi" w:cstheme="minorHAnsi"/>
          <w:color w:val="000000"/>
          <w:kern w:val="0"/>
          <w:lang w:eastAsia="it-IT" w:bidi="ar-SA"/>
        </w:rPr>
      </w:pPr>
    </w:p>
    <w:p w14:paraId="37EE0D74" w14:textId="77777777" w:rsidR="005174A7" w:rsidRPr="00D547A5" w:rsidRDefault="005174A7" w:rsidP="005174A7">
      <w:pPr>
        <w:widowControl/>
        <w:suppressAutoHyphens w:val="0"/>
        <w:spacing w:before="100" w:beforeAutospacing="1" w:after="100" w:afterAutospacing="1"/>
        <w:jc w:val="center"/>
        <w:rPr>
          <w:rFonts w:asciiTheme="minorHAnsi" w:eastAsia="Times New Roman" w:hAnsiTheme="minorHAnsi" w:cstheme="minorHAnsi"/>
          <w:color w:val="000000"/>
          <w:kern w:val="0"/>
          <w:lang w:eastAsia="it-IT" w:bidi="ar-SA"/>
        </w:rPr>
      </w:pPr>
    </w:p>
    <w:p w14:paraId="4286E2C6" w14:textId="77777777" w:rsidR="005174A7" w:rsidRPr="00D547A5" w:rsidRDefault="005174A7" w:rsidP="005174A7">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12</w:t>
      </w:r>
    </w:p>
    <w:p w14:paraId="4BB69248" w14:textId="77777777" w:rsidR="005174A7" w:rsidRPr="00D547A5" w:rsidRDefault="005174A7" w:rsidP="005174A7">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(Poteri sostitutivi)</w:t>
      </w:r>
    </w:p>
    <w:p w14:paraId="3616B185" w14:textId="77777777" w:rsidR="005174A7" w:rsidRPr="00D547A5" w:rsidRDefault="005174A7" w:rsidP="005174A7">
      <w:pPr>
        <w:pStyle w:val="Standard"/>
        <w:spacing w:after="0" w:line="240" w:lineRule="auto"/>
        <w:jc w:val="center"/>
        <w:rPr>
          <w:rFonts w:asciiTheme="minorHAnsi" w:hAnsiTheme="minorHAnsi" w:cstheme="minorHAnsi"/>
          <w:color w:val="000000"/>
          <w:sz w:val="24"/>
          <w:szCs w:val="24"/>
        </w:rPr>
      </w:pPr>
    </w:p>
    <w:p w14:paraId="1FA4FB3C" w14:textId="40A9F2A3" w:rsidR="005174A7" w:rsidRPr="00D547A5" w:rsidRDefault="005174A7" w:rsidP="005174A7">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Al comma 6, all’inizio del secondo periodo, inserire le seguenti</w:t>
      </w:r>
      <w:r w:rsidR="00F12695">
        <w:rPr>
          <w:rFonts w:asciiTheme="minorHAnsi" w:hAnsiTheme="minorHAnsi" w:cstheme="minorHAnsi"/>
          <w:color w:val="000000"/>
          <w:sz w:val="24"/>
          <w:szCs w:val="24"/>
        </w:rPr>
        <w:t>:</w:t>
      </w:r>
    </w:p>
    <w:p w14:paraId="1746DDF4" w14:textId="77777777" w:rsidR="005174A7" w:rsidRPr="00D547A5" w:rsidRDefault="005174A7" w:rsidP="005174A7">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“Fino al momento dell’attivazione del potere sostitutivo”</w:t>
      </w:r>
    </w:p>
    <w:p w14:paraId="14BD931D" w14:textId="77777777" w:rsidR="005174A7" w:rsidRPr="00D547A5" w:rsidRDefault="005174A7" w:rsidP="005174A7">
      <w:pPr>
        <w:widowControl/>
        <w:suppressAutoHyphens w:val="0"/>
        <w:spacing w:before="100" w:beforeAutospacing="1" w:after="100" w:afterAutospacing="1"/>
        <w:jc w:val="both"/>
        <w:rPr>
          <w:rFonts w:asciiTheme="minorHAnsi" w:eastAsia="Times New Roman" w:hAnsiTheme="minorHAnsi" w:cstheme="minorHAnsi"/>
          <w:i/>
          <w:iCs/>
          <w:color w:val="000000"/>
          <w:kern w:val="0"/>
          <w:u w:val="single"/>
          <w:lang w:eastAsia="it-IT" w:bidi="ar-SA"/>
        </w:rPr>
      </w:pPr>
    </w:p>
    <w:p w14:paraId="47C17F39" w14:textId="77777777" w:rsidR="005174A7" w:rsidRPr="00D547A5" w:rsidRDefault="005174A7" w:rsidP="005174A7">
      <w:pPr>
        <w:widowControl/>
        <w:suppressAutoHyphens w:val="0"/>
        <w:spacing w:before="100" w:beforeAutospacing="1" w:after="100" w:afterAutospacing="1"/>
        <w:jc w:val="both"/>
        <w:rPr>
          <w:rFonts w:asciiTheme="minorHAnsi" w:eastAsia="Times New Roman" w:hAnsiTheme="minorHAnsi" w:cstheme="minorHAnsi"/>
          <w:i/>
          <w:iCs/>
          <w:color w:val="000000"/>
          <w:kern w:val="0"/>
          <w:u w:val="single"/>
          <w:lang w:eastAsia="it-IT" w:bidi="ar-SA"/>
        </w:rPr>
      </w:pPr>
    </w:p>
    <w:p w14:paraId="1D336ADF" w14:textId="77777777" w:rsidR="009D5E38" w:rsidRPr="00D547A5" w:rsidRDefault="009D5E38" w:rsidP="009D5E3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MOTIVAZIONE</w:t>
      </w:r>
    </w:p>
    <w:p w14:paraId="13B37D69" w14:textId="77777777" w:rsidR="005174A7" w:rsidRPr="00D547A5" w:rsidRDefault="005174A7" w:rsidP="005174A7">
      <w:pPr>
        <w:widowControl/>
        <w:suppressAutoHyphens w:val="0"/>
        <w:spacing w:after="160" w:line="259" w:lineRule="auto"/>
        <w:jc w:val="both"/>
        <w:rPr>
          <w:rFonts w:asciiTheme="minorHAnsi" w:hAnsiTheme="minorHAnsi" w:cstheme="minorHAnsi"/>
          <w:i/>
          <w:iCs/>
          <w:color w:val="000000"/>
          <w:kern w:val="0"/>
          <w:lang w:eastAsia="en-US" w:bidi="ar-SA"/>
        </w:rPr>
      </w:pPr>
      <w:r w:rsidRPr="00D547A5">
        <w:rPr>
          <w:rFonts w:asciiTheme="minorHAnsi" w:hAnsiTheme="minorHAnsi" w:cstheme="minorHAnsi"/>
          <w:i/>
          <w:iCs/>
          <w:color w:val="000000"/>
          <w:kern w:val="0"/>
          <w:lang w:eastAsia="en-US" w:bidi="ar-SA"/>
        </w:rPr>
        <w:t xml:space="preserve">L’art. 12 al comma 6 prevede che “di tutte le obbligazioni nei confronti di terzi rispondono, con le risorse del piano o con risorse proprie, esclusivamente i soggetti attuatori sostituiti.” </w:t>
      </w:r>
    </w:p>
    <w:p w14:paraId="67DEE3B5" w14:textId="77777777" w:rsidR="005174A7" w:rsidRPr="00D547A5" w:rsidRDefault="005174A7" w:rsidP="005174A7">
      <w:pPr>
        <w:widowControl/>
        <w:suppressAutoHyphens w:val="0"/>
        <w:spacing w:after="160" w:line="259" w:lineRule="auto"/>
        <w:jc w:val="both"/>
        <w:rPr>
          <w:rFonts w:asciiTheme="minorHAnsi" w:hAnsiTheme="minorHAnsi" w:cstheme="minorHAnsi"/>
          <w:i/>
          <w:iCs/>
          <w:color w:val="000000"/>
          <w:kern w:val="0"/>
          <w:lang w:eastAsia="en-US" w:bidi="ar-SA"/>
        </w:rPr>
      </w:pPr>
      <w:r w:rsidRPr="00D547A5">
        <w:rPr>
          <w:rFonts w:asciiTheme="minorHAnsi" w:hAnsiTheme="minorHAnsi" w:cstheme="minorHAnsi"/>
          <w:i/>
          <w:iCs/>
          <w:color w:val="000000"/>
          <w:kern w:val="0"/>
          <w:lang w:eastAsia="en-US" w:bidi="ar-SA"/>
        </w:rPr>
        <w:t>L’emendamento è finalizzato a chiarire che i soggetti attuatori sostituiti risponderanno delle obbligazioni contratte fino al momento dell’attivazione del potere sostitutivo e non anche successivamente.</w:t>
      </w:r>
    </w:p>
    <w:p w14:paraId="4C1FCB24" w14:textId="3DA742AF" w:rsidR="009D5E38" w:rsidRPr="009E15DE" w:rsidRDefault="005174A7" w:rsidP="009E15DE">
      <w:pPr>
        <w:widowControl/>
        <w:suppressAutoHyphens w:val="0"/>
        <w:spacing w:after="160" w:line="259" w:lineRule="auto"/>
        <w:jc w:val="right"/>
        <w:rPr>
          <w:rFonts w:asciiTheme="minorHAnsi" w:hAnsiTheme="minorHAnsi" w:cstheme="minorHAnsi"/>
          <w:i/>
          <w:iCs/>
          <w:color w:val="000000"/>
        </w:rPr>
      </w:pPr>
      <w:r w:rsidRPr="00D547A5">
        <w:rPr>
          <w:rFonts w:asciiTheme="minorHAnsi" w:hAnsiTheme="minorHAnsi" w:cstheme="minorHAnsi"/>
          <w:i/>
          <w:iCs/>
          <w:color w:val="000000"/>
        </w:rPr>
        <w:br w:type="page"/>
      </w:r>
      <w:r w:rsidR="009D5E38" w:rsidRPr="00D547A5">
        <w:rPr>
          <w:rFonts w:asciiTheme="minorHAnsi" w:hAnsiTheme="minorHAnsi" w:cstheme="minorHAnsi"/>
          <w:i/>
          <w:iCs/>
        </w:rPr>
        <w:lastRenderedPageBreak/>
        <w:t xml:space="preserve">TITOLO II </w:t>
      </w:r>
      <w:r w:rsidR="009D5E38">
        <w:rPr>
          <w:rFonts w:asciiTheme="minorHAnsi" w:hAnsiTheme="minorHAnsi" w:cstheme="minorHAnsi"/>
          <w:i/>
          <w:iCs/>
        </w:rPr>
        <w:t>–</w:t>
      </w:r>
      <w:r w:rsidR="009D5E38" w:rsidRPr="00D547A5">
        <w:rPr>
          <w:rFonts w:asciiTheme="minorHAnsi" w:hAnsiTheme="minorHAnsi" w:cstheme="minorHAnsi"/>
          <w:i/>
          <w:iCs/>
        </w:rPr>
        <w:t xml:space="preserve"> </w:t>
      </w:r>
      <w:r w:rsidR="003C23B0">
        <w:rPr>
          <w:rFonts w:asciiTheme="minorHAnsi" w:hAnsiTheme="minorHAnsi" w:cstheme="minorHAnsi"/>
          <w:i/>
          <w:iCs/>
        </w:rPr>
        <w:t>Estensione della disciplina del PNRR</w:t>
      </w:r>
    </w:p>
    <w:p w14:paraId="78D0E659" w14:textId="77777777" w:rsidR="009D5E38" w:rsidRDefault="009D5E38" w:rsidP="005174A7">
      <w:pPr>
        <w:widowControl/>
        <w:suppressAutoHyphens w:val="0"/>
        <w:spacing w:after="160" w:line="259" w:lineRule="auto"/>
        <w:rPr>
          <w:rFonts w:asciiTheme="minorHAnsi" w:hAnsiTheme="minorHAnsi" w:cstheme="minorHAnsi"/>
          <w:color w:val="333333"/>
          <w:shd w:val="clear" w:color="auto" w:fill="FFFFFF"/>
        </w:rPr>
      </w:pPr>
    </w:p>
    <w:p w14:paraId="0023C440" w14:textId="77777777" w:rsidR="009D5E38" w:rsidRDefault="009D5E38" w:rsidP="005174A7">
      <w:pPr>
        <w:widowControl/>
        <w:suppressAutoHyphens w:val="0"/>
        <w:spacing w:after="160" w:line="259" w:lineRule="auto"/>
        <w:rPr>
          <w:rFonts w:asciiTheme="minorHAnsi" w:hAnsiTheme="minorHAnsi" w:cstheme="minorHAnsi"/>
          <w:color w:val="333333"/>
          <w:shd w:val="clear" w:color="auto" w:fill="FFFFFF"/>
        </w:rPr>
      </w:pPr>
    </w:p>
    <w:p w14:paraId="03090019" w14:textId="68E1E092" w:rsidR="009D5E38" w:rsidRDefault="009D5E38" w:rsidP="009D5E38">
      <w:pPr>
        <w:widowControl/>
        <w:suppressAutoHyphens w:val="0"/>
        <w:spacing w:after="160" w:line="259" w:lineRule="auto"/>
        <w:jc w:val="center"/>
        <w:rPr>
          <w:rFonts w:asciiTheme="minorHAnsi" w:hAnsiTheme="minorHAnsi" w:cstheme="minorHAnsi"/>
          <w:color w:val="333333"/>
          <w:shd w:val="clear" w:color="auto" w:fill="FFFFFF"/>
        </w:rPr>
      </w:pPr>
      <w:r w:rsidRPr="00D547A5">
        <w:rPr>
          <w:rFonts w:asciiTheme="minorHAnsi" w:hAnsiTheme="minorHAnsi" w:cstheme="minorHAnsi"/>
          <w:color w:val="333333"/>
          <w:shd w:val="clear" w:color="auto" w:fill="FFFFFF"/>
        </w:rPr>
        <w:t>Art. 14</w:t>
      </w:r>
    </w:p>
    <w:p w14:paraId="3C711D7E" w14:textId="54B60505" w:rsidR="009D5E38" w:rsidRDefault="009D5E38" w:rsidP="009D5E38">
      <w:pPr>
        <w:widowControl/>
        <w:suppressAutoHyphens w:val="0"/>
        <w:spacing w:after="160" w:line="259" w:lineRule="auto"/>
        <w:jc w:val="cente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(Estensione della disciplina del PNRR al Piano complementare</w:t>
      </w:r>
      <w:r w:rsidR="009E15DE">
        <w:rPr>
          <w:rFonts w:asciiTheme="minorHAnsi" w:hAnsiTheme="minorHAnsi" w:cstheme="minorHAnsi"/>
          <w:color w:val="333333"/>
          <w:shd w:val="clear" w:color="auto" w:fill="FFFFFF"/>
        </w:rPr>
        <w:t>)</w:t>
      </w:r>
    </w:p>
    <w:p w14:paraId="6B57410A" w14:textId="77777777" w:rsidR="009D5E38" w:rsidRDefault="009D5E38" w:rsidP="005174A7">
      <w:pPr>
        <w:widowControl/>
        <w:suppressAutoHyphens w:val="0"/>
        <w:spacing w:after="160" w:line="259" w:lineRule="auto"/>
        <w:rPr>
          <w:rFonts w:asciiTheme="minorHAnsi" w:hAnsiTheme="minorHAnsi" w:cstheme="minorHAnsi"/>
          <w:color w:val="333333"/>
          <w:shd w:val="clear" w:color="auto" w:fill="FFFFFF"/>
        </w:rPr>
      </w:pPr>
    </w:p>
    <w:p w14:paraId="6484B8F1" w14:textId="7E21B25C" w:rsidR="004E12C7" w:rsidRDefault="009D5E38" w:rsidP="00BA131B">
      <w:pPr>
        <w:widowControl/>
        <w:suppressAutoHyphens w:val="0"/>
        <w:spacing w:after="160" w:line="259" w:lineRule="auto"/>
        <w:jc w:val="both"/>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All’articolo </w:t>
      </w:r>
      <w:r w:rsidR="004E12C7" w:rsidRPr="00D547A5">
        <w:rPr>
          <w:rFonts w:asciiTheme="minorHAnsi" w:hAnsiTheme="minorHAnsi" w:cstheme="minorHAnsi"/>
          <w:color w:val="333333"/>
          <w:shd w:val="clear" w:color="auto" w:fill="FFFFFF"/>
        </w:rPr>
        <w:t>14</w:t>
      </w:r>
      <w:r>
        <w:rPr>
          <w:rFonts w:asciiTheme="minorHAnsi" w:hAnsiTheme="minorHAnsi" w:cstheme="minorHAnsi"/>
          <w:color w:val="333333"/>
          <w:shd w:val="clear" w:color="auto" w:fill="FFFFFF"/>
        </w:rPr>
        <w:t xml:space="preserve">, </w:t>
      </w:r>
      <w:r w:rsidR="004E12C7" w:rsidRPr="00D547A5">
        <w:rPr>
          <w:rFonts w:asciiTheme="minorHAnsi" w:hAnsiTheme="minorHAnsi" w:cstheme="minorHAnsi"/>
          <w:color w:val="333333"/>
          <w:shd w:val="clear" w:color="auto" w:fill="FFFFFF"/>
        </w:rPr>
        <w:t>comma 1</w:t>
      </w:r>
      <w:r>
        <w:rPr>
          <w:rFonts w:asciiTheme="minorHAnsi" w:hAnsiTheme="minorHAnsi" w:cstheme="minorHAnsi"/>
          <w:color w:val="333333"/>
          <w:shd w:val="clear" w:color="auto" w:fill="FFFFFF"/>
        </w:rPr>
        <w:t>, d</w:t>
      </w:r>
      <w:r w:rsidR="004E12C7" w:rsidRPr="00D547A5">
        <w:rPr>
          <w:rFonts w:asciiTheme="minorHAnsi" w:hAnsiTheme="minorHAnsi" w:cstheme="minorHAnsi"/>
          <w:color w:val="333333"/>
          <w:shd w:val="clear" w:color="auto" w:fill="FFFFFF"/>
        </w:rPr>
        <w:t xml:space="preserve">opo le parole </w:t>
      </w:r>
      <w:r>
        <w:rPr>
          <w:rFonts w:asciiTheme="minorHAnsi" w:hAnsiTheme="minorHAnsi" w:cstheme="minorHAnsi"/>
          <w:color w:val="333333"/>
          <w:shd w:val="clear" w:color="auto" w:fill="FFFFFF"/>
        </w:rPr>
        <w:t xml:space="preserve">“6 maggio 2001, </w:t>
      </w:r>
      <w:r w:rsidR="004E12C7" w:rsidRPr="00D547A5">
        <w:rPr>
          <w:rFonts w:asciiTheme="minorHAnsi" w:hAnsiTheme="minorHAnsi" w:cstheme="minorHAnsi"/>
          <w:color w:val="333333"/>
          <w:shd w:val="clear" w:color="auto" w:fill="FFFFFF"/>
        </w:rPr>
        <w:t>n. 59</w:t>
      </w:r>
      <w:r>
        <w:rPr>
          <w:rFonts w:asciiTheme="minorHAnsi" w:hAnsiTheme="minorHAnsi" w:cstheme="minorHAnsi"/>
          <w:color w:val="333333"/>
          <w:shd w:val="clear" w:color="auto" w:fill="FFFFFF"/>
        </w:rPr>
        <w:t>” aggiungere le parole “</w:t>
      </w:r>
      <w:r w:rsidR="004E12C7" w:rsidRPr="00D547A5">
        <w:rPr>
          <w:rFonts w:asciiTheme="minorHAnsi" w:hAnsiTheme="minorHAnsi" w:cstheme="minorHAnsi"/>
          <w:color w:val="333333"/>
          <w:shd w:val="clear" w:color="auto" w:fill="FFFFFF"/>
        </w:rPr>
        <w:t xml:space="preserve">, nonché ai piani di investimento già finanziati o da finanziare attraverso </w:t>
      </w:r>
      <w:r w:rsidR="007D40E9">
        <w:rPr>
          <w:rFonts w:asciiTheme="minorHAnsi" w:hAnsiTheme="minorHAnsi" w:cstheme="minorHAnsi"/>
          <w:color w:val="333333"/>
          <w:shd w:val="clear" w:color="auto" w:fill="FFFFFF"/>
        </w:rPr>
        <w:t xml:space="preserve">risorse </w:t>
      </w:r>
      <w:r w:rsidR="004E12C7" w:rsidRPr="00D547A5">
        <w:rPr>
          <w:rFonts w:asciiTheme="minorHAnsi" w:hAnsiTheme="minorHAnsi" w:cstheme="minorHAnsi"/>
          <w:color w:val="333333"/>
          <w:shd w:val="clear" w:color="auto" w:fill="FFFFFF"/>
        </w:rPr>
        <w:t xml:space="preserve">europee, nazionali </w:t>
      </w:r>
      <w:r w:rsidR="007D40E9">
        <w:rPr>
          <w:rFonts w:asciiTheme="minorHAnsi" w:hAnsiTheme="minorHAnsi" w:cstheme="minorHAnsi"/>
          <w:color w:val="333333"/>
          <w:shd w:val="clear" w:color="auto" w:fill="FFFFFF"/>
        </w:rPr>
        <w:t>o</w:t>
      </w:r>
      <w:r w:rsidR="004E12C7" w:rsidRPr="00D547A5">
        <w:rPr>
          <w:rFonts w:asciiTheme="minorHAnsi" w:hAnsiTheme="minorHAnsi" w:cstheme="minorHAnsi"/>
          <w:color w:val="333333"/>
          <w:shd w:val="clear" w:color="auto" w:fill="FFFFFF"/>
        </w:rPr>
        <w:t xml:space="preserve"> regionali</w:t>
      </w:r>
      <w:r>
        <w:rPr>
          <w:rFonts w:asciiTheme="minorHAnsi" w:hAnsiTheme="minorHAnsi" w:cstheme="minorHAnsi"/>
          <w:color w:val="333333"/>
          <w:shd w:val="clear" w:color="auto" w:fill="FFFFFF"/>
        </w:rPr>
        <w:t>.”</w:t>
      </w:r>
    </w:p>
    <w:p w14:paraId="52CAF663" w14:textId="77777777" w:rsidR="009D5E38" w:rsidRPr="00D547A5" w:rsidRDefault="009D5E38" w:rsidP="00BA131B">
      <w:pPr>
        <w:widowControl/>
        <w:suppressAutoHyphens w:val="0"/>
        <w:spacing w:after="160" w:line="259" w:lineRule="auto"/>
        <w:jc w:val="both"/>
        <w:rPr>
          <w:rFonts w:asciiTheme="minorHAnsi" w:hAnsiTheme="minorHAnsi" w:cstheme="minorHAnsi"/>
          <w:color w:val="333333"/>
          <w:shd w:val="clear" w:color="auto" w:fill="FFFFFF"/>
        </w:rPr>
      </w:pPr>
    </w:p>
    <w:p w14:paraId="4456438B" w14:textId="6C6F1A67" w:rsidR="004E12C7" w:rsidRPr="009D5E38" w:rsidRDefault="009D5E38" w:rsidP="004E12C7">
      <w:pPr>
        <w:widowControl/>
        <w:suppressAutoHyphens w:val="0"/>
        <w:spacing w:after="160" w:line="259" w:lineRule="auto"/>
        <w:jc w:val="both"/>
        <w:rPr>
          <w:rFonts w:asciiTheme="minorHAnsi" w:hAnsiTheme="minorHAnsi" w:cstheme="minorHAnsi"/>
          <w:i/>
          <w:iCs/>
          <w:color w:val="000000"/>
          <w:kern w:val="0"/>
          <w:lang w:eastAsia="en-US" w:bidi="ar-SA"/>
        </w:rPr>
      </w:pPr>
      <w:r w:rsidRPr="009D5E38">
        <w:rPr>
          <w:rFonts w:asciiTheme="minorHAnsi" w:hAnsiTheme="minorHAnsi" w:cstheme="minorHAnsi"/>
          <w:i/>
          <w:iCs/>
          <w:color w:val="000000"/>
          <w:kern w:val="0"/>
          <w:lang w:eastAsia="en-US" w:bidi="ar-SA"/>
        </w:rPr>
        <w:t>MOTIVAZIONE</w:t>
      </w:r>
    </w:p>
    <w:p w14:paraId="271D46F6" w14:textId="77777777" w:rsidR="003C23B0" w:rsidRDefault="009D5E38" w:rsidP="004E12C7">
      <w:pPr>
        <w:pStyle w:val="Standard"/>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Le misure e le procedure di accelerazione e semplificazione previste per il Piano Nazionale di Ripresa e Resilienza e per il Piano complementare costituiscono una sfida che deve portare ad una riforma generale della pubblica amministrazione</w:t>
      </w:r>
      <w:r w:rsidR="003C23B0">
        <w:rPr>
          <w:rFonts w:asciiTheme="minorHAnsi" w:hAnsiTheme="minorHAnsi" w:cstheme="minorHAnsi"/>
          <w:i/>
          <w:iCs/>
          <w:color w:val="000000"/>
          <w:sz w:val="24"/>
          <w:szCs w:val="24"/>
        </w:rPr>
        <w:t xml:space="preserve"> e a migliorare la capacità delle pubbliche amministrazioni di progettare e realizzare investimenti strategici per il Paese</w:t>
      </w:r>
      <w:r>
        <w:rPr>
          <w:rFonts w:asciiTheme="minorHAnsi" w:hAnsiTheme="minorHAnsi" w:cstheme="minorHAnsi"/>
          <w:i/>
          <w:iCs/>
          <w:color w:val="000000"/>
          <w:sz w:val="24"/>
          <w:szCs w:val="24"/>
        </w:rPr>
        <w:t>.</w:t>
      </w:r>
    </w:p>
    <w:p w14:paraId="3C69FBBF" w14:textId="4AA9730A" w:rsidR="004E12C7" w:rsidRPr="00D547A5" w:rsidRDefault="009D5E38" w:rsidP="004E12C7">
      <w:pPr>
        <w:pStyle w:val="Standard"/>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 xml:space="preserve">A questi fini, anche </w:t>
      </w:r>
      <w:r w:rsidR="00D5777C">
        <w:rPr>
          <w:rFonts w:asciiTheme="minorHAnsi" w:hAnsiTheme="minorHAnsi" w:cstheme="minorHAnsi"/>
          <w:i/>
          <w:iCs/>
          <w:color w:val="000000"/>
          <w:sz w:val="24"/>
          <w:szCs w:val="24"/>
        </w:rPr>
        <w:t xml:space="preserve">per </w:t>
      </w:r>
      <w:r>
        <w:rPr>
          <w:rFonts w:asciiTheme="minorHAnsi" w:hAnsiTheme="minorHAnsi" w:cstheme="minorHAnsi"/>
          <w:i/>
          <w:iCs/>
          <w:color w:val="000000"/>
          <w:sz w:val="24"/>
          <w:szCs w:val="24"/>
        </w:rPr>
        <w:t xml:space="preserve">evitare sovrapposizioni </w:t>
      </w:r>
      <w:r w:rsidR="003C23B0">
        <w:rPr>
          <w:rFonts w:asciiTheme="minorHAnsi" w:hAnsiTheme="minorHAnsi" w:cstheme="minorHAnsi"/>
          <w:i/>
          <w:iCs/>
          <w:color w:val="000000"/>
          <w:sz w:val="24"/>
          <w:szCs w:val="24"/>
        </w:rPr>
        <w:t>e confusioni</w:t>
      </w:r>
      <w:r w:rsidR="00D5777C">
        <w:rPr>
          <w:rFonts w:asciiTheme="minorHAnsi" w:hAnsiTheme="minorHAnsi" w:cstheme="minorHAnsi"/>
          <w:i/>
          <w:iCs/>
          <w:color w:val="000000"/>
          <w:sz w:val="24"/>
          <w:szCs w:val="24"/>
        </w:rPr>
        <w:t xml:space="preserve"> di norme e procedure</w:t>
      </w:r>
      <w:r w:rsidR="003C23B0">
        <w:rPr>
          <w:rFonts w:asciiTheme="minorHAnsi" w:hAnsiTheme="minorHAnsi" w:cstheme="minorHAnsi"/>
          <w:i/>
          <w:iCs/>
          <w:color w:val="000000"/>
          <w:sz w:val="24"/>
          <w:szCs w:val="24"/>
        </w:rPr>
        <w:t xml:space="preserve">, si propone di estendere la disciplina prevista dal decreto anche </w:t>
      </w:r>
      <w:r w:rsidR="003C23B0" w:rsidRPr="003C23B0">
        <w:rPr>
          <w:rFonts w:asciiTheme="minorHAnsi" w:hAnsiTheme="minorHAnsi" w:cstheme="minorHAnsi"/>
          <w:i/>
          <w:iCs/>
          <w:color w:val="333333"/>
          <w:sz w:val="24"/>
          <w:szCs w:val="24"/>
          <w:shd w:val="clear" w:color="auto" w:fill="FFFFFF"/>
        </w:rPr>
        <w:t xml:space="preserve">ai piani di investimento già finanziati o da finanziare attraverso </w:t>
      </w:r>
      <w:r w:rsidR="007D40E9">
        <w:rPr>
          <w:rFonts w:asciiTheme="minorHAnsi" w:hAnsiTheme="minorHAnsi" w:cstheme="minorHAnsi"/>
          <w:i/>
          <w:iCs/>
          <w:color w:val="333333"/>
          <w:sz w:val="24"/>
          <w:szCs w:val="24"/>
          <w:shd w:val="clear" w:color="auto" w:fill="FFFFFF"/>
        </w:rPr>
        <w:t xml:space="preserve">risorse </w:t>
      </w:r>
      <w:r w:rsidR="003C23B0" w:rsidRPr="003C23B0">
        <w:rPr>
          <w:rFonts w:asciiTheme="minorHAnsi" w:hAnsiTheme="minorHAnsi" w:cstheme="minorHAnsi"/>
          <w:i/>
          <w:iCs/>
          <w:color w:val="333333"/>
          <w:sz w:val="24"/>
          <w:szCs w:val="24"/>
          <w:shd w:val="clear" w:color="auto" w:fill="FFFFFF"/>
        </w:rPr>
        <w:t xml:space="preserve">europee, nazionali </w:t>
      </w:r>
      <w:r w:rsidR="00BA131B">
        <w:rPr>
          <w:rFonts w:asciiTheme="minorHAnsi" w:hAnsiTheme="minorHAnsi" w:cstheme="minorHAnsi"/>
          <w:i/>
          <w:iCs/>
          <w:color w:val="333333"/>
          <w:sz w:val="24"/>
          <w:szCs w:val="24"/>
          <w:shd w:val="clear" w:color="auto" w:fill="FFFFFF"/>
        </w:rPr>
        <w:t>o</w:t>
      </w:r>
      <w:r w:rsidR="003C23B0" w:rsidRPr="003C23B0">
        <w:rPr>
          <w:rFonts w:asciiTheme="minorHAnsi" w:hAnsiTheme="minorHAnsi" w:cstheme="minorHAnsi"/>
          <w:i/>
          <w:iCs/>
          <w:color w:val="333333"/>
          <w:sz w:val="24"/>
          <w:szCs w:val="24"/>
          <w:shd w:val="clear" w:color="auto" w:fill="FFFFFF"/>
        </w:rPr>
        <w:t xml:space="preserve"> regionali</w:t>
      </w:r>
      <w:r w:rsidR="003C23B0" w:rsidRPr="003C23B0">
        <w:rPr>
          <w:rFonts w:asciiTheme="minorHAnsi" w:hAnsiTheme="minorHAnsi" w:cstheme="minorHAnsi"/>
          <w:i/>
          <w:iCs/>
          <w:color w:val="333333"/>
          <w:shd w:val="clear" w:color="auto" w:fill="FFFFFF"/>
        </w:rPr>
        <w:t>.</w:t>
      </w:r>
    </w:p>
    <w:p w14:paraId="75282C9F" w14:textId="77777777" w:rsidR="004E12C7" w:rsidRPr="00D547A5" w:rsidRDefault="004E12C7" w:rsidP="005174A7">
      <w:pPr>
        <w:widowControl/>
        <w:suppressAutoHyphens w:val="0"/>
        <w:spacing w:after="160" w:line="259" w:lineRule="auto"/>
        <w:rPr>
          <w:rFonts w:asciiTheme="minorHAnsi" w:hAnsiTheme="minorHAnsi" w:cstheme="minorHAnsi"/>
          <w:color w:val="333333"/>
          <w:shd w:val="clear" w:color="auto" w:fill="FFFFFF"/>
        </w:rPr>
      </w:pPr>
    </w:p>
    <w:p w14:paraId="53A46A29" w14:textId="77777777" w:rsidR="00F80BD3" w:rsidRPr="00D547A5" w:rsidRDefault="00F80BD3" w:rsidP="005335A8">
      <w:pPr>
        <w:widowControl/>
        <w:suppressAutoHyphens w:val="0"/>
        <w:spacing w:before="100" w:beforeAutospacing="1" w:after="100" w:afterAutospacing="1"/>
        <w:jc w:val="center"/>
        <w:rPr>
          <w:rFonts w:asciiTheme="minorHAnsi" w:hAnsiTheme="minorHAnsi" w:cstheme="minorHAnsi"/>
          <w:color w:val="333333"/>
          <w:shd w:val="clear" w:color="auto" w:fill="FFFFFF"/>
        </w:rPr>
      </w:pPr>
    </w:p>
    <w:p w14:paraId="36FC7FAF" w14:textId="77777777" w:rsidR="005335A8" w:rsidRPr="00D547A5" w:rsidRDefault="0061599A" w:rsidP="005335A8">
      <w:pPr>
        <w:pStyle w:val="Standard"/>
        <w:jc w:val="right"/>
        <w:rPr>
          <w:rFonts w:asciiTheme="minorHAnsi" w:hAnsiTheme="minorHAnsi" w:cstheme="minorHAnsi"/>
          <w:i/>
          <w:iCs/>
          <w:color w:val="000000"/>
          <w:sz w:val="24"/>
          <w:szCs w:val="24"/>
        </w:rPr>
      </w:pPr>
      <w:r w:rsidRPr="00D547A5">
        <w:rPr>
          <w:rFonts w:asciiTheme="minorHAnsi" w:hAnsiTheme="minorHAnsi" w:cstheme="minorHAnsi"/>
          <w:i/>
          <w:iCs/>
          <w:color w:val="333333"/>
          <w:sz w:val="24"/>
          <w:szCs w:val="24"/>
          <w:shd w:val="clear" w:color="auto" w:fill="FFFFFF"/>
        </w:rPr>
        <w:br w:type="page"/>
      </w:r>
      <w:r w:rsidR="005335A8" w:rsidRPr="00D547A5">
        <w:rPr>
          <w:rFonts w:asciiTheme="minorHAnsi" w:hAnsiTheme="minorHAnsi" w:cstheme="minorHAnsi"/>
          <w:i/>
          <w:iCs/>
          <w:sz w:val="24"/>
          <w:szCs w:val="24"/>
        </w:rPr>
        <w:lastRenderedPageBreak/>
        <w:t>TITOLO II - POTERI SOSTITUTIVI</w:t>
      </w:r>
      <w:r w:rsidR="005335A8" w:rsidRPr="00D547A5">
        <w:rPr>
          <w:rFonts w:asciiTheme="minorHAnsi" w:hAnsiTheme="minorHAnsi" w:cstheme="minorHAnsi"/>
          <w:i/>
          <w:iCs/>
          <w:color w:val="000000"/>
          <w:sz w:val="24"/>
          <w:szCs w:val="24"/>
        </w:rPr>
        <w:t xml:space="preserve"> - Procedure finanziarie e contabili </w:t>
      </w:r>
    </w:p>
    <w:p w14:paraId="3B62C888" w14:textId="0FBB3525" w:rsidR="0061599A" w:rsidRPr="00D547A5" w:rsidRDefault="0061599A" w:rsidP="005335A8">
      <w:pPr>
        <w:widowControl/>
        <w:suppressAutoHyphens w:val="0"/>
        <w:spacing w:before="100" w:beforeAutospacing="1" w:after="100" w:afterAutospacing="1"/>
        <w:jc w:val="right"/>
        <w:rPr>
          <w:rFonts w:asciiTheme="minorHAnsi" w:eastAsia="Times New Roman" w:hAnsiTheme="minorHAnsi" w:cstheme="minorHAnsi"/>
          <w:color w:val="000000"/>
          <w:kern w:val="0"/>
          <w:lang w:eastAsia="it-IT" w:bidi="ar-SA"/>
        </w:rPr>
      </w:pPr>
    </w:p>
    <w:p w14:paraId="57B3D7B5" w14:textId="77777777" w:rsidR="0061599A" w:rsidRPr="00D547A5" w:rsidRDefault="0061599A" w:rsidP="0061599A">
      <w:pPr>
        <w:widowControl/>
        <w:suppressAutoHyphens w:val="0"/>
        <w:spacing w:before="100" w:beforeAutospacing="1" w:after="100" w:afterAutospacing="1"/>
        <w:jc w:val="center"/>
        <w:rPr>
          <w:rFonts w:asciiTheme="minorHAnsi" w:eastAsia="Times New Roman" w:hAnsiTheme="minorHAnsi" w:cstheme="minorHAnsi"/>
          <w:color w:val="000000"/>
          <w:kern w:val="0"/>
          <w:lang w:eastAsia="it-IT" w:bidi="ar-SA"/>
        </w:rPr>
      </w:pPr>
    </w:p>
    <w:p w14:paraId="29670D7A" w14:textId="7B6A64A7" w:rsidR="0061599A" w:rsidRPr="00D547A5" w:rsidRDefault="0061599A" w:rsidP="0061599A">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15</w:t>
      </w:r>
    </w:p>
    <w:p w14:paraId="717CC92D" w14:textId="5703324F" w:rsidR="0061599A" w:rsidRPr="00D547A5" w:rsidRDefault="0061599A" w:rsidP="0061599A">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(Procedure finanziarie e contabili)</w:t>
      </w:r>
    </w:p>
    <w:p w14:paraId="2FE02A42" w14:textId="45C1EECF" w:rsidR="0061599A" w:rsidRPr="00D547A5" w:rsidRDefault="0061599A" w:rsidP="0061599A">
      <w:pPr>
        <w:pStyle w:val="Standard"/>
        <w:spacing w:after="0" w:line="240" w:lineRule="auto"/>
        <w:jc w:val="center"/>
        <w:rPr>
          <w:rFonts w:asciiTheme="minorHAnsi" w:hAnsiTheme="minorHAnsi" w:cstheme="minorHAnsi"/>
          <w:color w:val="000000"/>
          <w:sz w:val="24"/>
          <w:szCs w:val="24"/>
        </w:rPr>
      </w:pPr>
    </w:p>
    <w:p w14:paraId="3BF343F5" w14:textId="77777777" w:rsidR="0061599A" w:rsidRPr="00D547A5" w:rsidRDefault="0061599A" w:rsidP="0061599A">
      <w:pPr>
        <w:pStyle w:val="Standard"/>
        <w:spacing w:after="0" w:line="240" w:lineRule="auto"/>
        <w:jc w:val="center"/>
        <w:rPr>
          <w:rFonts w:asciiTheme="minorHAnsi" w:hAnsiTheme="minorHAnsi" w:cstheme="minorHAnsi"/>
          <w:color w:val="000000"/>
          <w:sz w:val="24"/>
          <w:szCs w:val="24"/>
        </w:rPr>
      </w:pPr>
    </w:p>
    <w:p w14:paraId="7A7D65FA" w14:textId="55A67037" w:rsidR="0061599A" w:rsidRPr="00D547A5" w:rsidRDefault="0061599A" w:rsidP="003C23B0">
      <w:pPr>
        <w:widowControl/>
        <w:suppressAutoHyphens w:val="0"/>
        <w:spacing w:after="160" w:line="259" w:lineRule="auto"/>
        <w:jc w:val="both"/>
        <w:rPr>
          <w:rFonts w:asciiTheme="minorHAnsi" w:hAnsiTheme="minorHAnsi" w:cstheme="minorHAnsi"/>
          <w:color w:val="333333"/>
          <w:shd w:val="clear" w:color="auto" w:fill="FFFFFF"/>
        </w:rPr>
      </w:pPr>
      <w:r w:rsidRPr="00D547A5">
        <w:rPr>
          <w:rFonts w:asciiTheme="minorHAnsi" w:hAnsiTheme="minorHAnsi" w:cstheme="minorHAnsi"/>
          <w:color w:val="333333"/>
          <w:shd w:val="clear" w:color="auto" w:fill="FFFFFF"/>
        </w:rPr>
        <w:t>Al</w:t>
      </w:r>
      <w:r w:rsidR="005174A7" w:rsidRPr="00D547A5">
        <w:rPr>
          <w:rFonts w:asciiTheme="minorHAnsi" w:hAnsiTheme="minorHAnsi" w:cstheme="minorHAnsi"/>
          <w:color w:val="333333"/>
          <w:shd w:val="clear" w:color="auto" w:fill="FFFFFF"/>
        </w:rPr>
        <w:t>l’articolo 15,</w:t>
      </w:r>
      <w:r w:rsidRPr="00D547A5">
        <w:rPr>
          <w:rFonts w:asciiTheme="minorHAnsi" w:hAnsiTheme="minorHAnsi" w:cstheme="minorHAnsi"/>
          <w:color w:val="333333"/>
          <w:shd w:val="clear" w:color="auto" w:fill="FFFFFF"/>
        </w:rPr>
        <w:t xml:space="preserve"> comma 2, sostituire le parole “sentita la Conferenza </w:t>
      </w:r>
      <w:r w:rsidR="004055E7" w:rsidRPr="00D547A5">
        <w:rPr>
          <w:rFonts w:asciiTheme="minorHAnsi" w:hAnsiTheme="minorHAnsi" w:cstheme="minorHAnsi"/>
          <w:color w:val="333333"/>
          <w:shd w:val="clear" w:color="auto" w:fill="FFFFFF"/>
        </w:rPr>
        <w:t>p</w:t>
      </w:r>
      <w:r w:rsidRPr="00D547A5">
        <w:rPr>
          <w:rFonts w:asciiTheme="minorHAnsi" w:hAnsiTheme="minorHAnsi" w:cstheme="minorHAnsi"/>
          <w:color w:val="333333"/>
          <w:shd w:val="clear" w:color="auto" w:fill="FFFFFF"/>
        </w:rPr>
        <w:t>ermanente per i rapporti tra lo Stato, le Reg</w:t>
      </w:r>
      <w:r w:rsidR="004055E7" w:rsidRPr="00D547A5">
        <w:rPr>
          <w:rFonts w:asciiTheme="minorHAnsi" w:hAnsiTheme="minorHAnsi" w:cstheme="minorHAnsi"/>
          <w:color w:val="333333"/>
          <w:shd w:val="clear" w:color="auto" w:fill="FFFFFF"/>
        </w:rPr>
        <w:t>i</w:t>
      </w:r>
      <w:r w:rsidRPr="00D547A5">
        <w:rPr>
          <w:rFonts w:asciiTheme="minorHAnsi" w:hAnsiTheme="minorHAnsi" w:cstheme="minorHAnsi"/>
          <w:color w:val="333333"/>
          <w:shd w:val="clear" w:color="auto" w:fill="FFFFFF"/>
        </w:rPr>
        <w:t>oni e le Province</w:t>
      </w:r>
      <w:r w:rsidR="004055E7" w:rsidRPr="00D547A5">
        <w:rPr>
          <w:rFonts w:asciiTheme="minorHAnsi" w:hAnsiTheme="minorHAnsi" w:cstheme="minorHAnsi"/>
          <w:color w:val="333333"/>
          <w:shd w:val="clear" w:color="auto" w:fill="FFFFFF"/>
        </w:rPr>
        <w:t xml:space="preserve"> </w:t>
      </w:r>
      <w:r w:rsidRPr="00D547A5">
        <w:rPr>
          <w:rFonts w:asciiTheme="minorHAnsi" w:hAnsiTheme="minorHAnsi" w:cstheme="minorHAnsi"/>
          <w:color w:val="333333"/>
          <w:shd w:val="clear" w:color="auto" w:fill="FFFFFF"/>
        </w:rPr>
        <w:t>autonome di Trento e Bolzano, ai sensi dell’articolo 3 del decreto</w:t>
      </w:r>
      <w:r w:rsidR="004055E7" w:rsidRPr="00D547A5">
        <w:rPr>
          <w:rFonts w:asciiTheme="minorHAnsi" w:hAnsiTheme="minorHAnsi" w:cstheme="minorHAnsi"/>
          <w:color w:val="333333"/>
          <w:shd w:val="clear" w:color="auto" w:fill="FFFFFF"/>
        </w:rPr>
        <w:t xml:space="preserve"> </w:t>
      </w:r>
      <w:r w:rsidRPr="00D547A5">
        <w:rPr>
          <w:rFonts w:asciiTheme="minorHAnsi" w:hAnsiTheme="minorHAnsi" w:cstheme="minorHAnsi"/>
          <w:color w:val="333333"/>
          <w:shd w:val="clear" w:color="auto" w:fill="FFFFFF"/>
        </w:rPr>
        <w:t>legislativo 28 agosto 1997, n.</w:t>
      </w:r>
      <w:r w:rsidR="00BA131B">
        <w:rPr>
          <w:rFonts w:asciiTheme="minorHAnsi" w:hAnsiTheme="minorHAnsi" w:cstheme="minorHAnsi"/>
          <w:color w:val="333333"/>
          <w:shd w:val="clear" w:color="auto" w:fill="FFFFFF"/>
        </w:rPr>
        <w:t xml:space="preserve"> </w:t>
      </w:r>
      <w:r w:rsidRPr="00D547A5">
        <w:rPr>
          <w:rFonts w:asciiTheme="minorHAnsi" w:hAnsiTheme="minorHAnsi" w:cstheme="minorHAnsi"/>
          <w:color w:val="333333"/>
          <w:shd w:val="clear" w:color="auto" w:fill="FFFFFF"/>
        </w:rPr>
        <w:t>28</w:t>
      </w:r>
      <w:r w:rsidR="00BA131B">
        <w:rPr>
          <w:rFonts w:asciiTheme="minorHAnsi" w:hAnsiTheme="minorHAnsi" w:cstheme="minorHAnsi"/>
          <w:color w:val="333333"/>
          <w:shd w:val="clear" w:color="auto" w:fill="FFFFFF"/>
        </w:rPr>
        <w:t>1</w:t>
      </w:r>
      <w:r w:rsidR="004055E7" w:rsidRPr="00D547A5">
        <w:rPr>
          <w:rFonts w:asciiTheme="minorHAnsi" w:hAnsiTheme="minorHAnsi" w:cstheme="minorHAnsi"/>
          <w:color w:val="333333"/>
          <w:shd w:val="clear" w:color="auto" w:fill="FFFFFF"/>
        </w:rPr>
        <w:t>” con le parole “sentita la Conferenza Unificata ai sensi dell’articolo 9 del decreto legislativo 28 agosto 1997, n.</w:t>
      </w:r>
      <w:r w:rsidR="00BA131B">
        <w:rPr>
          <w:rFonts w:asciiTheme="minorHAnsi" w:hAnsiTheme="minorHAnsi" w:cstheme="minorHAnsi"/>
          <w:color w:val="333333"/>
          <w:shd w:val="clear" w:color="auto" w:fill="FFFFFF"/>
        </w:rPr>
        <w:t xml:space="preserve"> </w:t>
      </w:r>
      <w:r w:rsidR="004055E7" w:rsidRPr="00D547A5">
        <w:rPr>
          <w:rFonts w:asciiTheme="minorHAnsi" w:hAnsiTheme="minorHAnsi" w:cstheme="minorHAnsi"/>
          <w:color w:val="333333"/>
          <w:shd w:val="clear" w:color="auto" w:fill="FFFFFF"/>
        </w:rPr>
        <w:t>281”</w:t>
      </w:r>
      <w:r w:rsidR="00BA131B">
        <w:rPr>
          <w:rFonts w:asciiTheme="minorHAnsi" w:hAnsiTheme="minorHAnsi" w:cstheme="minorHAnsi"/>
          <w:color w:val="333333"/>
          <w:shd w:val="clear" w:color="auto" w:fill="FFFFFF"/>
        </w:rPr>
        <w:t>.</w:t>
      </w:r>
    </w:p>
    <w:p w14:paraId="3C3D0A18" w14:textId="0CB90A5F" w:rsidR="004055E7" w:rsidRPr="00D547A5" w:rsidRDefault="004055E7">
      <w:pPr>
        <w:widowControl/>
        <w:suppressAutoHyphens w:val="0"/>
        <w:spacing w:after="160" w:line="259" w:lineRule="auto"/>
        <w:rPr>
          <w:rFonts w:asciiTheme="minorHAnsi" w:hAnsiTheme="minorHAnsi" w:cstheme="minorHAnsi"/>
          <w:color w:val="333333"/>
          <w:shd w:val="clear" w:color="auto" w:fill="FFFFFF"/>
        </w:rPr>
      </w:pPr>
    </w:p>
    <w:p w14:paraId="31CF9536" w14:textId="7DD4AF24" w:rsidR="004055E7" w:rsidRPr="003C23B0" w:rsidRDefault="003C23B0">
      <w:pPr>
        <w:widowControl/>
        <w:suppressAutoHyphens w:val="0"/>
        <w:spacing w:after="160" w:line="259" w:lineRule="auto"/>
        <w:rPr>
          <w:rFonts w:asciiTheme="minorHAnsi" w:hAnsiTheme="minorHAnsi" w:cstheme="minorHAnsi"/>
          <w:i/>
          <w:iCs/>
          <w:color w:val="333333"/>
          <w:shd w:val="clear" w:color="auto" w:fill="FFFFFF"/>
        </w:rPr>
      </w:pPr>
      <w:r w:rsidRPr="003C23B0">
        <w:rPr>
          <w:rFonts w:asciiTheme="minorHAnsi" w:hAnsiTheme="minorHAnsi" w:cstheme="minorHAnsi"/>
          <w:i/>
          <w:iCs/>
          <w:color w:val="333333"/>
          <w:shd w:val="clear" w:color="auto" w:fill="FFFFFF"/>
        </w:rPr>
        <w:t>MOTIVAZIONE</w:t>
      </w:r>
    </w:p>
    <w:p w14:paraId="2CD8C99B" w14:textId="48CD6A32" w:rsidR="004055E7" w:rsidRPr="00D547A5" w:rsidRDefault="004055E7" w:rsidP="004055E7">
      <w:pPr>
        <w:pStyle w:val="Standard"/>
        <w:jc w:val="both"/>
        <w:rPr>
          <w:rFonts w:asciiTheme="minorHAnsi" w:eastAsia="Times New Roman" w:hAnsiTheme="minorHAnsi" w:cstheme="minorHAnsi"/>
          <w:i/>
          <w:iCs/>
          <w:color w:val="000000"/>
          <w:sz w:val="24"/>
          <w:szCs w:val="24"/>
          <w:lang w:eastAsia="it-IT"/>
        </w:rPr>
      </w:pPr>
      <w:r w:rsidRPr="00D547A5">
        <w:rPr>
          <w:rFonts w:asciiTheme="minorHAnsi" w:eastAsia="Times New Roman" w:hAnsiTheme="minorHAnsi" w:cstheme="minorHAnsi"/>
          <w:i/>
          <w:iCs/>
          <w:color w:val="000000"/>
          <w:sz w:val="24"/>
          <w:szCs w:val="24"/>
          <w:lang w:eastAsia="it-IT"/>
        </w:rPr>
        <w:t>Poiché lo scopo della norma è di intervenire sulle procedure relative alla gestione finanziaria delle risorse previste nell’ambito del PNRR attraverso decreti del Ministro dell’Economia e delle Finanze per semplificarle</w:t>
      </w:r>
      <w:r w:rsidR="00D5777C">
        <w:rPr>
          <w:rFonts w:asciiTheme="minorHAnsi" w:eastAsia="Times New Roman" w:hAnsiTheme="minorHAnsi" w:cstheme="minorHAnsi"/>
          <w:i/>
          <w:iCs/>
          <w:color w:val="000000"/>
          <w:sz w:val="24"/>
          <w:szCs w:val="24"/>
          <w:lang w:eastAsia="it-IT"/>
        </w:rPr>
        <w:t>,</w:t>
      </w:r>
      <w:r w:rsidRPr="00D547A5">
        <w:rPr>
          <w:rFonts w:asciiTheme="minorHAnsi" w:eastAsia="Times New Roman" w:hAnsiTheme="minorHAnsi" w:cstheme="minorHAnsi"/>
          <w:i/>
          <w:iCs/>
          <w:color w:val="000000"/>
          <w:sz w:val="24"/>
          <w:szCs w:val="24"/>
          <w:lang w:eastAsia="it-IT"/>
        </w:rPr>
        <w:t xml:space="preserve"> è necessario prevedere il coinvolgimento delle autonomie locali. Appare </w:t>
      </w:r>
      <w:r w:rsidR="00D5777C">
        <w:rPr>
          <w:rFonts w:asciiTheme="minorHAnsi" w:eastAsia="Times New Roman" w:hAnsiTheme="minorHAnsi" w:cstheme="minorHAnsi"/>
          <w:i/>
          <w:iCs/>
          <w:color w:val="000000"/>
          <w:sz w:val="24"/>
          <w:szCs w:val="24"/>
          <w:lang w:eastAsia="it-IT"/>
        </w:rPr>
        <w:t xml:space="preserve">pertanto </w:t>
      </w:r>
      <w:r w:rsidRPr="00D547A5">
        <w:rPr>
          <w:rFonts w:asciiTheme="minorHAnsi" w:eastAsia="Times New Roman" w:hAnsiTheme="minorHAnsi" w:cstheme="minorHAnsi"/>
          <w:i/>
          <w:iCs/>
          <w:color w:val="000000"/>
          <w:sz w:val="24"/>
          <w:szCs w:val="24"/>
          <w:lang w:eastAsia="it-IT"/>
        </w:rPr>
        <w:t xml:space="preserve">ingiustificabile la previsione del parere della Conferenza permanente Stato-Regioni e non della Conferenza Unificata. Si tratta di definire e concordare le modalità semplificate di utilizzo delle risorse, da parte delle Regioni e degli Enti locali, che saranno chiamati ad attuare il Piano. </w:t>
      </w:r>
    </w:p>
    <w:p w14:paraId="13BB1A20" w14:textId="4C56AF1C" w:rsidR="004055E7" w:rsidRPr="00D547A5" w:rsidRDefault="004055E7" w:rsidP="004055E7">
      <w:pPr>
        <w:pStyle w:val="Standard"/>
        <w:jc w:val="both"/>
        <w:rPr>
          <w:rFonts w:asciiTheme="minorHAnsi" w:eastAsia="Times New Roman" w:hAnsiTheme="minorHAnsi" w:cstheme="minorHAnsi"/>
          <w:color w:val="000000"/>
          <w:sz w:val="24"/>
          <w:szCs w:val="24"/>
          <w:lang w:eastAsia="it-IT"/>
        </w:rPr>
      </w:pPr>
      <w:proofErr w:type="gramStart"/>
      <w:r w:rsidRPr="00D547A5">
        <w:rPr>
          <w:rFonts w:asciiTheme="minorHAnsi" w:eastAsia="Times New Roman" w:hAnsiTheme="minorHAnsi" w:cstheme="minorHAnsi"/>
          <w:i/>
          <w:iCs/>
          <w:color w:val="000000"/>
          <w:sz w:val="24"/>
          <w:szCs w:val="24"/>
          <w:lang w:eastAsia="it-IT"/>
        </w:rPr>
        <w:t>E’</w:t>
      </w:r>
      <w:proofErr w:type="gramEnd"/>
      <w:r w:rsidRPr="00D547A5">
        <w:rPr>
          <w:rFonts w:asciiTheme="minorHAnsi" w:eastAsia="Times New Roman" w:hAnsiTheme="minorHAnsi" w:cstheme="minorHAnsi"/>
          <w:i/>
          <w:iCs/>
          <w:color w:val="000000"/>
          <w:sz w:val="24"/>
          <w:szCs w:val="24"/>
          <w:lang w:eastAsia="it-IT"/>
        </w:rPr>
        <w:t xml:space="preserve"> </w:t>
      </w:r>
      <w:r w:rsidR="00D5777C">
        <w:rPr>
          <w:rFonts w:asciiTheme="minorHAnsi" w:eastAsia="Times New Roman" w:hAnsiTheme="minorHAnsi" w:cstheme="minorHAnsi"/>
          <w:i/>
          <w:iCs/>
          <w:color w:val="000000"/>
          <w:sz w:val="24"/>
          <w:szCs w:val="24"/>
          <w:lang w:eastAsia="it-IT"/>
        </w:rPr>
        <w:t>dunque</w:t>
      </w:r>
      <w:r w:rsidRPr="00D547A5">
        <w:rPr>
          <w:rFonts w:asciiTheme="minorHAnsi" w:eastAsia="Times New Roman" w:hAnsiTheme="minorHAnsi" w:cstheme="minorHAnsi"/>
          <w:i/>
          <w:iCs/>
          <w:color w:val="000000"/>
          <w:sz w:val="24"/>
          <w:szCs w:val="24"/>
          <w:lang w:eastAsia="it-IT"/>
        </w:rPr>
        <w:t xml:space="preserve"> essenziale prevedere la concertazione nella sede deputata al confronto tra le rappresentanze di Regioni, Province e Comuni, inserendo la Conferenza Unificata al posto della Conferenza Stato-Regioni</w:t>
      </w:r>
      <w:r w:rsidRPr="00D547A5">
        <w:rPr>
          <w:rFonts w:asciiTheme="minorHAnsi" w:eastAsia="Times New Roman" w:hAnsiTheme="minorHAnsi" w:cstheme="minorHAnsi"/>
          <w:color w:val="000000"/>
          <w:sz w:val="24"/>
          <w:szCs w:val="24"/>
          <w:lang w:eastAsia="it-IT"/>
        </w:rPr>
        <w:t xml:space="preserve">. </w:t>
      </w:r>
    </w:p>
    <w:p w14:paraId="717A8B3E" w14:textId="053CCCA7" w:rsidR="005335A8" w:rsidRPr="00D547A5" w:rsidRDefault="005335A8">
      <w:pPr>
        <w:widowControl/>
        <w:suppressAutoHyphens w:val="0"/>
        <w:spacing w:after="160" w:line="259" w:lineRule="auto"/>
        <w:rPr>
          <w:rFonts w:asciiTheme="minorHAnsi" w:eastAsia="Times New Roman" w:hAnsiTheme="minorHAnsi" w:cstheme="minorHAnsi"/>
          <w:color w:val="000000"/>
          <w:kern w:val="0"/>
          <w:lang w:eastAsia="it-IT" w:bidi="ar-SA"/>
        </w:rPr>
      </w:pPr>
      <w:r w:rsidRPr="00D547A5">
        <w:rPr>
          <w:rFonts w:asciiTheme="minorHAnsi" w:eastAsia="Times New Roman" w:hAnsiTheme="minorHAnsi" w:cstheme="minorHAnsi"/>
          <w:color w:val="000000"/>
          <w:lang w:eastAsia="it-IT"/>
        </w:rPr>
        <w:br w:type="page"/>
      </w:r>
    </w:p>
    <w:p w14:paraId="44032364" w14:textId="420B5746" w:rsidR="005335A8" w:rsidRPr="00D547A5" w:rsidRDefault="005335A8" w:rsidP="005335A8">
      <w:pPr>
        <w:pStyle w:val="Standard"/>
        <w:jc w:val="right"/>
        <w:rPr>
          <w:rFonts w:asciiTheme="minorHAnsi" w:hAnsiTheme="minorHAnsi" w:cstheme="minorHAnsi"/>
          <w:i/>
          <w:iCs/>
          <w:color w:val="000000"/>
          <w:sz w:val="24"/>
          <w:szCs w:val="24"/>
        </w:rPr>
      </w:pPr>
      <w:r w:rsidRPr="00D547A5">
        <w:rPr>
          <w:rFonts w:asciiTheme="minorHAnsi" w:hAnsiTheme="minorHAnsi" w:cstheme="minorHAnsi"/>
          <w:i/>
          <w:iCs/>
          <w:sz w:val="24"/>
          <w:szCs w:val="24"/>
        </w:rPr>
        <w:lastRenderedPageBreak/>
        <w:t>TITOLO II - POTERI SOSTITUTIVI</w:t>
      </w:r>
      <w:r w:rsidRPr="00D547A5">
        <w:rPr>
          <w:rFonts w:asciiTheme="minorHAnsi" w:hAnsiTheme="minorHAnsi" w:cstheme="minorHAnsi"/>
          <w:i/>
          <w:iCs/>
          <w:color w:val="000000"/>
          <w:sz w:val="24"/>
          <w:szCs w:val="24"/>
        </w:rPr>
        <w:t xml:space="preserve"> - Procedure finanziarie e contabili </w:t>
      </w:r>
    </w:p>
    <w:p w14:paraId="477187EC" w14:textId="77777777" w:rsidR="005335A8" w:rsidRPr="00D547A5" w:rsidRDefault="005335A8" w:rsidP="005335A8">
      <w:pPr>
        <w:pStyle w:val="Standard"/>
        <w:jc w:val="center"/>
        <w:rPr>
          <w:rFonts w:asciiTheme="minorHAnsi" w:hAnsiTheme="minorHAnsi" w:cstheme="minorHAnsi"/>
          <w:i/>
          <w:iCs/>
          <w:color w:val="000000"/>
          <w:sz w:val="24"/>
          <w:szCs w:val="24"/>
        </w:rPr>
      </w:pPr>
    </w:p>
    <w:p w14:paraId="69784558" w14:textId="77777777" w:rsidR="005335A8" w:rsidRPr="00D547A5" w:rsidRDefault="005335A8" w:rsidP="005335A8">
      <w:pPr>
        <w:pStyle w:val="Standard"/>
        <w:jc w:val="center"/>
        <w:rPr>
          <w:rFonts w:asciiTheme="minorHAnsi" w:hAnsiTheme="minorHAnsi" w:cstheme="minorHAnsi"/>
          <w:i/>
          <w:iCs/>
          <w:color w:val="000000"/>
          <w:sz w:val="24"/>
          <w:szCs w:val="24"/>
        </w:rPr>
      </w:pPr>
    </w:p>
    <w:p w14:paraId="46092E4A" w14:textId="77777777" w:rsidR="005335A8" w:rsidRPr="00D547A5" w:rsidRDefault="005335A8" w:rsidP="005335A8">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15</w:t>
      </w:r>
    </w:p>
    <w:p w14:paraId="6941A73E" w14:textId="77777777" w:rsidR="005335A8" w:rsidRPr="00D547A5" w:rsidRDefault="005335A8" w:rsidP="005335A8">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(Procedure finanziarie e contabili)</w:t>
      </w:r>
    </w:p>
    <w:p w14:paraId="16B9F7FA" w14:textId="77777777" w:rsidR="005335A8" w:rsidRPr="00D547A5" w:rsidRDefault="005335A8" w:rsidP="005335A8">
      <w:pPr>
        <w:pStyle w:val="Standard"/>
        <w:jc w:val="both"/>
        <w:rPr>
          <w:rFonts w:asciiTheme="minorHAnsi" w:hAnsiTheme="minorHAnsi" w:cstheme="minorHAnsi"/>
          <w:color w:val="000000"/>
          <w:sz w:val="24"/>
          <w:szCs w:val="24"/>
        </w:rPr>
      </w:pPr>
    </w:p>
    <w:p w14:paraId="776AEE5C" w14:textId="77777777" w:rsidR="005335A8" w:rsidRPr="00D547A5" w:rsidRDefault="005335A8" w:rsidP="005335A8">
      <w:pPr>
        <w:widowControl/>
        <w:suppressAutoHyphens w:val="0"/>
        <w:spacing w:after="160" w:line="259" w:lineRule="auto"/>
        <w:jc w:val="both"/>
        <w:rPr>
          <w:rFonts w:asciiTheme="minorHAnsi" w:hAnsiTheme="minorHAnsi" w:cstheme="minorHAnsi"/>
          <w:color w:val="000000"/>
          <w:kern w:val="0"/>
          <w:lang w:eastAsia="en-US" w:bidi="ar-SA"/>
        </w:rPr>
      </w:pPr>
      <w:r w:rsidRPr="00D547A5">
        <w:rPr>
          <w:rFonts w:asciiTheme="minorHAnsi" w:hAnsiTheme="minorHAnsi" w:cstheme="minorHAnsi"/>
          <w:color w:val="000000"/>
          <w:kern w:val="0"/>
          <w:lang w:eastAsia="en-US" w:bidi="ar-SA"/>
        </w:rPr>
        <w:t>All’art. 15, comma 3:</w:t>
      </w:r>
    </w:p>
    <w:p w14:paraId="5C4736A2" w14:textId="77777777" w:rsidR="005335A8" w:rsidRPr="00D547A5" w:rsidRDefault="005335A8" w:rsidP="005335A8">
      <w:pPr>
        <w:pStyle w:val="Paragrafoelenco"/>
        <w:widowControl/>
        <w:numPr>
          <w:ilvl w:val="0"/>
          <w:numId w:val="24"/>
        </w:numPr>
        <w:suppressAutoHyphens w:val="0"/>
        <w:spacing w:after="160" w:line="259" w:lineRule="auto"/>
        <w:jc w:val="both"/>
        <w:rPr>
          <w:rFonts w:asciiTheme="minorHAnsi" w:hAnsiTheme="minorHAnsi" w:cstheme="minorHAnsi"/>
          <w:color w:val="000000"/>
          <w:kern w:val="0"/>
          <w:szCs w:val="24"/>
          <w:lang w:eastAsia="en-US" w:bidi="ar-SA"/>
        </w:rPr>
      </w:pPr>
      <w:r w:rsidRPr="00D547A5">
        <w:rPr>
          <w:rFonts w:asciiTheme="minorHAnsi" w:hAnsiTheme="minorHAnsi" w:cstheme="minorHAnsi"/>
          <w:color w:val="000000"/>
          <w:kern w:val="0"/>
          <w:szCs w:val="24"/>
          <w:lang w:eastAsia="en-US" w:bidi="ar-SA"/>
        </w:rPr>
        <w:t>dopo la parola “utilizzano” aggiungere “sino all’anno 2026”;</w:t>
      </w:r>
    </w:p>
    <w:p w14:paraId="3307BE64" w14:textId="77777777" w:rsidR="005335A8" w:rsidRPr="00D547A5" w:rsidRDefault="005335A8" w:rsidP="005335A8">
      <w:pPr>
        <w:pStyle w:val="Paragrafoelenco"/>
        <w:widowControl/>
        <w:numPr>
          <w:ilvl w:val="0"/>
          <w:numId w:val="24"/>
        </w:numPr>
        <w:suppressAutoHyphens w:val="0"/>
        <w:spacing w:after="160" w:line="259" w:lineRule="auto"/>
        <w:jc w:val="both"/>
        <w:rPr>
          <w:rFonts w:asciiTheme="minorHAnsi" w:hAnsiTheme="minorHAnsi" w:cstheme="minorHAnsi"/>
          <w:color w:val="000000"/>
          <w:kern w:val="0"/>
          <w:szCs w:val="24"/>
          <w:lang w:eastAsia="en-US" w:bidi="ar-SA"/>
        </w:rPr>
      </w:pPr>
      <w:r w:rsidRPr="00D547A5">
        <w:rPr>
          <w:rFonts w:asciiTheme="minorHAnsi" w:hAnsiTheme="minorHAnsi" w:cstheme="minorHAnsi"/>
          <w:color w:val="000000"/>
          <w:kern w:val="0"/>
          <w:szCs w:val="24"/>
          <w:lang w:eastAsia="en-US" w:bidi="ar-SA"/>
        </w:rPr>
        <w:t>dopo la parola “PNC” aggiungere le parole: “, nonché derivanti da trasferimenti europei, statali o regionali o da quote di mutuo non utilizzate, finalizzate a interventi di investimento,”</w:t>
      </w:r>
    </w:p>
    <w:p w14:paraId="4B1FDE7D" w14:textId="77777777" w:rsidR="005335A8" w:rsidRPr="00D547A5" w:rsidRDefault="005335A8" w:rsidP="005335A8">
      <w:pPr>
        <w:widowControl/>
        <w:suppressAutoHyphens w:val="0"/>
        <w:spacing w:after="160" w:line="259" w:lineRule="auto"/>
        <w:rPr>
          <w:rFonts w:asciiTheme="minorHAnsi" w:hAnsiTheme="minorHAnsi" w:cstheme="minorHAnsi"/>
          <w:color w:val="000000"/>
          <w:kern w:val="0"/>
          <w:lang w:eastAsia="en-US" w:bidi="ar-SA"/>
        </w:rPr>
      </w:pPr>
    </w:p>
    <w:p w14:paraId="20A74B49" w14:textId="6BEAEE90" w:rsidR="005335A8" w:rsidRPr="003C23B0" w:rsidRDefault="005335A8" w:rsidP="005335A8">
      <w:pPr>
        <w:widowControl/>
        <w:suppressAutoHyphens w:val="0"/>
        <w:spacing w:after="160" w:line="259" w:lineRule="auto"/>
        <w:jc w:val="both"/>
        <w:rPr>
          <w:rFonts w:asciiTheme="minorHAnsi" w:hAnsiTheme="minorHAnsi" w:cstheme="minorHAnsi"/>
          <w:i/>
          <w:iCs/>
          <w:color w:val="000000"/>
          <w:kern w:val="0"/>
          <w:lang w:eastAsia="en-US" w:bidi="ar-SA"/>
        </w:rPr>
      </w:pPr>
      <w:r w:rsidRPr="003C23B0">
        <w:rPr>
          <w:rFonts w:asciiTheme="minorHAnsi" w:hAnsiTheme="minorHAnsi" w:cstheme="minorHAnsi"/>
          <w:i/>
          <w:iCs/>
          <w:color w:val="000000"/>
          <w:kern w:val="0"/>
          <w:lang w:eastAsia="en-US" w:bidi="ar-SA"/>
        </w:rPr>
        <w:t>MOTIVAZIONE</w:t>
      </w:r>
    </w:p>
    <w:p w14:paraId="4CFFFC3F" w14:textId="77777777" w:rsidR="005335A8" w:rsidRPr="00D547A5" w:rsidRDefault="005335A8" w:rsidP="005335A8">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Al fine di ampliare la possibilità di utilizzo delle risorse che affluiscono all’avanzo vincolato, per la copertura finanziaria di spese di investimento, si consente l’utilizzo delle risorse indicate in aggiunta ai fondi del PNRR e del PNC, in deroga ai limiti di legge indicati.</w:t>
      </w:r>
    </w:p>
    <w:p w14:paraId="137CD6BB" w14:textId="77777777" w:rsidR="005335A8" w:rsidRPr="00D547A5" w:rsidRDefault="005335A8" w:rsidP="005335A8">
      <w:pPr>
        <w:widowControl/>
        <w:suppressAutoHyphens w:val="0"/>
        <w:spacing w:after="160" w:line="259" w:lineRule="auto"/>
        <w:rPr>
          <w:rFonts w:asciiTheme="minorHAnsi" w:hAnsiTheme="minorHAnsi" w:cstheme="minorHAnsi"/>
          <w:i/>
          <w:iCs/>
          <w:color w:val="000000"/>
          <w:kern w:val="0"/>
          <w:lang w:eastAsia="en-US" w:bidi="ar-SA"/>
        </w:rPr>
      </w:pPr>
      <w:r w:rsidRPr="00D547A5">
        <w:rPr>
          <w:rFonts w:asciiTheme="minorHAnsi" w:hAnsiTheme="minorHAnsi" w:cstheme="minorHAnsi"/>
          <w:i/>
          <w:iCs/>
          <w:color w:val="000000"/>
        </w:rPr>
        <w:br w:type="page"/>
      </w:r>
    </w:p>
    <w:p w14:paraId="3EE6A980" w14:textId="1E5C8F0A" w:rsidR="004E12C7" w:rsidRPr="00D547A5" w:rsidRDefault="002B2CE3" w:rsidP="00D85FF7">
      <w:pPr>
        <w:pStyle w:val="Standard"/>
        <w:jc w:val="right"/>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lastRenderedPageBreak/>
        <w:t xml:space="preserve">TITOLO I </w:t>
      </w:r>
      <w:r w:rsidR="004E12C7" w:rsidRPr="00D547A5">
        <w:rPr>
          <w:rFonts w:asciiTheme="minorHAnsi" w:hAnsiTheme="minorHAnsi" w:cstheme="minorHAnsi"/>
          <w:i/>
          <w:iCs/>
          <w:color w:val="000000"/>
          <w:sz w:val="24"/>
          <w:szCs w:val="24"/>
        </w:rPr>
        <w:t>- TRANSIZIONE ECOLOGIC</w:t>
      </w:r>
      <w:r w:rsidR="00BA131B">
        <w:rPr>
          <w:rFonts w:asciiTheme="minorHAnsi" w:hAnsiTheme="minorHAnsi" w:cstheme="minorHAnsi"/>
          <w:i/>
          <w:iCs/>
          <w:color w:val="000000"/>
          <w:sz w:val="24"/>
          <w:szCs w:val="24"/>
        </w:rPr>
        <w:t>A</w:t>
      </w:r>
    </w:p>
    <w:p w14:paraId="05C86FD1" w14:textId="77777777" w:rsidR="00D85FF7" w:rsidRPr="00D547A5" w:rsidRDefault="00D85FF7" w:rsidP="00D85FF7">
      <w:pPr>
        <w:pStyle w:val="Standard"/>
        <w:jc w:val="right"/>
        <w:rPr>
          <w:rFonts w:asciiTheme="minorHAnsi" w:hAnsiTheme="minorHAnsi" w:cstheme="minorHAnsi"/>
          <w:i/>
          <w:iCs/>
          <w:color w:val="000000"/>
          <w:sz w:val="24"/>
          <w:szCs w:val="24"/>
        </w:rPr>
      </w:pPr>
    </w:p>
    <w:p w14:paraId="757667E9" w14:textId="77777777" w:rsidR="00D85FF7" w:rsidRPr="00D547A5" w:rsidRDefault="00D85FF7" w:rsidP="00D85FF7">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Dopo l’articolo 37 è inserito il seguente articolo:</w:t>
      </w:r>
    </w:p>
    <w:p w14:paraId="5A7D3E51" w14:textId="77777777" w:rsidR="00D85FF7" w:rsidRPr="00D547A5" w:rsidRDefault="00D85FF7" w:rsidP="00D85FF7">
      <w:pPr>
        <w:pStyle w:val="Standard"/>
        <w:spacing w:after="0" w:line="240" w:lineRule="auto"/>
        <w:jc w:val="both"/>
        <w:rPr>
          <w:rFonts w:asciiTheme="minorHAnsi" w:hAnsiTheme="minorHAnsi" w:cstheme="minorHAnsi"/>
          <w:color w:val="000000"/>
          <w:sz w:val="24"/>
          <w:szCs w:val="24"/>
        </w:rPr>
      </w:pPr>
    </w:p>
    <w:p w14:paraId="11CCA031" w14:textId="77777777" w:rsidR="00D85FF7" w:rsidRPr="00D547A5" w:rsidRDefault="00D85FF7" w:rsidP="00D85FF7">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37-bis</w:t>
      </w:r>
    </w:p>
    <w:p w14:paraId="722A2774" w14:textId="2841D919" w:rsidR="00D85FF7" w:rsidRPr="00D547A5" w:rsidRDefault="00D85FF7" w:rsidP="00D85FF7">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(Attuazione delle misure di semplificazione in materia ambientale)</w:t>
      </w:r>
    </w:p>
    <w:p w14:paraId="56387B0F" w14:textId="77777777" w:rsidR="00D85FF7" w:rsidRPr="00D547A5" w:rsidRDefault="00D85FF7" w:rsidP="00D85FF7">
      <w:pPr>
        <w:pStyle w:val="Standard"/>
        <w:jc w:val="both"/>
        <w:rPr>
          <w:rFonts w:asciiTheme="minorHAnsi" w:hAnsiTheme="minorHAnsi" w:cstheme="minorHAnsi"/>
          <w:color w:val="000000"/>
          <w:sz w:val="24"/>
          <w:szCs w:val="24"/>
        </w:rPr>
      </w:pPr>
    </w:p>
    <w:p w14:paraId="4FD5DA45" w14:textId="77777777" w:rsidR="00D85FF7" w:rsidRPr="00D547A5" w:rsidRDefault="00D85FF7" w:rsidP="00D85FF7">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1. Per l’attuazione delle misure previste nel presente Titolo, entro 30 giorni dall’entrata in vigore della presente legge, è istituito presso il Ministero della transizione ecologica un Comitato tecnico composto da sei esperti del Ministero, 2 esperti designati dalla Conferenza delle Regioni, 2 esperti designati dall’UPI, 2 esperti designati dall’ANCI, che svolge le sue attività in stretto raccordo con l’Unità di cui all’articolo 5.</w:t>
      </w:r>
    </w:p>
    <w:p w14:paraId="5A237184" w14:textId="77777777" w:rsidR="00D85FF7" w:rsidRPr="00D547A5" w:rsidRDefault="00D85FF7" w:rsidP="00D85FF7">
      <w:pPr>
        <w:pStyle w:val="Standard"/>
        <w:jc w:val="both"/>
        <w:rPr>
          <w:rFonts w:asciiTheme="minorHAnsi" w:hAnsiTheme="minorHAnsi" w:cstheme="minorHAnsi"/>
          <w:color w:val="000000"/>
          <w:sz w:val="24"/>
          <w:szCs w:val="24"/>
        </w:rPr>
      </w:pPr>
    </w:p>
    <w:p w14:paraId="1CC6B6BD" w14:textId="03237147" w:rsidR="00D85FF7" w:rsidRPr="003C23B0" w:rsidRDefault="00D85FF7" w:rsidP="00D85FF7">
      <w:pPr>
        <w:pStyle w:val="Standard"/>
        <w:jc w:val="both"/>
        <w:rPr>
          <w:rFonts w:asciiTheme="minorHAnsi" w:hAnsiTheme="minorHAnsi" w:cstheme="minorHAnsi"/>
          <w:i/>
          <w:iCs/>
          <w:color w:val="000000"/>
          <w:sz w:val="24"/>
          <w:szCs w:val="24"/>
        </w:rPr>
      </w:pPr>
      <w:r w:rsidRPr="003C23B0">
        <w:rPr>
          <w:rFonts w:asciiTheme="minorHAnsi" w:hAnsiTheme="minorHAnsi" w:cstheme="minorHAnsi"/>
          <w:i/>
          <w:iCs/>
          <w:color w:val="000000"/>
          <w:sz w:val="24"/>
          <w:szCs w:val="24"/>
        </w:rPr>
        <w:t>MOTIVAZIONE</w:t>
      </w:r>
    </w:p>
    <w:p w14:paraId="0E5D25B6" w14:textId="34889340" w:rsidR="00D85FF7" w:rsidRPr="00D547A5" w:rsidRDefault="00D85FF7" w:rsidP="00D85FF7">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Le misure di semplificazione in materia ambientale previste nel decreto</w:t>
      </w:r>
      <w:r w:rsidR="00D5777C">
        <w:rPr>
          <w:rFonts w:asciiTheme="minorHAnsi" w:hAnsiTheme="minorHAnsi" w:cstheme="minorHAnsi"/>
          <w:i/>
          <w:iCs/>
          <w:color w:val="000000"/>
          <w:sz w:val="24"/>
          <w:szCs w:val="24"/>
        </w:rPr>
        <w:t>,</w:t>
      </w:r>
      <w:r w:rsidRPr="00D547A5">
        <w:rPr>
          <w:rFonts w:asciiTheme="minorHAnsi" w:hAnsiTheme="minorHAnsi" w:cstheme="minorHAnsi"/>
          <w:i/>
          <w:iCs/>
          <w:color w:val="000000"/>
          <w:sz w:val="24"/>
          <w:szCs w:val="24"/>
        </w:rPr>
        <w:t xml:space="preserve"> per essere attuate hanno bisogno di un intervento attivo e coordinato che possa mettere in grado tutte le istituzioni della Repubblica di applicare le nuove norme dando certezza ai cittadini, alle strutture amministrative e alle imprese.</w:t>
      </w:r>
    </w:p>
    <w:p w14:paraId="267C81AC" w14:textId="038CAC66" w:rsidR="00D85FF7" w:rsidRPr="00D547A5" w:rsidRDefault="00D85FF7" w:rsidP="00D85FF7">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 xml:space="preserve">L’istituzione di un Comitato presso il Ministero della transizione ecologica composto anche da rappresentanti delle autonomie territoriali consente di condividere le iniziative da </w:t>
      </w:r>
      <w:r w:rsidR="00D5777C" w:rsidRPr="00D547A5">
        <w:rPr>
          <w:rFonts w:asciiTheme="minorHAnsi" w:hAnsiTheme="minorHAnsi" w:cstheme="minorHAnsi"/>
          <w:i/>
          <w:iCs/>
          <w:color w:val="000000"/>
          <w:sz w:val="24"/>
          <w:szCs w:val="24"/>
        </w:rPr>
        <w:t>introdurre</w:t>
      </w:r>
      <w:r w:rsidRPr="00D547A5">
        <w:rPr>
          <w:rFonts w:asciiTheme="minorHAnsi" w:hAnsiTheme="minorHAnsi" w:cstheme="minorHAnsi"/>
          <w:i/>
          <w:iCs/>
          <w:color w:val="000000"/>
          <w:sz w:val="24"/>
          <w:szCs w:val="24"/>
        </w:rPr>
        <w:t xml:space="preserve"> in materia e di monitorare l’attuazione della normativa di semplificazione in materia ambientale prevista nel decreto 77/21.</w:t>
      </w:r>
    </w:p>
    <w:p w14:paraId="02A95DB7" w14:textId="11877310" w:rsidR="005335A8" w:rsidRPr="00D547A5" w:rsidRDefault="00D85FF7" w:rsidP="00D85FF7">
      <w:pPr>
        <w:widowControl/>
        <w:suppressAutoHyphens w:val="0"/>
        <w:spacing w:after="160" w:line="259" w:lineRule="auto"/>
        <w:rPr>
          <w:rFonts w:asciiTheme="minorHAnsi" w:eastAsia="Times New Roman" w:hAnsiTheme="minorHAnsi" w:cstheme="minorHAnsi"/>
          <w:color w:val="000000"/>
          <w:kern w:val="0"/>
          <w:u w:val="single"/>
          <w:lang w:eastAsia="it-IT" w:bidi="ar-SA"/>
        </w:rPr>
      </w:pPr>
      <w:r w:rsidRPr="00D547A5">
        <w:rPr>
          <w:rFonts w:asciiTheme="minorHAnsi" w:hAnsiTheme="minorHAnsi" w:cstheme="minorHAnsi"/>
          <w:i/>
          <w:iCs/>
          <w:color w:val="000000"/>
        </w:rPr>
        <w:br w:type="page"/>
      </w:r>
    </w:p>
    <w:p w14:paraId="1F697C78" w14:textId="1816839C" w:rsidR="00D85FF7" w:rsidRPr="00D547A5" w:rsidRDefault="00D85FF7">
      <w:pPr>
        <w:widowControl/>
        <w:suppressAutoHyphens w:val="0"/>
        <w:spacing w:after="160" w:line="259" w:lineRule="auto"/>
        <w:rPr>
          <w:rFonts w:asciiTheme="minorHAnsi" w:hAnsiTheme="minorHAnsi" w:cstheme="minorHAnsi"/>
          <w:color w:val="333333"/>
          <w:shd w:val="clear" w:color="auto" w:fill="FFFFFF"/>
        </w:rPr>
      </w:pPr>
    </w:p>
    <w:p w14:paraId="6215F90F" w14:textId="77777777" w:rsidR="00D85FF7" w:rsidRPr="00D547A5" w:rsidRDefault="00D85FF7" w:rsidP="00D85FF7">
      <w:pPr>
        <w:pStyle w:val="Standard"/>
        <w:jc w:val="right"/>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 xml:space="preserve">TITIOLO II – TRANSIZIONE DIGITALE - Transizione digitale a livello locale </w:t>
      </w:r>
    </w:p>
    <w:p w14:paraId="0000AE70" w14:textId="77777777" w:rsidR="00D85FF7" w:rsidRPr="00D547A5" w:rsidRDefault="00D85FF7" w:rsidP="00D85FF7">
      <w:pPr>
        <w:pStyle w:val="Standard"/>
        <w:jc w:val="center"/>
        <w:rPr>
          <w:rFonts w:asciiTheme="minorHAnsi" w:hAnsiTheme="minorHAnsi" w:cstheme="minorHAnsi"/>
          <w:i/>
          <w:iCs/>
          <w:color w:val="000000"/>
          <w:sz w:val="24"/>
          <w:szCs w:val="24"/>
        </w:rPr>
      </w:pPr>
    </w:p>
    <w:p w14:paraId="3530A713" w14:textId="77777777" w:rsidR="00D85FF7" w:rsidRPr="00D547A5" w:rsidRDefault="00D85FF7" w:rsidP="00D85FF7">
      <w:pPr>
        <w:pStyle w:val="Standard"/>
        <w:jc w:val="center"/>
        <w:rPr>
          <w:rFonts w:asciiTheme="minorHAnsi" w:hAnsiTheme="minorHAnsi" w:cstheme="minorHAnsi"/>
          <w:i/>
          <w:iCs/>
          <w:color w:val="000000"/>
          <w:sz w:val="24"/>
          <w:szCs w:val="24"/>
        </w:rPr>
      </w:pPr>
    </w:p>
    <w:p w14:paraId="26865A13" w14:textId="77777777" w:rsidR="00D85FF7" w:rsidRPr="00D547A5" w:rsidRDefault="00D85FF7" w:rsidP="00D85FF7">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39</w:t>
      </w:r>
    </w:p>
    <w:p w14:paraId="0B3A47D3" w14:textId="77777777" w:rsidR="00D85FF7" w:rsidRPr="00D547A5" w:rsidRDefault="00D85FF7" w:rsidP="00D85FF7">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(Semplificazioni di dati pubblici)</w:t>
      </w:r>
    </w:p>
    <w:p w14:paraId="526A7721" w14:textId="77777777" w:rsidR="00D85FF7" w:rsidRPr="00D547A5" w:rsidRDefault="00D85FF7" w:rsidP="00D85FF7">
      <w:pPr>
        <w:widowControl/>
        <w:suppressAutoHyphens w:val="0"/>
        <w:spacing w:after="160" w:line="259" w:lineRule="auto"/>
        <w:rPr>
          <w:rFonts w:asciiTheme="minorHAnsi" w:hAnsiTheme="minorHAnsi" w:cstheme="minorHAnsi"/>
          <w:color w:val="000000"/>
          <w:kern w:val="0"/>
          <w:lang w:eastAsia="en-US" w:bidi="ar-SA"/>
        </w:rPr>
      </w:pPr>
    </w:p>
    <w:p w14:paraId="59690C72" w14:textId="77777777" w:rsidR="00D85FF7" w:rsidRPr="00D547A5" w:rsidRDefault="00D85FF7" w:rsidP="00D85FF7">
      <w:pPr>
        <w:widowControl/>
        <w:suppressAutoHyphens w:val="0"/>
        <w:spacing w:after="160" w:line="259" w:lineRule="auto"/>
        <w:jc w:val="both"/>
        <w:rPr>
          <w:rFonts w:asciiTheme="minorHAnsi" w:hAnsiTheme="minorHAnsi" w:cstheme="minorHAnsi"/>
          <w:color w:val="000000"/>
          <w:kern w:val="0"/>
          <w:lang w:eastAsia="en-US" w:bidi="ar-SA"/>
        </w:rPr>
      </w:pPr>
      <w:r w:rsidRPr="00D547A5">
        <w:rPr>
          <w:rFonts w:asciiTheme="minorHAnsi" w:hAnsiTheme="minorHAnsi" w:cstheme="minorHAnsi"/>
          <w:color w:val="000000"/>
          <w:kern w:val="0"/>
          <w:lang w:eastAsia="en-US" w:bidi="ar-SA"/>
        </w:rPr>
        <w:t>All’articolo 39, dopo il comma 6, è inserito il seguente:</w:t>
      </w:r>
    </w:p>
    <w:p w14:paraId="2E0F5AFD" w14:textId="308426EB" w:rsidR="00D85FF7" w:rsidRPr="00D547A5" w:rsidRDefault="00D85FF7" w:rsidP="00D85FF7">
      <w:pPr>
        <w:widowControl/>
        <w:suppressAutoHyphens w:val="0"/>
        <w:spacing w:after="160" w:line="259" w:lineRule="auto"/>
        <w:jc w:val="both"/>
        <w:rPr>
          <w:rFonts w:asciiTheme="minorHAnsi" w:hAnsiTheme="minorHAnsi" w:cstheme="minorHAnsi"/>
          <w:color w:val="000000"/>
          <w:kern w:val="0"/>
          <w:lang w:eastAsia="en-US" w:bidi="ar-SA"/>
        </w:rPr>
      </w:pPr>
      <w:r w:rsidRPr="00D547A5">
        <w:rPr>
          <w:rFonts w:asciiTheme="minorHAnsi" w:hAnsiTheme="minorHAnsi" w:cstheme="minorHAnsi"/>
          <w:color w:val="000000"/>
          <w:kern w:val="0"/>
          <w:lang w:eastAsia="en-US" w:bidi="ar-SA"/>
        </w:rPr>
        <w:t>“6-bis. Al fine di contenere i costi di amministrazione derivanti dalla soddisfazione del fabbisogno informativo delle amministrazioni centrali e delle relative articolazioni periferiche, delle autorità indipendenti e della Corte dei conti, nonché di tutti i soggetti istituzionali nazionali, con decreto del Presidente del Consiglio dei ministri, di concerto con il Ministro dell’economia e delle finanze, sentiti la Conferenza unificata e l’ISTAT, sono individuati gli adempimenti degli enti locali concernenti la comunicazione di informazioni che si intendono assolti a seguito dell’invio dei bilanci alla banca dati delle amministrazioni pubbliche di cui all’articolo 13 della legge  31 dicembre 2009, n. 196.</w:t>
      </w:r>
      <w:r w:rsidR="00B17DCC">
        <w:rPr>
          <w:rFonts w:asciiTheme="minorHAnsi" w:hAnsiTheme="minorHAnsi" w:cstheme="minorHAnsi"/>
          <w:color w:val="000000"/>
          <w:kern w:val="0"/>
          <w:lang w:eastAsia="en-US" w:bidi="ar-SA"/>
        </w:rPr>
        <w:t>”</w:t>
      </w:r>
    </w:p>
    <w:p w14:paraId="1E227321" w14:textId="77777777" w:rsidR="00D85FF7" w:rsidRPr="00D547A5" w:rsidRDefault="00D85FF7" w:rsidP="00D85FF7">
      <w:pPr>
        <w:widowControl/>
        <w:suppressAutoHyphens w:val="0"/>
        <w:spacing w:after="160" w:line="259" w:lineRule="auto"/>
        <w:rPr>
          <w:rFonts w:asciiTheme="minorHAnsi" w:hAnsiTheme="minorHAnsi" w:cstheme="minorHAnsi"/>
          <w:i/>
          <w:iCs/>
          <w:color w:val="000000"/>
          <w:kern w:val="0"/>
          <w:lang w:eastAsia="en-US" w:bidi="ar-SA"/>
        </w:rPr>
      </w:pPr>
    </w:p>
    <w:p w14:paraId="2AA77CF3" w14:textId="0EBFF1F5" w:rsidR="00D85FF7" w:rsidRPr="003C23B0" w:rsidRDefault="00D85FF7" w:rsidP="00D85FF7">
      <w:pPr>
        <w:widowControl/>
        <w:suppressAutoHyphens w:val="0"/>
        <w:spacing w:after="160" w:line="259" w:lineRule="auto"/>
        <w:rPr>
          <w:rFonts w:asciiTheme="minorHAnsi" w:hAnsiTheme="minorHAnsi" w:cstheme="minorHAnsi"/>
          <w:i/>
          <w:iCs/>
          <w:color w:val="000000"/>
          <w:kern w:val="0"/>
          <w:lang w:eastAsia="en-US" w:bidi="ar-SA"/>
        </w:rPr>
      </w:pPr>
      <w:r w:rsidRPr="003C23B0">
        <w:rPr>
          <w:rFonts w:asciiTheme="minorHAnsi" w:hAnsiTheme="minorHAnsi" w:cstheme="minorHAnsi"/>
          <w:i/>
          <w:iCs/>
          <w:color w:val="000000"/>
          <w:kern w:val="0"/>
          <w:lang w:eastAsia="en-US" w:bidi="ar-SA"/>
        </w:rPr>
        <w:t>MOTIVAZIONE</w:t>
      </w:r>
    </w:p>
    <w:p w14:paraId="75A82878" w14:textId="76714673" w:rsidR="004055E7" w:rsidRPr="00D547A5" w:rsidRDefault="00D85FF7" w:rsidP="00D85FF7">
      <w:pPr>
        <w:widowControl/>
        <w:suppressAutoHyphens w:val="0"/>
        <w:spacing w:after="160" w:line="259" w:lineRule="auto"/>
        <w:rPr>
          <w:rFonts w:asciiTheme="minorHAnsi" w:hAnsiTheme="minorHAnsi" w:cstheme="minorHAnsi"/>
          <w:color w:val="333333"/>
          <w:shd w:val="clear" w:color="auto" w:fill="FFFFFF"/>
        </w:rPr>
      </w:pPr>
      <w:r w:rsidRPr="00D547A5">
        <w:rPr>
          <w:rFonts w:asciiTheme="minorHAnsi" w:hAnsiTheme="minorHAnsi" w:cstheme="minorHAnsi"/>
          <w:i/>
          <w:iCs/>
          <w:color w:val="000000"/>
          <w:kern w:val="0"/>
          <w:lang w:eastAsia="en-US" w:bidi="ar-SA"/>
        </w:rPr>
        <w:t>La proposta normativa ha la finalità di semplificare gli adempimenti e gli oneri informativi che sono posti in capo agli enti locali a seguito della sovrapposizione di richieste di informazioni già detenute dalle amministrazioni centrali nella materia della contabilità.</w:t>
      </w:r>
    </w:p>
    <w:p w14:paraId="0B92EA89" w14:textId="4593A7CF" w:rsidR="00762EA9" w:rsidRPr="00D547A5" w:rsidRDefault="00D85FF7" w:rsidP="00762EA9">
      <w:pPr>
        <w:widowControl/>
        <w:suppressAutoHyphens w:val="0"/>
        <w:spacing w:before="100" w:beforeAutospacing="1" w:after="100" w:afterAutospacing="1"/>
        <w:jc w:val="right"/>
        <w:rPr>
          <w:rFonts w:asciiTheme="minorHAnsi" w:hAnsiTheme="minorHAnsi" w:cstheme="minorHAnsi"/>
          <w:i/>
          <w:iCs/>
        </w:rPr>
      </w:pPr>
      <w:r w:rsidRPr="00D547A5">
        <w:rPr>
          <w:rFonts w:asciiTheme="minorHAnsi" w:hAnsiTheme="minorHAnsi" w:cstheme="minorHAnsi"/>
          <w:i/>
          <w:iCs/>
          <w:color w:val="333333"/>
          <w:shd w:val="clear" w:color="auto" w:fill="FFFFFF"/>
        </w:rPr>
        <w:br w:type="page"/>
      </w:r>
      <w:r w:rsidR="00762EA9" w:rsidRPr="00D547A5">
        <w:rPr>
          <w:rFonts w:asciiTheme="minorHAnsi" w:hAnsiTheme="minorHAnsi" w:cstheme="minorHAnsi"/>
          <w:i/>
          <w:iCs/>
          <w:shd w:val="clear" w:color="auto" w:fill="FFFFFF"/>
        </w:rPr>
        <w:lastRenderedPageBreak/>
        <w:t>TITOLO IV - CONTRATTI PUBBLICI - Pari opportunità, generazionali e di genere</w:t>
      </w:r>
    </w:p>
    <w:p w14:paraId="1E3C4B56" w14:textId="77777777" w:rsidR="00762EA9" w:rsidRPr="00D547A5" w:rsidRDefault="00762EA9" w:rsidP="00762EA9">
      <w:pPr>
        <w:widowControl/>
        <w:suppressAutoHyphens w:val="0"/>
        <w:spacing w:after="160" w:line="259" w:lineRule="auto"/>
        <w:jc w:val="right"/>
        <w:rPr>
          <w:rFonts w:asciiTheme="minorHAnsi" w:hAnsiTheme="minorHAnsi" w:cstheme="minorHAnsi"/>
          <w:i/>
          <w:iCs/>
          <w:color w:val="000000"/>
        </w:rPr>
      </w:pPr>
    </w:p>
    <w:p w14:paraId="0A22D340" w14:textId="77777777" w:rsidR="00762EA9" w:rsidRPr="00D547A5" w:rsidRDefault="00762EA9" w:rsidP="00762EA9">
      <w:pPr>
        <w:pStyle w:val="Standard"/>
        <w:jc w:val="center"/>
        <w:rPr>
          <w:rFonts w:asciiTheme="minorHAnsi" w:hAnsiTheme="minorHAnsi" w:cstheme="minorHAnsi"/>
          <w:color w:val="000000"/>
          <w:sz w:val="24"/>
          <w:szCs w:val="24"/>
        </w:rPr>
      </w:pPr>
    </w:p>
    <w:p w14:paraId="750EE9C8" w14:textId="360F588B" w:rsidR="00762EA9" w:rsidRPr="00D547A5" w:rsidRDefault="00762EA9" w:rsidP="00762EA9">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47</w:t>
      </w:r>
    </w:p>
    <w:p w14:paraId="582B8BF3" w14:textId="335C75A3" w:rsidR="00762EA9" w:rsidRPr="00D547A5" w:rsidRDefault="00762EA9" w:rsidP="00762EA9">
      <w:pPr>
        <w:pStyle w:val="Standard"/>
        <w:spacing w:after="0" w:line="240" w:lineRule="auto"/>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(Pari opportunità. Generazionali e di genere, nei contratti pubblici PNRR e PNC)</w:t>
      </w:r>
    </w:p>
    <w:p w14:paraId="19A4D181" w14:textId="77777777" w:rsidR="00762EA9" w:rsidRPr="00D547A5" w:rsidRDefault="00762EA9" w:rsidP="00762EA9">
      <w:pPr>
        <w:pStyle w:val="Standard"/>
        <w:jc w:val="both"/>
        <w:rPr>
          <w:rFonts w:asciiTheme="minorHAnsi" w:hAnsiTheme="minorHAnsi" w:cstheme="minorHAnsi"/>
          <w:color w:val="000000"/>
          <w:sz w:val="24"/>
          <w:szCs w:val="24"/>
        </w:rPr>
      </w:pPr>
    </w:p>
    <w:p w14:paraId="63060EBD" w14:textId="01595415" w:rsidR="00762EA9" w:rsidRPr="00D547A5" w:rsidRDefault="00762EA9" w:rsidP="00762EA9">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 xml:space="preserve">All’articolo 47, comma 9, sostituire le parole “e comunicati alla Presidenza del </w:t>
      </w:r>
      <w:r w:rsidR="00021CD4" w:rsidRPr="00D547A5">
        <w:rPr>
          <w:rFonts w:asciiTheme="minorHAnsi" w:hAnsiTheme="minorHAnsi" w:cstheme="minorHAnsi"/>
          <w:color w:val="000000"/>
          <w:sz w:val="24"/>
          <w:szCs w:val="24"/>
        </w:rPr>
        <w:t>C</w:t>
      </w:r>
      <w:r w:rsidRPr="00D547A5">
        <w:rPr>
          <w:rFonts w:asciiTheme="minorHAnsi" w:hAnsiTheme="minorHAnsi" w:cstheme="minorHAnsi"/>
          <w:color w:val="000000"/>
          <w:sz w:val="24"/>
          <w:szCs w:val="24"/>
        </w:rPr>
        <w:t>onsiglio dei Ministri ovvero ai Ministri o alle autorità delegati per le pari opportunità e della famiglia e per le politiche giovanili e il servizio civile universale” con le parole “previo oscuramento delle informazioni contenenti dati personali non pubblicabili</w:t>
      </w:r>
      <w:r w:rsidR="00E90304" w:rsidRPr="00D547A5">
        <w:rPr>
          <w:rFonts w:asciiTheme="minorHAnsi" w:hAnsiTheme="minorHAnsi" w:cstheme="minorHAnsi"/>
          <w:color w:val="000000"/>
          <w:sz w:val="24"/>
          <w:szCs w:val="24"/>
        </w:rPr>
        <w:t>.</w:t>
      </w:r>
      <w:r w:rsidRPr="00D547A5">
        <w:rPr>
          <w:rFonts w:asciiTheme="minorHAnsi" w:hAnsiTheme="minorHAnsi" w:cstheme="minorHAnsi"/>
          <w:color w:val="000000"/>
          <w:sz w:val="24"/>
          <w:szCs w:val="24"/>
        </w:rPr>
        <w:t>”</w:t>
      </w:r>
    </w:p>
    <w:p w14:paraId="41CAA21E" w14:textId="77777777" w:rsidR="00762EA9" w:rsidRPr="00D547A5" w:rsidRDefault="00762EA9" w:rsidP="00762EA9">
      <w:pPr>
        <w:pStyle w:val="Standard"/>
        <w:jc w:val="both"/>
        <w:rPr>
          <w:rFonts w:asciiTheme="minorHAnsi" w:hAnsiTheme="minorHAnsi" w:cstheme="minorHAnsi"/>
          <w:color w:val="000000"/>
          <w:sz w:val="24"/>
          <w:szCs w:val="24"/>
        </w:rPr>
      </w:pPr>
    </w:p>
    <w:p w14:paraId="15BA330A" w14:textId="77777777" w:rsidR="00762EA9" w:rsidRPr="003C23B0" w:rsidRDefault="00762EA9" w:rsidP="00762EA9">
      <w:pPr>
        <w:pStyle w:val="Standard"/>
        <w:jc w:val="both"/>
        <w:rPr>
          <w:rFonts w:asciiTheme="minorHAnsi" w:hAnsiTheme="minorHAnsi" w:cstheme="minorHAnsi"/>
          <w:i/>
          <w:iCs/>
          <w:color w:val="000000"/>
          <w:sz w:val="24"/>
          <w:szCs w:val="24"/>
        </w:rPr>
      </w:pPr>
      <w:r w:rsidRPr="003C23B0">
        <w:rPr>
          <w:rFonts w:asciiTheme="minorHAnsi" w:hAnsiTheme="minorHAnsi" w:cstheme="minorHAnsi"/>
          <w:i/>
          <w:iCs/>
          <w:color w:val="000000"/>
          <w:sz w:val="24"/>
          <w:szCs w:val="24"/>
        </w:rPr>
        <w:t xml:space="preserve">MOTIVAZIONE </w:t>
      </w:r>
    </w:p>
    <w:p w14:paraId="2344CDD1" w14:textId="20FDD733" w:rsidR="00762EA9" w:rsidRPr="00D547A5" w:rsidRDefault="00762EA9" w:rsidP="00762EA9">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 xml:space="preserve">La norma prevede che i contratti attuativi del PNRR e del PNC promuovano adeguatamente le pari opportunità, generazionali e di genere. La proposta emendativa ha la finalità di evitare una duplicazione </w:t>
      </w:r>
      <w:r w:rsidR="00E90304" w:rsidRPr="00D547A5">
        <w:rPr>
          <w:rFonts w:asciiTheme="minorHAnsi" w:hAnsiTheme="minorHAnsi" w:cstheme="minorHAnsi"/>
          <w:i/>
          <w:iCs/>
          <w:color w:val="000000"/>
          <w:sz w:val="24"/>
          <w:szCs w:val="24"/>
        </w:rPr>
        <w:t>di adempimenti informativi a carico delle stazioni appaltanti.</w:t>
      </w:r>
    </w:p>
    <w:p w14:paraId="45358FC7" w14:textId="1AEBB9D0" w:rsidR="00E90304" w:rsidRPr="00D547A5" w:rsidRDefault="00E90304" w:rsidP="00762EA9">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Dovrebbe essere cura dei consiglieri o consigliere di parità competenti per territorio monitorar</w:t>
      </w:r>
      <w:r w:rsidR="007F774B">
        <w:rPr>
          <w:rFonts w:asciiTheme="minorHAnsi" w:hAnsiTheme="minorHAnsi" w:cstheme="minorHAnsi"/>
          <w:i/>
          <w:iCs/>
          <w:color w:val="000000"/>
          <w:sz w:val="24"/>
          <w:szCs w:val="24"/>
        </w:rPr>
        <w:t>e</w:t>
      </w:r>
      <w:r w:rsidR="00021CD4" w:rsidRPr="00D547A5">
        <w:rPr>
          <w:rFonts w:asciiTheme="minorHAnsi" w:hAnsiTheme="minorHAnsi" w:cstheme="minorHAnsi"/>
          <w:i/>
          <w:iCs/>
          <w:color w:val="000000"/>
          <w:sz w:val="24"/>
          <w:szCs w:val="24"/>
        </w:rPr>
        <w:t xml:space="preserve"> </w:t>
      </w:r>
      <w:r w:rsidRPr="00D547A5">
        <w:rPr>
          <w:rFonts w:asciiTheme="minorHAnsi" w:hAnsiTheme="minorHAnsi" w:cstheme="minorHAnsi"/>
          <w:i/>
          <w:iCs/>
          <w:color w:val="000000"/>
          <w:sz w:val="24"/>
          <w:szCs w:val="24"/>
        </w:rPr>
        <w:t>la promozione delle pari opportunità negli appalti considerati accedendo alle informazioni disponibili anche attraverso il rafforzamento della rete presente nei territori da parte del Ministero competente.</w:t>
      </w:r>
    </w:p>
    <w:p w14:paraId="02EE862B" w14:textId="139DD08D" w:rsidR="00C6177B" w:rsidRDefault="00C6177B">
      <w:pPr>
        <w:widowControl/>
        <w:suppressAutoHyphens w:val="0"/>
        <w:spacing w:after="160" w:line="259" w:lineRule="auto"/>
        <w:rPr>
          <w:rFonts w:asciiTheme="minorHAnsi" w:hAnsiTheme="minorHAnsi" w:cstheme="minorHAnsi"/>
          <w:i/>
          <w:iCs/>
          <w:color w:val="333333"/>
          <w:shd w:val="clear" w:color="auto" w:fill="FFFFFF"/>
        </w:rPr>
      </w:pPr>
      <w:r>
        <w:rPr>
          <w:rFonts w:asciiTheme="minorHAnsi" w:hAnsiTheme="minorHAnsi" w:cstheme="minorHAnsi"/>
          <w:i/>
          <w:iCs/>
          <w:color w:val="333333"/>
          <w:shd w:val="clear" w:color="auto" w:fill="FFFFFF"/>
        </w:rPr>
        <w:br w:type="page"/>
      </w:r>
    </w:p>
    <w:p w14:paraId="28567C28" w14:textId="77777777" w:rsidR="00C6177B" w:rsidRDefault="00C6177B" w:rsidP="00C6177B">
      <w:pPr>
        <w:widowControl/>
        <w:suppressAutoHyphens w:val="0"/>
        <w:spacing w:after="160" w:line="259" w:lineRule="auto"/>
        <w:rPr>
          <w:rFonts w:asciiTheme="minorHAnsi" w:hAnsiTheme="minorHAnsi" w:cstheme="minorHAnsi"/>
          <w:i/>
          <w:iCs/>
          <w:color w:val="333333"/>
          <w:shd w:val="clear" w:color="auto" w:fill="FFFFFF"/>
        </w:rPr>
      </w:pPr>
    </w:p>
    <w:p w14:paraId="3CABC07F" w14:textId="67FA2872" w:rsidR="003C23B0" w:rsidRPr="003C23B0" w:rsidRDefault="003C23B0" w:rsidP="00B17DCC">
      <w:pPr>
        <w:widowControl/>
        <w:suppressAutoHyphens w:val="0"/>
        <w:spacing w:after="160" w:line="259" w:lineRule="auto"/>
        <w:jc w:val="right"/>
        <w:rPr>
          <w:i/>
          <w:iCs/>
        </w:rPr>
      </w:pPr>
      <w:r w:rsidRPr="00D547A5">
        <w:rPr>
          <w:rFonts w:asciiTheme="minorHAnsi" w:hAnsiTheme="minorHAnsi" w:cstheme="minorHAnsi"/>
          <w:i/>
          <w:iCs/>
          <w:shd w:val="clear" w:color="auto" w:fill="FFFFFF"/>
        </w:rPr>
        <w:t xml:space="preserve">TITOLO IV - CONTRATTI PUBBLICI </w:t>
      </w:r>
      <w:r w:rsidRPr="00B17DCC">
        <w:rPr>
          <w:rFonts w:asciiTheme="minorHAnsi" w:hAnsiTheme="minorHAnsi" w:cstheme="minorHAnsi"/>
          <w:i/>
          <w:iCs/>
          <w:shd w:val="clear" w:color="auto" w:fill="FFFFFF"/>
        </w:rPr>
        <w:t xml:space="preserve">- </w:t>
      </w:r>
      <w:r w:rsidRPr="00B17DCC">
        <w:rPr>
          <w:rFonts w:asciiTheme="minorHAnsi" w:hAnsiTheme="minorHAnsi" w:cstheme="minorHAnsi"/>
          <w:i/>
          <w:iCs/>
        </w:rPr>
        <w:t>Stipula dei contratti pubblici a distanza</w:t>
      </w:r>
    </w:p>
    <w:p w14:paraId="24048D26" w14:textId="77777777" w:rsidR="003C23B0" w:rsidRPr="003C23B0" w:rsidRDefault="003C23B0" w:rsidP="003C23B0">
      <w:pPr>
        <w:widowControl/>
        <w:suppressAutoHyphens w:val="0"/>
        <w:spacing w:after="160" w:line="259" w:lineRule="auto"/>
        <w:jc w:val="right"/>
        <w:rPr>
          <w:i/>
          <w:iCs/>
          <w:color w:val="000000"/>
        </w:rPr>
      </w:pPr>
    </w:p>
    <w:p w14:paraId="5DA7A971" w14:textId="77777777" w:rsidR="003C23B0" w:rsidRPr="003C23B0" w:rsidRDefault="003C23B0" w:rsidP="003C23B0">
      <w:pPr>
        <w:pStyle w:val="Standard"/>
        <w:jc w:val="center"/>
        <w:rPr>
          <w:color w:val="000000"/>
          <w:sz w:val="24"/>
          <w:szCs w:val="24"/>
        </w:rPr>
      </w:pPr>
    </w:p>
    <w:p w14:paraId="041C4E90" w14:textId="77777777" w:rsidR="003C23B0" w:rsidRPr="003C23B0" w:rsidRDefault="003C23B0" w:rsidP="003C23B0">
      <w:pPr>
        <w:pStyle w:val="Standard"/>
        <w:jc w:val="center"/>
        <w:rPr>
          <w:color w:val="000000"/>
          <w:sz w:val="24"/>
          <w:szCs w:val="24"/>
        </w:rPr>
      </w:pPr>
      <w:r w:rsidRPr="003C23B0">
        <w:rPr>
          <w:color w:val="000000"/>
          <w:sz w:val="24"/>
          <w:szCs w:val="24"/>
        </w:rPr>
        <w:t>ART. 51</w:t>
      </w:r>
    </w:p>
    <w:p w14:paraId="4CFE9D1D" w14:textId="77777777" w:rsidR="003C23B0" w:rsidRPr="003C23B0" w:rsidRDefault="003C23B0" w:rsidP="003C23B0">
      <w:pPr>
        <w:pStyle w:val="Standard"/>
        <w:jc w:val="center"/>
        <w:rPr>
          <w:color w:val="000000"/>
          <w:sz w:val="24"/>
          <w:szCs w:val="24"/>
        </w:rPr>
      </w:pPr>
      <w:r w:rsidRPr="003C23B0">
        <w:rPr>
          <w:color w:val="000000"/>
          <w:sz w:val="24"/>
          <w:szCs w:val="24"/>
        </w:rPr>
        <w:t>(Modifiche al decreto-legge 16 luglio 2020, n.76)</w:t>
      </w:r>
    </w:p>
    <w:p w14:paraId="5EDE4138" w14:textId="77777777" w:rsidR="003C23B0" w:rsidRPr="003C23B0" w:rsidRDefault="003C23B0" w:rsidP="003C23B0">
      <w:pPr>
        <w:pStyle w:val="Standard"/>
        <w:jc w:val="both"/>
        <w:rPr>
          <w:color w:val="000000"/>
          <w:sz w:val="24"/>
          <w:szCs w:val="24"/>
        </w:rPr>
      </w:pPr>
    </w:p>
    <w:p w14:paraId="0F78D976" w14:textId="77777777" w:rsidR="003C23B0" w:rsidRPr="003C23B0" w:rsidRDefault="003C23B0" w:rsidP="003C23B0">
      <w:pPr>
        <w:pStyle w:val="Standard"/>
        <w:jc w:val="both"/>
        <w:rPr>
          <w:color w:val="000000"/>
          <w:sz w:val="24"/>
          <w:szCs w:val="24"/>
        </w:rPr>
      </w:pPr>
      <w:r w:rsidRPr="003C23B0">
        <w:rPr>
          <w:color w:val="000000"/>
          <w:sz w:val="24"/>
          <w:szCs w:val="24"/>
        </w:rPr>
        <w:t>All’articolo 51, comma 1, dopo la lettera c) inserire la seguente:</w:t>
      </w:r>
    </w:p>
    <w:p w14:paraId="2A3B4EB9" w14:textId="77777777" w:rsidR="003C23B0" w:rsidRPr="003C23B0" w:rsidRDefault="003C23B0" w:rsidP="003C23B0">
      <w:pPr>
        <w:pStyle w:val="Standard"/>
        <w:jc w:val="both"/>
        <w:rPr>
          <w:color w:val="000000"/>
          <w:sz w:val="24"/>
          <w:szCs w:val="24"/>
        </w:rPr>
      </w:pPr>
      <w:r w:rsidRPr="003C23B0">
        <w:rPr>
          <w:rFonts w:cs="Calibri"/>
          <w:color w:val="000000"/>
          <w:sz w:val="24"/>
          <w:szCs w:val="24"/>
        </w:rPr>
        <w:t>«</w:t>
      </w:r>
      <w:r w:rsidRPr="003C23B0">
        <w:rPr>
          <w:color w:val="000000"/>
          <w:sz w:val="24"/>
          <w:szCs w:val="24"/>
        </w:rPr>
        <w:t>c-bis) all’articolo 4, dopo il comma 1, è inserito il seguente comma: “1-bis) La stipulazione dei contratti in modalità elettronica, di cui all’art. 32, comma 14, del Decreto Legislativo 18 aprile 2016 n. 50, può essere effettuata anche a distanza, purché siano individuati sistemi che consentano di identificare con certezza le parti contraenti.”</w:t>
      </w:r>
      <w:r w:rsidRPr="003C23B0">
        <w:rPr>
          <w:rFonts w:cs="Calibri"/>
          <w:color w:val="000000"/>
          <w:sz w:val="24"/>
          <w:szCs w:val="24"/>
        </w:rPr>
        <w:t>»</w:t>
      </w:r>
    </w:p>
    <w:p w14:paraId="4047D44B" w14:textId="77777777" w:rsidR="003C23B0" w:rsidRPr="003C23B0" w:rsidRDefault="003C23B0" w:rsidP="003C23B0">
      <w:pPr>
        <w:pStyle w:val="Standard"/>
        <w:jc w:val="both"/>
        <w:rPr>
          <w:color w:val="000000"/>
          <w:sz w:val="24"/>
          <w:szCs w:val="24"/>
        </w:rPr>
      </w:pPr>
    </w:p>
    <w:p w14:paraId="1EA806DB" w14:textId="77777777" w:rsidR="003C23B0" w:rsidRPr="003C23B0" w:rsidRDefault="003C23B0" w:rsidP="003C23B0">
      <w:pPr>
        <w:pStyle w:val="Standard"/>
        <w:jc w:val="both"/>
        <w:rPr>
          <w:i/>
          <w:iCs/>
          <w:color w:val="000000"/>
          <w:sz w:val="24"/>
          <w:szCs w:val="24"/>
        </w:rPr>
      </w:pPr>
      <w:r w:rsidRPr="003C23B0">
        <w:rPr>
          <w:i/>
          <w:iCs/>
          <w:color w:val="000000"/>
          <w:sz w:val="24"/>
          <w:szCs w:val="24"/>
        </w:rPr>
        <w:t xml:space="preserve">Motivazione </w:t>
      </w:r>
    </w:p>
    <w:p w14:paraId="2F1BCF95" w14:textId="23333743" w:rsidR="003C23B0" w:rsidRPr="003C23B0" w:rsidRDefault="003C23B0" w:rsidP="003C23B0">
      <w:pPr>
        <w:pStyle w:val="Standard"/>
        <w:jc w:val="both"/>
        <w:rPr>
          <w:i/>
          <w:iCs/>
          <w:color w:val="000000"/>
          <w:sz w:val="24"/>
          <w:szCs w:val="24"/>
        </w:rPr>
      </w:pPr>
      <w:r w:rsidRPr="003C23B0">
        <w:rPr>
          <w:i/>
          <w:iCs/>
          <w:color w:val="000000"/>
          <w:sz w:val="24"/>
          <w:szCs w:val="24"/>
        </w:rPr>
        <w:t xml:space="preserve">La proposta mira a semplificare, </w:t>
      </w:r>
      <w:r>
        <w:rPr>
          <w:i/>
          <w:iCs/>
          <w:color w:val="000000"/>
          <w:sz w:val="24"/>
          <w:szCs w:val="24"/>
        </w:rPr>
        <w:t xml:space="preserve">anche sulla base dell’esperienza acquisita </w:t>
      </w:r>
      <w:r w:rsidRPr="003C23B0">
        <w:rPr>
          <w:i/>
          <w:iCs/>
          <w:color w:val="000000"/>
          <w:sz w:val="24"/>
          <w:szCs w:val="24"/>
        </w:rPr>
        <w:t>in questa fase emergenziale, l’attività negoziale della P.A. non tralasciando nessuna forma di stipulazione.</w:t>
      </w:r>
    </w:p>
    <w:p w14:paraId="565DE7DC" w14:textId="15F40359" w:rsidR="00D547A5" w:rsidRPr="009E15DE" w:rsidRDefault="003C23B0" w:rsidP="009E15DE">
      <w:pPr>
        <w:widowControl/>
        <w:suppressAutoHyphens w:val="0"/>
        <w:spacing w:after="160" w:line="259" w:lineRule="auto"/>
        <w:jc w:val="right"/>
        <w:rPr>
          <w:rFonts w:asciiTheme="minorHAnsi" w:hAnsiTheme="minorHAnsi" w:cstheme="minorHAnsi"/>
          <w:i/>
          <w:iCs/>
          <w:color w:val="333333"/>
          <w:shd w:val="clear" w:color="auto" w:fill="FFFFFF"/>
        </w:rPr>
      </w:pPr>
      <w:r w:rsidRPr="003C23B0">
        <w:rPr>
          <w:i/>
          <w:iCs/>
          <w:color w:val="000000"/>
        </w:rPr>
        <w:br w:type="page"/>
      </w:r>
      <w:r w:rsidRPr="00D547A5">
        <w:rPr>
          <w:rFonts w:asciiTheme="minorHAnsi" w:hAnsiTheme="minorHAnsi" w:cstheme="minorHAnsi"/>
          <w:i/>
          <w:iCs/>
          <w:shd w:val="clear" w:color="auto" w:fill="FFFFFF"/>
        </w:rPr>
        <w:lastRenderedPageBreak/>
        <w:t xml:space="preserve">TITOLO IV - CONTRATTI PUBBLICI </w:t>
      </w:r>
      <w:r w:rsidR="00D547A5" w:rsidRPr="00D547A5">
        <w:rPr>
          <w:rFonts w:asciiTheme="minorHAnsi" w:hAnsiTheme="minorHAnsi" w:cstheme="minorHAnsi"/>
          <w:i/>
          <w:iCs/>
        </w:rPr>
        <w:t xml:space="preserve">– </w:t>
      </w:r>
      <w:r>
        <w:rPr>
          <w:rFonts w:asciiTheme="minorHAnsi" w:hAnsiTheme="minorHAnsi" w:cstheme="minorHAnsi"/>
          <w:i/>
          <w:iCs/>
        </w:rPr>
        <w:t>Q</w:t>
      </w:r>
      <w:r w:rsidR="00D547A5" w:rsidRPr="00D547A5">
        <w:rPr>
          <w:rFonts w:asciiTheme="minorHAnsi" w:hAnsiTheme="minorHAnsi" w:cstheme="minorHAnsi"/>
          <w:i/>
          <w:iCs/>
        </w:rPr>
        <w:t>ualificazione stazioni appaltanti</w:t>
      </w:r>
    </w:p>
    <w:p w14:paraId="6B94D0B1" w14:textId="77777777" w:rsidR="00D547A5" w:rsidRPr="00D547A5" w:rsidRDefault="00D547A5" w:rsidP="00D547A5">
      <w:pPr>
        <w:widowControl/>
        <w:suppressAutoHyphens w:val="0"/>
        <w:spacing w:after="160" w:line="259" w:lineRule="auto"/>
        <w:jc w:val="right"/>
        <w:rPr>
          <w:rFonts w:asciiTheme="minorHAnsi" w:hAnsiTheme="minorHAnsi" w:cstheme="minorHAnsi"/>
          <w:i/>
          <w:iCs/>
          <w:color w:val="000000"/>
        </w:rPr>
      </w:pPr>
    </w:p>
    <w:p w14:paraId="4716F41C" w14:textId="77777777" w:rsidR="00D547A5" w:rsidRPr="00D547A5" w:rsidRDefault="00D547A5" w:rsidP="00D547A5">
      <w:pPr>
        <w:pStyle w:val="Standard"/>
        <w:jc w:val="center"/>
        <w:rPr>
          <w:rFonts w:asciiTheme="minorHAnsi" w:hAnsiTheme="minorHAnsi" w:cstheme="minorHAnsi"/>
          <w:color w:val="000000"/>
          <w:sz w:val="24"/>
          <w:szCs w:val="24"/>
        </w:rPr>
      </w:pPr>
    </w:p>
    <w:p w14:paraId="569FBFE5" w14:textId="77777777" w:rsidR="00D547A5" w:rsidRPr="00D547A5" w:rsidRDefault="00D547A5" w:rsidP="00D547A5">
      <w:pPr>
        <w:pStyle w:val="Standard"/>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ART. 52</w:t>
      </w:r>
    </w:p>
    <w:p w14:paraId="49919958" w14:textId="59EAECB8" w:rsidR="00D547A5" w:rsidRPr="00D547A5" w:rsidRDefault="00D547A5" w:rsidP="00D547A5">
      <w:pPr>
        <w:pStyle w:val="Standard"/>
        <w:jc w:val="center"/>
        <w:rPr>
          <w:rFonts w:asciiTheme="minorHAnsi" w:hAnsiTheme="minorHAnsi" w:cstheme="minorHAnsi"/>
          <w:color w:val="000000"/>
          <w:sz w:val="24"/>
          <w:szCs w:val="24"/>
        </w:rPr>
      </w:pPr>
      <w:r w:rsidRPr="00D547A5">
        <w:rPr>
          <w:rFonts w:asciiTheme="minorHAnsi" w:hAnsiTheme="minorHAnsi" w:cstheme="minorHAnsi"/>
          <w:color w:val="000000"/>
          <w:sz w:val="24"/>
          <w:szCs w:val="24"/>
        </w:rPr>
        <w:t>(Modifiche al decreto-legge 18 aprile 2019, n.</w:t>
      </w:r>
      <w:r w:rsidR="003C23B0">
        <w:rPr>
          <w:rFonts w:asciiTheme="minorHAnsi" w:hAnsiTheme="minorHAnsi" w:cstheme="minorHAnsi"/>
          <w:color w:val="000000"/>
          <w:sz w:val="24"/>
          <w:szCs w:val="24"/>
        </w:rPr>
        <w:t xml:space="preserve"> </w:t>
      </w:r>
      <w:r w:rsidRPr="00D547A5">
        <w:rPr>
          <w:rFonts w:asciiTheme="minorHAnsi" w:hAnsiTheme="minorHAnsi" w:cstheme="minorHAnsi"/>
          <w:color w:val="000000"/>
          <w:sz w:val="24"/>
          <w:szCs w:val="24"/>
        </w:rPr>
        <w:t>32)</w:t>
      </w:r>
    </w:p>
    <w:p w14:paraId="71B4A70C" w14:textId="77777777" w:rsidR="00D547A5" w:rsidRPr="00D547A5" w:rsidRDefault="00D547A5" w:rsidP="00D547A5">
      <w:pPr>
        <w:pStyle w:val="Standard"/>
        <w:jc w:val="both"/>
        <w:rPr>
          <w:rFonts w:asciiTheme="minorHAnsi" w:hAnsiTheme="minorHAnsi" w:cstheme="minorHAnsi"/>
          <w:color w:val="000000"/>
          <w:sz w:val="24"/>
          <w:szCs w:val="24"/>
        </w:rPr>
      </w:pPr>
    </w:p>
    <w:p w14:paraId="3A796EA5" w14:textId="77777777" w:rsidR="00D547A5" w:rsidRPr="00D547A5" w:rsidRDefault="00D547A5" w:rsidP="00D547A5">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All’articolo 52, comma 1, dopo il punto 9) è inserito il seguente:</w:t>
      </w:r>
    </w:p>
    <w:p w14:paraId="5F96905F" w14:textId="0E55FD2D" w:rsidR="00D547A5" w:rsidRPr="00D547A5" w:rsidRDefault="00D547A5" w:rsidP="00D547A5">
      <w:pPr>
        <w:pStyle w:val="Standard"/>
        <w:jc w:val="both"/>
        <w:rPr>
          <w:rFonts w:asciiTheme="minorHAnsi" w:hAnsiTheme="minorHAnsi" w:cstheme="minorHAnsi"/>
          <w:color w:val="000000"/>
          <w:sz w:val="24"/>
          <w:szCs w:val="24"/>
        </w:rPr>
      </w:pPr>
      <w:r w:rsidRPr="00D547A5">
        <w:rPr>
          <w:rFonts w:asciiTheme="minorHAnsi" w:hAnsiTheme="minorHAnsi" w:cstheme="minorHAnsi"/>
          <w:color w:val="000000"/>
          <w:sz w:val="24"/>
          <w:szCs w:val="24"/>
        </w:rPr>
        <w:t>“</w:t>
      </w:r>
      <w:r w:rsidR="006C3BA0">
        <w:rPr>
          <w:rFonts w:asciiTheme="minorHAnsi" w:hAnsiTheme="minorHAnsi" w:cstheme="minorHAnsi"/>
          <w:color w:val="000000"/>
          <w:sz w:val="24"/>
          <w:szCs w:val="24"/>
        </w:rPr>
        <w:t>10</w:t>
      </w:r>
      <w:r w:rsidRPr="00D547A5">
        <w:rPr>
          <w:rFonts w:asciiTheme="minorHAnsi" w:hAnsiTheme="minorHAnsi" w:cstheme="minorHAnsi"/>
          <w:color w:val="000000"/>
          <w:sz w:val="24"/>
          <w:szCs w:val="24"/>
        </w:rPr>
        <w:t>) al comma 20, dopo la lettera h) è inserita la seguente: h-bis) All’articolo 38, comma 1, terzo periodo, sono aggiunte alla fine le seguenti parole: “</w:t>
      </w:r>
      <w:r w:rsidR="006C3BA0">
        <w:rPr>
          <w:rFonts w:asciiTheme="minorHAnsi" w:hAnsiTheme="minorHAnsi" w:cstheme="minorHAnsi"/>
          <w:color w:val="000000"/>
          <w:sz w:val="24"/>
          <w:szCs w:val="24"/>
        </w:rPr>
        <w:t>,</w:t>
      </w:r>
      <w:r w:rsidRPr="00D547A5">
        <w:rPr>
          <w:rFonts w:asciiTheme="minorHAnsi" w:hAnsiTheme="minorHAnsi" w:cstheme="minorHAnsi"/>
          <w:color w:val="000000"/>
          <w:sz w:val="24"/>
          <w:szCs w:val="24"/>
        </w:rPr>
        <w:t xml:space="preserve"> le stazioni appaltanti dei </w:t>
      </w:r>
      <w:r w:rsidR="003C23B0">
        <w:rPr>
          <w:rFonts w:asciiTheme="minorHAnsi" w:hAnsiTheme="minorHAnsi" w:cstheme="minorHAnsi"/>
          <w:color w:val="000000"/>
          <w:sz w:val="24"/>
          <w:szCs w:val="24"/>
        </w:rPr>
        <w:t>C</w:t>
      </w:r>
      <w:r w:rsidRPr="00D547A5">
        <w:rPr>
          <w:rFonts w:asciiTheme="minorHAnsi" w:hAnsiTheme="minorHAnsi" w:cstheme="minorHAnsi"/>
          <w:color w:val="000000"/>
          <w:sz w:val="24"/>
          <w:szCs w:val="24"/>
        </w:rPr>
        <w:t>omuni capoluogo e le stazioni uniche appaltanti delle Province e delle Città metropolitane.”;</w:t>
      </w:r>
    </w:p>
    <w:p w14:paraId="2E2D83F3" w14:textId="31796AA9" w:rsidR="00D547A5" w:rsidRPr="00D547A5" w:rsidRDefault="00D547A5" w:rsidP="00D547A5">
      <w:pPr>
        <w:pStyle w:val="Standard"/>
        <w:jc w:val="both"/>
        <w:rPr>
          <w:rFonts w:asciiTheme="minorHAnsi" w:hAnsiTheme="minorHAnsi" w:cstheme="minorHAnsi"/>
          <w:color w:val="000000"/>
          <w:sz w:val="24"/>
          <w:szCs w:val="24"/>
        </w:rPr>
      </w:pPr>
    </w:p>
    <w:p w14:paraId="232BC949" w14:textId="77777777" w:rsidR="00D547A5" w:rsidRPr="00D547A5" w:rsidRDefault="00D547A5" w:rsidP="00D547A5">
      <w:pPr>
        <w:pStyle w:val="Standard"/>
        <w:jc w:val="both"/>
        <w:rPr>
          <w:rFonts w:asciiTheme="minorHAnsi" w:hAnsiTheme="minorHAnsi" w:cstheme="minorHAnsi"/>
          <w:color w:val="000000"/>
          <w:sz w:val="24"/>
          <w:szCs w:val="24"/>
        </w:rPr>
      </w:pPr>
    </w:p>
    <w:p w14:paraId="61D5BE59" w14:textId="77777777" w:rsidR="00D547A5" w:rsidRPr="003C23B0" w:rsidRDefault="00D547A5" w:rsidP="00D547A5">
      <w:pPr>
        <w:pStyle w:val="Standard"/>
        <w:jc w:val="both"/>
        <w:rPr>
          <w:rFonts w:asciiTheme="minorHAnsi" w:hAnsiTheme="minorHAnsi" w:cstheme="minorHAnsi"/>
          <w:i/>
          <w:iCs/>
          <w:color w:val="000000"/>
          <w:sz w:val="24"/>
          <w:szCs w:val="24"/>
        </w:rPr>
      </w:pPr>
      <w:r w:rsidRPr="003C23B0">
        <w:rPr>
          <w:rFonts w:asciiTheme="minorHAnsi" w:hAnsiTheme="minorHAnsi" w:cstheme="minorHAnsi"/>
          <w:i/>
          <w:iCs/>
          <w:color w:val="000000"/>
          <w:sz w:val="24"/>
          <w:szCs w:val="24"/>
        </w:rPr>
        <w:t>MOTIVAZIONE</w:t>
      </w:r>
    </w:p>
    <w:p w14:paraId="5FF44B73" w14:textId="77777777" w:rsidR="00D547A5" w:rsidRPr="00D547A5" w:rsidRDefault="00D547A5" w:rsidP="00D547A5">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color w:val="000000"/>
          <w:sz w:val="24"/>
          <w:szCs w:val="24"/>
        </w:rPr>
        <w:t>L’emendamento proposto qualifica di diritto le stazioni appaltanti dei Comuni capoluogo e le stazioni uniche appaltanti di Province e Città metropolitane.</w:t>
      </w:r>
    </w:p>
    <w:p w14:paraId="0E110F6E" w14:textId="03A04E01" w:rsidR="0061599A" w:rsidRPr="00D547A5" w:rsidRDefault="00D547A5" w:rsidP="00D547A5">
      <w:pPr>
        <w:widowControl/>
        <w:suppressAutoHyphens w:val="0"/>
        <w:spacing w:before="100" w:beforeAutospacing="1" w:after="100" w:afterAutospacing="1"/>
        <w:jc w:val="both"/>
        <w:rPr>
          <w:rFonts w:asciiTheme="minorHAnsi" w:hAnsiTheme="minorHAnsi" w:cstheme="minorHAnsi"/>
          <w:shd w:val="clear" w:color="auto" w:fill="FFFFFF"/>
        </w:rPr>
      </w:pPr>
      <w:r w:rsidRPr="00D547A5">
        <w:rPr>
          <w:rFonts w:asciiTheme="minorHAnsi" w:hAnsiTheme="minorHAnsi" w:cstheme="minorHAnsi"/>
          <w:i/>
          <w:iCs/>
          <w:color w:val="000000"/>
        </w:rPr>
        <w:t xml:space="preserve">Si tratta </w:t>
      </w:r>
      <w:r w:rsidR="007F774B">
        <w:rPr>
          <w:rFonts w:asciiTheme="minorHAnsi" w:hAnsiTheme="minorHAnsi" w:cstheme="minorHAnsi"/>
          <w:i/>
          <w:iCs/>
          <w:color w:val="000000"/>
        </w:rPr>
        <w:t>d</w:t>
      </w:r>
      <w:r w:rsidRPr="00D547A5">
        <w:rPr>
          <w:rFonts w:asciiTheme="minorHAnsi" w:hAnsiTheme="minorHAnsi" w:cstheme="minorHAnsi"/>
          <w:i/>
          <w:iCs/>
          <w:color w:val="000000"/>
        </w:rPr>
        <w:t xml:space="preserve">i una modifica normativa coerente con quanto previsto nello stesso articolo in merito all’aggregazione delle procedure di appalto </w:t>
      </w:r>
      <w:r w:rsidR="003C23B0">
        <w:rPr>
          <w:rFonts w:asciiTheme="minorHAnsi" w:hAnsiTheme="minorHAnsi" w:cstheme="minorHAnsi"/>
          <w:i/>
          <w:iCs/>
          <w:color w:val="000000"/>
        </w:rPr>
        <w:t xml:space="preserve">dei comuni non capoluogo e </w:t>
      </w:r>
      <w:r w:rsidRPr="00D547A5">
        <w:rPr>
          <w:rFonts w:asciiTheme="minorHAnsi" w:hAnsiTheme="minorHAnsi" w:cstheme="minorHAnsi"/>
          <w:i/>
          <w:iCs/>
          <w:color w:val="000000"/>
        </w:rPr>
        <w:t xml:space="preserve">che consente di avviare un processo di qualificazione </w:t>
      </w:r>
      <w:r w:rsidR="00D5777C">
        <w:rPr>
          <w:rFonts w:asciiTheme="minorHAnsi" w:hAnsiTheme="minorHAnsi" w:cstheme="minorHAnsi"/>
          <w:i/>
          <w:iCs/>
          <w:color w:val="000000"/>
        </w:rPr>
        <w:t xml:space="preserve">e </w:t>
      </w:r>
      <w:r w:rsidRPr="00D547A5">
        <w:rPr>
          <w:rFonts w:asciiTheme="minorHAnsi" w:hAnsiTheme="minorHAnsi" w:cstheme="minorHAnsi"/>
          <w:i/>
          <w:iCs/>
          <w:color w:val="000000"/>
        </w:rPr>
        <w:t>rafforzamento delle stazioni appaltanti a livello locale, intorno alle strutture specializzate costituite dai Comuni capoluogo, dalle Province e dalle Città metropolitane.</w:t>
      </w:r>
      <w:r w:rsidR="00D85FF7" w:rsidRPr="00D547A5">
        <w:rPr>
          <w:rFonts w:asciiTheme="minorHAnsi" w:hAnsiTheme="minorHAnsi" w:cstheme="minorHAnsi"/>
          <w:i/>
          <w:iCs/>
          <w:color w:val="000000"/>
        </w:rPr>
        <w:br w:type="page"/>
      </w:r>
    </w:p>
    <w:p w14:paraId="7AC88726" w14:textId="77777777" w:rsidR="007C584B" w:rsidRPr="00D547A5" w:rsidRDefault="007C584B" w:rsidP="007C584B">
      <w:pPr>
        <w:widowControl/>
        <w:suppressAutoHyphens w:val="0"/>
        <w:spacing w:before="100" w:beforeAutospacing="1" w:after="100" w:afterAutospacing="1"/>
        <w:jc w:val="right"/>
        <w:rPr>
          <w:rFonts w:asciiTheme="minorHAnsi" w:hAnsiTheme="minorHAnsi" w:cstheme="minorHAnsi"/>
          <w:shd w:val="clear" w:color="auto" w:fill="FFFFFF"/>
        </w:rPr>
      </w:pPr>
      <w:r w:rsidRPr="00D547A5">
        <w:rPr>
          <w:rFonts w:asciiTheme="minorHAnsi" w:hAnsiTheme="minorHAnsi" w:cstheme="minorHAnsi"/>
          <w:i/>
          <w:iCs/>
          <w:shd w:val="clear" w:color="auto" w:fill="FFFFFF"/>
        </w:rPr>
        <w:lastRenderedPageBreak/>
        <w:t>TITOLO IV - CONTRATTI PUBBLICI- Semplificazioni Edilizia Scolastica</w:t>
      </w:r>
    </w:p>
    <w:p w14:paraId="79F5A88C" w14:textId="77777777" w:rsidR="007C584B" w:rsidRPr="00D547A5" w:rsidRDefault="007C584B" w:rsidP="007C584B">
      <w:pPr>
        <w:widowControl/>
        <w:suppressAutoHyphens w:val="0"/>
        <w:spacing w:before="100" w:beforeAutospacing="1" w:after="100" w:afterAutospacing="1"/>
        <w:jc w:val="center"/>
        <w:rPr>
          <w:rFonts w:asciiTheme="minorHAnsi" w:hAnsiTheme="minorHAnsi" w:cstheme="minorHAnsi"/>
          <w:shd w:val="clear" w:color="auto" w:fill="FFFFFF"/>
        </w:rPr>
      </w:pPr>
    </w:p>
    <w:p w14:paraId="60500ADA" w14:textId="77777777" w:rsidR="007C584B" w:rsidRPr="00D547A5" w:rsidRDefault="007C584B" w:rsidP="007C584B">
      <w:pPr>
        <w:widowControl/>
        <w:suppressAutoHyphens w:val="0"/>
        <w:spacing w:before="100" w:beforeAutospacing="1" w:after="100" w:afterAutospacing="1"/>
        <w:jc w:val="center"/>
        <w:rPr>
          <w:rFonts w:asciiTheme="minorHAnsi" w:eastAsia="Times New Roman" w:hAnsiTheme="minorHAnsi" w:cstheme="minorHAnsi"/>
          <w:kern w:val="0"/>
          <w:lang w:eastAsia="it-IT" w:bidi="ar-SA"/>
        </w:rPr>
      </w:pPr>
      <w:r w:rsidRPr="00D547A5">
        <w:rPr>
          <w:rFonts w:asciiTheme="minorHAnsi" w:hAnsiTheme="minorHAnsi" w:cstheme="minorHAnsi"/>
          <w:shd w:val="clear" w:color="auto" w:fill="FFFFFF"/>
        </w:rPr>
        <w:t>Articolo 55.</w:t>
      </w:r>
      <w:r w:rsidRPr="00D547A5">
        <w:rPr>
          <w:rFonts w:asciiTheme="minorHAnsi" w:hAnsiTheme="minorHAnsi" w:cstheme="minorHAnsi"/>
        </w:rPr>
        <w:br/>
      </w:r>
      <w:r w:rsidRPr="00D547A5">
        <w:rPr>
          <w:rFonts w:asciiTheme="minorHAnsi" w:hAnsiTheme="minorHAnsi" w:cstheme="minorHAnsi"/>
          <w:shd w:val="clear" w:color="auto" w:fill="FFFFFF"/>
        </w:rPr>
        <w:t>(Misure di semplificazione in materia di istruzione)</w:t>
      </w:r>
    </w:p>
    <w:p w14:paraId="79BD411B" w14:textId="77777777"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color w:val="000000"/>
          <w:kern w:val="0"/>
          <w:lang w:eastAsia="it-IT" w:bidi="ar-SA"/>
        </w:rPr>
      </w:pPr>
    </w:p>
    <w:p w14:paraId="6C77A8EF" w14:textId="351BC0EC" w:rsidR="007C584B" w:rsidRPr="00D547A5" w:rsidRDefault="00701C9B" w:rsidP="007C584B">
      <w:pPr>
        <w:widowControl/>
        <w:suppressAutoHyphens w:val="0"/>
        <w:spacing w:before="100" w:beforeAutospacing="1" w:after="100" w:afterAutospacing="1"/>
        <w:jc w:val="both"/>
        <w:rPr>
          <w:rFonts w:asciiTheme="minorHAnsi" w:eastAsia="Times New Roman" w:hAnsiTheme="minorHAnsi" w:cstheme="minorHAnsi"/>
          <w:color w:val="000000"/>
          <w:kern w:val="0"/>
          <w:lang w:eastAsia="it-IT" w:bidi="ar-SA"/>
        </w:rPr>
      </w:pPr>
      <w:r w:rsidRPr="00D547A5">
        <w:rPr>
          <w:rFonts w:asciiTheme="minorHAnsi" w:eastAsia="Times New Roman" w:hAnsiTheme="minorHAnsi" w:cstheme="minorHAnsi"/>
          <w:color w:val="000000"/>
          <w:kern w:val="0"/>
          <w:lang w:eastAsia="it-IT" w:bidi="ar-SA"/>
        </w:rPr>
        <w:t>All’articolo 55, d</w:t>
      </w:r>
      <w:r w:rsidR="007C584B" w:rsidRPr="00D547A5">
        <w:rPr>
          <w:rFonts w:asciiTheme="minorHAnsi" w:eastAsia="Times New Roman" w:hAnsiTheme="minorHAnsi" w:cstheme="minorHAnsi"/>
          <w:color w:val="000000"/>
          <w:kern w:val="0"/>
          <w:lang w:eastAsia="it-IT" w:bidi="ar-SA"/>
        </w:rPr>
        <w:t xml:space="preserve">opo il comma </w:t>
      </w:r>
      <w:r w:rsidRPr="00D547A5">
        <w:rPr>
          <w:rFonts w:asciiTheme="minorHAnsi" w:eastAsia="Times New Roman" w:hAnsiTheme="minorHAnsi" w:cstheme="minorHAnsi"/>
          <w:color w:val="000000"/>
          <w:kern w:val="0"/>
          <w:lang w:eastAsia="it-IT" w:bidi="ar-SA"/>
        </w:rPr>
        <w:t>1</w:t>
      </w:r>
      <w:r w:rsidR="007C584B" w:rsidRPr="00D547A5">
        <w:rPr>
          <w:rFonts w:asciiTheme="minorHAnsi" w:eastAsia="Times New Roman" w:hAnsiTheme="minorHAnsi" w:cstheme="minorHAnsi"/>
          <w:color w:val="000000"/>
          <w:kern w:val="0"/>
          <w:lang w:eastAsia="it-IT" w:bidi="ar-SA"/>
        </w:rPr>
        <w:t>, inserire il seguente:</w:t>
      </w:r>
    </w:p>
    <w:p w14:paraId="4598CA0A" w14:textId="25920B6F"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color w:val="000000"/>
          <w:kern w:val="0"/>
          <w:lang w:eastAsia="it-IT" w:bidi="ar-SA"/>
        </w:rPr>
      </w:pPr>
      <w:r w:rsidRPr="00D547A5">
        <w:rPr>
          <w:rFonts w:asciiTheme="minorHAnsi" w:eastAsia="Times New Roman" w:hAnsiTheme="minorHAnsi" w:cstheme="minorHAnsi"/>
          <w:color w:val="000000"/>
          <w:kern w:val="0"/>
          <w:lang w:eastAsia="it-IT" w:bidi="ar-SA"/>
        </w:rPr>
        <w:t>“</w:t>
      </w:r>
      <w:r w:rsidR="00701C9B" w:rsidRPr="00D547A5">
        <w:rPr>
          <w:rFonts w:asciiTheme="minorHAnsi" w:eastAsia="Times New Roman" w:hAnsiTheme="minorHAnsi" w:cstheme="minorHAnsi"/>
          <w:color w:val="000000"/>
          <w:kern w:val="0"/>
          <w:lang w:eastAsia="it-IT" w:bidi="ar-SA"/>
        </w:rPr>
        <w:t xml:space="preserve">1-bis. </w:t>
      </w:r>
      <w:r w:rsidRPr="00D547A5">
        <w:rPr>
          <w:rFonts w:asciiTheme="minorHAnsi" w:eastAsia="Times New Roman" w:hAnsiTheme="minorHAnsi" w:cstheme="minorHAnsi"/>
          <w:color w:val="000000"/>
          <w:kern w:val="0"/>
          <w:lang w:eastAsia="it-IT" w:bidi="ar-SA"/>
        </w:rPr>
        <w:t>La previsione dell’art.</w:t>
      </w:r>
      <w:r w:rsidR="00701C9B" w:rsidRPr="00D547A5">
        <w:rPr>
          <w:rFonts w:asciiTheme="minorHAnsi" w:eastAsia="Times New Roman" w:hAnsiTheme="minorHAnsi" w:cstheme="minorHAnsi"/>
          <w:color w:val="000000"/>
          <w:kern w:val="0"/>
          <w:lang w:eastAsia="it-IT" w:bidi="ar-SA"/>
        </w:rPr>
        <w:t xml:space="preserve"> </w:t>
      </w:r>
      <w:r w:rsidRPr="00D547A5">
        <w:rPr>
          <w:rFonts w:asciiTheme="minorHAnsi" w:eastAsia="Times New Roman" w:hAnsiTheme="minorHAnsi" w:cstheme="minorHAnsi"/>
          <w:color w:val="000000"/>
          <w:kern w:val="0"/>
          <w:lang w:eastAsia="it-IT" w:bidi="ar-SA"/>
        </w:rPr>
        <w:t xml:space="preserve">10, comma 7-bis, </w:t>
      </w:r>
      <w:r w:rsidR="00701C9B" w:rsidRPr="00D547A5">
        <w:rPr>
          <w:rFonts w:asciiTheme="minorHAnsi" w:eastAsia="Times New Roman" w:hAnsiTheme="minorHAnsi" w:cstheme="minorHAnsi"/>
          <w:color w:val="000000"/>
          <w:kern w:val="0"/>
          <w:lang w:eastAsia="it-IT" w:bidi="ar-SA"/>
        </w:rPr>
        <w:t xml:space="preserve">del </w:t>
      </w:r>
      <w:r w:rsidR="006C3BA0">
        <w:rPr>
          <w:rFonts w:asciiTheme="minorHAnsi" w:eastAsia="Times New Roman" w:hAnsiTheme="minorHAnsi" w:cstheme="minorHAnsi"/>
          <w:color w:val="000000"/>
          <w:kern w:val="0"/>
          <w:lang w:eastAsia="it-IT" w:bidi="ar-SA"/>
        </w:rPr>
        <w:t xml:space="preserve">decreto-legge 16 luglio 2020, n. </w:t>
      </w:r>
      <w:r w:rsidRPr="00D547A5">
        <w:rPr>
          <w:rFonts w:asciiTheme="minorHAnsi" w:eastAsia="Times New Roman" w:hAnsiTheme="minorHAnsi" w:cstheme="minorHAnsi"/>
          <w:color w:val="000000"/>
          <w:kern w:val="0"/>
          <w:lang w:eastAsia="it-IT" w:bidi="ar-SA"/>
        </w:rPr>
        <w:t xml:space="preserve"> 76</w:t>
      </w:r>
      <w:r w:rsidR="006C3BA0">
        <w:rPr>
          <w:rFonts w:asciiTheme="minorHAnsi" w:eastAsia="Times New Roman" w:hAnsiTheme="minorHAnsi" w:cstheme="minorHAnsi"/>
          <w:color w:val="000000"/>
          <w:kern w:val="0"/>
          <w:lang w:eastAsia="it-IT" w:bidi="ar-SA"/>
        </w:rPr>
        <w:t xml:space="preserve">, </w:t>
      </w:r>
      <w:r w:rsidRPr="00D547A5">
        <w:rPr>
          <w:rFonts w:asciiTheme="minorHAnsi" w:eastAsia="Times New Roman" w:hAnsiTheme="minorHAnsi" w:cstheme="minorHAnsi"/>
          <w:color w:val="000000"/>
          <w:kern w:val="0"/>
          <w:lang w:eastAsia="it-IT" w:bidi="ar-SA"/>
        </w:rPr>
        <w:t>non si applica agli interventi di edilizia scolastica che sono tuttavia soggetti, ove dovuti, al deposito o al parere del genio Civile di cui alla legge 5 novembre 1971, n. 1086, da rendere entro 30 giorni dalla richiesta”.</w:t>
      </w:r>
    </w:p>
    <w:p w14:paraId="118BCD28" w14:textId="77777777"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u w:val="single"/>
          <w:lang w:eastAsia="it-IT" w:bidi="ar-SA"/>
        </w:rPr>
      </w:pPr>
    </w:p>
    <w:p w14:paraId="3B4A441C" w14:textId="77777777"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u w:val="single"/>
          <w:lang w:eastAsia="it-IT" w:bidi="ar-SA"/>
        </w:rPr>
      </w:pPr>
    </w:p>
    <w:p w14:paraId="2B23B213" w14:textId="77777777" w:rsidR="007C584B" w:rsidRPr="00C924AE"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lang w:eastAsia="it-IT" w:bidi="ar-SA"/>
        </w:rPr>
      </w:pPr>
      <w:r w:rsidRPr="00C924AE">
        <w:rPr>
          <w:rFonts w:asciiTheme="minorHAnsi" w:eastAsia="Times New Roman" w:hAnsiTheme="minorHAnsi" w:cstheme="minorHAnsi"/>
          <w:i/>
          <w:iCs/>
          <w:color w:val="000000"/>
          <w:kern w:val="0"/>
          <w:lang w:eastAsia="it-IT" w:bidi="ar-SA"/>
        </w:rPr>
        <w:t>MOTIVAZIONE</w:t>
      </w:r>
    </w:p>
    <w:p w14:paraId="13735CD2" w14:textId="4675612B"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lang w:eastAsia="it-IT" w:bidi="ar-SA"/>
        </w:rPr>
      </w:pPr>
      <w:r w:rsidRPr="00D547A5">
        <w:rPr>
          <w:rFonts w:asciiTheme="minorHAnsi" w:eastAsia="Times New Roman" w:hAnsiTheme="minorHAnsi" w:cstheme="minorHAnsi"/>
          <w:i/>
          <w:iCs/>
          <w:color w:val="000000"/>
          <w:kern w:val="0"/>
          <w:lang w:eastAsia="it-IT" w:bidi="ar-SA"/>
        </w:rPr>
        <w:t xml:space="preserve">In tema di semplificazioni e snellimento degli interventi, </w:t>
      </w:r>
      <w:r w:rsidR="009A1EC9" w:rsidRPr="00D547A5">
        <w:rPr>
          <w:rFonts w:asciiTheme="minorHAnsi" w:eastAsia="Times New Roman" w:hAnsiTheme="minorHAnsi" w:cstheme="minorHAnsi"/>
          <w:i/>
          <w:iCs/>
          <w:color w:val="000000"/>
          <w:kern w:val="0"/>
          <w:lang w:eastAsia="it-IT" w:bidi="ar-SA"/>
        </w:rPr>
        <w:t>si rileva che</w:t>
      </w:r>
      <w:r w:rsidRPr="00D547A5">
        <w:rPr>
          <w:rFonts w:asciiTheme="minorHAnsi" w:eastAsia="Times New Roman" w:hAnsiTheme="minorHAnsi" w:cstheme="minorHAnsi"/>
          <w:i/>
          <w:iCs/>
          <w:color w:val="000000"/>
          <w:kern w:val="0"/>
          <w:lang w:eastAsia="it-IT" w:bidi="ar-SA"/>
        </w:rPr>
        <w:t xml:space="preserve"> gli interventi di edilizia scolastica prevedono complicate procedure di caricamento dati sui progetti da finanziare, che vanno dall’applicativo che viene aperto dal Ministero Istruzione per il monitoraggio degli interventi, all’aggiornamento dell’anagrafe nazionale dell’edilizia scolastica, all’inserimento dei progetti sull’Archivio Informatico Nazionale per le Opere Pubbliche – </w:t>
      </w:r>
      <w:r w:rsidR="002B2CE3" w:rsidRPr="00D547A5">
        <w:rPr>
          <w:rFonts w:asciiTheme="minorHAnsi" w:eastAsia="Times New Roman" w:hAnsiTheme="minorHAnsi" w:cstheme="minorHAnsi"/>
          <w:i/>
          <w:iCs/>
          <w:color w:val="000000"/>
          <w:kern w:val="0"/>
          <w:lang w:eastAsia="it-IT" w:bidi="ar-SA"/>
        </w:rPr>
        <w:t>AINOP</w:t>
      </w:r>
      <w:r w:rsidRPr="00D547A5">
        <w:rPr>
          <w:rFonts w:asciiTheme="minorHAnsi" w:eastAsia="Times New Roman" w:hAnsiTheme="minorHAnsi" w:cstheme="minorHAnsi"/>
          <w:i/>
          <w:iCs/>
          <w:color w:val="000000"/>
          <w:kern w:val="0"/>
          <w:lang w:eastAsia="it-IT" w:bidi="ar-SA"/>
        </w:rPr>
        <w:t>.</w:t>
      </w:r>
    </w:p>
    <w:p w14:paraId="4BBC9691" w14:textId="7002B09D"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lang w:eastAsia="it-IT" w:bidi="ar-SA"/>
        </w:rPr>
      </w:pPr>
      <w:r w:rsidRPr="00D547A5">
        <w:rPr>
          <w:rFonts w:asciiTheme="minorHAnsi" w:eastAsia="Times New Roman" w:hAnsiTheme="minorHAnsi" w:cstheme="minorHAnsi"/>
          <w:i/>
          <w:iCs/>
          <w:color w:val="000000"/>
          <w:kern w:val="0"/>
          <w:lang w:eastAsia="it-IT" w:bidi="ar-SA"/>
        </w:rPr>
        <w:t xml:space="preserve">La previsione introdotta dall’art. 10, comma 7-bis, DL 76/2020 comporta infatti il deposito su </w:t>
      </w:r>
      <w:r w:rsidR="002B2CE3" w:rsidRPr="00D547A5">
        <w:rPr>
          <w:rFonts w:asciiTheme="minorHAnsi" w:eastAsia="Times New Roman" w:hAnsiTheme="minorHAnsi" w:cstheme="minorHAnsi"/>
          <w:i/>
          <w:iCs/>
          <w:color w:val="000000"/>
          <w:kern w:val="0"/>
          <w:lang w:eastAsia="it-IT" w:bidi="ar-SA"/>
        </w:rPr>
        <w:t xml:space="preserve">AINOP </w:t>
      </w:r>
      <w:r w:rsidRPr="00D547A5">
        <w:rPr>
          <w:rFonts w:asciiTheme="minorHAnsi" w:eastAsia="Times New Roman" w:hAnsiTheme="minorHAnsi" w:cstheme="minorHAnsi"/>
          <w:i/>
          <w:iCs/>
          <w:color w:val="000000"/>
          <w:kern w:val="0"/>
          <w:lang w:eastAsia="it-IT" w:bidi="ar-SA"/>
        </w:rPr>
        <w:t>di “progetti di lavori pubblici di interesse statale o comunque finanziati per almeno il 50 per cento dallo Stato”.</w:t>
      </w:r>
    </w:p>
    <w:p w14:paraId="1CE90DF2" w14:textId="77777777"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lang w:eastAsia="it-IT" w:bidi="ar-SA"/>
        </w:rPr>
      </w:pPr>
      <w:r w:rsidRPr="00D547A5">
        <w:rPr>
          <w:rFonts w:asciiTheme="minorHAnsi" w:eastAsia="Times New Roman" w:hAnsiTheme="minorHAnsi" w:cstheme="minorHAnsi"/>
          <w:i/>
          <w:iCs/>
          <w:color w:val="000000"/>
          <w:kern w:val="0"/>
          <w:lang w:eastAsia="it-IT" w:bidi="ar-SA"/>
        </w:rPr>
        <w:t>Al riguardo non è chiaro se i progetti di edilizia scolastica siano da considerarsi sempre ed in ogni caso interventi di interesse statale, ovvero se invece la misura dell’interesse statale dipende dalle fonti di finanziamento dell’intervento.</w:t>
      </w:r>
    </w:p>
    <w:p w14:paraId="33C8CB84" w14:textId="1956D184" w:rsidR="007C584B" w:rsidRPr="00D547A5" w:rsidRDefault="007C584B" w:rsidP="007C584B">
      <w:pPr>
        <w:widowControl/>
        <w:suppressAutoHyphens w:val="0"/>
        <w:spacing w:before="100" w:beforeAutospacing="1" w:after="100" w:afterAutospacing="1"/>
        <w:jc w:val="both"/>
        <w:rPr>
          <w:rFonts w:asciiTheme="minorHAnsi" w:eastAsia="Times New Roman" w:hAnsiTheme="minorHAnsi" w:cstheme="minorHAnsi"/>
          <w:i/>
          <w:iCs/>
          <w:color w:val="000000"/>
          <w:kern w:val="0"/>
          <w:lang w:eastAsia="it-IT" w:bidi="ar-SA"/>
        </w:rPr>
      </w:pPr>
      <w:r w:rsidRPr="00D547A5">
        <w:rPr>
          <w:rFonts w:asciiTheme="minorHAnsi" w:eastAsia="Times New Roman" w:hAnsiTheme="minorHAnsi" w:cstheme="minorHAnsi"/>
          <w:i/>
          <w:iCs/>
          <w:color w:val="000000"/>
          <w:kern w:val="0"/>
          <w:lang w:eastAsia="it-IT" w:bidi="ar-SA"/>
        </w:rPr>
        <w:t>L’emendamento è finalizzato a semplificare le procedure e prevedere per i soli interventi di edilizia scolastica come unico adempimento la richiesta di parere al genio Civile, che avrà 30 giorni per dare riscontro.</w:t>
      </w:r>
    </w:p>
    <w:p w14:paraId="32B078C4" w14:textId="77777777" w:rsidR="007C584B" w:rsidRPr="00D547A5" w:rsidRDefault="007C584B">
      <w:pPr>
        <w:widowControl/>
        <w:suppressAutoHyphens w:val="0"/>
        <w:spacing w:after="160" w:line="259" w:lineRule="auto"/>
        <w:rPr>
          <w:rFonts w:asciiTheme="minorHAnsi" w:eastAsia="Times New Roman" w:hAnsiTheme="minorHAnsi" w:cstheme="minorHAnsi"/>
          <w:i/>
          <w:iCs/>
          <w:color w:val="000000"/>
          <w:kern w:val="0"/>
          <w:lang w:eastAsia="it-IT" w:bidi="ar-SA"/>
        </w:rPr>
      </w:pPr>
      <w:r w:rsidRPr="00D547A5">
        <w:rPr>
          <w:rFonts w:asciiTheme="minorHAnsi" w:eastAsia="Times New Roman" w:hAnsiTheme="minorHAnsi" w:cstheme="minorHAnsi"/>
          <w:i/>
          <w:iCs/>
          <w:color w:val="000000"/>
          <w:kern w:val="0"/>
          <w:lang w:eastAsia="it-IT" w:bidi="ar-SA"/>
        </w:rPr>
        <w:br w:type="page"/>
      </w:r>
    </w:p>
    <w:p w14:paraId="3715B971" w14:textId="381F2BE4" w:rsidR="007C584B" w:rsidRPr="00D547A5" w:rsidRDefault="007C584B" w:rsidP="007C584B">
      <w:pPr>
        <w:pStyle w:val="Standard"/>
        <w:jc w:val="right"/>
        <w:rPr>
          <w:rFonts w:asciiTheme="minorHAnsi" w:hAnsiTheme="minorHAnsi" w:cstheme="minorHAnsi"/>
          <w:i/>
          <w:iCs/>
          <w:sz w:val="24"/>
          <w:szCs w:val="24"/>
        </w:rPr>
      </w:pPr>
      <w:r w:rsidRPr="00D547A5">
        <w:rPr>
          <w:rFonts w:asciiTheme="minorHAnsi" w:hAnsiTheme="minorHAnsi" w:cstheme="minorHAnsi"/>
          <w:i/>
          <w:iCs/>
          <w:sz w:val="24"/>
          <w:szCs w:val="24"/>
        </w:rPr>
        <w:lastRenderedPageBreak/>
        <w:t xml:space="preserve">TITOLO VII </w:t>
      </w:r>
      <w:r w:rsidR="002B2CE3" w:rsidRPr="00D547A5">
        <w:rPr>
          <w:rFonts w:asciiTheme="minorHAnsi" w:hAnsiTheme="minorHAnsi" w:cstheme="minorHAnsi"/>
          <w:i/>
          <w:iCs/>
          <w:sz w:val="24"/>
          <w:szCs w:val="24"/>
        </w:rPr>
        <w:t xml:space="preserve">- </w:t>
      </w:r>
      <w:r w:rsidRPr="00D547A5">
        <w:rPr>
          <w:rFonts w:asciiTheme="minorHAnsi" w:hAnsiTheme="minorHAnsi" w:cstheme="minorHAnsi"/>
          <w:i/>
          <w:iCs/>
          <w:sz w:val="24"/>
          <w:szCs w:val="24"/>
        </w:rPr>
        <w:t>ULTERIORI MISURE DI RAFFORZAMENTO DELLE CAPACITA’ AMMINISTRATIV</w:t>
      </w:r>
      <w:r w:rsidR="00DA3C4D">
        <w:rPr>
          <w:rFonts w:asciiTheme="minorHAnsi" w:hAnsiTheme="minorHAnsi" w:cstheme="minorHAnsi"/>
          <w:i/>
          <w:iCs/>
          <w:sz w:val="24"/>
          <w:szCs w:val="24"/>
        </w:rPr>
        <w:t>A</w:t>
      </w:r>
    </w:p>
    <w:p w14:paraId="5777ED68" w14:textId="77777777" w:rsidR="007C584B" w:rsidRPr="00D547A5" w:rsidRDefault="007C584B" w:rsidP="007C584B">
      <w:pPr>
        <w:pStyle w:val="Standard"/>
        <w:jc w:val="both"/>
        <w:rPr>
          <w:rFonts w:asciiTheme="minorHAnsi" w:hAnsiTheme="minorHAnsi" w:cstheme="minorHAnsi"/>
          <w:sz w:val="24"/>
          <w:szCs w:val="24"/>
        </w:rPr>
      </w:pPr>
    </w:p>
    <w:p w14:paraId="2EDB81F4" w14:textId="77777777" w:rsidR="007C584B" w:rsidRPr="00D547A5" w:rsidRDefault="007C584B" w:rsidP="007C584B">
      <w:pPr>
        <w:pStyle w:val="Standard"/>
        <w:jc w:val="both"/>
        <w:rPr>
          <w:rFonts w:asciiTheme="minorHAnsi" w:hAnsiTheme="minorHAnsi" w:cstheme="minorHAnsi"/>
          <w:sz w:val="24"/>
          <w:szCs w:val="24"/>
        </w:rPr>
      </w:pPr>
      <w:r w:rsidRPr="00D547A5">
        <w:rPr>
          <w:rFonts w:asciiTheme="minorHAnsi" w:hAnsiTheme="minorHAnsi" w:cstheme="minorHAnsi"/>
          <w:sz w:val="24"/>
          <w:szCs w:val="24"/>
        </w:rPr>
        <w:t>Dopo l’articolo 66 inserire il seguente articolo:</w:t>
      </w:r>
    </w:p>
    <w:p w14:paraId="361538F2" w14:textId="77777777" w:rsidR="007C584B" w:rsidRPr="00D547A5" w:rsidRDefault="007C584B" w:rsidP="007C584B">
      <w:pPr>
        <w:pStyle w:val="Standard"/>
        <w:jc w:val="both"/>
        <w:rPr>
          <w:rFonts w:asciiTheme="minorHAnsi" w:hAnsiTheme="minorHAnsi" w:cstheme="minorHAnsi"/>
          <w:sz w:val="24"/>
          <w:szCs w:val="24"/>
        </w:rPr>
      </w:pPr>
    </w:p>
    <w:p w14:paraId="67366471" w14:textId="77777777" w:rsidR="007C584B" w:rsidRPr="00D547A5" w:rsidRDefault="007C584B" w:rsidP="007C584B">
      <w:pPr>
        <w:pStyle w:val="Standard"/>
        <w:jc w:val="center"/>
        <w:rPr>
          <w:rFonts w:asciiTheme="minorHAnsi" w:hAnsiTheme="minorHAnsi" w:cstheme="minorHAnsi"/>
          <w:i/>
          <w:iCs/>
          <w:sz w:val="24"/>
          <w:szCs w:val="24"/>
        </w:rPr>
      </w:pPr>
      <w:r w:rsidRPr="00D547A5">
        <w:rPr>
          <w:rFonts w:asciiTheme="minorHAnsi" w:hAnsiTheme="minorHAnsi" w:cstheme="minorHAnsi"/>
          <w:i/>
          <w:iCs/>
          <w:sz w:val="24"/>
          <w:szCs w:val="24"/>
        </w:rPr>
        <w:t>Art. 66-bis</w:t>
      </w:r>
    </w:p>
    <w:p w14:paraId="2CB83CA9" w14:textId="0D50E9CE" w:rsidR="007C584B" w:rsidRPr="00D547A5" w:rsidRDefault="007C584B" w:rsidP="007C584B">
      <w:pPr>
        <w:pStyle w:val="Standard"/>
        <w:jc w:val="center"/>
        <w:rPr>
          <w:rFonts w:asciiTheme="minorHAnsi" w:hAnsiTheme="minorHAnsi" w:cstheme="minorHAnsi"/>
          <w:i/>
          <w:iCs/>
          <w:sz w:val="24"/>
          <w:szCs w:val="24"/>
        </w:rPr>
      </w:pPr>
      <w:r w:rsidRPr="00D547A5">
        <w:rPr>
          <w:rFonts w:asciiTheme="minorHAnsi" w:hAnsiTheme="minorHAnsi" w:cstheme="minorHAnsi"/>
          <w:i/>
          <w:iCs/>
          <w:sz w:val="24"/>
          <w:szCs w:val="24"/>
        </w:rPr>
        <w:t xml:space="preserve">(Assunzione di personale specializzato </w:t>
      </w:r>
      <w:r w:rsidR="00DA3C4D">
        <w:rPr>
          <w:rFonts w:asciiTheme="minorHAnsi" w:hAnsiTheme="minorHAnsi" w:cstheme="minorHAnsi"/>
          <w:i/>
          <w:iCs/>
          <w:sz w:val="24"/>
          <w:szCs w:val="24"/>
        </w:rPr>
        <w:t>in Province e Città metropolitane</w:t>
      </w:r>
      <w:r w:rsidRPr="00D547A5">
        <w:rPr>
          <w:rFonts w:asciiTheme="minorHAnsi" w:hAnsiTheme="minorHAnsi" w:cstheme="minorHAnsi"/>
          <w:i/>
          <w:iCs/>
          <w:sz w:val="24"/>
          <w:szCs w:val="24"/>
        </w:rPr>
        <w:t>)</w:t>
      </w:r>
    </w:p>
    <w:p w14:paraId="32FBF1AB" w14:textId="7F153F0C" w:rsidR="007C584B" w:rsidRPr="00D547A5" w:rsidRDefault="007C584B" w:rsidP="007C584B">
      <w:pPr>
        <w:pStyle w:val="Standard"/>
        <w:jc w:val="both"/>
        <w:rPr>
          <w:rFonts w:asciiTheme="minorHAnsi" w:hAnsiTheme="minorHAnsi" w:cstheme="minorHAnsi"/>
          <w:sz w:val="24"/>
          <w:szCs w:val="24"/>
        </w:rPr>
      </w:pPr>
      <w:r w:rsidRPr="00D547A5">
        <w:rPr>
          <w:rFonts w:asciiTheme="minorHAnsi" w:hAnsiTheme="minorHAnsi" w:cstheme="minorHAnsi"/>
          <w:sz w:val="24"/>
          <w:szCs w:val="24"/>
        </w:rPr>
        <w:t xml:space="preserve">1. Per </w:t>
      </w:r>
      <w:r w:rsidR="00D547A5" w:rsidRPr="00D547A5">
        <w:rPr>
          <w:rFonts w:asciiTheme="minorHAnsi" w:hAnsiTheme="minorHAnsi" w:cstheme="minorHAnsi"/>
          <w:sz w:val="24"/>
          <w:szCs w:val="24"/>
        </w:rPr>
        <w:t>rafforzare la capacità amministrativa d</w:t>
      </w:r>
      <w:r w:rsidRPr="00D547A5">
        <w:rPr>
          <w:rFonts w:asciiTheme="minorHAnsi" w:hAnsiTheme="minorHAnsi" w:cstheme="minorHAnsi"/>
          <w:sz w:val="24"/>
          <w:szCs w:val="24"/>
        </w:rPr>
        <w:t>egli enti local</w:t>
      </w:r>
      <w:r w:rsidR="00D547A5" w:rsidRPr="00D547A5">
        <w:rPr>
          <w:rFonts w:asciiTheme="minorHAnsi" w:hAnsiTheme="minorHAnsi" w:cstheme="minorHAnsi"/>
          <w:sz w:val="24"/>
          <w:szCs w:val="24"/>
        </w:rPr>
        <w:t>i per le finalità previste dal presente decreto</w:t>
      </w:r>
      <w:r w:rsidRPr="00D547A5">
        <w:rPr>
          <w:rFonts w:asciiTheme="minorHAnsi" w:hAnsiTheme="minorHAnsi" w:cstheme="minorHAnsi"/>
          <w:sz w:val="24"/>
          <w:szCs w:val="24"/>
        </w:rPr>
        <w:t xml:space="preserve">, è autorizzata l’assunzione di 1000 funzionari altamente specializzati a tempo determinato, per tre anni, </w:t>
      </w:r>
      <w:r w:rsidR="00D547A5" w:rsidRPr="00D547A5">
        <w:rPr>
          <w:rFonts w:asciiTheme="minorHAnsi" w:hAnsiTheme="minorHAnsi" w:cstheme="minorHAnsi"/>
          <w:sz w:val="24"/>
          <w:szCs w:val="24"/>
        </w:rPr>
        <w:t>con particolare riferimento a</w:t>
      </w:r>
      <w:r w:rsidRPr="00D547A5">
        <w:rPr>
          <w:rFonts w:asciiTheme="minorHAnsi" w:hAnsiTheme="minorHAnsi" w:cstheme="minorHAnsi"/>
          <w:sz w:val="24"/>
          <w:szCs w:val="24"/>
        </w:rPr>
        <w:t xml:space="preserve">gli uffici di progettazione, </w:t>
      </w:r>
      <w:r w:rsidR="00D547A5" w:rsidRPr="00D547A5">
        <w:rPr>
          <w:rFonts w:asciiTheme="minorHAnsi" w:hAnsiTheme="minorHAnsi" w:cstheme="minorHAnsi"/>
          <w:sz w:val="24"/>
          <w:szCs w:val="24"/>
        </w:rPr>
        <w:t>al</w:t>
      </w:r>
      <w:r w:rsidRPr="00D547A5">
        <w:rPr>
          <w:rFonts w:asciiTheme="minorHAnsi" w:hAnsiTheme="minorHAnsi" w:cstheme="minorHAnsi"/>
          <w:sz w:val="24"/>
          <w:szCs w:val="24"/>
        </w:rPr>
        <w:t xml:space="preserve">le stazioni uniche appaltanti e </w:t>
      </w:r>
      <w:r w:rsidR="00D547A5" w:rsidRPr="00D547A5">
        <w:rPr>
          <w:rFonts w:asciiTheme="minorHAnsi" w:hAnsiTheme="minorHAnsi" w:cstheme="minorHAnsi"/>
          <w:sz w:val="24"/>
          <w:szCs w:val="24"/>
        </w:rPr>
        <w:t>a</w:t>
      </w:r>
      <w:r w:rsidRPr="00D547A5">
        <w:rPr>
          <w:rFonts w:asciiTheme="minorHAnsi" w:hAnsiTheme="minorHAnsi" w:cstheme="minorHAnsi"/>
          <w:sz w:val="24"/>
          <w:szCs w:val="24"/>
        </w:rPr>
        <w:t xml:space="preserve">gli uffici per la trasformazione digitale delle Province e delle Città metropolitane, al di fuori dei limiti della normativa vigente sulle assunzioni di personale ed in deroga all’obbligo di aggiornamento annuale del piano dei fabbisogni, attraverso una procedura unica gestita dalla Commissione di cui all’articolo 35, comma 5, del decreto legislativo 30 marzo 2001, n. 165. </w:t>
      </w:r>
    </w:p>
    <w:p w14:paraId="0672F189" w14:textId="77777777" w:rsidR="007C584B" w:rsidRPr="00D547A5" w:rsidRDefault="007C584B" w:rsidP="007C584B">
      <w:pPr>
        <w:pStyle w:val="Standard"/>
        <w:jc w:val="both"/>
        <w:rPr>
          <w:rFonts w:asciiTheme="minorHAnsi" w:hAnsiTheme="minorHAnsi" w:cstheme="minorHAnsi"/>
          <w:sz w:val="24"/>
          <w:szCs w:val="24"/>
        </w:rPr>
      </w:pPr>
    </w:p>
    <w:p w14:paraId="02A8C208" w14:textId="77777777" w:rsidR="007C584B" w:rsidRPr="009C0EC3" w:rsidRDefault="007C584B" w:rsidP="007C584B">
      <w:pPr>
        <w:pStyle w:val="Standard"/>
        <w:jc w:val="both"/>
        <w:rPr>
          <w:rFonts w:asciiTheme="minorHAnsi" w:hAnsiTheme="minorHAnsi" w:cstheme="minorHAnsi"/>
          <w:i/>
          <w:iCs/>
          <w:sz w:val="24"/>
          <w:szCs w:val="24"/>
        </w:rPr>
      </w:pPr>
      <w:r w:rsidRPr="009C0EC3">
        <w:rPr>
          <w:rFonts w:asciiTheme="minorHAnsi" w:hAnsiTheme="minorHAnsi" w:cstheme="minorHAnsi"/>
          <w:i/>
          <w:iCs/>
          <w:sz w:val="24"/>
          <w:szCs w:val="24"/>
        </w:rPr>
        <w:t>MOTIVAZIONE</w:t>
      </w:r>
    </w:p>
    <w:p w14:paraId="1F28554C" w14:textId="77777777" w:rsidR="007C584B" w:rsidRPr="00D547A5" w:rsidRDefault="007C584B" w:rsidP="007C584B">
      <w:pPr>
        <w:pStyle w:val="Standard"/>
        <w:jc w:val="both"/>
        <w:rPr>
          <w:rFonts w:asciiTheme="minorHAnsi" w:hAnsiTheme="minorHAnsi" w:cstheme="minorHAnsi"/>
          <w:i/>
          <w:iCs/>
          <w:sz w:val="24"/>
          <w:szCs w:val="24"/>
        </w:rPr>
      </w:pPr>
      <w:r w:rsidRPr="00D547A5">
        <w:rPr>
          <w:rFonts w:asciiTheme="minorHAnsi" w:hAnsiTheme="minorHAnsi" w:cstheme="minorHAnsi"/>
          <w:i/>
          <w:iCs/>
          <w:sz w:val="24"/>
          <w:szCs w:val="24"/>
        </w:rPr>
        <w:t>La proposta normativa ha l’obiettivo di consentire a Province e Città metropolitane di assumere rapidamente personale altamente specializzato a tempo determinato per rafforzare le strutture di progettazione, di gestione degli appalti o dei processi di transizione amministrativa e digitale.</w:t>
      </w:r>
    </w:p>
    <w:p w14:paraId="695CF46A" w14:textId="76188C76" w:rsidR="007C584B" w:rsidRPr="00D547A5" w:rsidRDefault="007C584B" w:rsidP="007C584B">
      <w:pPr>
        <w:pStyle w:val="Standard"/>
        <w:jc w:val="both"/>
        <w:rPr>
          <w:rFonts w:asciiTheme="minorHAnsi" w:hAnsiTheme="minorHAnsi" w:cstheme="minorHAnsi"/>
          <w:i/>
          <w:iCs/>
          <w:sz w:val="24"/>
          <w:szCs w:val="24"/>
        </w:rPr>
      </w:pPr>
      <w:r w:rsidRPr="00D547A5">
        <w:rPr>
          <w:rFonts w:asciiTheme="minorHAnsi" w:hAnsiTheme="minorHAnsi" w:cstheme="minorHAnsi"/>
          <w:i/>
          <w:iCs/>
          <w:sz w:val="24"/>
          <w:szCs w:val="24"/>
        </w:rPr>
        <w:t xml:space="preserve">Negli ultimi anni il personale delle Province e delle Città metropolitane ha subito una notevole riduzione nel numero e nelle professionalità. Gli impegni che lo Stato sta richiedendo per la ripresa degli investimenti degli enti locali e per la trasformazione digitale della PA </w:t>
      </w:r>
      <w:r w:rsidR="006C3BA0">
        <w:rPr>
          <w:rFonts w:asciiTheme="minorHAnsi" w:hAnsiTheme="minorHAnsi" w:cstheme="minorHAnsi"/>
          <w:i/>
          <w:iCs/>
          <w:sz w:val="24"/>
          <w:szCs w:val="24"/>
        </w:rPr>
        <w:t xml:space="preserve">in attuazione del PNRR </w:t>
      </w:r>
      <w:r w:rsidRPr="00D547A5">
        <w:rPr>
          <w:rFonts w:asciiTheme="minorHAnsi" w:hAnsiTheme="minorHAnsi" w:cstheme="minorHAnsi"/>
          <w:i/>
          <w:iCs/>
          <w:sz w:val="24"/>
          <w:szCs w:val="24"/>
        </w:rPr>
        <w:t>richiede l’innesto di personale altamente qualificato in questi enti, che può essere accelerato attraverso il ricorso ad una procedura concorsuale unica gestita dal</w:t>
      </w:r>
      <w:r w:rsidR="00701C9B" w:rsidRPr="00D547A5">
        <w:rPr>
          <w:rFonts w:asciiTheme="minorHAnsi" w:hAnsiTheme="minorHAnsi" w:cstheme="minorHAnsi"/>
          <w:i/>
          <w:iCs/>
          <w:sz w:val="24"/>
          <w:szCs w:val="24"/>
        </w:rPr>
        <w:t>la Commissione RIPAM</w:t>
      </w:r>
      <w:r w:rsidRPr="00D547A5">
        <w:rPr>
          <w:rFonts w:asciiTheme="minorHAnsi" w:hAnsiTheme="minorHAnsi" w:cstheme="minorHAnsi"/>
          <w:i/>
          <w:iCs/>
          <w:sz w:val="24"/>
          <w:szCs w:val="24"/>
        </w:rPr>
        <w:t>.</w:t>
      </w:r>
    </w:p>
    <w:p w14:paraId="5FAC9477" w14:textId="005D534C" w:rsidR="007C584B" w:rsidRPr="00D547A5" w:rsidRDefault="007C584B" w:rsidP="00F80BD3">
      <w:pPr>
        <w:pStyle w:val="Standard"/>
        <w:jc w:val="both"/>
        <w:rPr>
          <w:rFonts w:asciiTheme="minorHAnsi" w:hAnsiTheme="minorHAnsi" w:cstheme="minorHAnsi"/>
          <w:i/>
          <w:iCs/>
          <w:sz w:val="24"/>
          <w:szCs w:val="24"/>
        </w:rPr>
      </w:pPr>
      <w:r w:rsidRPr="00D547A5">
        <w:rPr>
          <w:rFonts w:asciiTheme="minorHAnsi" w:hAnsiTheme="minorHAnsi" w:cstheme="minorHAnsi"/>
          <w:i/>
          <w:iCs/>
          <w:sz w:val="24"/>
          <w:szCs w:val="24"/>
        </w:rPr>
        <w:t>Con la copertura da parte dello Stato delle assunzioni di personale specializzato per tre anni si potrebbe far fronte alle esigenze immediate, al di fuori dei limiti della normativa vigente sulle assunzioni di personale ed in deroga all’obbligo di aggiornamento annuale del piano dei fabbisogni, consentendo alle Province e alle Città metropolitane di rafforzare</w:t>
      </w:r>
      <w:r w:rsidR="006C3BA0">
        <w:rPr>
          <w:rFonts w:asciiTheme="minorHAnsi" w:hAnsiTheme="minorHAnsi" w:cstheme="minorHAnsi"/>
          <w:i/>
          <w:iCs/>
          <w:sz w:val="24"/>
          <w:szCs w:val="24"/>
        </w:rPr>
        <w:t>,</w:t>
      </w:r>
      <w:r w:rsidRPr="00D547A5">
        <w:rPr>
          <w:rFonts w:asciiTheme="minorHAnsi" w:hAnsiTheme="minorHAnsi" w:cstheme="minorHAnsi"/>
          <w:i/>
          <w:iCs/>
          <w:sz w:val="24"/>
          <w:szCs w:val="24"/>
        </w:rPr>
        <w:t xml:space="preserve"> velocemente </w:t>
      </w:r>
      <w:r w:rsidR="006C3BA0">
        <w:rPr>
          <w:rFonts w:asciiTheme="minorHAnsi" w:hAnsiTheme="minorHAnsi" w:cstheme="minorHAnsi"/>
          <w:i/>
          <w:iCs/>
          <w:sz w:val="24"/>
          <w:szCs w:val="24"/>
        </w:rPr>
        <w:t xml:space="preserve">e </w:t>
      </w:r>
      <w:r w:rsidRPr="00D547A5">
        <w:rPr>
          <w:rFonts w:asciiTheme="minorHAnsi" w:hAnsiTheme="minorHAnsi" w:cstheme="minorHAnsi"/>
          <w:i/>
          <w:iCs/>
          <w:sz w:val="24"/>
          <w:szCs w:val="24"/>
        </w:rPr>
        <w:t>con personale qualificato</w:t>
      </w:r>
      <w:r w:rsidR="006C3BA0">
        <w:rPr>
          <w:rFonts w:asciiTheme="minorHAnsi" w:hAnsiTheme="minorHAnsi" w:cstheme="minorHAnsi"/>
          <w:i/>
          <w:iCs/>
          <w:sz w:val="24"/>
          <w:szCs w:val="24"/>
        </w:rPr>
        <w:t>,</w:t>
      </w:r>
      <w:r w:rsidRPr="00D547A5">
        <w:rPr>
          <w:rFonts w:asciiTheme="minorHAnsi" w:hAnsiTheme="minorHAnsi" w:cstheme="minorHAnsi"/>
          <w:i/>
          <w:iCs/>
          <w:sz w:val="24"/>
          <w:szCs w:val="24"/>
        </w:rPr>
        <w:t xml:space="preserve"> le strutture che svolgono funzioni anche a supporto dei Comuni del territorio</w:t>
      </w:r>
      <w:r w:rsidR="006C3BA0">
        <w:rPr>
          <w:rFonts w:asciiTheme="minorHAnsi" w:hAnsiTheme="minorHAnsi" w:cstheme="minorHAnsi"/>
          <w:i/>
          <w:iCs/>
          <w:sz w:val="24"/>
          <w:szCs w:val="24"/>
        </w:rPr>
        <w:t>. Q</w:t>
      </w:r>
      <w:r w:rsidRPr="00D547A5">
        <w:rPr>
          <w:rFonts w:asciiTheme="minorHAnsi" w:hAnsiTheme="minorHAnsi" w:cstheme="minorHAnsi"/>
          <w:i/>
          <w:iCs/>
          <w:sz w:val="24"/>
          <w:szCs w:val="24"/>
        </w:rPr>
        <w:t xml:space="preserve">ueste figure </w:t>
      </w:r>
      <w:r w:rsidR="006C3BA0">
        <w:rPr>
          <w:rFonts w:asciiTheme="minorHAnsi" w:hAnsiTheme="minorHAnsi" w:cstheme="minorHAnsi"/>
          <w:i/>
          <w:iCs/>
          <w:sz w:val="24"/>
          <w:szCs w:val="24"/>
        </w:rPr>
        <w:t xml:space="preserve">potranno eventualmente essere inserite stabilmente negli enti </w:t>
      </w:r>
      <w:r w:rsidRPr="00D547A5">
        <w:rPr>
          <w:rFonts w:asciiTheme="minorHAnsi" w:hAnsiTheme="minorHAnsi" w:cstheme="minorHAnsi"/>
          <w:i/>
          <w:iCs/>
          <w:sz w:val="24"/>
          <w:szCs w:val="24"/>
        </w:rPr>
        <w:t xml:space="preserve">secondo la programmazione pluriennale </w:t>
      </w:r>
      <w:r w:rsidR="006C3BA0">
        <w:rPr>
          <w:rFonts w:asciiTheme="minorHAnsi" w:hAnsiTheme="minorHAnsi" w:cstheme="minorHAnsi"/>
          <w:i/>
          <w:iCs/>
          <w:sz w:val="24"/>
          <w:szCs w:val="24"/>
        </w:rPr>
        <w:t xml:space="preserve">delle assunzioni </w:t>
      </w:r>
      <w:r w:rsidRPr="00D547A5">
        <w:rPr>
          <w:rFonts w:asciiTheme="minorHAnsi" w:hAnsiTheme="minorHAnsi" w:cstheme="minorHAnsi"/>
          <w:i/>
          <w:iCs/>
          <w:sz w:val="24"/>
          <w:szCs w:val="24"/>
        </w:rPr>
        <w:t>di personale</w:t>
      </w:r>
      <w:r w:rsidR="006C3BA0">
        <w:rPr>
          <w:rFonts w:asciiTheme="minorHAnsi" w:hAnsiTheme="minorHAnsi" w:cstheme="minorHAnsi"/>
          <w:i/>
          <w:iCs/>
          <w:sz w:val="24"/>
          <w:szCs w:val="24"/>
        </w:rPr>
        <w:t xml:space="preserve"> a tempo indeterminato</w:t>
      </w:r>
      <w:r w:rsidRPr="00D547A5">
        <w:rPr>
          <w:rFonts w:asciiTheme="minorHAnsi" w:hAnsiTheme="minorHAnsi" w:cstheme="minorHAnsi"/>
          <w:i/>
          <w:iCs/>
          <w:sz w:val="24"/>
          <w:szCs w:val="24"/>
        </w:rPr>
        <w:t xml:space="preserve">. </w:t>
      </w:r>
    </w:p>
    <w:p w14:paraId="243E401B" w14:textId="0EBC1BDC" w:rsidR="00701C9B" w:rsidRPr="00D547A5" w:rsidRDefault="00701C9B" w:rsidP="00F80BD3">
      <w:pPr>
        <w:pStyle w:val="Standard"/>
        <w:jc w:val="both"/>
        <w:rPr>
          <w:rFonts w:asciiTheme="minorHAnsi" w:hAnsiTheme="minorHAnsi" w:cstheme="minorHAnsi"/>
          <w:i/>
          <w:iCs/>
          <w:color w:val="000000"/>
          <w:sz w:val="24"/>
          <w:szCs w:val="24"/>
        </w:rPr>
      </w:pPr>
      <w:r w:rsidRPr="00D547A5">
        <w:rPr>
          <w:rFonts w:asciiTheme="minorHAnsi" w:hAnsiTheme="minorHAnsi" w:cstheme="minorHAnsi"/>
          <w:i/>
          <w:iCs/>
          <w:sz w:val="24"/>
          <w:szCs w:val="24"/>
        </w:rPr>
        <w:t>Occorre la copertura finanziaria della norma per un onere complessivo stimato in circa 120 milioni di euro.</w:t>
      </w:r>
      <w:bookmarkEnd w:id="0"/>
    </w:p>
    <w:p w14:paraId="43A21704" w14:textId="77777777" w:rsidR="00F80BD3" w:rsidRPr="00F80BD3" w:rsidRDefault="00F80BD3" w:rsidP="00F80BD3">
      <w:pPr>
        <w:pStyle w:val="Standard"/>
        <w:jc w:val="both"/>
        <w:rPr>
          <w:rFonts w:asciiTheme="minorHAnsi" w:hAnsiTheme="minorHAnsi" w:cstheme="minorHAnsi"/>
          <w:i/>
          <w:iCs/>
          <w:color w:val="000000"/>
          <w:sz w:val="24"/>
          <w:szCs w:val="24"/>
        </w:rPr>
      </w:pPr>
    </w:p>
    <w:sectPr w:rsidR="00F80BD3" w:rsidRPr="00F80BD3" w:rsidSect="009E15DE">
      <w:footerReference w:type="default" r:id="rId9"/>
      <w:footerReference w:type="firs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7FFA" w14:textId="77777777" w:rsidR="00F935A7" w:rsidRDefault="00F935A7" w:rsidP="009C0EC3">
      <w:r>
        <w:separator/>
      </w:r>
    </w:p>
  </w:endnote>
  <w:endnote w:type="continuationSeparator" w:id="0">
    <w:p w14:paraId="56FCAECC" w14:textId="77777777" w:rsidR="00F935A7" w:rsidRDefault="00F935A7" w:rsidP="009C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98290"/>
      <w:docPartObj>
        <w:docPartGallery w:val="Page Numbers (Bottom of Page)"/>
        <w:docPartUnique/>
      </w:docPartObj>
    </w:sdtPr>
    <w:sdtEndPr/>
    <w:sdtContent>
      <w:p w14:paraId="46FA55E2" w14:textId="1CE382DA" w:rsidR="009E15DE" w:rsidRDefault="009E15DE">
        <w:pPr>
          <w:pStyle w:val="Pidipagina"/>
          <w:jc w:val="right"/>
        </w:pPr>
        <w:r>
          <w:fldChar w:fldCharType="begin"/>
        </w:r>
        <w:r>
          <w:instrText>PAGE   \* MERGEFORMAT</w:instrText>
        </w:r>
        <w:r>
          <w:fldChar w:fldCharType="separate"/>
        </w:r>
        <w:r w:rsidR="00DA6219">
          <w:rPr>
            <w:noProof/>
          </w:rPr>
          <w:t>15</w:t>
        </w:r>
        <w:r>
          <w:fldChar w:fldCharType="end"/>
        </w:r>
      </w:p>
    </w:sdtContent>
  </w:sdt>
  <w:p w14:paraId="4ACA22F3" w14:textId="102FA212" w:rsidR="009C0EC3" w:rsidRDefault="009C0EC3" w:rsidP="00C6177B">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DFF8" w14:textId="58326F11" w:rsidR="00C6177B" w:rsidRDefault="00C6177B" w:rsidP="00C6177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E409B" w14:textId="77777777" w:rsidR="00F935A7" w:rsidRDefault="00F935A7" w:rsidP="009C0EC3">
      <w:r>
        <w:separator/>
      </w:r>
    </w:p>
  </w:footnote>
  <w:footnote w:type="continuationSeparator" w:id="0">
    <w:p w14:paraId="1237638F" w14:textId="77777777" w:rsidR="00F935A7" w:rsidRDefault="00F935A7" w:rsidP="009C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82E"/>
    <w:multiLevelType w:val="hybridMultilevel"/>
    <w:tmpl w:val="C2084A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45612"/>
    <w:multiLevelType w:val="hybridMultilevel"/>
    <w:tmpl w:val="90B614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1BB5924"/>
    <w:multiLevelType w:val="hybridMultilevel"/>
    <w:tmpl w:val="1F462A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0A0DFD"/>
    <w:multiLevelType w:val="hybridMultilevel"/>
    <w:tmpl w:val="E2427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80D3C"/>
    <w:multiLevelType w:val="hybridMultilevel"/>
    <w:tmpl w:val="E55ED6B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19A0392F"/>
    <w:multiLevelType w:val="hybridMultilevel"/>
    <w:tmpl w:val="A0788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94F43"/>
    <w:multiLevelType w:val="hybridMultilevel"/>
    <w:tmpl w:val="23D87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E13C30"/>
    <w:multiLevelType w:val="hybridMultilevel"/>
    <w:tmpl w:val="D3526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5E630E"/>
    <w:multiLevelType w:val="hybridMultilevel"/>
    <w:tmpl w:val="07EEAC10"/>
    <w:lvl w:ilvl="0" w:tplc="FFCE4A26">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F36482"/>
    <w:multiLevelType w:val="hybridMultilevel"/>
    <w:tmpl w:val="23584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6871B3"/>
    <w:multiLevelType w:val="hybridMultilevel"/>
    <w:tmpl w:val="8D16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C4491E"/>
    <w:multiLevelType w:val="hybridMultilevel"/>
    <w:tmpl w:val="A0788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D06EB9"/>
    <w:multiLevelType w:val="hybridMultilevel"/>
    <w:tmpl w:val="0C36F06C"/>
    <w:lvl w:ilvl="0" w:tplc="611272C2">
      <w:start w:val="26"/>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2A2BDB"/>
    <w:multiLevelType w:val="hybridMultilevel"/>
    <w:tmpl w:val="1F346860"/>
    <w:lvl w:ilvl="0" w:tplc="37587EB4">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0353A0"/>
    <w:multiLevelType w:val="hybridMultilevel"/>
    <w:tmpl w:val="172E8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2E0132"/>
    <w:multiLevelType w:val="hybridMultilevel"/>
    <w:tmpl w:val="8BF6E8EC"/>
    <w:lvl w:ilvl="0" w:tplc="635C5294">
      <w:start w:val="1"/>
      <w:numFmt w:val="decimal"/>
      <w:lvlText w:val="%1."/>
      <w:lvlJc w:val="left"/>
      <w:pPr>
        <w:ind w:left="720" w:hanging="360"/>
      </w:pPr>
      <w:rPr>
        <w:rFonts w:ascii="Calibri" w:eastAsia="SimSun" w:hAnsi="Calibri" w:cs="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D12FC1"/>
    <w:multiLevelType w:val="hybridMultilevel"/>
    <w:tmpl w:val="44168CB8"/>
    <w:lvl w:ilvl="0" w:tplc="B8DECF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83381E"/>
    <w:multiLevelType w:val="hybridMultilevel"/>
    <w:tmpl w:val="A0788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F87688"/>
    <w:multiLevelType w:val="multilevel"/>
    <w:tmpl w:val="20CEEE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75767A16"/>
    <w:multiLevelType w:val="hybridMultilevel"/>
    <w:tmpl w:val="A0788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C83887"/>
    <w:multiLevelType w:val="hybridMultilevel"/>
    <w:tmpl w:val="ABB4C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7E1F1F"/>
    <w:multiLevelType w:val="hybridMultilevel"/>
    <w:tmpl w:val="3B64FA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A1B2F36"/>
    <w:multiLevelType w:val="hybridMultilevel"/>
    <w:tmpl w:val="EA207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466CEE"/>
    <w:multiLevelType w:val="hybridMultilevel"/>
    <w:tmpl w:val="4FD4E5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1"/>
  </w:num>
  <w:num w:numId="3">
    <w:abstractNumId w:val="22"/>
  </w:num>
  <w:num w:numId="4">
    <w:abstractNumId w:val="6"/>
  </w:num>
  <w:num w:numId="5">
    <w:abstractNumId w:val="20"/>
  </w:num>
  <w:num w:numId="6">
    <w:abstractNumId w:val="5"/>
  </w:num>
  <w:num w:numId="7">
    <w:abstractNumId w:val="19"/>
  </w:num>
  <w:num w:numId="8">
    <w:abstractNumId w:val="17"/>
  </w:num>
  <w:num w:numId="9">
    <w:abstractNumId w:val="10"/>
  </w:num>
  <w:num w:numId="10">
    <w:abstractNumId w:val="15"/>
  </w:num>
  <w:num w:numId="11">
    <w:abstractNumId w:val="1"/>
  </w:num>
  <w:num w:numId="12">
    <w:abstractNumId w:val="0"/>
  </w:num>
  <w:num w:numId="13">
    <w:abstractNumId w:val="7"/>
  </w:num>
  <w:num w:numId="14">
    <w:abstractNumId w:val="13"/>
  </w:num>
  <w:num w:numId="15">
    <w:abstractNumId w:val="2"/>
  </w:num>
  <w:num w:numId="16">
    <w:abstractNumId w:val="12"/>
  </w:num>
  <w:num w:numId="17">
    <w:abstractNumId w:val="16"/>
  </w:num>
  <w:num w:numId="18">
    <w:abstractNumId w:val="8"/>
  </w:num>
  <w:num w:numId="19">
    <w:abstractNumId w:val="14"/>
  </w:num>
  <w:num w:numId="20">
    <w:abstractNumId w:val="4"/>
  </w:num>
  <w:num w:numId="21">
    <w:abstractNumId w:val="21"/>
  </w:num>
  <w:num w:numId="22">
    <w:abstractNumId w:val="3"/>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AE"/>
    <w:rsid w:val="00021CD4"/>
    <w:rsid w:val="00072DFD"/>
    <w:rsid w:val="000C22D0"/>
    <w:rsid w:val="001110F1"/>
    <w:rsid w:val="0014307B"/>
    <w:rsid w:val="00160853"/>
    <w:rsid w:val="00165C7A"/>
    <w:rsid w:val="001B0544"/>
    <w:rsid w:val="001C788F"/>
    <w:rsid w:val="002647A8"/>
    <w:rsid w:val="002848C0"/>
    <w:rsid w:val="00285813"/>
    <w:rsid w:val="002B0512"/>
    <w:rsid w:val="002B09AE"/>
    <w:rsid w:val="002B2CE3"/>
    <w:rsid w:val="002B4492"/>
    <w:rsid w:val="002F2857"/>
    <w:rsid w:val="00346FCE"/>
    <w:rsid w:val="00356946"/>
    <w:rsid w:val="00360258"/>
    <w:rsid w:val="003877DE"/>
    <w:rsid w:val="003917C1"/>
    <w:rsid w:val="003C23B0"/>
    <w:rsid w:val="003C3598"/>
    <w:rsid w:val="003C7550"/>
    <w:rsid w:val="003F2798"/>
    <w:rsid w:val="004055E7"/>
    <w:rsid w:val="004119CE"/>
    <w:rsid w:val="00450999"/>
    <w:rsid w:val="0045373A"/>
    <w:rsid w:val="00466C11"/>
    <w:rsid w:val="0047294D"/>
    <w:rsid w:val="00475B79"/>
    <w:rsid w:val="00481C51"/>
    <w:rsid w:val="004830E1"/>
    <w:rsid w:val="00484FF4"/>
    <w:rsid w:val="0048625F"/>
    <w:rsid w:val="004B4B20"/>
    <w:rsid w:val="004C23C9"/>
    <w:rsid w:val="004C6EC8"/>
    <w:rsid w:val="004E12C7"/>
    <w:rsid w:val="005174A7"/>
    <w:rsid w:val="00532D35"/>
    <w:rsid w:val="005335A8"/>
    <w:rsid w:val="005509FE"/>
    <w:rsid w:val="00576282"/>
    <w:rsid w:val="005937F7"/>
    <w:rsid w:val="005B156A"/>
    <w:rsid w:val="0060319E"/>
    <w:rsid w:val="0061599A"/>
    <w:rsid w:val="006205E0"/>
    <w:rsid w:val="00623D94"/>
    <w:rsid w:val="00634729"/>
    <w:rsid w:val="00663268"/>
    <w:rsid w:val="006817A9"/>
    <w:rsid w:val="006852EE"/>
    <w:rsid w:val="006C3BA0"/>
    <w:rsid w:val="006F6DB1"/>
    <w:rsid w:val="00701C9B"/>
    <w:rsid w:val="00703484"/>
    <w:rsid w:val="00762EA9"/>
    <w:rsid w:val="007A04CE"/>
    <w:rsid w:val="007C584B"/>
    <w:rsid w:val="007D40E9"/>
    <w:rsid w:val="007F774B"/>
    <w:rsid w:val="008002B8"/>
    <w:rsid w:val="00836208"/>
    <w:rsid w:val="00885993"/>
    <w:rsid w:val="008C4A99"/>
    <w:rsid w:val="00987528"/>
    <w:rsid w:val="009A1EC9"/>
    <w:rsid w:val="009B260D"/>
    <w:rsid w:val="009C0EC3"/>
    <w:rsid w:val="009D5E38"/>
    <w:rsid w:val="009E15DE"/>
    <w:rsid w:val="00A03977"/>
    <w:rsid w:val="00A21D71"/>
    <w:rsid w:val="00A23660"/>
    <w:rsid w:val="00A54E16"/>
    <w:rsid w:val="00A647D5"/>
    <w:rsid w:val="00A82BDF"/>
    <w:rsid w:val="00A83186"/>
    <w:rsid w:val="00A921B5"/>
    <w:rsid w:val="00AE2703"/>
    <w:rsid w:val="00B13B4A"/>
    <w:rsid w:val="00B17DCC"/>
    <w:rsid w:val="00B22668"/>
    <w:rsid w:val="00B42A43"/>
    <w:rsid w:val="00B53E3C"/>
    <w:rsid w:val="00B633A3"/>
    <w:rsid w:val="00B72AB5"/>
    <w:rsid w:val="00BA131B"/>
    <w:rsid w:val="00BB2136"/>
    <w:rsid w:val="00BD3940"/>
    <w:rsid w:val="00BE342F"/>
    <w:rsid w:val="00C02592"/>
    <w:rsid w:val="00C11DE3"/>
    <w:rsid w:val="00C6177B"/>
    <w:rsid w:val="00C924AE"/>
    <w:rsid w:val="00CA3B34"/>
    <w:rsid w:val="00CA4958"/>
    <w:rsid w:val="00CC078B"/>
    <w:rsid w:val="00CE0077"/>
    <w:rsid w:val="00CF6DF1"/>
    <w:rsid w:val="00D2593C"/>
    <w:rsid w:val="00D365DF"/>
    <w:rsid w:val="00D547A5"/>
    <w:rsid w:val="00D5777C"/>
    <w:rsid w:val="00D748E0"/>
    <w:rsid w:val="00D85FF7"/>
    <w:rsid w:val="00DA3C4D"/>
    <w:rsid w:val="00DA6219"/>
    <w:rsid w:val="00E2586F"/>
    <w:rsid w:val="00E52DCB"/>
    <w:rsid w:val="00E53D9D"/>
    <w:rsid w:val="00E62F84"/>
    <w:rsid w:val="00E90304"/>
    <w:rsid w:val="00ED57AD"/>
    <w:rsid w:val="00F04A97"/>
    <w:rsid w:val="00F05174"/>
    <w:rsid w:val="00F12695"/>
    <w:rsid w:val="00F80BD3"/>
    <w:rsid w:val="00F93050"/>
    <w:rsid w:val="00F935A7"/>
    <w:rsid w:val="00FD0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4AC55"/>
  <w15:chartTrackingRefBased/>
  <w15:docId w15:val="{F10F1CDF-0AF0-423C-B2A1-CF25B46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B20"/>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2B09AE"/>
    <w:pPr>
      <w:suppressAutoHyphens/>
      <w:spacing w:line="252" w:lineRule="auto"/>
      <w:textAlignment w:val="baseline"/>
    </w:pPr>
    <w:rPr>
      <w:rFonts w:ascii="Calibri" w:eastAsia="SimSun" w:hAnsi="Calibri" w:cs="F"/>
    </w:rPr>
  </w:style>
  <w:style w:type="character" w:styleId="Collegamentoipertestuale">
    <w:name w:val="Hyperlink"/>
    <w:rsid w:val="004B4B20"/>
    <w:rPr>
      <w:color w:val="000080"/>
      <w:u w:val="single"/>
    </w:rPr>
  </w:style>
  <w:style w:type="paragraph" w:styleId="Corpotesto">
    <w:name w:val="Body Text"/>
    <w:basedOn w:val="Normale"/>
    <w:link w:val="CorpotestoCarattere"/>
    <w:rsid w:val="004B4B20"/>
    <w:pPr>
      <w:spacing w:after="120"/>
    </w:pPr>
  </w:style>
  <w:style w:type="character" w:customStyle="1" w:styleId="CorpotestoCarattere">
    <w:name w:val="Corpo testo Carattere"/>
    <w:basedOn w:val="Carpredefinitoparagrafo"/>
    <w:link w:val="Corpotesto"/>
    <w:rsid w:val="004B4B20"/>
    <w:rPr>
      <w:rFonts w:ascii="Times New Roman" w:eastAsia="SimSun" w:hAnsi="Times New Roman" w:cs="Arial"/>
      <w:kern w:val="1"/>
      <w:sz w:val="24"/>
      <w:szCs w:val="24"/>
      <w:lang w:eastAsia="hi-IN" w:bidi="hi-IN"/>
    </w:rPr>
  </w:style>
  <w:style w:type="paragraph" w:styleId="NormaleWeb">
    <w:name w:val="Normal (Web)"/>
    <w:basedOn w:val="Normale"/>
    <w:uiPriority w:val="99"/>
    <w:semiHidden/>
    <w:unhideWhenUsed/>
    <w:rsid w:val="004830E1"/>
    <w:pPr>
      <w:widowControl/>
      <w:suppressAutoHyphens w:val="0"/>
      <w:spacing w:before="100" w:beforeAutospacing="1" w:after="100" w:afterAutospacing="1"/>
    </w:pPr>
    <w:rPr>
      <w:rFonts w:eastAsia="Times New Roman" w:cs="Times New Roman"/>
      <w:kern w:val="0"/>
      <w:lang w:eastAsia="it-IT" w:bidi="ar-SA"/>
    </w:rPr>
  </w:style>
  <w:style w:type="paragraph" w:styleId="Paragrafoelenco">
    <w:name w:val="List Paragraph"/>
    <w:basedOn w:val="Normale"/>
    <w:uiPriority w:val="34"/>
    <w:qFormat/>
    <w:rsid w:val="004830E1"/>
    <w:pPr>
      <w:ind w:left="720"/>
      <w:contextualSpacing/>
    </w:pPr>
    <w:rPr>
      <w:rFonts w:cs="Mangal"/>
      <w:szCs w:val="21"/>
    </w:rPr>
  </w:style>
  <w:style w:type="character" w:styleId="Rimandocommento">
    <w:name w:val="annotation reference"/>
    <w:basedOn w:val="Carpredefinitoparagrafo"/>
    <w:uiPriority w:val="99"/>
    <w:semiHidden/>
    <w:unhideWhenUsed/>
    <w:rsid w:val="00762EA9"/>
    <w:rPr>
      <w:sz w:val="16"/>
      <w:szCs w:val="16"/>
    </w:rPr>
  </w:style>
  <w:style w:type="paragraph" w:styleId="Testocommento">
    <w:name w:val="annotation text"/>
    <w:basedOn w:val="Normale"/>
    <w:link w:val="TestocommentoCarattere"/>
    <w:uiPriority w:val="99"/>
    <w:semiHidden/>
    <w:unhideWhenUsed/>
    <w:rsid w:val="00762EA9"/>
    <w:rPr>
      <w:rFonts w:cs="Mangal"/>
      <w:sz w:val="20"/>
      <w:szCs w:val="18"/>
    </w:rPr>
  </w:style>
  <w:style w:type="character" w:customStyle="1" w:styleId="TestocommentoCarattere">
    <w:name w:val="Testo commento Carattere"/>
    <w:basedOn w:val="Carpredefinitoparagrafo"/>
    <w:link w:val="Testocommento"/>
    <w:uiPriority w:val="99"/>
    <w:semiHidden/>
    <w:rsid w:val="00762EA9"/>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762EA9"/>
    <w:rPr>
      <w:b/>
      <w:bCs/>
    </w:rPr>
  </w:style>
  <w:style w:type="character" w:customStyle="1" w:styleId="SoggettocommentoCarattere">
    <w:name w:val="Soggetto commento Carattere"/>
    <w:basedOn w:val="TestocommentoCarattere"/>
    <w:link w:val="Soggettocommento"/>
    <w:uiPriority w:val="99"/>
    <w:semiHidden/>
    <w:rsid w:val="00762EA9"/>
    <w:rPr>
      <w:rFonts w:ascii="Times New Roman" w:eastAsia="SimSun" w:hAnsi="Times New Roman" w:cs="Mangal"/>
      <w:b/>
      <w:bCs/>
      <w:kern w:val="1"/>
      <w:sz w:val="20"/>
      <w:szCs w:val="18"/>
      <w:lang w:eastAsia="hi-IN" w:bidi="hi-IN"/>
    </w:rPr>
  </w:style>
  <w:style w:type="paragraph" w:styleId="Intestazione">
    <w:name w:val="header"/>
    <w:basedOn w:val="Normale"/>
    <w:link w:val="IntestazioneCarattere"/>
    <w:uiPriority w:val="99"/>
    <w:unhideWhenUsed/>
    <w:rsid w:val="009C0EC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9C0EC3"/>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9C0EC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9C0EC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949">
      <w:bodyDiv w:val="1"/>
      <w:marLeft w:val="0"/>
      <w:marRight w:val="0"/>
      <w:marTop w:val="0"/>
      <w:marBottom w:val="0"/>
      <w:divBdr>
        <w:top w:val="none" w:sz="0" w:space="0" w:color="auto"/>
        <w:left w:val="none" w:sz="0" w:space="0" w:color="auto"/>
        <w:bottom w:val="none" w:sz="0" w:space="0" w:color="auto"/>
        <w:right w:val="none" w:sz="0" w:space="0" w:color="auto"/>
      </w:divBdr>
    </w:div>
    <w:div w:id="857501941">
      <w:bodyDiv w:val="1"/>
      <w:marLeft w:val="0"/>
      <w:marRight w:val="0"/>
      <w:marTop w:val="0"/>
      <w:marBottom w:val="0"/>
      <w:divBdr>
        <w:top w:val="none" w:sz="0" w:space="0" w:color="auto"/>
        <w:left w:val="none" w:sz="0" w:space="0" w:color="auto"/>
        <w:bottom w:val="none" w:sz="0" w:space="0" w:color="auto"/>
        <w:right w:val="none" w:sz="0" w:space="0" w:color="auto"/>
      </w:divBdr>
    </w:div>
    <w:div w:id="1139149055">
      <w:bodyDiv w:val="1"/>
      <w:marLeft w:val="0"/>
      <w:marRight w:val="0"/>
      <w:marTop w:val="0"/>
      <w:marBottom w:val="0"/>
      <w:divBdr>
        <w:top w:val="none" w:sz="0" w:space="0" w:color="auto"/>
        <w:left w:val="none" w:sz="0" w:space="0" w:color="auto"/>
        <w:bottom w:val="none" w:sz="0" w:space="0" w:color="auto"/>
        <w:right w:val="none" w:sz="0" w:space="0" w:color="auto"/>
      </w:divBdr>
    </w:div>
    <w:div w:id="1176382513">
      <w:bodyDiv w:val="1"/>
      <w:marLeft w:val="0"/>
      <w:marRight w:val="0"/>
      <w:marTop w:val="0"/>
      <w:marBottom w:val="0"/>
      <w:divBdr>
        <w:top w:val="none" w:sz="0" w:space="0" w:color="auto"/>
        <w:left w:val="none" w:sz="0" w:space="0" w:color="auto"/>
        <w:bottom w:val="none" w:sz="0" w:space="0" w:color="auto"/>
        <w:right w:val="none" w:sz="0" w:space="0" w:color="auto"/>
      </w:divBdr>
    </w:div>
    <w:div w:id="1336958947">
      <w:bodyDiv w:val="1"/>
      <w:marLeft w:val="0"/>
      <w:marRight w:val="0"/>
      <w:marTop w:val="0"/>
      <w:marBottom w:val="0"/>
      <w:divBdr>
        <w:top w:val="none" w:sz="0" w:space="0" w:color="auto"/>
        <w:left w:val="none" w:sz="0" w:space="0" w:color="auto"/>
        <w:bottom w:val="none" w:sz="0" w:space="0" w:color="auto"/>
        <w:right w:val="none" w:sz="0" w:space="0" w:color="auto"/>
      </w:divBdr>
    </w:div>
    <w:div w:id="1352104782">
      <w:bodyDiv w:val="1"/>
      <w:marLeft w:val="0"/>
      <w:marRight w:val="0"/>
      <w:marTop w:val="0"/>
      <w:marBottom w:val="0"/>
      <w:divBdr>
        <w:top w:val="none" w:sz="0" w:space="0" w:color="auto"/>
        <w:left w:val="none" w:sz="0" w:space="0" w:color="auto"/>
        <w:bottom w:val="none" w:sz="0" w:space="0" w:color="auto"/>
        <w:right w:val="none" w:sz="0" w:space="0" w:color="auto"/>
      </w:divBdr>
    </w:div>
    <w:div w:id="14874715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707534">
              <w:marLeft w:val="0"/>
              <w:marRight w:val="0"/>
              <w:marTop w:val="0"/>
              <w:marBottom w:val="0"/>
              <w:divBdr>
                <w:top w:val="none" w:sz="0" w:space="0" w:color="auto"/>
                <w:left w:val="none" w:sz="0" w:space="0" w:color="auto"/>
                <w:bottom w:val="none" w:sz="0" w:space="0" w:color="auto"/>
                <w:right w:val="none" w:sz="0" w:space="0" w:color="auto"/>
              </w:divBdr>
              <w:divsChild>
                <w:div w:id="5663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B681-D429-4A16-B524-D846CE45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2648</Words>
  <Characters>15098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Palombelli</dc:creator>
  <cp:keywords/>
  <dc:description/>
  <cp:lastModifiedBy>Nicoletta Diamanti</cp:lastModifiedBy>
  <cp:revision>2</cp:revision>
  <dcterms:created xsi:type="dcterms:W3CDTF">2021-06-23T10:59:00Z</dcterms:created>
  <dcterms:modified xsi:type="dcterms:W3CDTF">2021-06-23T10:59:00Z</dcterms:modified>
</cp:coreProperties>
</file>