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D3" w:rsidRPr="00B44092" w:rsidRDefault="00CE1CD3" w:rsidP="00AA6AD6">
      <w:pPr>
        <w:ind w:firstLine="567"/>
        <w:jc w:val="center"/>
        <w:rPr>
          <w:rFonts w:ascii="Bookman Old Style" w:hAnsi="Bookman Old Style"/>
          <w:color w:val="000000"/>
          <w:sz w:val="40"/>
          <w:szCs w:val="40"/>
        </w:rPr>
      </w:pPr>
      <w:bookmarkStart w:id="0" w:name="_GoBack"/>
      <w:bookmarkEnd w:id="0"/>
      <w:r w:rsidRPr="00B44092">
        <w:rPr>
          <w:rFonts w:ascii="Bookman Old Style" w:hAnsi="Bookman Old Style"/>
          <w:noProof/>
          <w:lang w:eastAsia="it-IT"/>
        </w:rPr>
        <w:drawing>
          <wp:inline distT="0" distB="0" distL="0" distR="0" wp14:anchorId="4993A953" wp14:editId="40D39ECF">
            <wp:extent cx="1495425" cy="1790700"/>
            <wp:effectExtent l="0" t="0" r="9525" b="0"/>
            <wp:docPr id="1" name="Immagine 1" descr="C:\Documents and Settings\Rossetti Claudio\Documenti\LogoOK\coldiretti 2003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Documents and Settings\Rossetti Claudio\Documenti\LogoOK\coldiretti 2003 colo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790700"/>
                    </a:xfrm>
                    <a:prstGeom prst="rect">
                      <a:avLst/>
                    </a:prstGeom>
                    <a:noFill/>
                    <a:ln>
                      <a:noFill/>
                    </a:ln>
                  </pic:spPr>
                </pic:pic>
              </a:graphicData>
            </a:graphic>
          </wp:inline>
        </w:drawing>
      </w:r>
    </w:p>
    <w:p w:rsidR="00CE1CD3" w:rsidRPr="00B44092" w:rsidRDefault="00CE1CD3" w:rsidP="00AA6AD6">
      <w:pPr>
        <w:ind w:firstLine="567"/>
        <w:jc w:val="center"/>
        <w:rPr>
          <w:rFonts w:ascii="Bookman Old Style" w:hAnsi="Bookman Old Style"/>
          <w:color w:val="000000"/>
          <w:sz w:val="40"/>
          <w:szCs w:val="40"/>
        </w:rPr>
      </w:pPr>
    </w:p>
    <w:p w:rsidR="00CE1CD3" w:rsidRDefault="00CE1CD3" w:rsidP="00AA6AD6">
      <w:pPr>
        <w:ind w:firstLine="567"/>
        <w:jc w:val="both"/>
        <w:rPr>
          <w:rFonts w:ascii="Bookman Old Style" w:hAnsi="Bookman Old Style"/>
          <w:color w:val="000000"/>
          <w:sz w:val="36"/>
          <w:szCs w:val="36"/>
        </w:rPr>
      </w:pPr>
    </w:p>
    <w:p w:rsidR="00CE1CD3" w:rsidRDefault="00CE1CD3" w:rsidP="00AA6AD6">
      <w:pPr>
        <w:ind w:firstLine="567"/>
        <w:jc w:val="both"/>
        <w:rPr>
          <w:rFonts w:ascii="Bookman Old Style" w:hAnsi="Bookman Old Style"/>
          <w:color w:val="000000"/>
          <w:sz w:val="36"/>
          <w:szCs w:val="36"/>
        </w:rPr>
      </w:pPr>
    </w:p>
    <w:p w:rsidR="00CE1CD3" w:rsidRPr="00B44092" w:rsidRDefault="00CE1CD3" w:rsidP="00AA6AD6">
      <w:pPr>
        <w:ind w:firstLine="567"/>
        <w:jc w:val="both"/>
        <w:rPr>
          <w:rFonts w:ascii="Bookman Old Style" w:hAnsi="Bookman Old Style"/>
          <w:color w:val="000000"/>
          <w:sz w:val="36"/>
          <w:szCs w:val="36"/>
        </w:rPr>
      </w:pPr>
    </w:p>
    <w:p w:rsidR="00CE1CD3" w:rsidRPr="00C365DE" w:rsidRDefault="00CE1CD3" w:rsidP="00AA6AD6">
      <w:pPr>
        <w:jc w:val="center"/>
        <w:rPr>
          <w:rFonts w:ascii="Bookman Old Style" w:hAnsi="Bookman Old Style" w:cs="Arial"/>
          <w:b/>
          <w:sz w:val="28"/>
          <w:szCs w:val="28"/>
        </w:rPr>
      </w:pPr>
      <w:r w:rsidRPr="00C365DE">
        <w:rPr>
          <w:rFonts w:ascii="Bookman Old Style" w:hAnsi="Bookman Old Style" w:cs="Arial"/>
          <w:b/>
          <w:sz w:val="28"/>
          <w:szCs w:val="28"/>
        </w:rPr>
        <w:t xml:space="preserve">AUDIZIONE </w:t>
      </w:r>
      <w:r>
        <w:rPr>
          <w:rFonts w:ascii="Bookman Old Style" w:hAnsi="Bookman Old Style" w:cs="Arial"/>
          <w:b/>
          <w:sz w:val="28"/>
          <w:szCs w:val="28"/>
        </w:rPr>
        <w:t>CAMERA DEI DEPUTATI</w:t>
      </w:r>
    </w:p>
    <w:p w:rsidR="00CE1CD3" w:rsidRDefault="00CE1CD3" w:rsidP="00AA6AD6">
      <w:pPr>
        <w:jc w:val="center"/>
        <w:rPr>
          <w:rFonts w:ascii="Bookman Old Style" w:hAnsi="Bookman Old Style" w:cs="Arial"/>
          <w:b/>
          <w:sz w:val="24"/>
          <w:szCs w:val="24"/>
        </w:rPr>
      </w:pPr>
    </w:p>
    <w:p w:rsidR="00CE1CD3" w:rsidRDefault="00B510D1" w:rsidP="00AA6AD6">
      <w:pPr>
        <w:jc w:val="center"/>
        <w:rPr>
          <w:rFonts w:ascii="Bookman Old Style" w:hAnsi="Bookman Old Style" w:cs="Arial"/>
          <w:b/>
          <w:i/>
          <w:sz w:val="24"/>
          <w:szCs w:val="24"/>
        </w:rPr>
      </w:pPr>
      <w:r>
        <w:rPr>
          <w:rFonts w:ascii="Bookman Old Style" w:hAnsi="Bookman Old Style" w:cs="Arial"/>
          <w:b/>
          <w:i/>
          <w:sz w:val="24"/>
          <w:szCs w:val="24"/>
        </w:rPr>
        <w:t>VIII</w:t>
      </w:r>
      <w:r w:rsidR="00A06C45">
        <w:rPr>
          <w:rFonts w:ascii="Bookman Old Style" w:hAnsi="Bookman Old Style" w:cs="Arial"/>
          <w:b/>
          <w:i/>
          <w:sz w:val="24"/>
          <w:szCs w:val="24"/>
        </w:rPr>
        <w:t xml:space="preserve"> </w:t>
      </w:r>
      <w:r w:rsidR="00CE1CD3" w:rsidRPr="00C365DE">
        <w:rPr>
          <w:rFonts w:ascii="Bookman Old Style" w:hAnsi="Bookman Old Style" w:cs="Arial"/>
          <w:b/>
          <w:i/>
          <w:sz w:val="24"/>
          <w:szCs w:val="24"/>
        </w:rPr>
        <w:t xml:space="preserve">Commissione </w:t>
      </w:r>
      <w:r w:rsidR="00CE1CD3">
        <w:rPr>
          <w:rFonts w:ascii="Bookman Old Style" w:hAnsi="Bookman Old Style" w:cs="Arial"/>
          <w:b/>
          <w:i/>
          <w:sz w:val="24"/>
          <w:szCs w:val="24"/>
        </w:rPr>
        <w:t>Ambiente</w:t>
      </w:r>
    </w:p>
    <w:p w:rsidR="007C44B5" w:rsidRPr="00C365DE" w:rsidRDefault="007C44B5" w:rsidP="00AA6AD6">
      <w:pPr>
        <w:jc w:val="center"/>
        <w:rPr>
          <w:rFonts w:ascii="Bookman Old Style" w:hAnsi="Bookman Old Style" w:cs="Arial"/>
          <w:b/>
          <w:sz w:val="24"/>
          <w:szCs w:val="24"/>
        </w:rPr>
      </w:pPr>
      <w:r>
        <w:rPr>
          <w:rFonts w:ascii="Bookman Old Style" w:hAnsi="Bookman Old Style" w:cs="Arial"/>
          <w:b/>
          <w:i/>
          <w:sz w:val="24"/>
          <w:szCs w:val="24"/>
        </w:rPr>
        <w:t>X Commissione Attività produttive commercio e turismo</w:t>
      </w:r>
    </w:p>
    <w:p w:rsidR="00CE1CD3" w:rsidRPr="00B44092" w:rsidRDefault="00CE1CD3" w:rsidP="00AA6AD6">
      <w:pPr>
        <w:rPr>
          <w:rFonts w:ascii="Bookman Old Style" w:hAnsi="Bookman Old Style" w:cs="Arial"/>
          <w:b/>
          <w:i/>
          <w:sz w:val="24"/>
          <w:szCs w:val="24"/>
        </w:rPr>
      </w:pPr>
    </w:p>
    <w:p w:rsidR="00CE1CD3" w:rsidRPr="00C365DE" w:rsidRDefault="00CE1CD3" w:rsidP="00AA6AD6">
      <w:pPr>
        <w:jc w:val="center"/>
        <w:rPr>
          <w:rFonts w:ascii="Bookman Old Style" w:hAnsi="Bookman Old Style" w:cs="Arial"/>
          <w:b/>
          <w:i/>
          <w:sz w:val="24"/>
          <w:szCs w:val="24"/>
        </w:rPr>
      </w:pPr>
    </w:p>
    <w:p w:rsidR="00CE1CD3" w:rsidRPr="00CE1CD3" w:rsidRDefault="00CE1CD3" w:rsidP="00AA6AD6">
      <w:pPr>
        <w:spacing w:before="240" w:line="240" w:lineRule="auto"/>
        <w:jc w:val="both"/>
        <w:rPr>
          <w:rFonts w:ascii="Bookman Old Style" w:eastAsia="Calibri" w:hAnsi="Bookman Old Style" w:cs="Times New Roman"/>
          <w:b/>
          <w:bCs/>
          <w:sz w:val="28"/>
          <w:szCs w:val="28"/>
        </w:rPr>
      </w:pPr>
      <w:r>
        <w:rPr>
          <w:rFonts w:ascii="Bookman Old Style" w:hAnsi="Bookman Old Style" w:cs="Arial"/>
          <w:b/>
          <w:sz w:val="28"/>
          <w:szCs w:val="28"/>
        </w:rPr>
        <w:t>«</w:t>
      </w:r>
      <w:r w:rsidRPr="00CE1CD3">
        <w:rPr>
          <w:rFonts w:ascii="Bookman Old Style" w:eastAsia="Calibri" w:hAnsi="Bookman Old Style" w:cs="Times New Roman"/>
          <w:b/>
          <w:bCs/>
          <w:sz w:val="28"/>
          <w:szCs w:val="28"/>
        </w:rPr>
        <w:t xml:space="preserve">Schema di decreto legislativo recante attuazione della direttiva 2018/2001/UE del Parlamento europeo e del Consiglio </w:t>
      </w:r>
      <w:r w:rsidRPr="00CE1CD3">
        <w:rPr>
          <w:rFonts w:ascii="Bookman Old Style" w:eastAsia="Times New Roman" w:hAnsi="Bookman Old Style" w:cs="Times New Roman"/>
          <w:b/>
          <w:bCs/>
          <w:color w:val="000000" w:themeColor="text1"/>
          <w:sz w:val="28"/>
          <w:szCs w:val="28"/>
        </w:rPr>
        <w:t xml:space="preserve">dell’11 dicembre 2018 </w:t>
      </w:r>
      <w:r w:rsidRPr="00CE1CD3">
        <w:rPr>
          <w:rFonts w:ascii="Bookman Old Style" w:eastAsia="Calibri" w:hAnsi="Bookman Old Style" w:cs="Times New Roman"/>
          <w:b/>
          <w:bCs/>
          <w:sz w:val="28"/>
          <w:szCs w:val="28"/>
        </w:rPr>
        <w:t>Sulla promozione dell'uso dell'energia da fonti rinnovabili</w:t>
      </w:r>
      <w:r>
        <w:rPr>
          <w:rFonts w:ascii="Bookman Old Style" w:eastAsia="Calibri" w:hAnsi="Bookman Old Style" w:cs="Times New Roman"/>
          <w:b/>
          <w:bCs/>
          <w:sz w:val="28"/>
          <w:szCs w:val="28"/>
        </w:rPr>
        <w:t>» - Atto Governo n. 292</w:t>
      </w:r>
    </w:p>
    <w:p w:rsidR="00CE1CD3" w:rsidRDefault="00CE1CD3" w:rsidP="00AA6AD6">
      <w:pPr>
        <w:ind w:firstLine="567"/>
        <w:jc w:val="center"/>
        <w:rPr>
          <w:rFonts w:ascii="Bookman Old Style" w:hAnsi="Bookman Old Style" w:cs="Arial"/>
          <w:b/>
          <w:sz w:val="24"/>
          <w:szCs w:val="24"/>
        </w:rPr>
      </w:pPr>
    </w:p>
    <w:p w:rsidR="00CE1CD3" w:rsidRDefault="00CE1CD3" w:rsidP="00AA6AD6">
      <w:pPr>
        <w:ind w:firstLine="567"/>
        <w:jc w:val="center"/>
        <w:rPr>
          <w:rFonts w:ascii="Bookman Old Style" w:hAnsi="Bookman Old Style" w:cs="Arial"/>
          <w:b/>
          <w:sz w:val="24"/>
          <w:szCs w:val="24"/>
        </w:rPr>
      </w:pPr>
    </w:p>
    <w:p w:rsidR="00CE1CD3" w:rsidRDefault="00CE1CD3" w:rsidP="00AA6AD6">
      <w:pPr>
        <w:ind w:firstLine="567"/>
        <w:jc w:val="center"/>
        <w:rPr>
          <w:rFonts w:ascii="Bookman Old Style" w:hAnsi="Bookman Old Style" w:cs="Arial"/>
          <w:b/>
          <w:sz w:val="24"/>
          <w:szCs w:val="24"/>
        </w:rPr>
      </w:pPr>
    </w:p>
    <w:p w:rsidR="00CE1CD3" w:rsidRDefault="00CE1CD3" w:rsidP="00AA6AD6">
      <w:pPr>
        <w:ind w:firstLine="567"/>
        <w:rPr>
          <w:rFonts w:ascii="Bookman Old Style" w:hAnsi="Bookman Old Style" w:cs="Arial"/>
          <w:b/>
          <w:sz w:val="24"/>
          <w:szCs w:val="24"/>
        </w:rPr>
      </w:pPr>
    </w:p>
    <w:p w:rsidR="00B91CAA" w:rsidRDefault="00CE1CD3" w:rsidP="00AA6AD6">
      <w:pPr>
        <w:ind w:firstLine="567"/>
        <w:jc w:val="center"/>
        <w:rPr>
          <w:rFonts w:ascii="Bookman Old Style" w:hAnsi="Bookman Old Style" w:cs="Arial"/>
          <w:b/>
          <w:sz w:val="24"/>
          <w:szCs w:val="24"/>
        </w:rPr>
      </w:pPr>
      <w:r>
        <w:rPr>
          <w:rFonts w:ascii="Bookman Old Style" w:hAnsi="Bookman Old Style" w:cs="Arial"/>
          <w:b/>
          <w:sz w:val="24"/>
          <w:szCs w:val="24"/>
        </w:rPr>
        <w:t>20 Settembre</w:t>
      </w:r>
      <w:r w:rsidR="00B91CAA">
        <w:rPr>
          <w:rFonts w:ascii="Bookman Old Style" w:hAnsi="Bookman Old Style" w:cs="Arial"/>
          <w:b/>
          <w:sz w:val="24"/>
          <w:szCs w:val="24"/>
        </w:rPr>
        <w:t xml:space="preserve"> 2020</w:t>
      </w:r>
    </w:p>
    <w:p w:rsidR="00B91CAA" w:rsidRPr="00CE1CD3" w:rsidRDefault="00B91CAA" w:rsidP="00AA6AD6">
      <w:pPr>
        <w:ind w:firstLine="567"/>
        <w:jc w:val="center"/>
        <w:rPr>
          <w:rFonts w:ascii="Bookman Old Style" w:hAnsi="Bookman Old Style" w:cs="Arial"/>
          <w:b/>
          <w:sz w:val="24"/>
          <w:szCs w:val="24"/>
        </w:rPr>
        <w:sectPr w:rsidR="00B91CAA" w:rsidRPr="00CE1CD3" w:rsidSect="00DC3D99">
          <w:headerReference w:type="default" r:id="rId8"/>
          <w:footerReference w:type="default" r:id="rId9"/>
          <w:pgSz w:w="11906" w:h="16838" w:code="9"/>
          <w:pgMar w:top="1418" w:right="1985" w:bottom="2438" w:left="1985" w:header="709" w:footer="709" w:gutter="0"/>
          <w:pgNumType w:start="1"/>
          <w:cols w:space="708"/>
          <w:titlePg/>
          <w:docGrid w:linePitch="360"/>
        </w:sectPr>
      </w:pPr>
    </w:p>
    <w:p w:rsidR="00B91CAA" w:rsidRDefault="00B91CAA" w:rsidP="00AA6AD6">
      <w:pPr>
        <w:spacing w:after="0"/>
        <w:ind w:firstLine="567"/>
        <w:jc w:val="both"/>
        <w:rPr>
          <w:rFonts w:ascii="Times New Roman" w:hAnsi="Times New Roman" w:cs="Times New Roman"/>
          <w:sz w:val="28"/>
          <w:szCs w:val="28"/>
        </w:rPr>
      </w:pPr>
      <w:r w:rsidRPr="00B91CAA">
        <w:rPr>
          <w:rFonts w:ascii="Times New Roman" w:hAnsi="Times New Roman" w:cs="Times New Roman"/>
          <w:sz w:val="28"/>
          <w:szCs w:val="28"/>
        </w:rPr>
        <w:lastRenderedPageBreak/>
        <w:t>Il recepimento della direttiva (UE) n. 2018/2001 si inserisce in un contesto normativo in evoluzione che deve tenere conto degli obiettivi posti dal Green deal in termini di decarbonizzazione al fine di consentire di raggiungere la neutralità climatica entro il 2050. Altrettanto rilevanti sono gli obiettivi posti dalla legge europea sul clima e la comunicazione FIT for 55 della Commissione europea del 14 luglio che prevedono un nuovo livello di riduzione delle emissioni pari al 55% entro il 2030.</w:t>
      </w:r>
    </w:p>
    <w:p w:rsidR="00B91CAA" w:rsidRPr="00B91CAA" w:rsidRDefault="00B91CAA" w:rsidP="00AA6AD6">
      <w:pPr>
        <w:spacing w:after="0"/>
        <w:ind w:firstLine="567"/>
        <w:jc w:val="both"/>
        <w:rPr>
          <w:rFonts w:ascii="Times New Roman" w:hAnsi="Times New Roman" w:cs="Times New Roman"/>
          <w:sz w:val="28"/>
          <w:szCs w:val="28"/>
        </w:rPr>
      </w:pPr>
      <w:r w:rsidRPr="00B91CAA">
        <w:rPr>
          <w:rFonts w:ascii="Times New Roman" w:hAnsi="Times New Roman" w:cs="Times New Roman"/>
          <w:sz w:val="28"/>
          <w:szCs w:val="28"/>
        </w:rPr>
        <w:t>A livello nazionale, nelle more del recepimento della direttiva, sono stati adottati provvedimenti specifici che tengono conto della necessità di favorire l’impiego delle energie rinnovabili attraverso misure di semplificazione (con il d.l. 76/2020, conv. con l. n. 120/2021) e in attuazione del piano nazionale di ripresa e resilienza</w:t>
      </w:r>
      <w:r>
        <w:rPr>
          <w:rFonts w:ascii="Times New Roman" w:hAnsi="Times New Roman" w:cs="Times New Roman"/>
          <w:sz w:val="28"/>
          <w:szCs w:val="28"/>
        </w:rPr>
        <w:t>-PNRR</w:t>
      </w:r>
      <w:r w:rsidRPr="00B91CAA">
        <w:rPr>
          <w:rFonts w:ascii="Times New Roman" w:hAnsi="Times New Roman" w:cs="Times New Roman"/>
          <w:sz w:val="28"/>
          <w:szCs w:val="28"/>
        </w:rPr>
        <w:t xml:space="preserve"> (di cui al d.l. n. 77/2021, conv. con l. n. 108/2021).  </w:t>
      </w:r>
    </w:p>
    <w:p w:rsidR="00B91CAA" w:rsidRPr="00B91CAA" w:rsidRDefault="00B91CAA" w:rsidP="00AA6AD6">
      <w:pPr>
        <w:pStyle w:val="Paragrafoelenco"/>
        <w:spacing w:after="0"/>
        <w:ind w:left="0" w:firstLine="567"/>
        <w:jc w:val="both"/>
        <w:rPr>
          <w:rFonts w:ascii="Times New Roman" w:hAnsi="Times New Roman" w:cs="Times New Roman"/>
          <w:sz w:val="28"/>
          <w:szCs w:val="28"/>
        </w:rPr>
      </w:pPr>
      <w:r w:rsidRPr="00B91CAA">
        <w:rPr>
          <w:rFonts w:ascii="Times New Roman" w:hAnsi="Times New Roman" w:cs="Times New Roman"/>
          <w:sz w:val="28"/>
          <w:szCs w:val="28"/>
        </w:rPr>
        <w:t xml:space="preserve"> </w:t>
      </w:r>
      <w:r>
        <w:rPr>
          <w:rFonts w:ascii="Times New Roman" w:hAnsi="Times New Roman" w:cs="Times New Roman"/>
          <w:sz w:val="28"/>
          <w:szCs w:val="28"/>
        </w:rPr>
        <w:t>A</w:t>
      </w:r>
      <w:r w:rsidR="009B0489">
        <w:rPr>
          <w:rFonts w:ascii="Times New Roman" w:hAnsi="Times New Roman" w:cs="Times New Roman"/>
          <w:sz w:val="28"/>
          <w:szCs w:val="28"/>
        </w:rPr>
        <w:t xml:space="preserve">i fini della </w:t>
      </w:r>
      <w:r w:rsidR="009B0489" w:rsidRPr="009B0489">
        <w:rPr>
          <w:rFonts w:ascii="Times New Roman" w:hAnsi="Times New Roman" w:cs="Times New Roman"/>
          <w:sz w:val="28"/>
          <w:szCs w:val="28"/>
        </w:rPr>
        <w:t>realizzazione degli obiettivi europei in materia di economia circolare</w:t>
      </w:r>
      <w:r w:rsidR="009B0489">
        <w:rPr>
          <w:rFonts w:ascii="Times New Roman" w:hAnsi="Times New Roman" w:cs="Times New Roman"/>
          <w:sz w:val="28"/>
          <w:szCs w:val="28"/>
        </w:rPr>
        <w:t>,</w:t>
      </w:r>
      <w:r w:rsidR="009B0489" w:rsidRPr="009B0489">
        <w:rPr>
          <w:rFonts w:ascii="Times New Roman" w:hAnsi="Times New Roman" w:cs="Times New Roman"/>
          <w:sz w:val="28"/>
          <w:szCs w:val="28"/>
        </w:rPr>
        <w:t xml:space="preserve"> diretti a salvaguardare e a migliorare la qualità dell’ambiente e a garantire un utilizzo efficiente e razionale delle risorse naturali nella prospettiva di una gestione sostenibile della filiera agroalimentare, </w:t>
      </w:r>
      <w:r w:rsidR="009B0489">
        <w:rPr>
          <w:rFonts w:ascii="Times New Roman" w:hAnsi="Times New Roman" w:cs="Times New Roman"/>
          <w:sz w:val="28"/>
          <w:szCs w:val="28"/>
        </w:rPr>
        <w:t>occorre</w:t>
      </w:r>
      <w:r w:rsidR="009B0489" w:rsidRPr="009B0489">
        <w:rPr>
          <w:rFonts w:ascii="Times New Roman" w:hAnsi="Times New Roman" w:cs="Times New Roman"/>
          <w:sz w:val="28"/>
          <w:szCs w:val="28"/>
        </w:rPr>
        <w:t xml:space="preserve"> valorizzare l’utilizzazione del digestato equiparato per i rilevanti effetti ambientali che produce nella riduzione dell’impatto della zootecnia, provvedendo alla notevole riduzione dell’impronta ecologica e ad una drast</w:t>
      </w:r>
      <w:r w:rsidR="009B0489">
        <w:rPr>
          <w:rFonts w:ascii="Times New Roman" w:hAnsi="Times New Roman" w:cs="Times New Roman"/>
          <w:sz w:val="28"/>
          <w:szCs w:val="28"/>
        </w:rPr>
        <w:t>ica diminuzione del particolato. N</w:t>
      </w:r>
      <w:r w:rsidR="009B0489" w:rsidRPr="009B0489">
        <w:rPr>
          <w:rFonts w:ascii="Times New Roman" w:hAnsi="Times New Roman" w:cs="Times New Roman"/>
          <w:sz w:val="28"/>
          <w:szCs w:val="28"/>
        </w:rPr>
        <w:t>el rispetto delle linee di sviluppo indicate dal PNRR attraverso la misura d</w:t>
      </w:r>
      <w:r w:rsidR="009B0489">
        <w:rPr>
          <w:rFonts w:ascii="Times New Roman" w:hAnsi="Times New Roman" w:cs="Times New Roman"/>
          <w:sz w:val="28"/>
          <w:szCs w:val="28"/>
        </w:rPr>
        <w:t>iretta ad incrementare la quota</w:t>
      </w:r>
      <w:r w:rsidR="009B0489" w:rsidRPr="009B0489">
        <w:rPr>
          <w:rFonts w:ascii="Times New Roman" w:hAnsi="Times New Roman" w:cs="Times New Roman"/>
          <w:sz w:val="28"/>
          <w:szCs w:val="28"/>
        </w:rPr>
        <w:t xml:space="preserve"> di energia prodotta da fonti di energia rinnovabile ed in conformità ai criteri di delega di cui all’articolo 5, comma 1, lett. </w:t>
      </w:r>
      <w:r w:rsidR="009B0489" w:rsidRPr="006C3C13">
        <w:rPr>
          <w:rFonts w:ascii="Times New Roman" w:hAnsi="Times New Roman" w:cs="Times New Roman"/>
          <w:i/>
          <w:sz w:val="28"/>
          <w:szCs w:val="28"/>
        </w:rPr>
        <w:t>p</w:t>
      </w:r>
      <w:r w:rsidR="009B0489" w:rsidRPr="009B0489">
        <w:rPr>
          <w:rFonts w:ascii="Times New Roman" w:hAnsi="Times New Roman" w:cs="Times New Roman"/>
          <w:sz w:val="28"/>
          <w:szCs w:val="28"/>
        </w:rPr>
        <w:t xml:space="preserve">) della legge di delegazione europea 22 aprile 2021, n. 53 </w:t>
      </w:r>
      <w:r w:rsidR="009B0489">
        <w:rPr>
          <w:rFonts w:ascii="Times New Roman" w:hAnsi="Times New Roman" w:cs="Times New Roman"/>
          <w:sz w:val="28"/>
          <w:szCs w:val="28"/>
        </w:rPr>
        <w:t xml:space="preserve">appare necessaria </w:t>
      </w:r>
      <w:r w:rsidR="009B0489" w:rsidRPr="009B0489">
        <w:rPr>
          <w:rFonts w:ascii="Times New Roman" w:hAnsi="Times New Roman" w:cs="Times New Roman"/>
          <w:sz w:val="28"/>
          <w:szCs w:val="28"/>
        </w:rPr>
        <w:t>una disciplina specifica a sostegno degli impianti di piccola taglia ai fini della valorizzazione dell’energia prodotta da biogas per la trasformazione in digestato equiparato</w:t>
      </w:r>
      <w:r>
        <w:rPr>
          <w:rFonts w:ascii="Times New Roman" w:hAnsi="Times New Roman" w:cs="Times New Roman"/>
          <w:sz w:val="28"/>
          <w:szCs w:val="28"/>
        </w:rPr>
        <w:t xml:space="preserve">. </w:t>
      </w:r>
    </w:p>
    <w:p w:rsidR="00B91CAA" w:rsidRDefault="00B91CAA" w:rsidP="00AA6AD6">
      <w:pPr>
        <w:pStyle w:val="Paragrafoelenco"/>
        <w:spacing w:after="0"/>
        <w:ind w:left="0" w:firstLine="567"/>
        <w:jc w:val="both"/>
        <w:rPr>
          <w:rFonts w:ascii="Times New Roman" w:hAnsi="Times New Roman" w:cs="Times New Roman"/>
          <w:sz w:val="28"/>
          <w:szCs w:val="28"/>
        </w:rPr>
      </w:pPr>
      <w:r>
        <w:rPr>
          <w:rFonts w:ascii="Times New Roman" w:hAnsi="Times New Roman" w:cs="Times New Roman"/>
          <w:sz w:val="28"/>
          <w:szCs w:val="28"/>
        </w:rPr>
        <w:t>L</w:t>
      </w:r>
      <w:r w:rsidR="009B0489" w:rsidRPr="00E00600">
        <w:rPr>
          <w:rFonts w:ascii="Times New Roman" w:hAnsi="Times New Roman" w:cs="Times New Roman"/>
          <w:sz w:val="28"/>
          <w:szCs w:val="28"/>
        </w:rPr>
        <w:t xml:space="preserve">a filiera di produzione del biogas rappresenta una risorsa importante per il nostro Paese che necessita di essere valorizzata perché consente di sostituire, nel processo di economia circolare, il ricorso ai combustibili e ai carburanti di origine fossile e di ridurre, di conseguenza, le emissioni di gas serra. Con riguardo </w:t>
      </w:r>
      <w:r w:rsidR="00AC6F9F" w:rsidRPr="00E00600">
        <w:rPr>
          <w:rFonts w:ascii="Times New Roman" w:hAnsi="Times New Roman" w:cs="Times New Roman"/>
          <w:sz w:val="28"/>
          <w:szCs w:val="28"/>
        </w:rPr>
        <w:t xml:space="preserve">alle biomasse impiegabili negli impianti di produzione di biocarburante e di biometano avanzato la recente legge 29 luglio 2021, n. 108 di conversione del decreto-legge 31 maggio 2021, n. 77 “Governance del Piano nazionale di ripresa e resilienza e prime misure di rafforzamento delle strutture amministrative e di accelerazione e snellimento delle procedure” chiarisce quali sottoprodotti possano essere utilizzati per la produzione di biocarburanti, qualificando i sottoprodotti di cui all’allegato 1 tabella 1.A, punti 2 e 3, al decreto del Ministro dello sviluppo economico 23 giugno 2016, utilizzati per produrre biometano attraverso la purificazione del biogas, come materie prime idonee al riconoscimento della qualifica di biocarburante avanzato ai sensi del decreto del </w:t>
      </w:r>
      <w:r w:rsidR="00AC6F9F" w:rsidRPr="00E00600">
        <w:rPr>
          <w:rFonts w:ascii="Times New Roman" w:hAnsi="Times New Roman" w:cs="Times New Roman"/>
          <w:sz w:val="28"/>
          <w:szCs w:val="28"/>
        </w:rPr>
        <w:lastRenderedPageBreak/>
        <w:t>Ministro dello sviluppo economico 2 marzo 2018. Nel recepimento della direttiva 2018/2001 occorre, pertanto, assicurare che le definizioni di «biocarburanti avanzati» e di «biometano avanzato» contenute nelle lett. z) e bb) del comma 1, dell’art. 2 dello schema di decreto legislativo, siano coordinate con le disposizioni di cui al decreto del Ministro dello Sviluppo economico del 2 marzo 2018</w:t>
      </w:r>
      <w:r w:rsidR="00D3746D" w:rsidRPr="00E00600">
        <w:rPr>
          <w:rFonts w:ascii="Times New Roman" w:hAnsi="Times New Roman" w:cs="Times New Roman"/>
          <w:sz w:val="28"/>
          <w:szCs w:val="28"/>
        </w:rPr>
        <w:t xml:space="preserve"> al fine di fav</w:t>
      </w:r>
      <w:r w:rsidR="00E00600">
        <w:rPr>
          <w:rFonts w:ascii="Times New Roman" w:hAnsi="Times New Roman" w:cs="Times New Roman"/>
          <w:sz w:val="28"/>
          <w:szCs w:val="28"/>
        </w:rPr>
        <w:t xml:space="preserve">orire lo sviluppo della filiera. </w:t>
      </w:r>
    </w:p>
    <w:p w:rsidR="00B91CAA" w:rsidRDefault="00B91CAA" w:rsidP="00AA6AD6">
      <w:pPr>
        <w:pStyle w:val="Paragrafoelenco"/>
        <w:spacing w:after="0"/>
        <w:ind w:left="0" w:firstLine="567"/>
        <w:jc w:val="both"/>
        <w:rPr>
          <w:rFonts w:ascii="Times New Roman" w:hAnsi="Times New Roman" w:cs="Times New Roman"/>
          <w:sz w:val="28"/>
          <w:szCs w:val="28"/>
        </w:rPr>
      </w:pPr>
      <w:r>
        <w:rPr>
          <w:rFonts w:ascii="Times New Roman" w:hAnsi="Times New Roman" w:cs="Times New Roman"/>
          <w:sz w:val="28"/>
          <w:szCs w:val="28"/>
        </w:rPr>
        <w:t>G</w:t>
      </w:r>
      <w:r w:rsidR="009B0489" w:rsidRPr="00E00600">
        <w:rPr>
          <w:rFonts w:ascii="Times New Roman" w:hAnsi="Times New Roman" w:cs="Times New Roman"/>
          <w:sz w:val="28"/>
          <w:szCs w:val="28"/>
        </w:rPr>
        <w:t>li impianti di digestione anaerobica distribuiti nei diversi territori svolgono</w:t>
      </w:r>
      <w:r w:rsidR="00E00600">
        <w:rPr>
          <w:rFonts w:ascii="Times New Roman" w:hAnsi="Times New Roman" w:cs="Times New Roman"/>
          <w:sz w:val="28"/>
          <w:szCs w:val="28"/>
        </w:rPr>
        <w:t xml:space="preserve"> </w:t>
      </w:r>
      <w:r w:rsidR="009B0489" w:rsidRPr="00E00600">
        <w:rPr>
          <w:rFonts w:ascii="Times New Roman" w:hAnsi="Times New Roman" w:cs="Times New Roman"/>
          <w:sz w:val="28"/>
          <w:szCs w:val="28"/>
        </w:rPr>
        <w:t>un ruolo centrale perché permettono di combinare produzione elettrica, produzione di biocarburanti, produzione di biometano e produzione di biomateriali e compositi, fornendo al tempo stesso servizi di programmabilità e di storage per il sistema energetico. A tal fine è necessario garantire flessibilità e innovazione nella gestione degli impianti rimuovendo tra l’altro il gap normativo che oggi ostacola questo approccio multifunzionale.</w:t>
      </w:r>
      <w:r w:rsidR="00D3746D" w:rsidRPr="00E00600">
        <w:rPr>
          <w:rFonts w:ascii="Times New Roman" w:hAnsi="Times New Roman" w:cs="Times New Roman"/>
          <w:sz w:val="28"/>
          <w:szCs w:val="28"/>
        </w:rPr>
        <w:t xml:space="preserve"> A</w:t>
      </w:r>
      <w:r w:rsidR="009B0489" w:rsidRPr="00E00600">
        <w:rPr>
          <w:rFonts w:ascii="Times New Roman" w:hAnsi="Times New Roman" w:cs="Times New Roman"/>
          <w:sz w:val="28"/>
          <w:szCs w:val="28"/>
        </w:rPr>
        <w:t>ppare</w:t>
      </w:r>
      <w:r w:rsidR="00D3746D" w:rsidRPr="00E00600">
        <w:rPr>
          <w:rFonts w:ascii="Times New Roman" w:hAnsi="Times New Roman" w:cs="Times New Roman"/>
          <w:sz w:val="28"/>
          <w:szCs w:val="28"/>
        </w:rPr>
        <w:t>, pertanto,</w:t>
      </w:r>
      <w:r w:rsidR="009B0489" w:rsidRPr="00E00600">
        <w:rPr>
          <w:rFonts w:ascii="Times New Roman" w:hAnsi="Times New Roman" w:cs="Times New Roman"/>
          <w:sz w:val="28"/>
          <w:szCs w:val="28"/>
        </w:rPr>
        <w:t xml:space="preserve"> fondamentale prevedere la semplificazione amministrativa relativa alle connessioni alla rete del gas naturale per favorire l’immis</w:t>
      </w:r>
      <w:r w:rsidR="00D3746D" w:rsidRPr="00E00600">
        <w:rPr>
          <w:rFonts w:ascii="Times New Roman" w:hAnsi="Times New Roman" w:cs="Times New Roman"/>
          <w:sz w:val="28"/>
          <w:szCs w:val="28"/>
        </w:rPr>
        <w:t>sione in consumo del biometano</w:t>
      </w:r>
      <w:r w:rsidR="006A6D94" w:rsidRPr="00E00600">
        <w:rPr>
          <w:rFonts w:ascii="Times New Roman" w:hAnsi="Times New Roman" w:cs="Times New Roman"/>
          <w:sz w:val="28"/>
          <w:szCs w:val="28"/>
        </w:rPr>
        <w:t>. Inoltre, occorre promuovere la produzione di biometano per la decarbonizzazione della rete gas introducendo un sistema di supporto all’immissione in rete di biometano anch</w:t>
      </w:r>
      <w:r>
        <w:rPr>
          <w:rFonts w:ascii="Times New Roman" w:hAnsi="Times New Roman" w:cs="Times New Roman"/>
          <w:sz w:val="28"/>
          <w:szCs w:val="28"/>
        </w:rPr>
        <w:t>e per usi diversi dal trasporto.</w:t>
      </w:r>
    </w:p>
    <w:p w:rsidR="00B91CAA" w:rsidRDefault="00B91CAA" w:rsidP="00AA6AD6">
      <w:pPr>
        <w:pStyle w:val="Paragrafoelenco"/>
        <w:spacing w:after="0"/>
        <w:ind w:left="0" w:firstLine="567"/>
        <w:jc w:val="both"/>
        <w:rPr>
          <w:rFonts w:ascii="Times New Roman" w:hAnsi="Times New Roman" w:cs="Times New Roman"/>
          <w:sz w:val="28"/>
          <w:szCs w:val="28"/>
        </w:rPr>
      </w:pPr>
      <w:r>
        <w:rPr>
          <w:rFonts w:ascii="Times New Roman" w:hAnsi="Times New Roman" w:cs="Times New Roman"/>
          <w:sz w:val="28"/>
          <w:szCs w:val="28"/>
        </w:rPr>
        <w:t>L</w:t>
      </w:r>
      <w:r w:rsidR="00D3746D" w:rsidRPr="00D3746D">
        <w:rPr>
          <w:rFonts w:ascii="Times New Roman" w:hAnsi="Times New Roman" w:cs="Times New Roman"/>
          <w:sz w:val="28"/>
          <w:szCs w:val="28"/>
        </w:rPr>
        <w:t xml:space="preserve">o strumento delle garanzie di origine consente di valorizzare al meglio e in maniera efficiente le necessità di </w:t>
      </w:r>
      <w:r w:rsidR="00D3746D" w:rsidRPr="00D3746D">
        <w:rPr>
          <w:rFonts w:ascii="Times New Roman" w:hAnsi="Times New Roman" w:cs="Times New Roman"/>
          <w:i/>
          <w:sz w:val="28"/>
          <w:szCs w:val="28"/>
        </w:rPr>
        <w:t>greening</w:t>
      </w:r>
      <w:r w:rsidR="00D3746D" w:rsidRPr="00D3746D">
        <w:rPr>
          <w:rFonts w:ascii="Times New Roman" w:hAnsi="Times New Roman" w:cs="Times New Roman"/>
          <w:sz w:val="28"/>
          <w:szCs w:val="28"/>
        </w:rPr>
        <w:t xml:space="preserve"> dell’approvvigionamento di ampie fasce di consumo tra cui rientrano quelle energy intensive. Per tale motivo si ritiene che, con particolare riferimento al biometano e come già previsto nel DM 2 marzo 2018, il Governo debba considerare l’opportunità di consentire sempre l’uso delle garanzie di origine da parte dei soggetti tenuti agli obblighi del sistema di scambio istituito con la direttiva 2003/87/CE, al fine di liberarli dall’obbligo di disporre di un numero di quote equivalenti in termini di emissioni di carbonio evitate, in ragione del consumo di biometano compro</w:t>
      </w:r>
      <w:r w:rsidR="00FE6952">
        <w:rPr>
          <w:rFonts w:ascii="Times New Roman" w:hAnsi="Times New Roman" w:cs="Times New Roman"/>
          <w:sz w:val="28"/>
          <w:szCs w:val="28"/>
        </w:rPr>
        <w:t>vato dal possesso della citata g</w:t>
      </w:r>
      <w:r w:rsidR="00D3746D" w:rsidRPr="00D3746D">
        <w:rPr>
          <w:rFonts w:ascii="Times New Roman" w:hAnsi="Times New Roman" w:cs="Times New Roman"/>
          <w:sz w:val="28"/>
          <w:szCs w:val="28"/>
        </w:rPr>
        <w:t xml:space="preserve">aranzia, secondo quanto già previsto dal regolamento UE 2018/2066 e s.m.i  concernente il monitoraggio e la comunicazione delle emissioni di gas a effetto serra. </w:t>
      </w:r>
      <w:r w:rsidR="00D3746D">
        <w:rPr>
          <w:rFonts w:ascii="Times New Roman" w:hAnsi="Times New Roman" w:cs="Times New Roman"/>
          <w:sz w:val="28"/>
          <w:szCs w:val="28"/>
        </w:rPr>
        <w:t xml:space="preserve">Appare, pertanto, opportuno </w:t>
      </w:r>
      <w:r w:rsidR="00D3746D" w:rsidRPr="00D3746D">
        <w:rPr>
          <w:rFonts w:ascii="Times New Roman" w:hAnsi="Times New Roman" w:cs="Times New Roman"/>
          <w:sz w:val="28"/>
          <w:szCs w:val="28"/>
        </w:rPr>
        <w:t>prevedere p</w:t>
      </w:r>
      <w:r w:rsidR="00D3746D">
        <w:rPr>
          <w:rFonts w:ascii="Times New Roman" w:hAnsi="Times New Roman" w:cs="Times New Roman"/>
          <w:sz w:val="28"/>
          <w:szCs w:val="28"/>
        </w:rPr>
        <w:t>er tutte le garanzie di origine</w:t>
      </w:r>
      <w:r w:rsidR="00D3746D" w:rsidRPr="00D3746D">
        <w:rPr>
          <w:rFonts w:ascii="Times New Roman" w:hAnsi="Times New Roman" w:cs="Times New Roman"/>
          <w:sz w:val="28"/>
          <w:szCs w:val="28"/>
        </w:rPr>
        <w:t xml:space="preserve"> lo stesso regime attualmente previsto per il settore elettrico dove la garanzia di origine è assegnata al GSE solo nel caso in cui questi funga da soggetto che ritira “all’origine” l'energia rinnovabile prodotta e immessa nel sistema. In tutti gli altri casi la garanzia di origine deve rimanere nella disponibilità del produttore. Una tal misura va nella direzione di stimolare il mercato e la competitività al minor costo per i consumatori. Al fine di accelerare i processi di decarbonizzazione è, infatti, opportuno valorizzare al massimo la sensibilità dei consumatori, con particolare riferimento a quelli di maggiori dimensioni </w:t>
      </w:r>
      <w:r>
        <w:rPr>
          <w:rFonts w:ascii="Times New Roman" w:hAnsi="Times New Roman" w:cs="Times New Roman"/>
          <w:sz w:val="28"/>
          <w:szCs w:val="28"/>
        </w:rPr>
        <w:t>e sottoposti al meccanismo ETS.</w:t>
      </w:r>
    </w:p>
    <w:p w:rsidR="00D3746D" w:rsidRDefault="00B91CAA" w:rsidP="00AA6AD6">
      <w:pPr>
        <w:pStyle w:val="Paragrafoelenco"/>
        <w:spacing w:after="0"/>
        <w:ind w:left="0" w:firstLine="567"/>
        <w:jc w:val="both"/>
        <w:rPr>
          <w:rFonts w:ascii="Times New Roman" w:hAnsi="Times New Roman" w:cs="Times New Roman"/>
          <w:sz w:val="28"/>
          <w:szCs w:val="28"/>
        </w:rPr>
      </w:pPr>
      <w:r>
        <w:rPr>
          <w:rFonts w:ascii="Times New Roman" w:hAnsi="Times New Roman" w:cs="Times New Roman"/>
          <w:sz w:val="28"/>
          <w:szCs w:val="28"/>
        </w:rPr>
        <w:t>A</w:t>
      </w:r>
      <w:r w:rsidR="00D3746D" w:rsidRPr="00E00600">
        <w:rPr>
          <w:rFonts w:ascii="Times New Roman" w:hAnsi="Times New Roman" w:cs="Times New Roman"/>
          <w:sz w:val="28"/>
          <w:szCs w:val="28"/>
        </w:rPr>
        <w:t>l fine di assicurare un’adeguata tutela del suolo agricolo quale spazio dedicato alla produzione di alimenti, alla tutela della biodiversità, all’equilibrio del territorio e dell’ambiente, si ritiene opportuno</w:t>
      </w:r>
      <w:r w:rsidR="00EF7661">
        <w:rPr>
          <w:rFonts w:ascii="Times New Roman" w:hAnsi="Times New Roman" w:cs="Times New Roman"/>
          <w:sz w:val="28"/>
          <w:szCs w:val="28"/>
        </w:rPr>
        <w:t xml:space="preserve"> assicurare un coordinamento con le disposizioni previste dall’articolo 31, comma 5 della legge 29 luglio 2921, n. 108 che, nel modificare l’articolo 65 del decreto-legge 24 gennaio 2021, n. 1, convertito con modificazio</w:t>
      </w:r>
      <w:r w:rsidR="00F50F83">
        <w:rPr>
          <w:rFonts w:ascii="Times New Roman" w:hAnsi="Times New Roman" w:cs="Times New Roman"/>
          <w:sz w:val="28"/>
          <w:szCs w:val="28"/>
        </w:rPr>
        <w:t>n</w:t>
      </w:r>
      <w:r w:rsidR="00EF7661">
        <w:rPr>
          <w:rFonts w:ascii="Times New Roman" w:hAnsi="Times New Roman" w:cs="Times New Roman"/>
          <w:sz w:val="28"/>
          <w:szCs w:val="28"/>
        </w:rPr>
        <w:t>i dalla legge 24 marzo 2012, n</w:t>
      </w:r>
      <w:r w:rsidR="007F2DAC">
        <w:rPr>
          <w:rFonts w:ascii="Times New Roman" w:hAnsi="Times New Roman" w:cs="Times New Roman"/>
          <w:sz w:val="28"/>
          <w:szCs w:val="28"/>
        </w:rPr>
        <w:t xml:space="preserve">. </w:t>
      </w:r>
      <w:r w:rsidR="00EF7661">
        <w:rPr>
          <w:rFonts w:ascii="Times New Roman" w:hAnsi="Times New Roman" w:cs="Times New Roman"/>
          <w:sz w:val="28"/>
          <w:szCs w:val="28"/>
        </w:rPr>
        <w:t>27 individua condizioni ulteriori ai fini dell’accesso agli incentivi «per gli impianti agrovoltaici che adottino soluzioni integrative innovative con montaggio dei moduli elevati da terra».</w:t>
      </w:r>
      <w:r w:rsidR="00D3746D" w:rsidRPr="00E00600">
        <w:rPr>
          <w:rFonts w:ascii="Times New Roman" w:hAnsi="Times New Roman" w:cs="Times New Roman"/>
          <w:sz w:val="28"/>
          <w:szCs w:val="28"/>
        </w:rPr>
        <w:t xml:space="preserve"> </w:t>
      </w:r>
      <w:r w:rsidR="007F2DAC">
        <w:rPr>
          <w:rFonts w:ascii="Times New Roman" w:hAnsi="Times New Roman" w:cs="Times New Roman"/>
          <w:sz w:val="28"/>
          <w:szCs w:val="28"/>
        </w:rPr>
        <w:t xml:space="preserve">Appare, inoltre, necessario assicurare che </w:t>
      </w:r>
      <w:r w:rsidR="00D3746D" w:rsidRPr="00E00600">
        <w:rPr>
          <w:rFonts w:ascii="Times New Roman" w:hAnsi="Times New Roman" w:cs="Times New Roman"/>
          <w:sz w:val="28"/>
          <w:szCs w:val="28"/>
        </w:rPr>
        <w:t>gli impianti agrovoltaici e gli impianti solari fotovoltaici da collocare a terra in aree agricole siano di dimensioni limitate e comunque tali da potersi qualificare come connessi all’attività agricola principale.</w:t>
      </w:r>
      <w:r w:rsidR="006A6D94" w:rsidRPr="00E00600">
        <w:rPr>
          <w:rFonts w:ascii="Times New Roman" w:hAnsi="Times New Roman" w:cs="Times New Roman"/>
          <w:sz w:val="28"/>
          <w:szCs w:val="28"/>
        </w:rPr>
        <w:t xml:space="preserve"> Infine, nel rispetto dei criteri di delega</w:t>
      </w:r>
      <w:r w:rsidR="007F2DAC">
        <w:rPr>
          <w:rFonts w:ascii="Times New Roman" w:hAnsi="Times New Roman" w:cs="Times New Roman"/>
          <w:sz w:val="28"/>
          <w:szCs w:val="28"/>
        </w:rPr>
        <w:t xml:space="preserve"> indicati all’articolo 5, comma</w:t>
      </w:r>
      <w:r w:rsidR="006A6D94" w:rsidRPr="00E00600">
        <w:rPr>
          <w:rFonts w:ascii="Times New Roman" w:hAnsi="Times New Roman" w:cs="Times New Roman"/>
          <w:sz w:val="28"/>
          <w:szCs w:val="28"/>
        </w:rPr>
        <w:t>,</w:t>
      </w:r>
      <w:r w:rsidR="007F2DAC">
        <w:rPr>
          <w:rFonts w:ascii="Times New Roman" w:hAnsi="Times New Roman" w:cs="Times New Roman"/>
          <w:sz w:val="28"/>
          <w:szCs w:val="28"/>
        </w:rPr>
        <w:t xml:space="preserve"> </w:t>
      </w:r>
      <w:r w:rsidR="006A6D94" w:rsidRPr="00E00600">
        <w:rPr>
          <w:rFonts w:ascii="Times New Roman" w:hAnsi="Times New Roman" w:cs="Times New Roman"/>
          <w:sz w:val="28"/>
          <w:szCs w:val="28"/>
        </w:rPr>
        <w:t>1 lett. a) della citata legge di delegazione europea, occorre escludere il riferimento al carattere prioritario riservato alla i</w:t>
      </w:r>
      <w:r w:rsidR="007F2DAC">
        <w:rPr>
          <w:rFonts w:ascii="Times New Roman" w:hAnsi="Times New Roman" w:cs="Times New Roman"/>
          <w:sz w:val="28"/>
          <w:szCs w:val="28"/>
        </w:rPr>
        <w:t>ndividuazione delle aree idonee così come occorre eliminare l’inciso «ivi incluse le superfici agricole non utilizzabili» di cui all’articolo 20, comma 3 dello Schema di decreto legislativo</w:t>
      </w:r>
      <w:r w:rsidR="00FE6952">
        <w:rPr>
          <w:rFonts w:ascii="Times New Roman" w:hAnsi="Times New Roman" w:cs="Times New Roman"/>
          <w:sz w:val="28"/>
          <w:szCs w:val="28"/>
        </w:rPr>
        <w:t xml:space="preserve"> in oggetto,</w:t>
      </w:r>
      <w:r w:rsidR="007F2DAC">
        <w:rPr>
          <w:rFonts w:ascii="Times New Roman" w:hAnsi="Times New Roman" w:cs="Times New Roman"/>
          <w:sz w:val="28"/>
          <w:szCs w:val="28"/>
        </w:rPr>
        <w:t xml:space="preserve"> trattandosi di previsione inidonea ad esprimere una categoria giuridicamente individuabile – considerato che la valutazione deve essere condotta caso per caso ( cfr. sent. Corte cost. n. 177/2021)</w:t>
      </w:r>
      <w:r w:rsidR="00FE6952">
        <w:rPr>
          <w:rFonts w:ascii="Times New Roman" w:hAnsi="Times New Roman" w:cs="Times New Roman"/>
          <w:sz w:val="28"/>
          <w:szCs w:val="28"/>
        </w:rPr>
        <w:t xml:space="preserve"> –</w:t>
      </w:r>
      <w:r w:rsidR="007F2DAC">
        <w:rPr>
          <w:rFonts w:ascii="Times New Roman" w:hAnsi="Times New Roman" w:cs="Times New Roman"/>
          <w:sz w:val="28"/>
          <w:szCs w:val="28"/>
        </w:rPr>
        <w:t xml:space="preserve"> </w:t>
      </w:r>
      <w:r w:rsidR="00FE6952">
        <w:rPr>
          <w:rFonts w:ascii="Times New Roman" w:hAnsi="Times New Roman" w:cs="Times New Roman"/>
          <w:sz w:val="28"/>
          <w:szCs w:val="28"/>
        </w:rPr>
        <w:t>e</w:t>
      </w:r>
      <w:r w:rsidR="007F2DAC">
        <w:rPr>
          <w:rFonts w:ascii="Times New Roman" w:hAnsi="Times New Roman" w:cs="Times New Roman"/>
          <w:sz w:val="28"/>
          <w:szCs w:val="28"/>
        </w:rPr>
        <w:t xml:space="preserve"> che non trova</w:t>
      </w:r>
      <w:r w:rsidR="0031239A">
        <w:rPr>
          <w:rFonts w:ascii="Times New Roman" w:hAnsi="Times New Roman" w:cs="Times New Roman"/>
          <w:sz w:val="28"/>
          <w:szCs w:val="28"/>
        </w:rPr>
        <w:t xml:space="preserve"> conforto nei criteri di delega.</w:t>
      </w:r>
    </w:p>
    <w:p w:rsidR="0031239A" w:rsidRDefault="0031239A" w:rsidP="00AA6AD6">
      <w:pPr>
        <w:pStyle w:val="Paragrafoelenco"/>
        <w:ind w:left="0" w:firstLine="567"/>
        <w:jc w:val="both"/>
        <w:rPr>
          <w:rFonts w:ascii="Times New Roman" w:hAnsi="Times New Roman" w:cs="Times New Roman"/>
          <w:sz w:val="28"/>
          <w:szCs w:val="28"/>
        </w:rPr>
      </w:pPr>
    </w:p>
    <w:p w:rsidR="00E00600" w:rsidRDefault="00AA6AD6" w:rsidP="00AA6AD6">
      <w:pPr>
        <w:pStyle w:val="Paragrafoelenco"/>
        <w:ind w:left="0" w:firstLine="567"/>
        <w:jc w:val="both"/>
        <w:rPr>
          <w:rFonts w:ascii="Times New Roman" w:hAnsi="Times New Roman" w:cs="Times New Roman"/>
          <w:sz w:val="28"/>
          <w:szCs w:val="28"/>
        </w:rPr>
      </w:pPr>
      <w:r>
        <w:rPr>
          <w:rFonts w:ascii="Times New Roman" w:hAnsi="Times New Roman" w:cs="Times New Roman"/>
          <w:sz w:val="28"/>
          <w:szCs w:val="28"/>
        </w:rPr>
        <w:t>Alla luce di quanto premesso, s</w:t>
      </w:r>
      <w:r w:rsidR="0031239A">
        <w:rPr>
          <w:rFonts w:ascii="Times New Roman" w:hAnsi="Times New Roman" w:cs="Times New Roman"/>
          <w:sz w:val="28"/>
          <w:szCs w:val="28"/>
        </w:rPr>
        <w:t xml:space="preserve">i formulano le seguenti osservazioni </w:t>
      </w:r>
      <w:r>
        <w:rPr>
          <w:rFonts w:ascii="Times New Roman" w:hAnsi="Times New Roman" w:cs="Times New Roman"/>
          <w:sz w:val="28"/>
          <w:szCs w:val="28"/>
        </w:rPr>
        <w:t>in relazione allo Schema di decreto legislativo oggetto di parere da parte di codeste Commissioni</w:t>
      </w:r>
      <w:r w:rsidR="0031239A">
        <w:rPr>
          <w:rFonts w:ascii="Times New Roman" w:hAnsi="Times New Roman" w:cs="Times New Roman"/>
          <w:sz w:val="28"/>
          <w:szCs w:val="28"/>
        </w:rPr>
        <w:t>:</w:t>
      </w:r>
    </w:p>
    <w:p w:rsidR="00AA6AD6" w:rsidRPr="00446CED" w:rsidRDefault="00AA6AD6" w:rsidP="00AA6AD6">
      <w:pPr>
        <w:pStyle w:val="Paragrafoelenco"/>
        <w:ind w:left="0" w:firstLine="567"/>
        <w:jc w:val="both"/>
        <w:rPr>
          <w:rFonts w:ascii="Times New Roman" w:hAnsi="Times New Roman" w:cs="Times New Roman"/>
          <w:sz w:val="28"/>
          <w:szCs w:val="28"/>
        </w:rPr>
      </w:pPr>
    </w:p>
    <w:p w:rsidR="00C70B3D" w:rsidRDefault="006A6D94" w:rsidP="00AA6AD6">
      <w:pPr>
        <w:pStyle w:val="Paragrafoelenco"/>
        <w:numPr>
          <w:ilvl w:val="0"/>
          <w:numId w:val="16"/>
        </w:numPr>
        <w:tabs>
          <w:tab w:val="left" w:pos="1276"/>
        </w:tabs>
        <w:ind w:left="567" w:firstLine="567"/>
        <w:jc w:val="both"/>
        <w:rPr>
          <w:rFonts w:ascii="Times New Roman" w:hAnsi="Times New Roman" w:cs="Times New Roman"/>
          <w:sz w:val="28"/>
          <w:szCs w:val="28"/>
        </w:rPr>
      </w:pPr>
      <w:r w:rsidRPr="006A6D94">
        <w:rPr>
          <w:rFonts w:ascii="Times New Roman" w:hAnsi="Times New Roman" w:cs="Times New Roman"/>
          <w:sz w:val="28"/>
          <w:szCs w:val="28"/>
        </w:rPr>
        <w:t>All</w:t>
      </w:r>
      <w:r w:rsidR="00446CED">
        <w:rPr>
          <w:rFonts w:ascii="Times New Roman" w:hAnsi="Times New Roman" w:cs="Times New Roman"/>
          <w:sz w:val="28"/>
          <w:szCs w:val="28"/>
        </w:rPr>
        <w:t xml:space="preserve">’articolo 14, comma 1, lett. </w:t>
      </w:r>
      <w:r w:rsidR="00446CED" w:rsidRPr="00446CED">
        <w:rPr>
          <w:rFonts w:ascii="Times New Roman" w:hAnsi="Times New Roman" w:cs="Times New Roman"/>
          <w:i/>
          <w:sz w:val="28"/>
          <w:szCs w:val="28"/>
        </w:rPr>
        <w:t>b</w:t>
      </w:r>
      <w:r w:rsidR="00446CED">
        <w:rPr>
          <w:rFonts w:ascii="Times New Roman" w:hAnsi="Times New Roman" w:cs="Times New Roman"/>
          <w:sz w:val="28"/>
          <w:szCs w:val="28"/>
        </w:rPr>
        <w:t>), dopo le parole: “</w:t>
      </w:r>
      <w:r w:rsidR="00446CED" w:rsidRPr="00446CED">
        <w:rPr>
          <w:rFonts w:ascii="Times New Roman" w:hAnsi="Times New Roman" w:cs="Times New Roman"/>
          <w:sz w:val="28"/>
          <w:szCs w:val="28"/>
        </w:rPr>
        <w:t xml:space="preserve">la valorizzazione e la corretta gestione </w:t>
      </w:r>
      <w:r w:rsidR="00E00600">
        <w:rPr>
          <w:rFonts w:ascii="Times New Roman" w:hAnsi="Times New Roman" w:cs="Times New Roman"/>
          <w:sz w:val="28"/>
          <w:szCs w:val="28"/>
        </w:rPr>
        <w:t>ambientale</w:t>
      </w:r>
      <w:r w:rsidR="00446CED" w:rsidRPr="00446CED">
        <w:rPr>
          <w:rFonts w:ascii="Times New Roman" w:hAnsi="Times New Roman" w:cs="Times New Roman"/>
          <w:sz w:val="28"/>
          <w:szCs w:val="28"/>
        </w:rPr>
        <w:t xml:space="preserve"> del digestato</w:t>
      </w:r>
      <w:r w:rsidR="00446CED">
        <w:rPr>
          <w:rFonts w:ascii="Times New Roman" w:hAnsi="Times New Roman" w:cs="Times New Roman"/>
          <w:sz w:val="28"/>
          <w:szCs w:val="28"/>
        </w:rPr>
        <w:t>” aggiungere le seguenti: “, del digestato equiparato di cui al successivo articolo 14-</w:t>
      </w:r>
      <w:r w:rsidR="00446CED" w:rsidRPr="00446CED">
        <w:rPr>
          <w:rFonts w:ascii="Times New Roman" w:hAnsi="Times New Roman" w:cs="Times New Roman"/>
          <w:i/>
          <w:sz w:val="28"/>
          <w:szCs w:val="28"/>
        </w:rPr>
        <w:t>bis</w:t>
      </w:r>
      <w:r w:rsidR="00856F20">
        <w:rPr>
          <w:rFonts w:ascii="Times New Roman" w:hAnsi="Times New Roman" w:cs="Times New Roman"/>
          <w:sz w:val="28"/>
          <w:szCs w:val="28"/>
        </w:rPr>
        <w:t>”.</w:t>
      </w:r>
    </w:p>
    <w:p w:rsidR="00856F20" w:rsidRDefault="00856F20" w:rsidP="00AA6AD6">
      <w:pPr>
        <w:pStyle w:val="Paragrafoelenco"/>
        <w:tabs>
          <w:tab w:val="left" w:pos="1276"/>
        </w:tabs>
        <w:ind w:left="567" w:firstLine="567"/>
        <w:jc w:val="both"/>
        <w:rPr>
          <w:rFonts w:ascii="Times New Roman" w:hAnsi="Times New Roman" w:cs="Times New Roman"/>
          <w:sz w:val="28"/>
          <w:szCs w:val="28"/>
        </w:rPr>
      </w:pPr>
    </w:p>
    <w:p w:rsidR="00C70B3D" w:rsidRPr="00C70B3D" w:rsidRDefault="00446CED" w:rsidP="00AA6AD6">
      <w:pPr>
        <w:pStyle w:val="Paragrafoelenco"/>
        <w:numPr>
          <w:ilvl w:val="0"/>
          <w:numId w:val="16"/>
        </w:numPr>
        <w:tabs>
          <w:tab w:val="left" w:pos="1276"/>
        </w:tabs>
        <w:ind w:left="567" w:firstLine="567"/>
        <w:jc w:val="both"/>
        <w:rPr>
          <w:rFonts w:ascii="Times New Roman" w:hAnsi="Times New Roman" w:cs="Times New Roman"/>
          <w:sz w:val="28"/>
          <w:szCs w:val="28"/>
        </w:rPr>
      </w:pPr>
      <w:r w:rsidRPr="00C70B3D">
        <w:rPr>
          <w:rFonts w:ascii="Times New Roman" w:hAnsi="Times New Roman" w:cs="Times New Roman"/>
          <w:sz w:val="28"/>
          <w:szCs w:val="28"/>
        </w:rPr>
        <w:t xml:space="preserve">Dopo l’articolo 14, inserire il seguente articolo 14-bis: </w:t>
      </w:r>
      <w:r w:rsidR="006C3C13" w:rsidRPr="00C70B3D">
        <w:rPr>
          <w:rFonts w:ascii="Times New Roman" w:hAnsi="Times New Roman" w:cs="Times New Roman"/>
          <w:sz w:val="28"/>
          <w:szCs w:val="28"/>
        </w:rPr>
        <w:t>“</w:t>
      </w:r>
      <w:r w:rsidR="006A6D94" w:rsidRPr="00C70B3D">
        <w:rPr>
          <w:rFonts w:ascii="Times New Roman" w:hAnsi="Times New Roman" w:cs="Times New Roman"/>
          <w:sz w:val="28"/>
          <w:szCs w:val="28"/>
        </w:rPr>
        <w:t>«</w:t>
      </w:r>
      <w:r w:rsidRPr="00C70B3D">
        <w:rPr>
          <w:rFonts w:ascii="Times New Roman" w:hAnsi="Times New Roman" w:cs="Times New Roman"/>
          <w:i/>
          <w:sz w:val="28"/>
          <w:szCs w:val="28"/>
        </w:rPr>
        <w:t>14-bis (</w:t>
      </w:r>
      <w:r w:rsidR="006A6D94" w:rsidRPr="00C70B3D">
        <w:rPr>
          <w:rFonts w:ascii="Times New Roman" w:hAnsi="Times New Roman" w:cs="Times New Roman"/>
          <w:i/>
          <w:sz w:val="28"/>
          <w:szCs w:val="28"/>
        </w:rPr>
        <w:t xml:space="preserve">Modifiche all’articolo 52 del decreto legge </w:t>
      </w:r>
      <w:r w:rsidR="006A6D94" w:rsidRPr="00C70B3D">
        <w:rPr>
          <w:rFonts w:ascii="Times New Roman" w:eastAsia="Calibri" w:hAnsi="Times New Roman" w:cs="Times New Roman"/>
          <w:i/>
          <w:sz w:val="28"/>
          <w:szCs w:val="28"/>
        </w:rPr>
        <w:t>22 giugno 2012, n. 83, come convertito con modificazioni dalla legge 7 agosto 2012 n. 134</w:t>
      </w:r>
      <w:r w:rsidRPr="00C70B3D">
        <w:rPr>
          <w:rFonts w:ascii="Times New Roman" w:eastAsia="Calibri" w:hAnsi="Times New Roman" w:cs="Times New Roman"/>
          <w:i/>
          <w:sz w:val="28"/>
          <w:szCs w:val="28"/>
        </w:rPr>
        <w:t>)</w:t>
      </w:r>
      <w:r w:rsidR="006A6D94" w:rsidRPr="00C70B3D">
        <w:rPr>
          <w:rFonts w:ascii="Times New Roman" w:eastAsia="Calibri" w:hAnsi="Times New Roman" w:cs="Times New Roman"/>
          <w:i/>
          <w:sz w:val="28"/>
          <w:szCs w:val="28"/>
        </w:rPr>
        <w:t>.</w:t>
      </w:r>
      <w:r w:rsidRPr="00C70B3D">
        <w:rPr>
          <w:rFonts w:ascii="Times New Roman" w:eastAsia="Calibri" w:hAnsi="Times New Roman" w:cs="Times New Roman"/>
          <w:i/>
          <w:sz w:val="28"/>
          <w:szCs w:val="28"/>
        </w:rPr>
        <w:t xml:space="preserve"> </w:t>
      </w:r>
    </w:p>
    <w:p w:rsidR="006A6D94" w:rsidRPr="00C70B3D" w:rsidRDefault="00446CED" w:rsidP="00AA6AD6">
      <w:pPr>
        <w:pStyle w:val="Paragrafoelenco"/>
        <w:tabs>
          <w:tab w:val="left" w:pos="1276"/>
        </w:tabs>
        <w:ind w:left="567" w:firstLine="567"/>
        <w:jc w:val="both"/>
        <w:rPr>
          <w:rFonts w:ascii="Times New Roman" w:hAnsi="Times New Roman" w:cs="Times New Roman"/>
          <w:sz w:val="28"/>
          <w:szCs w:val="28"/>
        </w:rPr>
      </w:pPr>
      <w:r w:rsidRPr="00C70B3D">
        <w:rPr>
          <w:rFonts w:ascii="Times New Roman" w:eastAsia="Calibri" w:hAnsi="Times New Roman" w:cs="Times New Roman"/>
          <w:i/>
          <w:sz w:val="28"/>
          <w:szCs w:val="28"/>
        </w:rPr>
        <w:t xml:space="preserve">1. </w:t>
      </w:r>
      <w:r w:rsidR="006A6D94" w:rsidRPr="00C70B3D">
        <w:rPr>
          <w:rFonts w:ascii="Times New Roman" w:eastAsia="Calibri" w:hAnsi="Times New Roman" w:cs="Times New Roman"/>
          <w:i/>
          <w:sz w:val="28"/>
          <w:szCs w:val="28"/>
        </w:rPr>
        <w:t>Al fine di consentire la piena ed efficace attuazione delle disposizioni in materia di tutela della fertilità dei suoli, di contribuire ad una riduzione dell’uso di fertilizzanti di sintesi e di favorire lo sviluppo dell’economia circolare in ambito agricolo, all’articolo 52, del decreto-legge 22 giugno 2012, n. 83, come convertito con modificazioni dalla legge 7 agosto 2012 n. 134, sono apportate le seguenti modificazioni:</w:t>
      </w:r>
    </w:p>
    <w:p w:rsidR="006A6D94" w:rsidRDefault="006A6D94" w:rsidP="00AA6AD6">
      <w:pPr>
        <w:numPr>
          <w:ilvl w:val="1"/>
          <w:numId w:val="10"/>
        </w:numPr>
        <w:ind w:firstLine="567"/>
        <w:contextualSpacing/>
        <w:jc w:val="both"/>
        <w:rPr>
          <w:rFonts w:ascii="Times New Roman" w:eastAsia="Calibri" w:hAnsi="Times New Roman" w:cs="Times New Roman"/>
          <w:i/>
          <w:sz w:val="28"/>
          <w:szCs w:val="28"/>
        </w:rPr>
      </w:pPr>
      <w:r w:rsidRPr="00C71DA2">
        <w:rPr>
          <w:rFonts w:ascii="Times New Roman" w:eastAsia="Calibri" w:hAnsi="Times New Roman" w:cs="Times New Roman"/>
          <w:i/>
          <w:sz w:val="28"/>
          <w:szCs w:val="28"/>
        </w:rPr>
        <w:t>al comma 2-bis, il secondo periodo è sostituito con il seguente: “Il</w:t>
      </w:r>
      <w:r w:rsidRPr="00C71DA2">
        <w:rPr>
          <w:rFonts w:ascii="Times New Roman" w:eastAsia="Calibri" w:hAnsi="Times New Roman" w:cs="Times New Roman"/>
          <w:i/>
          <w:iCs/>
          <w:sz w:val="28"/>
          <w:szCs w:val="28"/>
        </w:rPr>
        <w:t xml:space="preserve"> digestato di cui al presente comma è considerato equiparato quando è ottenuto dalla digestione anaerobica di sostanze e materiali di cui agli articoli 22 e 24 del decreto interministeriale n. 5046 del 25 febbraio 2016 in ingresso in impianti di produzione di biogas e facenti parte del ciclo produttivo di una impresa agricola, impiegato secondo modalità a bassa emissività e ad alta efficienza di riciclo dei nutrienti. Con decreto del Ministro delle politiche agricole alimentari e forestali, di concerto con il </w:t>
      </w:r>
      <w:r w:rsidRPr="00C71DA2">
        <w:rPr>
          <w:rFonts w:ascii="Times New Roman" w:eastAsia="Calibri" w:hAnsi="Times New Roman" w:cs="Times New Roman"/>
          <w:bCs/>
          <w:i/>
          <w:iCs/>
          <w:sz w:val="28"/>
          <w:szCs w:val="28"/>
        </w:rPr>
        <w:t>Ministro della transizione ecologica</w:t>
      </w:r>
      <w:r w:rsidRPr="00C71DA2">
        <w:rPr>
          <w:rFonts w:ascii="Times New Roman" w:eastAsia="Calibri" w:hAnsi="Times New Roman" w:cs="Times New Roman"/>
          <w:i/>
          <w:iCs/>
          <w:sz w:val="28"/>
          <w:szCs w:val="28"/>
        </w:rPr>
        <w:t xml:space="preserve"> sono definite le caratteristiche e le modalità di impiego del digestato equiparato</w:t>
      </w:r>
      <w:r w:rsidRPr="00C71DA2">
        <w:rPr>
          <w:rFonts w:ascii="Times New Roman" w:eastAsia="Calibri" w:hAnsi="Times New Roman" w:cs="Times New Roman"/>
          <w:i/>
          <w:sz w:val="28"/>
          <w:szCs w:val="28"/>
        </w:rPr>
        <w:t>.”;</w:t>
      </w:r>
    </w:p>
    <w:p w:rsidR="006A6D94" w:rsidRDefault="006A6D94" w:rsidP="00AA6AD6">
      <w:pPr>
        <w:numPr>
          <w:ilvl w:val="1"/>
          <w:numId w:val="10"/>
        </w:numPr>
        <w:ind w:firstLine="567"/>
        <w:contextualSpacing/>
        <w:jc w:val="both"/>
        <w:rPr>
          <w:rFonts w:ascii="Times New Roman" w:eastAsia="Calibri" w:hAnsi="Times New Roman" w:cs="Times New Roman"/>
          <w:i/>
          <w:sz w:val="28"/>
          <w:szCs w:val="28"/>
        </w:rPr>
      </w:pPr>
      <w:r w:rsidRPr="00C71DA2">
        <w:rPr>
          <w:rFonts w:ascii="Times New Roman" w:eastAsia="Calibri" w:hAnsi="Times New Roman" w:cs="Times New Roman"/>
          <w:i/>
          <w:sz w:val="28"/>
          <w:szCs w:val="28"/>
        </w:rPr>
        <w:t>dopo il comma 2-bis è aggiunto il seguente:</w:t>
      </w:r>
    </w:p>
    <w:p w:rsidR="006A6D94" w:rsidRPr="00C71DA2" w:rsidRDefault="006A6D94" w:rsidP="00AA6AD6">
      <w:pPr>
        <w:ind w:left="1211" w:firstLine="567"/>
        <w:contextualSpacing/>
        <w:jc w:val="both"/>
        <w:rPr>
          <w:rFonts w:ascii="Times New Roman" w:eastAsia="Calibri" w:hAnsi="Times New Roman" w:cs="Times New Roman"/>
          <w:i/>
          <w:sz w:val="28"/>
          <w:szCs w:val="28"/>
        </w:rPr>
      </w:pPr>
      <w:r w:rsidRPr="00C71DA2">
        <w:rPr>
          <w:rFonts w:ascii="Times New Roman" w:eastAsia="Calibri" w:hAnsi="Times New Roman" w:cs="Times New Roman"/>
          <w:i/>
          <w:sz w:val="28"/>
          <w:szCs w:val="28"/>
        </w:rPr>
        <w:t>“2-</w:t>
      </w:r>
      <w:r w:rsidRPr="00C71DA2">
        <w:rPr>
          <w:rFonts w:ascii="Times New Roman" w:eastAsia="Calibri" w:hAnsi="Times New Roman" w:cs="Times New Roman"/>
          <w:i/>
          <w:iCs/>
          <w:sz w:val="28"/>
          <w:szCs w:val="28"/>
        </w:rPr>
        <w:t>bis</w:t>
      </w:r>
      <w:r w:rsidRPr="00C71DA2">
        <w:rPr>
          <w:rFonts w:ascii="Times New Roman" w:eastAsia="Calibri" w:hAnsi="Times New Roman" w:cs="Times New Roman"/>
          <w:i/>
          <w:sz w:val="28"/>
          <w:szCs w:val="28"/>
        </w:rPr>
        <w:t>.1. Il decreto di cui al comma precedente deve tener conto dei seguenti criteri direttivi:</w:t>
      </w:r>
    </w:p>
    <w:p w:rsidR="006A6D94" w:rsidRPr="00C71DA2" w:rsidRDefault="006A6D94" w:rsidP="00AA6AD6">
      <w:pPr>
        <w:numPr>
          <w:ilvl w:val="0"/>
          <w:numId w:val="12"/>
        </w:numPr>
        <w:spacing w:after="0" w:line="240" w:lineRule="auto"/>
        <w:ind w:firstLine="567"/>
        <w:contextualSpacing/>
        <w:jc w:val="both"/>
        <w:rPr>
          <w:rFonts w:ascii="Times New Roman" w:eastAsia="Calibri" w:hAnsi="Times New Roman" w:cs="Times New Roman"/>
          <w:i/>
          <w:sz w:val="28"/>
          <w:szCs w:val="28"/>
        </w:rPr>
      </w:pPr>
      <w:r w:rsidRPr="00C71DA2">
        <w:rPr>
          <w:rFonts w:ascii="Times New Roman" w:eastAsia="Calibri" w:hAnsi="Times New Roman" w:cs="Times New Roman"/>
          <w:i/>
          <w:sz w:val="28"/>
          <w:szCs w:val="28"/>
        </w:rPr>
        <w:t>prevedere che per quanto attiene agli effetti fertilizzanti e all'efficienza di uso la percentuale di azoto ammoniacale su azoto totale sia almeno il 65 per cento; che il livello di efficienza di impiego del digestato equiparato sia almeno l’80 per cento rispetto alle condizioni di utilizzo; che vi sia un'idonea copertura dei contenitori di stoccaggio della frazione liquida ottenuta dalla separazione; che sia prevista una distribuzione in campo con sistemi a bassa emissività e l’utilizzo di sistemi di tracciabilità della distribuzione con sistemi GPS;</w:t>
      </w:r>
    </w:p>
    <w:p w:rsidR="006A6D94" w:rsidRPr="00C71DA2" w:rsidRDefault="006A6D94" w:rsidP="00AA6AD6">
      <w:pPr>
        <w:numPr>
          <w:ilvl w:val="0"/>
          <w:numId w:val="12"/>
        </w:numPr>
        <w:spacing w:after="0" w:line="240" w:lineRule="auto"/>
        <w:ind w:firstLine="567"/>
        <w:contextualSpacing/>
        <w:jc w:val="both"/>
        <w:rPr>
          <w:rFonts w:ascii="Times New Roman" w:eastAsia="Calibri" w:hAnsi="Times New Roman" w:cs="Times New Roman"/>
          <w:i/>
          <w:sz w:val="28"/>
          <w:szCs w:val="28"/>
        </w:rPr>
      </w:pPr>
      <w:r w:rsidRPr="00C71DA2">
        <w:rPr>
          <w:rFonts w:ascii="Times New Roman" w:eastAsia="Calibri" w:hAnsi="Times New Roman" w:cs="Times New Roman"/>
          <w:i/>
          <w:sz w:val="28"/>
          <w:szCs w:val="28"/>
        </w:rPr>
        <w:t>prevedere, al fine di risanare le zone vulnerabili dall'inquinamento da nitrati, che la quantità di azoto da apporto del digestato equiparato non deve, in ogni caso, superare il fabbisogno di azoto ammesso per la coltura;</w:t>
      </w:r>
    </w:p>
    <w:p w:rsidR="00F50F83" w:rsidRDefault="006A6D94" w:rsidP="00AA6AD6">
      <w:pPr>
        <w:numPr>
          <w:ilvl w:val="0"/>
          <w:numId w:val="12"/>
        </w:numPr>
        <w:spacing w:after="0" w:line="240" w:lineRule="auto"/>
        <w:ind w:firstLine="567"/>
        <w:contextualSpacing/>
        <w:jc w:val="both"/>
        <w:rPr>
          <w:rFonts w:ascii="Times New Roman" w:eastAsia="Calibri" w:hAnsi="Times New Roman" w:cs="Times New Roman"/>
          <w:i/>
          <w:sz w:val="28"/>
          <w:szCs w:val="28"/>
        </w:rPr>
      </w:pPr>
      <w:r w:rsidRPr="00C71DA2">
        <w:rPr>
          <w:rFonts w:ascii="Times New Roman" w:eastAsia="Calibri" w:hAnsi="Times New Roman" w:cs="Times New Roman"/>
          <w:i/>
          <w:sz w:val="28"/>
          <w:szCs w:val="28"/>
        </w:rPr>
        <w:t>prevedere che l’utilizzazione agronomica del digestato equiparato sia subordinata all’esecuzione di almeno due analisi chimiche che dimostrino il rispetto delle caratteristiche dichiarate, da trasmettere, a cura dell’interessato, alla competente autorità regionale o provinciale.”</w:t>
      </w:r>
    </w:p>
    <w:p w:rsidR="00C70B3D" w:rsidRPr="00F50F83" w:rsidRDefault="006A6D94" w:rsidP="00AA6AD6">
      <w:pPr>
        <w:pStyle w:val="Paragrafoelenco"/>
        <w:numPr>
          <w:ilvl w:val="0"/>
          <w:numId w:val="10"/>
        </w:numPr>
        <w:spacing w:after="0" w:line="240" w:lineRule="auto"/>
        <w:ind w:left="1276" w:firstLine="567"/>
        <w:jc w:val="both"/>
        <w:rPr>
          <w:rFonts w:ascii="Times New Roman" w:eastAsia="Calibri" w:hAnsi="Times New Roman" w:cs="Times New Roman"/>
          <w:i/>
          <w:sz w:val="28"/>
          <w:szCs w:val="28"/>
        </w:rPr>
      </w:pPr>
      <w:r w:rsidRPr="00F50F83">
        <w:rPr>
          <w:rFonts w:ascii="Times New Roman" w:eastAsia="Calibri" w:hAnsi="Times New Roman" w:cs="Times New Roman"/>
          <w:i/>
          <w:sz w:val="28"/>
          <w:szCs w:val="28"/>
        </w:rPr>
        <w:t>All’articolo 1 della legge 27 dicembre 2019, n. 160 il comma 527 è abrogato”</w:t>
      </w:r>
      <w:r w:rsidRPr="00F50F83">
        <w:rPr>
          <w:rFonts w:ascii="Times New Roman" w:eastAsia="Calibri" w:hAnsi="Times New Roman" w:cs="Times New Roman"/>
          <w:sz w:val="28"/>
          <w:szCs w:val="28"/>
        </w:rPr>
        <w:t>».</w:t>
      </w:r>
    </w:p>
    <w:p w:rsidR="00E00600" w:rsidRPr="00E00600" w:rsidRDefault="00E00600" w:rsidP="00AA6AD6">
      <w:pPr>
        <w:pStyle w:val="Paragrafoelenco"/>
        <w:ind w:left="709" w:firstLine="567"/>
        <w:jc w:val="both"/>
        <w:rPr>
          <w:rFonts w:ascii="Times New Roman" w:eastAsia="Calibri" w:hAnsi="Times New Roman" w:cs="Times New Roman"/>
          <w:sz w:val="28"/>
          <w:szCs w:val="28"/>
        </w:rPr>
      </w:pPr>
    </w:p>
    <w:p w:rsidR="00C70B3D" w:rsidRPr="00C70B3D" w:rsidRDefault="006A6D94" w:rsidP="00AA6AD6">
      <w:pPr>
        <w:pStyle w:val="Paragrafoelenco"/>
        <w:numPr>
          <w:ilvl w:val="0"/>
          <w:numId w:val="10"/>
        </w:numPr>
        <w:ind w:firstLine="567"/>
        <w:jc w:val="both"/>
        <w:rPr>
          <w:rFonts w:ascii="Times New Roman" w:eastAsia="Calibri" w:hAnsi="Times New Roman" w:cs="Times New Roman"/>
          <w:sz w:val="28"/>
          <w:szCs w:val="28"/>
        </w:rPr>
      </w:pPr>
      <w:r w:rsidRPr="00C70B3D">
        <w:rPr>
          <w:rFonts w:ascii="Times New Roman" w:hAnsi="Times New Roman" w:cs="Times New Roman"/>
          <w:sz w:val="28"/>
          <w:szCs w:val="28"/>
        </w:rPr>
        <w:t xml:space="preserve">All’articolo 14, comma 1, lett. </w:t>
      </w:r>
      <w:r w:rsidRPr="00C70B3D">
        <w:rPr>
          <w:rFonts w:ascii="Times New Roman" w:hAnsi="Times New Roman" w:cs="Times New Roman"/>
          <w:i/>
          <w:sz w:val="28"/>
          <w:szCs w:val="28"/>
        </w:rPr>
        <w:t>c</w:t>
      </w:r>
      <w:r w:rsidRPr="00C70B3D">
        <w:rPr>
          <w:rFonts w:ascii="Times New Roman" w:hAnsi="Times New Roman" w:cs="Times New Roman"/>
          <w:sz w:val="28"/>
          <w:szCs w:val="28"/>
        </w:rPr>
        <w:t xml:space="preserve">) </w:t>
      </w:r>
      <w:r w:rsidR="00582135">
        <w:rPr>
          <w:rFonts w:ascii="Times New Roman" w:hAnsi="Times New Roman" w:cs="Times New Roman"/>
          <w:sz w:val="28"/>
          <w:szCs w:val="28"/>
        </w:rPr>
        <w:t>dopo le parole «</w:t>
      </w:r>
      <w:r w:rsidRPr="00C70B3D">
        <w:rPr>
          <w:rFonts w:ascii="Times New Roman" w:hAnsi="Times New Roman" w:cs="Times New Roman"/>
          <w:sz w:val="28"/>
          <w:szCs w:val="28"/>
        </w:rPr>
        <w:t>criteri e le modalità diretti ad incentivare la realizz</w:t>
      </w:r>
      <w:r w:rsidR="00582135">
        <w:rPr>
          <w:rFonts w:ascii="Times New Roman" w:hAnsi="Times New Roman" w:cs="Times New Roman"/>
          <w:sz w:val="28"/>
          <w:szCs w:val="28"/>
        </w:rPr>
        <w:t>azione di impianti agrivoltaici» aggiungere le seguenti: «</w:t>
      </w:r>
      <w:r w:rsidR="00446CED" w:rsidRPr="00C70B3D">
        <w:rPr>
          <w:rFonts w:ascii="Times New Roman" w:hAnsi="Times New Roman" w:cs="Times New Roman"/>
          <w:sz w:val="28"/>
          <w:szCs w:val="28"/>
        </w:rPr>
        <w:t>in conformità</w:t>
      </w:r>
      <w:r w:rsidR="006C3C13" w:rsidRPr="00C70B3D">
        <w:rPr>
          <w:rFonts w:ascii="Times New Roman" w:hAnsi="Times New Roman" w:cs="Times New Roman"/>
          <w:sz w:val="28"/>
          <w:szCs w:val="28"/>
        </w:rPr>
        <w:t xml:space="preserve"> a quanto previsto d</w:t>
      </w:r>
      <w:r w:rsidRPr="00C70B3D">
        <w:rPr>
          <w:rFonts w:ascii="Times New Roman" w:hAnsi="Times New Roman" w:cs="Times New Roman"/>
          <w:sz w:val="28"/>
          <w:szCs w:val="28"/>
        </w:rPr>
        <w:t>all’art. 31, comma 5 del</w:t>
      </w:r>
      <w:r w:rsidR="006C3C13" w:rsidRPr="00C70B3D">
        <w:rPr>
          <w:rFonts w:ascii="Times New Roman" w:hAnsi="Times New Roman" w:cs="Times New Roman"/>
          <w:sz w:val="28"/>
          <w:szCs w:val="28"/>
        </w:rPr>
        <w:t xml:space="preserve"> decreto-legge </w:t>
      </w:r>
      <w:r w:rsidR="006C3C13" w:rsidRPr="00C70B3D">
        <w:rPr>
          <w:rFonts w:ascii="Times New Roman" w:hAnsi="Times New Roman" w:cs="Times New Roman"/>
          <w:bCs/>
          <w:sz w:val="28"/>
          <w:szCs w:val="28"/>
        </w:rPr>
        <w:t>31 maggio 2021 n. 77, convertito con modificazioni da</w:t>
      </w:r>
      <w:r w:rsidR="006C3C13" w:rsidRPr="00C70B3D">
        <w:rPr>
          <w:rFonts w:ascii="Times New Roman" w:hAnsi="Times New Roman" w:cs="Times New Roman"/>
          <w:sz w:val="28"/>
          <w:szCs w:val="28"/>
        </w:rPr>
        <w:t>l</w:t>
      </w:r>
      <w:r w:rsidRPr="00C70B3D">
        <w:rPr>
          <w:rFonts w:ascii="Times New Roman" w:hAnsi="Times New Roman" w:cs="Times New Roman"/>
          <w:sz w:val="28"/>
          <w:szCs w:val="28"/>
        </w:rPr>
        <w:t>la legge 29 luglio 2021, n. 108</w:t>
      </w:r>
      <w:r w:rsidR="00582135">
        <w:rPr>
          <w:rFonts w:ascii="Times New Roman" w:hAnsi="Times New Roman" w:cs="Times New Roman"/>
          <w:sz w:val="28"/>
          <w:szCs w:val="28"/>
        </w:rPr>
        <w:t>»</w:t>
      </w:r>
      <w:r w:rsidR="00856F20">
        <w:rPr>
          <w:rFonts w:ascii="Times New Roman" w:hAnsi="Times New Roman" w:cs="Times New Roman"/>
          <w:sz w:val="28"/>
          <w:szCs w:val="28"/>
        </w:rPr>
        <w:t>.</w:t>
      </w:r>
      <w:r w:rsidR="006C3C13" w:rsidRPr="00C70B3D">
        <w:rPr>
          <w:rFonts w:ascii="Times New Roman" w:hAnsi="Times New Roman" w:cs="Times New Roman"/>
          <w:sz w:val="28"/>
          <w:szCs w:val="28"/>
        </w:rPr>
        <w:t xml:space="preserve"> </w:t>
      </w:r>
      <w:r w:rsidRPr="00C70B3D">
        <w:rPr>
          <w:rFonts w:ascii="Times New Roman" w:hAnsi="Times New Roman" w:cs="Times New Roman"/>
          <w:sz w:val="28"/>
          <w:szCs w:val="28"/>
        </w:rPr>
        <w:t xml:space="preserve"> </w:t>
      </w:r>
    </w:p>
    <w:p w:rsidR="00C70B3D" w:rsidRPr="00C70B3D" w:rsidRDefault="00C70B3D" w:rsidP="00AA6AD6">
      <w:pPr>
        <w:pStyle w:val="Paragrafoelenco"/>
        <w:ind w:firstLine="567"/>
        <w:rPr>
          <w:rFonts w:ascii="Times New Roman" w:hAnsi="Times New Roman" w:cs="Times New Roman"/>
          <w:sz w:val="28"/>
          <w:szCs w:val="28"/>
        </w:rPr>
      </w:pPr>
    </w:p>
    <w:p w:rsidR="00E00600" w:rsidRPr="00E00600" w:rsidRDefault="00F46EB0" w:rsidP="00AA6AD6">
      <w:pPr>
        <w:pStyle w:val="Paragrafoelenco"/>
        <w:numPr>
          <w:ilvl w:val="0"/>
          <w:numId w:val="10"/>
        </w:numPr>
        <w:ind w:firstLine="567"/>
        <w:jc w:val="both"/>
        <w:rPr>
          <w:rFonts w:ascii="Times New Roman" w:eastAsia="Calibri" w:hAnsi="Times New Roman" w:cs="Times New Roman"/>
          <w:sz w:val="28"/>
          <w:szCs w:val="28"/>
        </w:rPr>
      </w:pPr>
      <w:r w:rsidRPr="00E00600">
        <w:rPr>
          <w:rFonts w:ascii="Times New Roman" w:hAnsi="Times New Roman" w:cs="Times New Roman"/>
          <w:sz w:val="28"/>
          <w:szCs w:val="28"/>
        </w:rPr>
        <w:t>All</w:t>
      </w:r>
      <w:r w:rsidR="00420E75" w:rsidRPr="00E00600">
        <w:rPr>
          <w:rFonts w:ascii="Times New Roman" w:hAnsi="Times New Roman" w:cs="Times New Roman"/>
          <w:sz w:val="28"/>
          <w:szCs w:val="28"/>
        </w:rPr>
        <w:t xml:space="preserve">’articolo 2, comma 1, </w:t>
      </w:r>
      <w:r w:rsidR="006C3C13" w:rsidRPr="00E00600">
        <w:rPr>
          <w:rFonts w:ascii="Times New Roman" w:hAnsi="Times New Roman" w:cs="Times New Roman"/>
          <w:sz w:val="28"/>
          <w:szCs w:val="28"/>
        </w:rPr>
        <w:t xml:space="preserve">coordinare le definizioni di «biocarburanti avanzati» e di «biometano avanzato», di cui alle </w:t>
      </w:r>
      <w:r w:rsidR="00420E75" w:rsidRPr="00E00600">
        <w:rPr>
          <w:rFonts w:ascii="Times New Roman" w:hAnsi="Times New Roman" w:cs="Times New Roman"/>
          <w:sz w:val="28"/>
          <w:szCs w:val="28"/>
        </w:rPr>
        <w:t>lett</w:t>
      </w:r>
      <w:r w:rsidR="006C3C13" w:rsidRPr="00E00600">
        <w:rPr>
          <w:rFonts w:ascii="Times New Roman" w:hAnsi="Times New Roman" w:cs="Times New Roman"/>
          <w:sz w:val="28"/>
          <w:szCs w:val="28"/>
        </w:rPr>
        <w:t>ere</w:t>
      </w:r>
      <w:r w:rsidR="00420E75" w:rsidRPr="00E00600">
        <w:rPr>
          <w:rFonts w:ascii="Times New Roman" w:hAnsi="Times New Roman" w:cs="Times New Roman"/>
          <w:sz w:val="28"/>
          <w:szCs w:val="28"/>
        </w:rPr>
        <w:t xml:space="preserve"> z</w:t>
      </w:r>
      <w:r w:rsidRPr="00E00600">
        <w:rPr>
          <w:rFonts w:ascii="Times New Roman" w:hAnsi="Times New Roman" w:cs="Times New Roman"/>
          <w:sz w:val="28"/>
          <w:szCs w:val="28"/>
        </w:rPr>
        <w:t>)</w:t>
      </w:r>
      <w:r w:rsidR="00E07716" w:rsidRPr="00E00600">
        <w:rPr>
          <w:rFonts w:ascii="Times New Roman" w:hAnsi="Times New Roman" w:cs="Times New Roman"/>
          <w:sz w:val="28"/>
          <w:szCs w:val="28"/>
        </w:rPr>
        <w:t xml:space="preserve"> e bb)</w:t>
      </w:r>
      <w:r w:rsidR="006C3C13" w:rsidRPr="00E00600">
        <w:rPr>
          <w:rFonts w:ascii="Times New Roman" w:hAnsi="Times New Roman" w:cs="Times New Roman"/>
          <w:sz w:val="28"/>
          <w:szCs w:val="28"/>
        </w:rPr>
        <w:t xml:space="preserve">, </w:t>
      </w:r>
      <w:r w:rsidR="00E07716" w:rsidRPr="00E00600">
        <w:rPr>
          <w:rFonts w:ascii="Times New Roman" w:hAnsi="Times New Roman" w:cs="Times New Roman"/>
          <w:sz w:val="28"/>
          <w:szCs w:val="28"/>
        </w:rPr>
        <w:t>suscettibili del doppio conteggio,</w:t>
      </w:r>
      <w:r w:rsidRPr="00E00600">
        <w:rPr>
          <w:rFonts w:ascii="Times New Roman" w:hAnsi="Times New Roman" w:cs="Times New Roman"/>
          <w:sz w:val="28"/>
          <w:szCs w:val="28"/>
        </w:rPr>
        <w:t xml:space="preserve"> con l</w:t>
      </w:r>
      <w:r w:rsidR="006C3C13" w:rsidRPr="00E00600">
        <w:rPr>
          <w:rFonts w:ascii="Times New Roman" w:hAnsi="Times New Roman" w:cs="Times New Roman"/>
          <w:sz w:val="28"/>
          <w:szCs w:val="28"/>
        </w:rPr>
        <w:t>’articolo 31-</w:t>
      </w:r>
      <w:r w:rsidR="006C3C13" w:rsidRPr="00E00600">
        <w:rPr>
          <w:rFonts w:ascii="Times New Roman" w:hAnsi="Times New Roman" w:cs="Times New Roman"/>
          <w:i/>
          <w:sz w:val="28"/>
          <w:szCs w:val="28"/>
        </w:rPr>
        <w:t>bis</w:t>
      </w:r>
      <w:r w:rsidR="006C3C13" w:rsidRPr="00E00600">
        <w:rPr>
          <w:rFonts w:ascii="Times New Roman" w:hAnsi="Times New Roman" w:cs="Times New Roman"/>
          <w:sz w:val="28"/>
          <w:szCs w:val="28"/>
        </w:rPr>
        <w:t xml:space="preserve"> del decreto-legge </w:t>
      </w:r>
      <w:r w:rsidR="006C3C13" w:rsidRPr="00E00600">
        <w:rPr>
          <w:rFonts w:ascii="Times New Roman" w:hAnsi="Times New Roman" w:cs="Times New Roman"/>
          <w:bCs/>
          <w:sz w:val="28"/>
          <w:szCs w:val="28"/>
        </w:rPr>
        <w:t>31 maggio 2021 n. 77, convertito con modificazioni da</w:t>
      </w:r>
      <w:r w:rsidR="006C3C13" w:rsidRPr="00E00600">
        <w:rPr>
          <w:rFonts w:ascii="Times New Roman" w:hAnsi="Times New Roman" w:cs="Times New Roman"/>
          <w:sz w:val="28"/>
          <w:szCs w:val="28"/>
        </w:rPr>
        <w:t xml:space="preserve">lla legge 29 luglio 2021, n. 108 che </w:t>
      </w:r>
      <w:r w:rsidR="00A91CF7" w:rsidRPr="00E00600">
        <w:rPr>
          <w:rFonts w:ascii="Times New Roman" w:hAnsi="Times New Roman" w:cs="Times New Roman"/>
          <w:sz w:val="28"/>
          <w:szCs w:val="28"/>
        </w:rPr>
        <w:t>estende la qualifica di biocarburante avanzato ai sensi del decreto del Ministro dello sviluppo economico del 2 marzo 2018 al biometano prodotto attraverso la purificazione del biogas che sia ottenuto dai sottoprodotti impiegati come materie prime per l’alimentazione degli impianti di biogas compresi nell’allegato 1, tabella 1.A, punti 2 e 3 di cui al decreto del Ministro dello svilupp</w:t>
      </w:r>
      <w:r w:rsidR="006C3C13" w:rsidRPr="00E00600">
        <w:rPr>
          <w:rFonts w:ascii="Times New Roman" w:hAnsi="Times New Roman" w:cs="Times New Roman"/>
          <w:sz w:val="28"/>
          <w:szCs w:val="28"/>
        </w:rPr>
        <w:t>o economico  del 23 giugno 2016</w:t>
      </w:r>
      <w:r w:rsidR="00E00600" w:rsidRPr="00E00600">
        <w:rPr>
          <w:rFonts w:ascii="Times New Roman" w:hAnsi="Times New Roman" w:cs="Times New Roman"/>
          <w:sz w:val="28"/>
          <w:szCs w:val="28"/>
        </w:rPr>
        <w:t>. Analogamente, coordinare le definizioni di cui all’articolo 39, comma 7, lett. a</w:t>
      </w:r>
      <w:r w:rsidR="00856F20">
        <w:rPr>
          <w:rFonts w:ascii="Times New Roman" w:hAnsi="Times New Roman" w:cs="Times New Roman"/>
          <w:sz w:val="28"/>
          <w:szCs w:val="28"/>
        </w:rPr>
        <w:t>).</w:t>
      </w:r>
      <w:r w:rsidR="00E00600">
        <w:rPr>
          <w:rFonts w:ascii="Times New Roman" w:hAnsi="Times New Roman" w:cs="Times New Roman"/>
          <w:sz w:val="28"/>
          <w:szCs w:val="28"/>
        </w:rPr>
        <w:t xml:space="preserve"> </w:t>
      </w:r>
    </w:p>
    <w:p w:rsidR="00E00600" w:rsidRPr="00E00600" w:rsidRDefault="00E00600" w:rsidP="00AA6AD6">
      <w:pPr>
        <w:pStyle w:val="Paragrafoelenco"/>
        <w:ind w:firstLine="567"/>
        <w:rPr>
          <w:rFonts w:ascii="Times New Roman" w:hAnsi="Times New Roman" w:cs="Times New Roman"/>
          <w:sz w:val="28"/>
          <w:szCs w:val="28"/>
        </w:rPr>
      </w:pPr>
    </w:p>
    <w:p w:rsidR="00C70B3D" w:rsidRPr="00E00600" w:rsidRDefault="00B914FF" w:rsidP="00AA6AD6">
      <w:pPr>
        <w:pStyle w:val="Paragrafoelenco"/>
        <w:numPr>
          <w:ilvl w:val="0"/>
          <w:numId w:val="10"/>
        </w:numPr>
        <w:ind w:firstLine="567"/>
        <w:jc w:val="both"/>
        <w:rPr>
          <w:rFonts w:ascii="Times New Roman" w:eastAsia="Calibri" w:hAnsi="Times New Roman" w:cs="Times New Roman"/>
          <w:sz w:val="28"/>
          <w:szCs w:val="28"/>
        </w:rPr>
      </w:pPr>
      <w:r w:rsidRPr="00E00600">
        <w:rPr>
          <w:rFonts w:ascii="Times New Roman" w:hAnsi="Times New Roman" w:cs="Times New Roman"/>
          <w:sz w:val="28"/>
          <w:szCs w:val="28"/>
        </w:rPr>
        <w:t xml:space="preserve">All’articolo 11, </w:t>
      </w:r>
      <w:r w:rsidR="006C3C13" w:rsidRPr="00E00600">
        <w:rPr>
          <w:rFonts w:ascii="Times New Roman" w:hAnsi="Times New Roman" w:cs="Times New Roman"/>
          <w:sz w:val="28"/>
          <w:szCs w:val="28"/>
        </w:rPr>
        <w:t>aggiungere dopo il comma 1 il seguente 1-bis</w:t>
      </w:r>
      <w:r w:rsidRPr="00E00600">
        <w:rPr>
          <w:rFonts w:ascii="Times New Roman" w:hAnsi="Times New Roman" w:cs="Times New Roman"/>
          <w:sz w:val="28"/>
          <w:szCs w:val="28"/>
        </w:rPr>
        <w:t>: «</w:t>
      </w:r>
      <w:r w:rsidRPr="00E00600">
        <w:rPr>
          <w:rFonts w:ascii="Times New Roman" w:hAnsi="Times New Roman" w:cs="Times New Roman"/>
          <w:i/>
          <w:sz w:val="28"/>
          <w:szCs w:val="28"/>
        </w:rPr>
        <w:t>1-bis. La produzione di biometano ottenuta a seguito dei processi di riconversione di cui al precedente comma, nel rispetto dei criteri di sostenibilità di cui alla direttiva 2018/2001/UE, in quanto applicabili, può essere immessa in rete anche per altri usi diversi dai trasporti ed è incentivata per 20 anni. Entro 120 giorni dalla data di entrata in vigore della presente legge con decreto del Ministro dello sviluppo economico, di concerto con il Ministro delle politiche agricole alimentari e forestali e con il Ministro dell’ambiente e della tutela del territorio e del mare sono definiti i valori, i criteri e le modalità di accesso al sistema di incentivazione. L'Autorità di regolazione per energia, reti e ambiente (ARERA) definisce le modalità con le quali le risorse per l'erogazione degli incentivi di cui al presente comma trovano copertura per il tramite delle componenti tariffarie del gas naturale»</w:t>
      </w:r>
      <w:r w:rsidR="00856F20">
        <w:rPr>
          <w:rFonts w:ascii="Times New Roman" w:hAnsi="Times New Roman" w:cs="Times New Roman"/>
          <w:sz w:val="28"/>
          <w:szCs w:val="28"/>
        </w:rPr>
        <w:t>.</w:t>
      </w:r>
    </w:p>
    <w:p w:rsidR="00C70B3D" w:rsidRPr="00C70B3D" w:rsidRDefault="00C70B3D" w:rsidP="00AA6AD6">
      <w:pPr>
        <w:pStyle w:val="Paragrafoelenco"/>
        <w:ind w:firstLine="567"/>
        <w:rPr>
          <w:rFonts w:ascii="Times New Roman" w:hAnsi="Times New Roman" w:cs="Times New Roman"/>
          <w:sz w:val="28"/>
          <w:szCs w:val="28"/>
        </w:rPr>
      </w:pPr>
    </w:p>
    <w:p w:rsidR="00C70B3D" w:rsidRPr="00C70B3D" w:rsidRDefault="00FB44A1" w:rsidP="00AA6AD6">
      <w:pPr>
        <w:pStyle w:val="Paragrafoelenco"/>
        <w:numPr>
          <w:ilvl w:val="0"/>
          <w:numId w:val="10"/>
        </w:numPr>
        <w:ind w:firstLine="567"/>
        <w:jc w:val="both"/>
        <w:rPr>
          <w:rFonts w:ascii="Times New Roman" w:eastAsia="Calibri" w:hAnsi="Times New Roman" w:cs="Times New Roman"/>
          <w:sz w:val="28"/>
          <w:szCs w:val="28"/>
        </w:rPr>
      </w:pPr>
      <w:r w:rsidRPr="00C70B3D">
        <w:rPr>
          <w:rFonts w:ascii="Times New Roman" w:hAnsi="Times New Roman" w:cs="Times New Roman"/>
          <w:sz w:val="28"/>
          <w:szCs w:val="28"/>
        </w:rPr>
        <w:t>All’articolo 20, comma 3, sopprimere le parole</w:t>
      </w:r>
      <w:r w:rsidR="00B914FF" w:rsidRPr="00C70B3D">
        <w:rPr>
          <w:rFonts w:ascii="Times New Roman" w:hAnsi="Times New Roman" w:cs="Times New Roman"/>
          <w:sz w:val="28"/>
          <w:szCs w:val="28"/>
        </w:rPr>
        <w:t xml:space="preserve"> «ivi incluse le superfici agricole non utilizzabili</w:t>
      </w:r>
      <w:r w:rsidR="00856F20">
        <w:rPr>
          <w:rFonts w:ascii="Times New Roman" w:hAnsi="Times New Roman" w:cs="Times New Roman"/>
          <w:sz w:val="28"/>
          <w:szCs w:val="28"/>
        </w:rPr>
        <w:t>».</w:t>
      </w:r>
      <w:r w:rsidRPr="00C70B3D">
        <w:rPr>
          <w:rFonts w:ascii="Times New Roman" w:hAnsi="Times New Roman" w:cs="Times New Roman"/>
          <w:sz w:val="28"/>
          <w:szCs w:val="28"/>
        </w:rPr>
        <w:t xml:space="preserve"> </w:t>
      </w:r>
    </w:p>
    <w:p w:rsidR="00C70B3D" w:rsidRPr="00C70B3D" w:rsidRDefault="00C70B3D" w:rsidP="00AA6AD6">
      <w:pPr>
        <w:pStyle w:val="Paragrafoelenco"/>
        <w:ind w:firstLine="567"/>
        <w:rPr>
          <w:rFonts w:ascii="Times New Roman" w:hAnsi="Times New Roman" w:cs="Times New Roman"/>
          <w:sz w:val="28"/>
          <w:szCs w:val="28"/>
        </w:rPr>
      </w:pPr>
    </w:p>
    <w:p w:rsidR="00C70B3D" w:rsidRPr="00C70B3D" w:rsidRDefault="00C70B3D" w:rsidP="00AA6AD6">
      <w:pPr>
        <w:pStyle w:val="Paragrafoelenco"/>
        <w:numPr>
          <w:ilvl w:val="0"/>
          <w:numId w:val="10"/>
        </w:numPr>
        <w:ind w:firstLine="567"/>
        <w:jc w:val="both"/>
        <w:rPr>
          <w:rFonts w:ascii="Times New Roman" w:eastAsia="Calibri" w:hAnsi="Times New Roman" w:cs="Times New Roman"/>
          <w:sz w:val="28"/>
          <w:szCs w:val="28"/>
        </w:rPr>
      </w:pPr>
      <w:r w:rsidRPr="00C70B3D">
        <w:rPr>
          <w:rFonts w:ascii="Times New Roman" w:hAnsi="Times New Roman" w:cs="Times New Roman"/>
          <w:sz w:val="28"/>
          <w:szCs w:val="28"/>
        </w:rPr>
        <w:t>All’articolo 20, dopo il comma 5, inserire il seguente: «5-bis. Gli impianti agrovoltaici e gli impianti solari fotovoltaici possono essere collocati a terra su aree con destinazione agricola da parte dello stesso imprenditore agricolo che abbia la disponibilità del suolo e la titolarità dell’impianto in una percentuale non superiore al 5 per cento della superficie agricola utilizzata»</w:t>
      </w:r>
      <w:r w:rsidR="00856F20">
        <w:rPr>
          <w:rFonts w:ascii="Times New Roman" w:hAnsi="Times New Roman" w:cs="Times New Roman"/>
          <w:sz w:val="28"/>
          <w:szCs w:val="28"/>
        </w:rPr>
        <w:t>.</w:t>
      </w:r>
    </w:p>
    <w:p w:rsidR="00C70B3D" w:rsidRPr="00C70B3D" w:rsidRDefault="00C70B3D" w:rsidP="00AA6AD6">
      <w:pPr>
        <w:pStyle w:val="Paragrafoelenco"/>
        <w:ind w:firstLine="567"/>
        <w:rPr>
          <w:rFonts w:ascii="Times New Roman" w:hAnsi="Times New Roman" w:cs="Times New Roman"/>
          <w:sz w:val="28"/>
          <w:szCs w:val="28"/>
        </w:rPr>
      </w:pPr>
    </w:p>
    <w:p w:rsidR="00B914FF" w:rsidRPr="008A5FBD" w:rsidRDefault="00B914FF" w:rsidP="00AA6AD6">
      <w:pPr>
        <w:pStyle w:val="Paragrafoelenco"/>
        <w:numPr>
          <w:ilvl w:val="0"/>
          <w:numId w:val="10"/>
        </w:numPr>
        <w:ind w:firstLine="567"/>
        <w:jc w:val="both"/>
        <w:rPr>
          <w:rFonts w:ascii="Times New Roman" w:eastAsia="Calibri" w:hAnsi="Times New Roman" w:cs="Times New Roman"/>
          <w:sz w:val="28"/>
          <w:szCs w:val="28"/>
        </w:rPr>
      </w:pPr>
      <w:r w:rsidRPr="00C70B3D">
        <w:rPr>
          <w:rFonts w:ascii="Times New Roman" w:hAnsi="Times New Roman" w:cs="Times New Roman"/>
          <w:sz w:val="28"/>
          <w:szCs w:val="28"/>
        </w:rPr>
        <w:t xml:space="preserve">All’articolo 37, coordinare le disposizioni in materia di ottimizzazione delle connessioni degli impianti di biometano alla rete di distribuzione con </w:t>
      </w:r>
      <w:r w:rsidR="00C70B3D" w:rsidRPr="00C70B3D">
        <w:rPr>
          <w:rFonts w:ascii="Times New Roman" w:hAnsi="Times New Roman" w:cs="Times New Roman"/>
          <w:sz w:val="28"/>
          <w:szCs w:val="28"/>
        </w:rPr>
        <w:t xml:space="preserve">la disciplina recata all’articolo </w:t>
      </w:r>
      <w:r w:rsidRPr="00C70B3D">
        <w:rPr>
          <w:rFonts w:ascii="Times New Roman" w:hAnsi="Times New Roman" w:cs="Times New Roman"/>
          <w:sz w:val="28"/>
          <w:szCs w:val="28"/>
        </w:rPr>
        <w:t xml:space="preserve">31-bis, comma 2, </w:t>
      </w:r>
      <w:r w:rsidR="00FB44A1" w:rsidRPr="00C70B3D">
        <w:rPr>
          <w:rFonts w:ascii="Times New Roman" w:hAnsi="Times New Roman" w:cs="Times New Roman"/>
          <w:sz w:val="28"/>
          <w:szCs w:val="28"/>
        </w:rPr>
        <w:t xml:space="preserve">del decreto-legge </w:t>
      </w:r>
      <w:r w:rsidR="00FB44A1" w:rsidRPr="00C70B3D">
        <w:rPr>
          <w:rFonts w:ascii="Times New Roman" w:hAnsi="Times New Roman" w:cs="Times New Roman"/>
          <w:bCs/>
          <w:sz w:val="28"/>
          <w:szCs w:val="28"/>
        </w:rPr>
        <w:t>31 maggio 2021 n. 77, convertito con modificazioni da</w:t>
      </w:r>
      <w:r w:rsidR="00FB44A1" w:rsidRPr="00C70B3D">
        <w:rPr>
          <w:rFonts w:ascii="Times New Roman" w:hAnsi="Times New Roman" w:cs="Times New Roman"/>
          <w:sz w:val="28"/>
          <w:szCs w:val="28"/>
        </w:rPr>
        <w:t>lla legge 29 luglio 2021, n. 108</w:t>
      </w:r>
      <w:r w:rsidR="00C70B3D" w:rsidRPr="00C70B3D">
        <w:rPr>
          <w:rFonts w:ascii="Times New Roman" w:hAnsi="Times New Roman" w:cs="Times New Roman"/>
          <w:sz w:val="28"/>
          <w:szCs w:val="28"/>
        </w:rPr>
        <w:t xml:space="preserve">, </w:t>
      </w:r>
      <w:r w:rsidRPr="00C70B3D">
        <w:rPr>
          <w:rFonts w:ascii="Times New Roman" w:hAnsi="Times New Roman" w:cs="Times New Roman"/>
          <w:sz w:val="28"/>
          <w:szCs w:val="28"/>
        </w:rPr>
        <w:t>che prevede l’applicazione della procedura unica anche per le opere infrastrutturali necessarie all’immissione del biometano nella rete esistente di trasporto e</w:t>
      </w:r>
      <w:r w:rsidR="00C70B3D" w:rsidRPr="00C70B3D">
        <w:rPr>
          <w:rFonts w:ascii="Times New Roman" w:hAnsi="Times New Roman" w:cs="Times New Roman"/>
          <w:sz w:val="28"/>
          <w:szCs w:val="28"/>
        </w:rPr>
        <w:t xml:space="preserve"> </w:t>
      </w:r>
      <w:r w:rsidR="00856F20">
        <w:rPr>
          <w:rFonts w:ascii="Times New Roman" w:hAnsi="Times New Roman" w:cs="Times New Roman"/>
          <w:sz w:val="28"/>
          <w:szCs w:val="28"/>
        </w:rPr>
        <w:t>distribuzione del gas naturale.</w:t>
      </w:r>
    </w:p>
    <w:p w:rsidR="00E91CD0" w:rsidRPr="00E91CD0" w:rsidRDefault="00E91CD0" w:rsidP="00AA6AD6">
      <w:pPr>
        <w:pStyle w:val="Paragrafoelenco"/>
        <w:ind w:firstLine="567"/>
        <w:rPr>
          <w:rFonts w:ascii="Times New Roman" w:eastAsia="Calibri" w:hAnsi="Times New Roman" w:cs="Times New Roman"/>
          <w:sz w:val="28"/>
          <w:szCs w:val="28"/>
        </w:rPr>
      </w:pPr>
    </w:p>
    <w:p w:rsidR="0031239A" w:rsidRDefault="006324C8"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All'articolo 46, comma 6</w:t>
      </w:r>
      <w:r w:rsidR="00E91CD0" w:rsidRPr="00E91CD0">
        <w:rPr>
          <w:rFonts w:ascii="Times New Roman" w:eastAsia="Calibri" w:hAnsi="Times New Roman" w:cs="Times New Roman"/>
          <w:sz w:val="28"/>
          <w:szCs w:val="28"/>
        </w:rPr>
        <w:t xml:space="preserve">, assicurare che la garanzia di origine risulti sempre nella disponibilità del produttore ad accezione </w:t>
      </w:r>
      <w:r w:rsidR="00E91CD0">
        <w:rPr>
          <w:rFonts w:ascii="Times New Roman" w:eastAsia="Calibri" w:hAnsi="Times New Roman" w:cs="Times New Roman"/>
          <w:sz w:val="28"/>
          <w:szCs w:val="28"/>
        </w:rPr>
        <w:t>dell’ipotesi</w:t>
      </w:r>
      <w:r w:rsidR="00E91CD0" w:rsidRPr="00E91CD0">
        <w:rPr>
          <w:rFonts w:ascii="Times New Roman" w:eastAsia="Calibri" w:hAnsi="Times New Roman" w:cs="Times New Roman"/>
          <w:sz w:val="28"/>
          <w:szCs w:val="28"/>
        </w:rPr>
        <w:t xml:space="preserve"> in cui il GSE costituisca il soggetto che ritira l’energia rinnovabile all’origine. </w:t>
      </w:r>
      <w:r w:rsidR="00E91CD0">
        <w:rPr>
          <w:rFonts w:ascii="Times New Roman" w:eastAsia="Calibri" w:hAnsi="Times New Roman" w:cs="Times New Roman"/>
          <w:sz w:val="28"/>
          <w:szCs w:val="28"/>
        </w:rPr>
        <w:t>Esclusivamente in tal caso</w:t>
      </w:r>
      <w:r w:rsidR="00E91CD0" w:rsidRPr="00E91CD0">
        <w:rPr>
          <w:rFonts w:ascii="Times New Roman" w:eastAsia="Calibri" w:hAnsi="Times New Roman" w:cs="Times New Roman"/>
          <w:sz w:val="28"/>
          <w:szCs w:val="28"/>
        </w:rPr>
        <w:t xml:space="preserve"> la garanzi</w:t>
      </w:r>
      <w:r w:rsidR="0031239A">
        <w:rPr>
          <w:rFonts w:ascii="Times New Roman" w:eastAsia="Calibri" w:hAnsi="Times New Roman" w:cs="Times New Roman"/>
          <w:sz w:val="28"/>
          <w:szCs w:val="28"/>
        </w:rPr>
        <w:t>a di origine è assegnata al GSE</w:t>
      </w:r>
      <w:r w:rsidR="00856F20">
        <w:rPr>
          <w:rFonts w:ascii="Times New Roman" w:eastAsia="Calibri" w:hAnsi="Times New Roman" w:cs="Times New Roman"/>
          <w:sz w:val="28"/>
          <w:szCs w:val="28"/>
        </w:rPr>
        <w:t>.</w:t>
      </w:r>
    </w:p>
    <w:p w:rsidR="0031239A" w:rsidRPr="0031239A" w:rsidRDefault="0031239A" w:rsidP="00AA6AD6">
      <w:pPr>
        <w:pStyle w:val="Paragrafoelenco"/>
        <w:ind w:firstLine="567"/>
        <w:rPr>
          <w:rFonts w:ascii="Times New Roman" w:hAnsi="Times New Roman" w:cs="Times New Roman"/>
          <w:sz w:val="28"/>
          <w:szCs w:val="28"/>
        </w:rPr>
      </w:pPr>
    </w:p>
    <w:p w:rsidR="00E91CD0" w:rsidRPr="0031239A" w:rsidRDefault="00856F20"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70B3D" w:rsidRPr="0031239A">
        <w:rPr>
          <w:rFonts w:ascii="Times New Roman" w:hAnsi="Times New Roman" w:cs="Times New Roman"/>
          <w:sz w:val="28"/>
          <w:szCs w:val="28"/>
        </w:rPr>
        <w:t>Prevedere, a</w:t>
      </w:r>
      <w:r w:rsidR="002F6214" w:rsidRPr="0031239A">
        <w:rPr>
          <w:rFonts w:ascii="Times New Roman" w:hAnsi="Times New Roman" w:cs="Times New Roman"/>
          <w:sz w:val="28"/>
          <w:szCs w:val="28"/>
        </w:rPr>
        <w:t xml:space="preserve">ll’articolo 4, </w:t>
      </w:r>
      <w:r w:rsidR="00BF6D33" w:rsidRPr="0031239A">
        <w:rPr>
          <w:rFonts w:ascii="Times New Roman" w:hAnsi="Times New Roman" w:cs="Times New Roman"/>
          <w:sz w:val="28"/>
          <w:szCs w:val="28"/>
        </w:rPr>
        <w:t xml:space="preserve">comma 2, </w:t>
      </w:r>
      <w:r w:rsidR="004D5F77" w:rsidRPr="0031239A">
        <w:rPr>
          <w:rFonts w:ascii="Times New Roman" w:hAnsi="Times New Roman" w:cs="Times New Roman"/>
          <w:sz w:val="28"/>
          <w:szCs w:val="28"/>
        </w:rPr>
        <w:t xml:space="preserve">lett. c) </w:t>
      </w:r>
      <w:r w:rsidR="00C70B3D" w:rsidRPr="0031239A">
        <w:rPr>
          <w:rFonts w:ascii="Times New Roman" w:hAnsi="Times New Roman" w:cs="Times New Roman"/>
          <w:sz w:val="28"/>
          <w:szCs w:val="28"/>
        </w:rPr>
        <w:t xml:space="preserve">una </w:t>
      </w:r>
      <w:r w:rsidR="00BF76C0" w:rsidRPr="0031239A">
        <w:rPr>
          <w:rFonts w:ascii="Times New Roman" w:hAnsi="Times New Roman" w:cs="Times New Roman"/>
          <w:sz w:val="28"/>
          <w:szCs w:val="28"/>
        </w:rPr>
        <w:t xml:space="preserve">diversa formulazione della disposizione al fine di garantire che la «bancabilità», termine </w:t>
      </w:r>
      <w:r w:rsidR="00E91CD0" w:rsidRPr="0031239A">
        <w:rPr>
          <w:rFonts w:ascii="Times New Roman" w:hAnsi="Times New Roman" w:cs="Times New Roman"/>
          <w:sz w:val="28"/>
          <w:szCs w:val="28"/>
        </w:rPr>
        <w:t xml:space="preserve">atecnicamente </w:t>
      </w:r>
      <w:r w:rsidR="00BF76C0" w:rsidRPr="0031239A">
        <w:rPr>
          <w:rFonts w:ascii="Times New Roman" w:hAnsi="Times New Roman" w:cs="Times New Roman"/>
          <w:sz w:val="28"/>
          <w:szCs w:val="28"/>
        </w:rPr>
        <w:t>impiegato, sia riferita a parametri oggettivi di effettiva sostenibi</w:t>
      </w:r>
      <w:r>
        <w:rPr>
          <w:rFonts w:ascii="Times New Roman" w:hAnsi="Times New Roman" w:cs="Times New Roman"/>
          <w:sz w:val="28"/>
          <w:szCs w:val="28"/>
        </w:rPr>
        <w:t>lità economica dell’iniziativa.</w:t>
      </w:r>
    </w:p>
    <w:p w:rsidR="0031239A" w:rsidRPr="0031239A" w:rsidRDefault="0031239A" w:rsidP="00AA6AD6">
      <w:pPr>
        <w:pStyle w:val="Paragrafoelenco"/>
        <w:ind w:firstLine="567"/>
        <w:rPr>
          <w:rFonts w:ascii="Times New Roman" w:eastAsia="Calibri" w:hAnsi="Times New Roman" w:cs="Times New Roman"/>
          <w:sz w:val="28"/>
          <w:szCs w:val="28"/>
        </w:rPr>
      </w:pPr>
    </w:p>
    <w:p w:rsidR="00E91CD0" w:rsidRPr="0031239A" w:rsidRDefault="0031239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91CD0" w:rsidRPr="0031239A">
        <w:rPr>
          <w:rFonts w:ascii="Times New Roman" w:hAnsi="Times New Roman" w:cs="Times New Roman"/>
          <w:sz w:val="28"/>
          <w:szCs w:val="28"/>
        </w:rPr>
        <w:t>Chiarire e precisare</w:t>
      </w:r>
      <w:r w:rsidR="00C70B3D" w:rsidRPr="0031239A">
        <w:rPr>
          <w:rFonts w:ascii="Times New Roman" w:hAnsi="Times New Roman" w:cs="Times New Roman"/>
          <w:sz w:val="28"/>
          <w:szCs w:val="28"/>
        </w:rPr>
        <w:t>, a</w:t>
      </w:r>
      <w:r w:rsidR="004D5F77" w:rsidRPr="0031239A">
        <w:rPr>
          <w:rFonts w:ascii="Times New Roman" w:hAnsi="Times New Roman" w:cs="Times New Roman"/>
          <w:sz w:val="28"/>
          <w:szCs w:val="28"/>
        </w:rPr>
        <w:t>ll’articolo 5, comma 3, lett. a)</w:t>
      </w:r>
      <w:r w:rsidR="00C70B3D" w:rsidRPr="0031239A">
        <w:rPr>
          <w:rFonts w:ascii="Times New Roman" w:hAnsi="Times New Roman" w:cs="Times New Roman"/>
          <w:sz w:val="28"/>
          <w:szCs w:val="28"/>
        </w:rPr>
        <w:t xml:space="preserve"> e b)</w:t>
      </w:r>
      <w:r w:rsidR="00223487" w:rsidRPr="0031239A">
        <w:rPr>
          <w:rFonts w:ascii="Times New Roman" w:hAnsi="Times New Roman" w:cs="Times New Roman"/>
          <w:sz w:val="28"/>
          <w:szCs w:val="28"/>
        </w:rPr>
        <w:t xml:space="preserve">, </w:t>
      </w:r>
      <w:r w:rsidR="00E91CD0" w:rsidRPr="0031239A">
        <w:rPr>
          <w:rFonts w:ascii="Times New Roman" w:hAnsi="Times New Roman" w:cs="Times New Roman"/>
          <w:sz w:val="28"/>
          <w:szCs w:val="28"/>
        </w:rPr>
        <w:t xml:space="preserve">quali sono i piccoli impianti </w:t>
      </w:r>
      <w:r w:rsidR="004D5F77" w:rsidRPr="0031239A">
        <w:rPr>
          <w:rFonts w:ascii="Times New Roman" w:hAnsi="Times New Roman" w:cs="Times New Roman"/>
          <w:sz w:val="28"/>
          <w:szCs w:val="28"/>
        </w:rPr>
        <w:t>«con costi di generazione più vicini alla competitività di mercato» e «con costi di generazione maggiormente elevati»</w:t>
      </w:r>
      <w:r w:rsidR="0002410B" w:rsidRPr="0031239A">
        <w:rPr>
          <w:rFonts w:ascii="Times New Roman" w:hAnsi="Times New Roman" w:cs="Times New Roman"/>
          <w:sz w:val="28"/>
          <w:szCs w:val="28"/>
        </w:rPr>
        <w:t>, al fine di consentire una corretta classificazione degli impianti, tenuto conto delle conseguenze che ne derivano in termini di quote di incentivo e di modalità di accesso</w:t>
      </w:r>
      <w:r w:rsidR="00C850F8" w:rsidRPr="0031239A">
        <w:rPr>
          <w:rFonts w:ascii="Times New Roman" w:hAnsi="Times New Roman" w:cs="Times New Roman"/>
          <w:sz w:val="28"/>
          <w:szCs w:val="28"/>
        </w:rPr>
        <w:t xml:space="preserve"> a</w:t>
      </w:r>
      <w:r w:rsidR="0002410B" w:rsidRPr="0031239A">
        <w:rPr>
          <w:rFonts w:ascii="Times New Roman" w:hAnsi="Times New Roman" w:cs="Times New Roman"/>
          <w:sz w:val="28"/>
          <w:szCs w:val="28"/>
        </w:rPr>
        <w:t>gli incentivi</w:t>
      </w:r>
      <w:r w:rsidR="00C850F8" w:rsidRPr="0031239A">
        <w:rPr>
          <w:rFonts w:ascii="Times New Roman" w:hAnsi="Times New Roman" w:cs="Times New Roman"/>
          <w:sz w:val="28"/>
          <w:szCs w:val="28"/>
        </w:rPr>
        <w:t xml:space="preserve"> medesimi</w:t>
      </w:r>
      <w:r w:rsidR="00856F20">
        <w:rPr>
          <w:rFonts w:ascii="Times New Roman" w:hAnsi="Times New Roman" w:cs="Times New Roman"/>
          <w:sz w:val="28"/>
          <w:szCs w:val="28"/>
        </w:rPr>
        <w:t>.</w:t>
      </w:r>
    </w:p>
    <w:p w:rsidR="0031239A" w:rsidRPr="0031239A" w:rsidRDefault="0031239A" w:rsidP="00AA6AD6">
      <w:pPr>
        <w:pStyle w:val="Paragrafoelenco"/>
        <w:ind w:firstLine="567"/>
        <w:rPr>
          <w:rFonts w:ascii="Times New Roman" w:eastAsia="Calibri" w:hAnsi="Times New Roman" w:cs="Times New Roman"/>
          <w:sz w:val="28"/>
          <w:szCs w:val="28"/>
        </w:rPr>
      </w:pPr>
    </w:p>
    <w:p w:rsidR="0031239A" w:rsidRPr="0031239A" w:rsidRDefault="0031239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70B3D" w:rsidRPr="0031239A">
        <w:rPr>
          <w:rFonts w:ascii="Times New Roman" w:hAnsi="Times New Roman" w:cs="Times New Roman"/>
          <w:sz w:val="28"/>
          <w:szCs w:val="28"/>
        </w:rPr>
        <w:t xml:space="preserve">Sopprimere, all’articolo 20, comma 1, </w:t>
      </w:r>
      <w:r w:rsidR="00E91CD0" w:rsidRPr="0031239A">
        <w:rPr>
          <w:rFonts w:ascii="Times New Roman" w:hAnsi="Times New Roman" w:cs="Times New Roman"/>
          <w:sz w:val="28"/>
          <w:szCs w:val="28"/>
        </w:rPr>
        <w:t xml:space="preserve">il criterio dell’individuazione </w:t>
      </w:r>
      <w:r w:rsidR="00C26542" w:rsidRPr="0031239A">
        <w:rPr>
          <w:rFonts w:ascii="Times New Roman" w:hAnsi="Times New Roman" w:cs="Times New Roman"/>
          <w:sz w:val="28"/>
          <w:szCs w:val="28"/>
        </w:rPr>
        <w:t>«in via prioritaria»</w:t>
      </w:r>
      <w:r w:rsidR="00C70B3D" w:rsidRPr="0031239A">
        <w:rPr>
          <w:rFonts w:ascii="Times New Roman" w:hAnsi="Times New Roman" w:cs="Times New Roman"/>
          <w:sz w:val="28"/>
          <w:szCs w:val="28"/>
        </w:rPr>
        <w:t xml:space="preserve"> delle aree idonee,</w:t>
      </w:r>
      <w:r w:rsidR="00E91CD0" w:rsidRPr="0031239A">
        <w:rPr>
          <w:rFonts w:ascii="Times New Roman" w:hAnsi="Times New Roman" w:cs="Times New Roman"/>
          <w:sz w:val="28"/>
          <w:szCs w:val="28"/>
        </w:rPr>
        <w:t xml:space="preserve"> </w:t>
      </w:r>
      <w:r w:rsidR="00C70B3D" w:rsidRPr="0031239A">
        <w:rPr>
          <w:rFonts w:ascii="Times New Roman" w:hAnsi="Times New Roman" w:cs="Times New Roman"/>
          <w:sz w:val="28"/>
          <w:szCs w:val="28"/>
        </w:rPr>
        <w:t xml:space="preserve">in conformità con il criterio </w:t>
      </w:r>
      <w:r w:rsidR="00FB44A1" w:rsidRPr="0031239A">
        <w:rPr>
          <w:rFonts w:ascii="Times New Roman" w:hAnsi="Times New Roman" w:cs="Times New Roman"/>
          <w:sz w:val="28"/>
          <w:szCs w:val="28"/>
        </w:rPr>
        <w:t xml:space="preserve">di delega </w:t>
      </w:r>
      <w:r w:rsidR="00C70B3D" w:rsidRPr="0031239A">
        <w:rPr>
          <w:rFonts w:ascii="Times New Roman" w:hAnsi="Times New Roman" w:cs="Times New Roman"/>
          <w:sz w:val="28"/>
          <w:szCs w:val="28"/>
        </w:rPr>
        <w:t xml:space="preserve">di cui </w:t>
      </w:r>
      <w:r w:rsidR="00FB44A1" w:rsidRPr="0031239A">
        <w:rPr>
          <w:rFonts w:ascii="Times New Roman" w:hAnsi="Times New Roman" w:cs="Times New Roman"/>
          <w:sz w:val="28"/>
          <w:szCs w:val="28"/>
        </w:rPr>
        <w:t xml:space="preserve">all’articolo 5, comma 1, lett. a) della </w:t>
      </w:r>
      <w:r w:rsidR="00856F20">
        <w:rPr>
          <w:rFonts w:ascii="Times New Roman" w:hAnsi="Times New Roman" w:cs="Times New Roman"/>
          <w:sz w:val="28"/>
          <w:szCs w:val="28"/>
        </w:rPr>
        <w:t>legge di delegazione europea.</w:t>
      </w:r>
      <w:r w:rsidR="00E91CD0" w:rsidRPr="0031239A">
        <w:rPr>
          <w:rFonts w:ascii="Times New Roman" w:hAnsi="Times New Roman" w:cs="Times New Roman"/>
          <w:sz w:val="28"/>
          <w:szCs w:val="28"/>
        </w:rPr>
        <w:t xml:space="preserve"> </w:t>
      </w:r>
    </w:p>
    <w:p w:rsidR="0031239A" w:rsidRPr="0031239A" w:rsidRDefault="0031239A" w:rsidP="00AA6AD6">
      <w:pPr>
        <w:pStyle w:val="Paragrafoelenco"/>
        <w:ind w:firstLine="567"/>
        <w:rPr>
          <w:rFonts w:ascii="Times New Roman" w:hAnsi="Times New Roman" w:cs="Times New Roman"/>
          <w:sz w:val="28"/>
          <w:szCs w:val="28"/>
        </w:rPr>
      </w:pPr>
    </w:p>
    <w:p w:rsidR="0031239A" w:rsidRPr="0031239A" w:rsidRDefault="0031239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70B3D" w:rsidRPr="0031239A">
        <w:rPr>
          <w:rFonts w:ascii="Times New Roman" w:hAnsi="Times New Roman" w:cs="Times New Roman"/>
          <w:sz w:val="28"/>
          <w:szCs w:val="28"/>
        </w:rPr>
        <w:t>Coinvolgere</w:t>
      </w:r>
      <w:r w:rsidR="00EA2726" w:rsidRPr="0031239A">
        <w:rPr>
          <w:rFonts w:ascii="Times New Roman" w:hAnsi="Times New Roman" w:cs="Times New Roman"/>
          <w:sz w:val="28"/>
          <w:szCs w:val="28"/>
        </w:rPr>
        <w:t xml:space="preserve"> il Ministero delle </w:t>
      </w:r>
      <w:r w:rsidR="00E91CD0" w:rsidRPr="0031239A">
        <w:rPr>
          <w:rFonts w:ascii="Times New Roman" w:hAnsi="Times New Roman" w:cs="Times New Roman"/>
          <w:sz w:val="28"/>
          <w:szCs w:val="28"/>
        </w:rPr>
        <w:t xml:space="preserve">politiche agricole, </w:t>
      </w:r>
      <w:r w:rsidR="00136D3C" w:rsidRPr="0031239A">
        <w:rPr>
          <w:rFonts w:ascii="Times New Roman" w:hAnsi="Times New Roman" w:cs="Times New Roman"/>
          <w:sz w:val="28"/>
          <w:szCs w:val="28"/>
        </w:rPr>
        <w:t xml:space="preserve">anche attraverso il </w:t>
      </w:r>
      <w:r w:rsidR="00E91CD0" w:rsidRPr="0031239A">
        <w:rPr>
          <w:rFonts w:ascii="Times New Roman" w:hAnsi="Times New Roman" w:cs="Times New Roman"/>
          <w:sz w:val="28"/>
          <w:szCs w:val="28"/>
        </w:rPr>
        <w:t>CREA, nella</w:t>
      </w:r>
      <w:r w:rsidR="00EA2726" w:rsidRPr="0031239A">
        <w:rPr>
          <w:rFonts w:ascii="Times New Roman" w:hAnsi="Times New Roman" w:cs="Times New Roman"/>
          <w:sz w:val="28"/>
          <w:szCs w:val="28"/>
        </w:rPr>
        <w:t xml:space="preserve"> redazione delle linee guida </w:t>
      </w:r>
      <w:r w:rsidR="00C70B3D" w:rsidRPr="0031239A">
        <w:rPr>
          <w:rFonts w:ascii="Times New Roman" w:hAnsi="Times New Roman" w:cs="Times New Roman"/>
          <w:sz w:val="28"/>
          <w:szCs w:val="28"/>
        </w:rPr>
        <w:t xml:space="preserve">di cui all’articolo 42, comma 6, </w:t>
      </w:r>
      <w:r w:rsidR="00136D3C" w:rsidRPr="0031239A">
        <w:rPr>
          <w:rFonts w:ascii="Times New Roman" w:hAnsi="Times New Roman" w:cs="Times New Roman"/>
          <w:sz w:val="28"/>
          <w:szCs w:val="28"/>
        </w:rPr>
        <w:t>al fine di</w:t>
      </w:r>
      <w:r w:rsidR="00EA2726" w:rsidRPr="0031239A">
        <w:rPr>
          <w:rFonts w:ascii="Times New Roman" w:hAnsi="Times New Roman" w:cs="Times New Roman"/>
          <w:sz w:val="28"/>
          <w:szCs w:val="28"/>
        </w:rPr>
        <w:t xml:space="preserve"> specificare la previsione dell’obbligo di un piano di monitoraggio o di gestione dell’impatto sulla qualità del suolo a carico degli imprenditori agricoli</w:t>
      </w:r>
      <w:r w:rsidR="00856F20">
        <w:rPr>
          <w:rFonts w:ascii="Times New Roman" w:hAnsi="Times New Roman" w:cs="Times New Roman"/>
          <w:sz w:val="28"/>
          <w:szCs w:val="28"/>
        </w:rPr>
        <w:t>.</w:t>
      </w:r>
    </w:p>
    <w:p w:rsidR="0031239A" w:rsidRPr="0031239A" w:rsidRDefault="0031239A" w:rsidP="00AA6AD6">
      <w:pPr>
        <w:pStyle w:val="Paragrafoelenco"/>
        <w:ind w:firstLine="567"/>
        <w:rPr>
          <w:rFonts w:ascii="Times New Roman" w:hAnsi="Times New Roman" w:cs="Times New Roman"/>
          <w:sz w:val="28"/>
          <w:szCs w:val="28"/>
        </w:rPr>
      </w:pPr>
    </w:p>
    <w:p w:rsidR="0031239A" w:rsidRPr="0031239A" w:rsidRDefault="0031239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605436" w:rsidRPr="0031239A">
        <w:rPr>
          <w:rFonts w:ascii="Times New Roman" w:hAnsi="Times New Roman" w:cs="Times New Roman"/>
          <w:sz w:val="28"/>
          <w:szCs w:val="28"/>
        </w:rPr>
        <w:t xml:space="preserve">All’articolo 42, comma 13, </w:t>
      </w:r>
      <w:r w:rsidR="00136D3C" w:rsidRPr="0031239A">
        <w:rPr>
          <w:rFonts w:ascii="Times New Roman" w:hAnsi="Times New Roman" w:cs="Times New Roman"/>
          <w:sz w:val="28"/>
          <w:szCs w:val="28"/>
        </w:rPr>
        <w:t xml:space="preserve">correggere </w:t>
      </w:r>
      <w:r w:rsidR="00E91CD0" w:rsidRPr="0031239A">
        <w:rPr>
          <w:rFonts w:ascii="Times New Roman" w:hAnsi="Times New Roman" w:cs="Times New Roman"/>
          <w:sz w:val="28"/>
          <w:szCs w:val="28"/>
        </w:rPr>
        <w:t xml:space="preserve">l’errore materiale indicando il </w:t>
      </w:r>
      <w:r w:rsidR="00605436" w:rsidRPr="0031239A">
        <w:rPr>
          <w:rFonts w:ascii="Times New Roman" w:hAnsi="Times New Roman" w:cs="Times New Roman"/>
          <w:sz w:val="28"/>
          <w:szCs w:val="28"/>
        </w:rPr>
        <w:t>rinvio al comma 12 del medesimo articolo</w:t>
      </w:r>
      <w:r w:rsidR="00856F20">
        <w:rPr>
          <w:rFonts w:ascii="Times New Roman" w:hAnsi="Times New Roman" w:cs="Times New Roman"/>
          <w:sz w:val="28"/>
          <w:szCs w:val="28"/>
        </w:rPr>
        <w:t>.</w:t>
      </w:r>
    </w:p>
    <w:p w:rsidR="0031239A" w:rsidRPr="0031239A" w:rsidRDefault="0031239A" w:rsidP="00AA6AD6">
      <w:pPr>
        <w:pStyle w:val="Paragrafoelenco"/>
        <w:ind w:firstLine="567"/>
        <w:rPr>
          <w:rFonts w:ascii="Times New Roman" w:hAnsi="Times New Roman" w:cs="Times New Roman"/>
          <w:sz w:val="28"/>
          <w:szCs w:val="28"/>
        </w:rPr>
      </w:pPr>
    </w:p>
    <w:p w:rsidR="0031239A" w:rsidRPr="0031239A" w:rsidRDefault="0031239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74C2A" w:rsidRPr="0031239A">
        <w:rPr>
          <w:rFonts w:ascii="Times New Roman" w:hAnsi="Times New Roman" w:cs="Times New Roman"/>
          <w:sz w:val="28"/>
          <w:szCs w:val="28"/>
        </w:rPr>
        <w:t>All’articolo 44, comma 1, correggere l’errore materiale indicando il rinvi</w:t>
      </w:r>
      <w:r>
        <w:rPr>
          <w:rFonts w:ascii="Times New Roman" w:hAnsi="Times New Roman" w:cs="Times New Roman"/>
          <w:sz w:val="28"/>
          <w:szCs w:val="28"/>
        </w:rPr>
        <w:t>o al comma 12 dell’articolo 43</w:t>
      </w:r>
      <w:r w:rsidR="00856F20">
        <w:rPr>
          <w:rFonts w:ascii="Times New Roman" w:hAnsi="Times New Roman" w:cs="Times New Roman"/>
          <w:sz w:val="28"/>
          <w:szCs w:val="28"/>
        </w:rPr>
        <w:t>.</w:t>
      </w:r>
    </w:p>
    <w:p w:rsidR="0031239A" w:rsidRPr="0031239A" w:rsidRDefault="0031239A" w:rsidP="00AA6AD6">
      <w:pPr>
        <w:pStyle w:val="Paragrafoelenco"/>
        <w:ind w:firstLine="567"/>
        <w:rPr>
          <w:rFonts w:ascii="Times New Roman" w:hAnsi="Times New Roman" w:cs="Times New Roman"/>
          <w:sz w:val="28"/>
          <w:szCs w:val="28"/>
        </w:rPr>
      </w:pPr>
    </w:p>
    <w:p w:rsidR="0031239A" w:rsidRPr="0031239A" w:rsidRDefault="00B91CA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A5FBD" w:rsidRPr="0031239A">
        <w:rPr>
          <w:rFonts w:ascii="Times New Roman" w:hAnsi="Times New Roman" w:cs="Times New Roman"/>
          <w:sz w:val="28"/>
          <w:szCs w:val="28"/>
        </w:rPr>
        <w:t>Definire il termine «biorifiuto» ovunque ricorra, ed in particolare a</w:t>
      </w:r>
      <w:r w:rsidR="00903619" w:rsidRPr="0031239A">
        <w:rPr>
          <w:rFonts w:ascii="Times New Roman" w:hAnsi="Times New Roman" w:cs="Times New Roman"/>
          <w:sz w:val="28"/>
          <w:szCs w:val="28"/>
        </w:rPr>
        <w:t>ll’allegato 7, A2, Tabella 1, Tabella 3</w:t>
      </w:r>
      <w:r w:rsidR="00DD1E08" w:rsidRPr="0031239A">
        <w:rPr>
          <w:rFonts w:ascii="Times New Roman" w:hAnsi="Times New Roman" w:cs="Times New Roman"/>
          <w:sz w:val="28"/>
          <w:szCs w:val="28"/>
        </w:rPr>
        <w:t>,</w:t>
      </w:r>
      <w:r w:rsidR="00C850F8" w:rsidRPr="0031239A">
        <w:rPr>
          <w:rFonts w:ascii="Times New Roman" w:hAnsi="Times New Roman" w:cs="Times New Roman"/>
          <w:sz w:val="28"/>
          <w:szCs w:val="28"/>
        </w:rPr>
        <w:t xml:space="preserve"> </w:t>
      </w:r>
      <w:r w:rsidR="008A5FBD" w:rsidRPr="0031239A">
        <w:rPr>
          <w:rFonts w:ascii="Times New Roman" w:hAnsi="Times New Roman" w:cs="Times New Roman"/>
          <w:sz w:val="28"/>
          <w:szCs w:val="28"/>
        </w:rPr>
        <w:t xml:space="preserve">al fine di evitare incertezze interpretative ed </w:t>
      </w:r>
      <w:r w:rsidR="0031239A">
        <w:rPr>
          <w:rFonts w:ascii="Times New Roman" w:hAnsi="Times New Roman" w:cs="Times New Roman"/>
          <w:sz w:val="28"/>
          <w:szCs w:val="28"/>
        </w:rPr>
        <w:t>applicative</w:t>
      </w:r>
      <w:r w:rsidR="00856F20">
        <w:rPr>
          <w:rFonts w:ascii="Times New Roman" w:hAnsi="Times New Roman" w:cs="Times New Roman"/>
          <w:sz w:val="28"/>
          <w:szCs w:val="28"/>
        </w:rPr>
        <w:t>.</w:t>
      </w:r>
    </w:p>
    <w:p w:rsidR="0031239A" w:rsidRPr="0031239A" w:rsidRDefault="0031239A" w:rsidP="00AA6AD6">
      <w:pPr>
        <w:pStyle w:val="Paragrafoelenco"/>
        <w:ind w:firstLine="567"/>
        <w:rPr>
          <w:rFonts w:ascii="Times New Roman" w:hAnsi="Times New Roman" w:cs="Times New Roman"/>
          <w:sz w:val="28"/>
          <w:szCs w:val="28"/>
        </w:rPr>
      </w:pPr>
    </w:p>
    <w:p w:rsidR="00C70B3D" w:rsidRPr="0031239A" w:rsidRDefault="0031239A" w:rsidP="00AA6AD6">
      <w:pPr>
        <w:pStyle w:val="Paragrafoelenco"/>
        <w:numPr>
          <w:ilvl w:val="0"/>
          <w:numId w:val="10"/>
        </w:num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91CD0" w:rsidRPr="0031239A">
        <w:rPr>
          <w:rFonts w:ascii="Times New Roman" w:hAnsi="Times New Roman" w:cs="Times New Roman"/>
          <w:sz w:val="28"/>
          <w:szCs w:val="28"/>
        </w:rPr>
        <w:t>G</w:t>
      </w:r>
      <w:r w:rsidR="00C70B3D" w:rsidRPr="0031239A">
        <w:rPr>
          <w:rFonts w:ascii="Times New Roman" w:hAnsi="Times New Roman" w:cs="Times New Roman"/>
          <w:sz w:val="28"/>
          <w:szCs w:val="28"/>
        </w:rPr>
        <w:t>arantire un coordinamento</w:t>
      </w:r>
      <w:r w:rsidR="00E91CD0" w:rsidRPr="0031239A">
        <w:rPr>
          <w:rFonts w:ascii="Times New Roman" w:hAnsi="Times New Roman" w:cs="Times New Roman"/>
          <w:sz w:val="28"/>
          <w:szCs w:val="28"/>
        </w:rPr>
        <w:t xml:space="preserve"> formale</w:t>
      </w:r>
      <w:r w:rsidR="00E00600" w:rsidRPr="0031239A">
        <w:rPr>
          <w:rFonts w:ascii="Times New Roman" w:hAnsi="Times New Roman" w:cs="Times New Roman"/>
          <w:sz w:val="28"/>
          <w:szCs w:val="28"/>
        </w:rPr>
        <w:t xml:space="preserve"> </w:t>
      </w:r>
      <w:r w:rsidR="00C70B3D" w:rsidRPr="0031239A">
        <w:rPr>
          <w:rFonts w:ascii="Times New Roman" w:hAnsi="Times New Roman" w:cs="Times New Roman"/>
          <w:sz w:val="28"/>
          <w:szCs w:val="28"/>
        </w:rPr>
        <w:t>dei termini «agrivoltaico» e «agrovoltaico»</w:t>
      </w:r>
      <w:r w:rsidR="00A74C2A" w:rsidRPr="0031239A">
        <w:rPr>
          <w:rFonts w:ascii="Times New Roman" w:hAnsi="Times New Roman" w:cs="Times New Roman"/>
          <w:sz w:val="28"/>
          <w:szCs w:val="28"/>
        </w:rPr>
        <w:t xml:space="preserve"> ovunque ricorrano, tenuto conto di quanto previsto dall’articolo 31, comma 5 della legge 29 luglio 2021, n. 108.</w:t>
      </w:r>
    </w:p>
    <w:p w:rsidR="00D03345" w:rsidRPr="00BF6D33" w:rsidRDefault="00D03345" w:rsidP="00AA6AD6">
      <w:pPr>
        <w:ind w:firstLine="567"/>
        <w:jc w:val="both"/>
        <w:rPr>
          <w:rFonts w:ascii="Times New Roman" w:hAnsi="Times New Roman" w:cs="Times New Roman"/>
          <w:sz w:val="28"/>
          <w:szCs w:val="28"/>
        </w:rPr>
      </w:pPr>
    </w:p>
    <w:sectPr w:rsidR="00D03345" w:rsidRPr="00BF6D3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B9" w:rsidRDefault="001368B9" w:rsidP="00FE1F5F">
      <w:pPr>
        <w:spacing w:after="0" w:line="240" w:lineRule="auto"/>
      </w:pPr>
      <w:r>
        <w:separator/>
      </w:r>
    </w:p>
  </w:endnote>
  <w:endnote w:type="continuationSeparator" w:id="0">
    <w:p w:rsidR="001368B9" w:rsidRDefault="001368B9" w:rsidP="00FE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D3" w:rsidRPr="005E73C0" w:rsidRDefault="00CE1CD3" w:rsidP="005E73C0">
    <w:pPr>
      <w:pStyle w:val="Pidipagina"/>
      <w:jc w:val="center"/>
      <w:rPr>
        <w:rFonts w:ascii="Book Antiqua" w:hAnsi="Book Antiqua"/>
      </w:rPr>
    </w:pPr>
    <w:r w:rsidRPr="00AF4962">
      <w:rPr>
        <w:rFonts w:ascii="Book Antiqua" w:hAnsi="Book Antiqua"/>
      </w:rPr>
      <w:fldChar w:fldCharType="begin"/>
    </w:r>
    <w:r w:rsidRPr="00AF4962">
      <w:rPr>
        <w:rFonts w:ascii="Book Antiqua" w:hAnsi="Book Antiqua"/>
      </w:rPr>
      <w:instrText xml:space="preserve"> PAGE   \* MERGEFORMAT </w:instrText>
    </w:r>
    <w:r w:rsidRPr="00AF4962">
      <w:rPr>
        <w:rFonts w:ascii="Book Antiqua" w:hAnsi="Book Antiqua"/>
      </w:rPr>
      <w:fldChar w:fldCharType="separate"/>
    </w:r>
    <w:r w:rsidR="007C44B5">
      <w:rPr>
        <w:rFonts w:ascii="Book Antiqua" w:hAnsi="Book Antiqua"/>
        <w:noProof/>
      </w:rPr>
      <w:t>2</w:t>
    </w:r>
    <w:r w:rsidRPr="00AF4962">
      <w:rPr>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99" w:rsidRDefault="006D6999">
    <w:pPr>
      <w:pStyle w:val="Pidipagina"/>
      <w:jc w:val="center"/>
    </w:pPr>
  </w:p>
  <w:p w:rsidR="006D6999" w:rsidRDefault="006D6999">
    <w:pPr>
      <w:pStyle w:val="Pidipagina"/>
      <w:jc w:val="center"/>
    </w:pPr>
  </w:p>
  <w:p w:rsidR="00FE1F5F" w:rsidRDefault="003477E8">
    <w:pPr>
      <w:pStyle w:val="Pidipagina"/>
      <w:jc w:val="center"/>
    </w:pPr>
    <w:sdt>
      <w:sdtPr>
        <w:id w:val="1489063219"/>
        <w:docPartObj>
          <w:docPartGallery w:val="Page Numbers (Bottom of Page)"/>
          <w:docPartUnique/>
        </w:docPartObj>
      </w:sdtPr>
      <w:sdtEndPr/>
      <w:sdtContent>
        <w:r w:rsidR="00FE1F5F">
          <w:fldChar w:fldCharType="begin"/>
        </w:r>
        <w:r w:rsidR="00FE1F5F">
          <w:instrText>PAGE   \* MERGEFORMAT</w:instrText>
        </w:r>
        <w:r w:rsidR="00FE1F5F">
          <w:fldChar w:fldCharType="separate"/>
        </w:r>
        <w:r>
          <w:rPr>
            <w:noProof/>
          </w:rPr>
          <w:t>3</w:t>
        </w:r>
        <w:r w:rsidR="00FE1F5F">
          <w:fldChar w:fldCharType="end"/>
        </w:r>
      </w:sdtContent>
    </w:sdt>
  </w:p>
  <w:p w:rsidR="00FE1F5F" w:rsidRDefault="00FE1F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B9" w:rsidRDefault="001368B9" w:rsidP="00FE1F5F">
      <w:pPr>
        <w:spacing w:after="0" w:line="240" w:lineRule="auto"/>
      </w:pPr>
      <w:r>
        <w:separator/>
      </w:r>
    </w:p>
  </w:footnote>
  <w:footnote w:type="continuationSeparator" w:id="0">
    <w:p w:rsidR="001368B9" w:rsidRDefault="001368B9" w:rsidP="00FE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D3" w:rsidRPr="00591037" w:rsidRDefault="00CE1CD3" w:rsidP="00A01774">
    <w:pPr>
      <w:pStyle w:val="Intestazione"/>
    </w:pPr>
    <w:r w:rsidRPr="00E76C71">
      <w:rPr>
        <w:noProof/>
        <w:lang w:eastAsia="it-IT"/>
      </w:rPr>
      <w:drawing>
        <wp:inline distT="0" distB="0" distL="0" distR="0" wp14:anchorId="77215DAF" wp14:editId="561402DA">
          <wp:extent cx="495300" cy="590550"/>
          <wp:effectExtent l="0" t="0" r="0" b="0"/>
          <wp:docPr id="8" name="Immagine 8" descr="C:\Documents and Settings\Rossetti Claudio\Documenti\LogoOK\coldiretti 2003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Documents and Settings\Rossetti Claudio\Documenti\LogoOK\coldiretti 2003 colo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CE1CD3" w:rsidRDefault="00CE1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11B"/>
    <w:multiLevelType w:val="hybridMultilevel"/>
    <w:tmpl w:val="B03C93C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85D93"/>
    <w:multiLevelType w:val="hybridMultilevel"/>
    <w:tmpl w:val="C65439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BC457A"/>
    <w:multiLevelType w:val="hybridMultilevel"/>
    <w:tmpl w:val="3C18DDB8"/>
    <w:lvl w:ilvl="0" w:tplc="274293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7A12B8"/>
    <w:multiLevelType w:val="hybridMultilevel"/>
    <w:tmpl w:val="DFB22F3E"/>
    <w:lvl w:ilvl="0" w:tplc="D27C6408">
      <w:start w:val="1"/>
      <w:numFmt w:val="decimal"/>
      <w:lvlText w:val="%1)"/>
      <w:lvlJc w:val="left"/>
      <w:pPr>
        <w:ind w:left="1069"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4" w15:restartNumberingAfterBreak="0">
    <w:nsid w:val="2B1A2DB2"/>
    <w:multiLevelType w:val="hybridMultilevel"/>
    <w:tmpl w:val="C65439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2540D9"/>
    <w:multiLevelType w:val="hybridMultilevel"/>
    <w:tmpl w:val="31387CF8"/>
    <w:lvl w:ilvl="0" w:tplc="51EAD5E4">
      <w:start w:val="1"/>
      <w:numFmt w:val="lowerLetter"/>
      <w:lvlText w:val="%1)"/>
      <w:lvlJc w:val="left"/>
      <w:pPr>
        <w:ind w:left="1636" w:hanging="360"/>
      </w:pPr>
      <w:rPr>
        <w:rFonts w:hint="default"/>
      </w:rPr>
    </w:lvl>
    <w:lvl w:ilvl="1" w:tplc="04100019">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6" w15:restartNumberingAfterBreak="0">
    <w:nsid w:val="30EE55B1"/>
    <w:multiLevelType w:val="hybridMultilevel"/>
    <w:tmpl w:val="C65439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A33697"/>
    <w:multiLevelType w:val="hybridMultilevel"/>
    <w:tmpl w:val="40D20224"/>
    <w:lvl w:ilvl="0" w:tplc="7AEC2E88">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B735B2"/>
    <w:multiLevelType w:val="multilevel"/>
    <w:tmpl w:val="76F05BB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81D46BE"/>
    <w:multiLevelType w:val="hybridMultilevel"/>
    <w:tmpl w:val="C506EFB0"/>
    <w:lvl w:ilvl="0" w:tplc="D070EAF8">
      <w:start w:val="1"/>
      <w:numFmt w:val="decimal"/>
      <w:lvlText w:val="%1)"/>
      <w:lvlJc w:val="left"/>
      <w:pPr>
        <w:ind w:left="1211"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BD0A63"/>
    <w:multiLevelType w:val="hybridMultilevel"/>
    <w:tmpl w:val="C506EFB0"/>
    <w:lvl w:ilvl="0" w:tplc="D070EAF8">
      <w:start w:val="1"/>
      <w:numFmt w:val="decimal"/>
      <w:lvlText w:val="%1)"/>
      <w:lvlJc w:val="left"/>
      <w:pPr>
        <w:ind w:left="1211"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DD20F8"/>
    <w:multiLevelType w:val="hybridMultilevel"/>
    <w:tmpl w:val="06C64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EA6BC0"/>
    <w:multiLevelType w:val="hybridMultilevel"/>
    <w:tmpl w:val="537E86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8E608A"/>
    <w:multiLevelType w:val="hybridMultilevel"/>
    <w:tmpl w:val="C506EFB0"/>
    <w:lvl w:ilvl="0" w:tplc="D070EAF8">
      <w:start w:val="1"/>
      <w:numFmt w:val="decimal"/>
      <w:lvlText w:val="%1)"/>
      <w:lvlJc w:val="left"/>
      <w:pPr>
        <w:ind w:left="1211"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9328C4"/>
    <w:multiLevelType w:val="hybridMultilevel"/>
    <w:tmpl w:val="C65439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EE508B"/>
    <w:multiLevelType w:val="hybridMultilevel"/>
    <w:tmpl w:val="2FD8FABA"/>
    <w:lvl w:ilvl="0" w:tplc="0410000F">
      <w:start w:val="1"/>
      <w:numFmt w:val="decimal"/>
      <w:lvlText w:val="%1."/>
      <w:lvlJc w:val="left"/>
      <w:pPr>
        <w:ind w:left="720" w:hanging="360"/>
      </w:pPr>
    </w:lvl>
    <w:lvl w:ilvl="1" w:tplc="7D3E2378">
      <w:start w:val="1"/>
      <w:numFmt w:val="lowerLetter"/>
      <w:lvlText w:val="%2)"/>
      <w:lvlJc w:val="left"/>
      <w:pPr>
        <w:ind w:left="1211"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0218C8"/>
    <w:multiLevelType w:val="hybridMultilevel"/>
    <w:tmpl w:val="2E0288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8"/>
  </w:num>
  <w:num w:numId="3">
    <w:abstractNumId w:val="13"/>
  </w:num>
  <w:num w:numId="4">
    <w:abstractNumId w:val="7"/>
  </w:num>
  <w:num w:numId="5">
    <w:abstractNumId w:val="11"/>
  </w:num>
  <w:num w:numId="6">
    <w:abstractNumId w:val="4"/>
  </w:num>
  <w:num w:numId="7">
    <w:abstractNumId w:val="6"/>
  </w:num>
  <w:num w:numId="8">
    <w:abstractNumId w:val="1"/>
  </w:num>
  <w:num w:numId="9">
    <w:abstractNumId w:val="14"/>
  </w:num>
  <w:num w:numId="10">
    <w:abstractNumId w:val="15"/>
  </w:num>
  <w:num w:numId="11">
    <w:abstractNumId w:val="12"/>
  </w:num>
  <w:num w:numId="12">
    <w:abstractNumId w:val="5"/>
  </w:num>
  <w:num w:numId="13">
    <w:abstractNumId w:val="9"/>
  </w:num>
  <w:num w:numId="14">
    <w:abstractNumId w:val="10"/>
  </w:num>
  <w:num w:numId="15">
    <w:abstractNumId w:val="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1E"/>
    <w:rsid w:val="0001754F"/>
    <w:rsid w:val="0002410B"/>
    <w:rsid w:val="000963E4"/>
    <w:rsid w:val="000E7E0D"/>
    <w:rsid w:val="00104F56"/>
    <w:rsid w:val="0011374C"/>
    <w:rsid w:val="001368B9"/>
    <w:rsid w:val="00136D3C"/>
    <w:rsid w:val="00182E23"/>
    <w:rsid w:val="001A5025"/>
    <w:rsid w:val="001F1454"/>
    <w:rsid w:val="002036BB"/>
    <w:rsid w:val="00223487"/>
    <w:rsid w:val="002A4C64"/>
    <w:rsid w:val="002C3970"/>
    <w:rsid w:val="002F6214"/>
    <w:rsid w:val="0031239A"/>
    <w:rsid w:val="003477E8"/>
    <w:rsid w:val="00396E85"/>
    <w:rsid w:val="003A1A4E"/>
    <w:rsid w:val="003B5F3A"/>
    <w:rsid w:val="003D21B9"/>
    <w:rsid w:val="003E73E8"/>
    <w:rsid w:val="003F19E9"/>
    <w:rsid w:val="00404E55"/>
    <w:rsid w:val="00420E75"/>
    <w:rsid w:val="00445932"/>
    <w:rsid w:val="00446CED"/>
    <w:rsid w:val="004D2E27"/>
    <w:rsid w:val="004D5F77"/>
    <w:rsid w:val="0053171D"/>
    <w:rsid w:val="00582135"/>
    <w:rsid w:val="005D4BD0"/>
    <w:rsid w:val="00605436"/>
    <w:rsid w:val="00613DED"/>
    <w:rsid w:val="006324C8"/>
    <w:rsid w:val="00642D53"/>
    <w:rsid w:val="00697529"/>
    <w:rsid w:val="006A6D94"/>
    <w:rsid w:val="006C3C13"/>
    <w:rsid w:val="006D6999"/>
    <w:rsid w:val="00701AB6"/>
    <w:rsid w:val="00762E49"/>
    <w:rsid w:val="00791726"/>
    <w:rsid w:val="00792BA3"/>
    <w:rsid w:val="00794760"/>
    <w:rsid w:val="007C44B5"/>
    <w:rsid w:val="007E182B"/>
    <w:rsid w:val="007F2DAC"/>
    <w:rsid w:val="0081441E"/>
    <w:rsid w:val="008507B9"/>
    <w:rsid w:val="00856F20"/>
    <w:rsid w:val="00890319"/>
    <w:rsid w:val="008A5FBD"/>
    <w:rsid w:val="008E4205"/>
    <w:rsid w:val="00903619"/>
    <w:rsid w:val="00995E8C"/>
    <w:rsid w:val="009A2881"/>
    <w:rsid w:val="009A5651"/>
    <w:rsid w:val="009A6314"/>
    <w:rsid w:val="009B0489"/>
    <w:rsid w:val="00A06C45"/>
    <w:rsid w:val="00A3601F"/>
    <w:rsid w:val="00A74C2A"/>
    <w:rsid w:val="00A91CF7"/>
    <w:rsid w:val="00AA6AD6"/>
    <w:rsid w:val="00AC6F9F"/>
    <w:rsid w:val="00AF23B7"/>
    <w:rsid w:val="00B510D1"/>
    <w:rsid w:val="00B914FF"/>
    <w:rsid w:val="00B91CAA"/>
    <w:rsid w:val="00BB046D"/>
    <w:rsid w:val="00BD13D0"/>
    <w:rsid w:val="00BD41E2"/>
    <w:rsid w:val="00BF6D33"/>
    <w:rsid w:val="00BF76C0"/>
    <w:rsid w:val="00C03118"/>
    <w:rsid w:val="00C26542"/>
    <w:rsid w:val="00C70B3D"/>
    <w:rsid w:val="00C71DA2"/>
    <w:rsid w:val="00C850F8"/>
    <w:rsid w:val="00C860CB"/>
    <w:rsid w:val="00CE1CD3"/>
    <w:rsid w:val="00D03345"/>
    <w:rsid w:val="00D3746D"/>
    <w:rsid w:val="00DA752A"/>
    <w:rsid w:val="00DD1E08"/>
    <w:rsid w:val="00DE56E4"/>
    <w:rsid w:val="00E00600"/>
    <w:rsid w:val="00E07716"/>
    <w:rsid w:val="00E22B53"/>
    <w:rsid w:val="00E449F2"/>
    <w:rsid w:val="00E91CD0"/>
    <w:rsid w:val="00E937A5"/>
    <w:rsid w:val="00EA2726"/>
    <w:rsid w:val="00EF7661"/>
    <w:rsid w:val="00F46EB0"/>
    <w:rsid w:val="00F50F83"/>
    <w:rsid w:val="00FB44A1"/>
    <w:rsid w:val="00FE18AC"/>
    <w:rsid w:val="00FE1F5F"/>
    <w:rsid w:val="00FE6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A821-511A-4249-883C-F1A16302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441E"/>
    <w:pPr>
      <w:ind w:left="720"/>
      <w:contextualSpacing/>
    </w:pPr>
    <w:rPr>
      <w:rFonts w:asciiTheme="minorHAnsi" w:hAnsiTheme="minorHAnsi" w:cstheme="minorBidi"/>
    </w:rPr>
  </w:style>
  <w:style w:type="paragraph" w:styleId="Intestazione">
    <w:name w:val="header"/>
    <w:basedOn w:val="Normale"/>
    <w:link w:val="IntestazioneCarattere"/>
    <w:uiPriority w:val="99"/>
    <w:unhideWhenUsed/>
    <w:rsid w:val="00FE1F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1F5F"/>
  </w:style>
  <w:style w:type="paragraph" w:styleId="Pidipagina">
    <w:name w:val="footer"/>
    <w:basedOn w:val="Normale"/>
    <w:link w:val="PidipaginaCarattere"/>
    <w:uiPriority w:val="99"/>
    <w:unhideWhenUsed/>
    <w:rsid w:val="00FE1F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1F5F"/>
  </w:style>
  <w:style w:type="paragraph" w:styleId="Testofumetto">
    <w:name w:val="Balloon Text"/>
    <w:basedOn w:val="Normale"/>
    <w:link w:val="TestofumettoCarattere"/>
    <w:uiPriority w:val="99"/>
    <w:semiHidden/>
    <w:unhideWhenUsed/>
    <w:rsid w:val="007917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2414</Words>
  <Characters>13760</Characters>
  <Application>Microsoft Office Word</Application>
  <DocSecurity>4</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CinziaCoduti</dc:creator>
  <cp:keywords/>
  <dc:description/>
  <cp:lastModifiedBy>Cdd</cp:lastModifiedBy>
  <cp:revision>2</cp:revision>
  <cp:lastPrinted>2021-09-17T12:58:00Z</cp:lastPrinted>
  <dcterms:created xsi:type="dcterms:W3CDTF">2021-09-22T08:52:00Z</dcterms:created>
  <dcterms:modified xsi:type="dcterms:W3CDTF">2021-09-22T08:52:00Z</dcterms:modified>
</cp:coreProperties>
</file>