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690B8" w14:textId="705E389A" w:rsidR="00ED7963" w:rsidRDefault="008B4609" w:rsidP="00ED7963">
      <w:pPr>
        <w:spacing w:line="360" w:lineRule="auto"/>
        <w:jc w:val="both"/>
        <w:rPr>
          <w:rFonts w:ascii="Book Antiqua" w:hAnsi="Book Antiqua"/>
          <w:b/>
          <w:bCs/>
          <w:lang w:val="it-IT"/>
        </w:rPr>
      </w:pPr>
      <w:bookmarkStart w:id="0" w:name="_GoBack"/>
      <w:bookmarkEnd w:id="0"/>
      <w:r>
        <w:rPr>
          <w:rFonts w:ascii="Book Antiqua" w:hAnsi="Book Antiqua"/>
          <w:b/>
          <w:bCs/>
          <w:lang w:val="it-IT"/>
        </w:rPr>
        <w:t>Audizione</w:t>
      </w:r>
      <w:r w:rsidR="00ED7963" w:rsidRPr="00ED7963">
        <w:rPr>
          <w:rFonts w:ascii="Book Antiqua" w:hAnsi="Book Antiqua"/>
          <w:b/>
          <w:bCs/>
          <w:lang w:val="it-IT"/>
        </w:rPr>
        <w:t xml:space="preserve"> sulla proposta di Regolamento del Parlamento europeo e del Consiglio che stabilisce regole armonizzate sull’intelligenza artificiale (legge sull’intelligenza artificiale) e modifica alcuni atti legislativi dell’Unione </w:t>
      </w:r>
    </w:p>
    <w:p w14:paraId="69AE5751" w14:textId="6058A381" w:rsidR="008B0542" w:rsidRDefault="008B0542" w:rsidP="00ED7963">
      <w:pPr>
        <w:spacing w:line="360" w:lineRule="auto"/>
        <w:jc w:val="both"/>
        <w:rPr>
          <w:rFonts w:ascii="Book Antiqua" w:hAnsi="Book Antiqua"/>
          <w:b/>
          <w:bCs/>
          <w:lang w:val="it-IT"/>
        </w:rPr>
      </w:pPr>
    </w:p>
    <w:p w14:paraId="438566FA" w14:textId="32F57287" w:rsidR="008B0542" w:rsidRDefault="008B0542" w:rsidP="00ED7963">
      <w:pPr>
        <w:spacing w:line="360" w:lineRule="auto"/>
        <w:jc w:val="both"/>
        <w:rPr>
          <w:rFonts w:ascii="Book Antiqua" w:hAnsi="Book Antiqua"/>
          <w:b/>
          <w:bCs/>
          <w:lang w:val="it-IT"/>
        </w:rPr>
      </w:pPr>
      <w:r>
        <w:rPr>
          <w:rFonts w:ascii="Book Antiqua" w:hAnsi="Book Antiqua"/>
          <w:b/>
          <w:bCs/>
          <w:lang w:val="it-IT"/>
        </w:rPr>
        <w:t>Prof. Avv. Oreste Pollicino</w:t>
      </w:r>
    </w:p>
    <w:p w14:paraId="0DF4D7FD" w14:textId="7A33D4A8" w:rsidR="008B0542" w:rsidRPr="00ED7963" w:rsidRDefault="008B0542" w:rsidP="00ED7963">
      <w:pPr>
        <w:spacing w:line="360" w:lineRule="auto"/>
        <w:jc w:val="both"/>
        <w:rPr>
          <w:rFonts w:ascii="Book Antiqua" w:hAnsi="Book Antiqua"/>
          <w:b/>
          <w:bCs/>
          <w:lang w:val="it-IT"/>
        </w:rPr>
      </w:pPr>
      <w:r>
        <w:rPr>
          <w:rFonts w:ascii="Book Antiqua" w:hAnsi="Book Antiqua"/>
          <w:b/>
          <w:bCs/>
          <w:lang w:val="it-IT"/>
        </w:rPr>
        <w:t>Università Bocconi ed Agenzia per la protezione dei diritti fondamentali</w:t>
      </w:r>
    </w:p>
    <w:p w14:paraId="592D6C66" w14:textId="193EF2D8" w:rsidR="00502EEB" w:rsidRDefault="00502EEB" w:rsidP="00502EEB">
      <w:pPr>
        <w:spacing w:line="360" w:lineRule="auto"/>
        <w:jc w:val="both"/>
        <w:rPr>
          <w:rFonts w:ascii="Book Antiqua" w:hAnsi="Book Antiqua"/>
          <w:b/>
          <w:bCs/>
          <w:lang w:val="it-IT"/>
        </w:rPr>
      </w:pPr>
    </w:p>
    <w:p w14:paraId="1EF6F6A0" w14:textId="2801B9BF" w:rsidR="00ED7963" w:rsidRDefault="00ED7963" w:rsidP="00502EEB">
      <w:pPr>
        <w:spacing w:line="360" w:lineRule="auto"/>
        <w:jc w:val="both"/>
        <w:rPr>
          <w:rFonts w:ascii="Book Antiqua" w:hAnsi="Book Antiqua"/>
          <w:lang w:val="it-IT"/>
        </w:rPr>
      </w:pPr>
      <w:r>
        <w:rPr>
          <w:rFonts w:ascii="Book Antiqua" w:hAnsi="Book Antiqua"/>
          <w:lang w:val="it-IT"/>
        </w:rPr>
        <w:t xml:space="preserve">La </w:t>
      </w:r>
      <w:r w:rsidR="00B750CD">
        <w:rPr>
          <w:rFonts w:ascii="Book Antiqua" w:hAnsi="Book Antiqua"/>
          <w:lang w:val="it-IT"/>
        </w:rPr>
        <w:t>p</w:t>
      </w:r>
      <w:r>
        <w:rPr>
          <w:rFonts w:ascii="Book Antiqua" w:hAnsi="Book Antiqua"/>
          <w:lang w:val="it-IT"/>
        </w:rPr>
        <w:t xml:space="preserve">roposta di Regolamento sull’Intelligenza Artificiale (di seguito, AIA o AI Act) si inserisce nel solco di quell’obiettivo già inaugurato dalla Presidente della Commissione Europea, Ursula Von Der Leyen, la quale, sin dalla sua elezione, ha sottolineato la priorità di delineare un percorso di sviluppo di questi sistemi che non vada a sacrificare né l’innovazione né i diritti fondamentali. </w:t>
      </w:r>
    </w:p>
    <w:p w14:paraId="718774D6" w14:textId="41906730" w:rsidR="00482108" w:rsidRDefault="00ED7963" w:rsidP="00B750CD">
      <w:pPr>
        <w:spacing w:line="360" w:lineRule="auto"/>
        <w:jc w:val="both"/>
        <w:rPr>
          <w:rFonts w:ascii="Book Antiqua" w:hAnsi="Book Antiqua"/>
          <w:lang w:val="it-IT"/>
        </w:rPr>
      </w:pPr>
      <w:r>
        <w:rPr>
          <w:rFonts w:ascii="Book Antiqua" w:hAnsi="Book Antiqua"/>
          <w:lang w:val="it-IT"/>
        </w:rPr>
        <w:t>In questo quadro, dunque, si inserisce la proposta in commento, la quale, anche sul piano nazionale, pone delle importanti domande e sfide per il futuro</w:t>
      </w:r>
      <w:r w:rsidR="00FA2400">
        <w:rPr>
          <w:rFonts w:ascii="Book Antiqua" w:hAnsi="Book Antiqua"/>
          <w:lang w:val="it-IT"/>
        </w:rPr>
        <w:t xml:space="preserve"> </w:t>
      </w:r>
      <w:r w:rsidR="00B750CD">
        <w:rPr>
          <w:rFonts w:ascii="Book Antiqua" w:hAnsi="Book Antiqua"/>
          <w:lang w:val="it-IT"/>
        </w:rPr>
        <w:t>con riguardo al funzionamento e allo sviluppo del mercato interno. Difatti, è negli intrinsechi scopi di un Regolamento quello di istituire un quadro giuridico uniforme e impo</w:t>
      </w:r>
      <w:r w:rsidR="00FA2400">
        <w:rPr>
          <w:rFonts w:ascii="Book Antiqua" w:hAnsi="Book Antiqua"/>
          <w:lang w:val="it-IT"/>
        </w:rPr>
        <w:t>rr</w:t>
      </w:r>
      <w:r w:rsidR="00B750CD">
        <w:rPr>
          <w:rFonts w:ascii="Book Antiqua" w:hAnsi="Book Antiqua"/>
          <w:lang w:val="it-IT"/>
        </w:rPr>
        <w:t>e agli Stati Membri una serie di obiettivi che impatt</w:t>
      </w:r>
      <w:r w:rsidR="00FA2400">
        <w:rPr>
          <w:rFonts w:ascii="Book Antiqua" w:hAnsi="Book Antiqua"/>
          <w:lang w:val="it-IT"/>
        </w:rPr>
        <w:t>i</w:t>
      </w:r>
      <w:r w:rsidR="00B750CD">
        <w:rPr>
          <w:rFonts w:ascii="Book Antiqua" w:hAnsi="Book Antiqua"/>
          <w:lang w:val="it-IT"/>
        </w:rPr>
        <w:t>no l’interesse pubblico</w:t>
      </w:r>
      <w:r w:rsidR="00482108">
        <w:rPr>
          <w:rFonts w:ascii="Book Antiqua" w:hAnsi="Book Antiqua"/>
          <w:lang w:val="it-IT"/>
        </w:rPr>
        <w:t xml:space="preserve">. Una delle </w:t>
      </w:r>
      <w:r w:rsidR="00482108" w:rsidRPr="00482108">
        <w:rPr>
          <w:rFonts w:ascii="Book Antiqua" w:hAnsi="Book Antiqua"/>
          <w:lang w:val="it-IT"/>
        </w:rPr>
        <w:t xml:space="preserve">finalità </w:t>
      </w:r>
      <w:r w:rsidR="00482108">
        <w:rPr>
          <w:rFonts w:ascii="Book Antiqua" w:hAnsi="Book Antiqua"/>
          <w:lang w:val="it-IT"/>
        </w:rPr>
        <w:t xml:space="preserve">dell’AIA è proprio quella di assicurare la promozione del </w:t>
      </w:r>
      <w:r w:rsidR="00482108" w:rsidRPr="00482108">
        <w:rPr>
          <w:rFonts w:ascii="Book Antiqua" w:hAnsi="Book Antiqua"/>
          <w:lang w:val="it-IT"/>
        </w:rPr>
        <w:t xml:space="preserve">mercato interno </w:t>
      </w:r>
      <w:r w:rsidR="00482108">
        <w:rPr>
          <w:rFonts w:ascii="Book Antiqua" w:hAnsi="Book Antiqua"/>
          <w:lang w:val="it-IT"/>
        </w:rPr>
        <w:t>per fare dell</w:t>
      </w:r>
      <w:r w:rsidR="00482108" w:rsidRPr="00482108">
        <w:rPr>
          <w:rFonts w:ascii="Book Antiqua" w:hAnsi="Book Antiqua"/>
          <w:lang w:val="it-IT"/>
        </w:rPr>
        <w:t>'industria europea un vantaggio competitivo a livello globale</w:t>
      </w:r>
      <w:r w:rsidR="00482108">
        <w:rPr>
          <w:rFonts w:ascii="Book Antiqua" w:hAnsi="Book Antiqua"/>
          <w:lang w:val="it-IT"/>
        </w:rPr>
        <w:t>. In quest’ottica</w:t>
      </w:r>
      <w:r w:rsidR="00B750CD">
        <w:rPr>
          <w:rFonts w:ascii="Book Antiqua" w:hAnsi="Book Antiqua"/>
          <w:lang w:val="it-IT"/>
        </w:rPr>
        <w:t xml:space="preserve">, si vieta agli </w:t>
      </w:r>
      <w:r w:rsidRPr="00ED7963">
        <w:rPr>
          <w:rFonts w:ascii="Book Antiqua" w:hAnsi="Book Antiqua"/>
          <w:lang w:val="it-IT"/>
        </w:rPr>
        <w:t xml:space="preserve">Stati membri di imporre restrizioni allo sviluppo, alla commercializzazione e all'uso di sistemi di IA, salvo espressa autorizzazione del </w:t>
      </w:r>
      <w:r w:rsidR="00B750CD">
        <w:rPr>
          <w:rFonts w:ascii="Book Antiqua" w:hAnsi="Book Antiqua"/>
          <w:lang w:val="it-IT"/>
        </w:rPr>
        <w:t>R</w:t>
      </w:r>
      <w:r w:rsidRPr="00ED7963">
        <w:rPr>
          <w:rFonts w:ascii="Book Antiqua" w:hAnsi="Book Antiqua"/>
          <w:lang w:val="it-IT"/>
        </w:rPr>
        <w:t>egolament</w:t>
      </w:r>
      <w:r w:rsidR="00B750CD">
        <w:rPr>
          <w:rFonts w:ascii="Book Antiqua" w:hAnsi="Book Antiqua"/>
          <w:lang w:val="it-IT"/>
        </w:rPr>
        <w:t xml:space="preserve">o. </w:t>
      </w:r>
      <w:r w:rsidR="00290EE9" w:rsidRPr="00290EE9">
        <w:rPr>
          <w:rFonts w:ascii="Book Antiqua" w:hAnsi="Book Antiqua"/>
          <w:lang w:val="it-IT"/>
        </w:rPr>
        <w:t xml:space="preserve">L’Italia, dal canto suo, ha dato prova di voler dare un contributo significativo a queste necessità, tramite l’adozione della “Strategia sull’Intelligenza Artificiale”. Come è noto, la strategia contiene </w:t>
      </w:r>
      <w:r w:rsidR="00290EE9" w:rsidRPr="00AA5781">
        <w:rPr>
          <w:rFonts w:ascii="Book Antiqua" w:hAnsi="Book Antiqua"/>
          <w:lang w:val="it-IT"/>
        </w:rPr>
        <w:t xml:space="preserve">24 politiche </w:t>
      </w:r>
      <w:r w:rsidR="00290EE9" w:rsidRPr="00290EE9">
        <w:rPr>
          <w:rFonts w:ascii="Book Antiqua" w:hAnsi="Book Antiqua"/>
          <w:lang w:val="it-IT"/>
        </w:rPr>
        <w:t>che hanno</w:t>
      </w:r>
      <w:r w:rsidR="00290EE9" w:rsidRPr="00AA5781">
        <w:rPr>
          <w:rFonts w:ascii="Book Antiqua" w:hAnsi="Book Antiqua"/>
          <w:lang w:val="it-IT"/>
        </w:rPr>
        <w:t xml:space="preserve"> lo scopo di aumentare la competitività tecnologica del Paese internazionalmente e di mettere a servizio di alcuni settori chiave le eccellenze della ricerca in campo </w:t>
      </w:r>
      <w:r w:rsidR="00290EE9" w:rsidRPr="00290EE9">
        <w:rPr>
          <w:rFonts w:ascii="Book Antiqua" w:hAnsi="Book Antiqua"/>
          <w:lang w:val="it-IT"/>
        </w:rPr>
        <w:t>IA</w:t>
      </w:r>
      <w:r w:rsidR="00290EE9" w:rsidRPr="00AA5781">
        <w:rPr>
          <w:rFonts w:ascii="Book Antiqua" w:hAnsi="Book Antiqua"/>
          <w:lang w:val="it-IT"/>
        </w:rPr>
        <w:t xml:space="preserve">. Il filo conduttore della Strategia parte dall’istruzione e dal plasmare nuove competenze: un aspetto innovativo per l’Italia che, anche nell’ultimo Digital economy and society index (Desi), pubblicato dalla Commissione europea, spicca per le scarse competenze digitali di cittadini, imprese e </w:t>
      </w:r>
      <w:r w:rsidR="00290EE9" w:rsidRPr="00290EE9">
        <w:rPr>
          <w:rFonts w:ascii="Book Antiqua" w:hAnsi="Book Antiqua"/>
          <w:lang w:val="it-IT"/>
        </w:rPr>
        <w:t xml:space="preserve">PA. L’Italia, dunque, può a ben vedere agire come promotore e traghettatore di un’idea che non porti a frammentazione, ma favorisca l’Unione, </w:t>
      </w:r>
      <w:r w:rsidR="00290EE9" w:rsidRPr="00834F57">
        <w:rPr>
          <w:rFonts w:ascii="Book Antiqua" w:hAnsi="Book Antiqua"/>
          <w:lang w:val="it-IT"/>
        </w:rPr>
        <w:t>per assicurare che l’</w:t>
      </w:r>
      <w:r w:rsidR="00290EE9" w:rsidRPr="00290EE9">
        <w:rPr>
          <w:rFonts w:ascii="Book Antiqua" w:hAnsi="Book Antiqua"/>
          <w:lang w:val="it-IT"/>
        </w:rPr>
        <w:t>IA</w:t>
      </w:r>
      <w:r w:rsidR="00290EE9" w:rsidRPr="00834F57">
        <w:rPr>
          <w:rFonts w:ascii="Book Antiqua" w:hAnsi="Book Antiqua"/>
          <w:lang w:val="it-IT"/>
        </w:rPr>
        <w:t xml:space="preserve"> faccia bene al mondo della produzione e della ricerca, a quello sociale e a quello ambientale.</w:t>
      </w:r>
    </w:p>
    <w:p w14:paraId="38C877BC" w14:textId="3665BD5A" w:rsidR="00290EE9" w:rsidRDefault="00290EE9" w:rsidP="00B750CD">
      <w:pPr>
        <w:spacing w:line="360" w:lineRule="auto"/>
        <w:jc w:val="both"/>
        <w:rPr>
          <w:rFonts w:ascii="Book Antiqua" w:hAnsi="Book Antiqua"/>
          <w:lang w:val="it-IT"/>
        </w:rPr>
      </w:pPr>
      <w:r>
        <w:rPr>
          <w:rFonts w:ascii="Book Antiqua" w:hAnsi="Book Antiqua"/>
          <w:lang w:val="it-IT"/>
        </w:rPr>
        <w:lastRenderedPageBreak/>
        <w:t>Se, da un lato, come si diceva, l’AIA apre all’armonizzazione, d’altro canto</w:t>
      </w:r>
      <w:r w:rsidR="00B750CD">
        <w:rPr>
          <w:rFonts w:ascii="Book Antiqua" w:hAnsi="Book Antiqua"/>
          <w:lang w:val="it-IT"/>
        </w:rPr>
        <w:t>,</w:t>
      </w:r>
      <w:r>
        <w:rPr>
          <w:rFonts w:ascii="Book Antiqua" w:hAnsi="Book Antiqua"/>
          <w:lang w:val="it-IT"/>
        </w:rPr>
        <w:t xml:space="preserve"> </w:t>
      </w:r>
      <w:r w:rsidR="00B750CD" w:rsidRPr="00B750CD">
        <w:rPr>
          <w:rFonts w:ascii="Book Antiqua" w:hAnsi="Book Antiqua"/>
          <w:lang w:val="it-IT"/>
        </w:rPr>
        <w:t xml:space="preserve">dà </w:t>
      </w:r>
      <w:r>
        <w:rPr>
          <w:rFonts w:ascii="Book Antiqua" w:hAnsi="Book Antiqua"/>
          <w:lang w:val="it-IT"/>
        </w:rPr>
        <w:t xml:space="preserve">anche </w:t>
      </w:r>
      <w:r w:rsidR="00B750CD" w:rsidRPr="00B750CD">
        <w:rPr>
          <w:rFonts w:ascii="Book Antiqua" w:hAnsi="Book Antiqua"/>
          <w:lang w:val="it-IT"/>
        </w:rPr>
        <w:t xml:space="preserve">una libertà significativa </w:t>
      </w:r>
      <w:r w:rsidR="00AA5781">
        <w:rPr>
          <w:rFonts w:ascii="Book Antiqua" w:hAnsi="Book Antiqua"/>
          <w:lang w:val="it-IT"/>
        </w:rPr>
        <w:t>con riguardo alle direzioni di</w:t>
      </w:r>
      <w:r w:rsidR="00B750CD" w:rsidRPr="00B750CD">
        <w:rPr>
          <w:rFonts w:ascii="Book Antiqua" w:hAnsi="Book Antiqua"/>
          <w:lang w:val="it-IT"/>
        </w:rPr>
        <w:t xml:space="preserve"> mercato </w:t>
      </w:r>
      <w:r w:rsidR="00FA2400">
        <w:rPr>
          <w:rFonts w:ascii="Book Antiqua" w:hAnsi="Book Antiqua"/>
          <w:lang w:val="it-IT"/>
        </w:rPr>
        <w:t>de</w:t>
      </w:r>
      <w:r w:rsidR="00AA5781">
        <w:rPr>
          <w:rFonts w:ascii="Book Antiqua" w:hAnsi="Book Antiqua"/>
          <w:lang w:val="it-IT"/>
        </w:rPr>
        <w:t>gli</w:t>
      </w:r>
      <w:r w:rsidR="00B750CD" w:rsidRPr="00B750CD">
        <w:rPr>
          <w:rFonts w:ascii="Book Antiqua" w:hAnsi="Book Antiqua"/>
          <w:lang w:val="it-IT"/>
        </w:rPr>
        <w:t xml:space="preserve"> Stati membri. Questo può creare una frammentazione del mercato unico dell</w:t>
      </w:r>
      <w:r w:rsidR="00AA5781">
        <w:rPr>
          <w:rFonts w:ascii="Book Antiqua" w:hAnsi="Book Antiqua"/>
          <w:lang w:val="it-IT"/>
        </w:rPr>
        <w:t>’</w:t>
      </w:r>
      <w:r w:rsidR="00B750CD" w:rsidRPr="00B750CD">
        <w:rPr>
          <w:rFonts w:ascii="Book Antiqua" w:hAnsi="Book Antiqua"/>
          <w:lang w:val="it-IT"/>
        </w:rPr>
        <w:t>UE, in contrasto con l</w:t>
      </w:r>
      <w:r w:rsidR="00AA5781">
        <w:rPr>
          <w:rFonts w:ascii="Book Antiqua" w:hAnsi="Book Antiqua"/>
          <w:lang w:val="it-IT"/>
        </w:rPr>
        <w:t>’</w:t>
      </w:r>
      <w:r w:rsidR="00B750CD" w:rsidRPr="00B750CD">
        <w:rPr>
          <w:rFonts w:ascii="Book Antiqua" w:hAnsi="Book Antiqua"/>
          <w:lang w:val="it-IT"/>
        </w:rPr>
        <w:t xml:space="preserve">obiettivo </w:t>
      </w:r>
      <w:r w:rsidR="00AA5781">
        <w:rPr>
          <w:rFonts w:ascii="Book Antiqua" w:hAnsi="Book Antiqua"/>
          <w:lang w:val="it-IT"/>
        </w:rPr>
        <w:t>dell’AIA</w:t>
      </w:r>
      <w:r w:rsidR="00B750CD" w:rsidRPr="00B750CD">
        <w:rPr>
          <w:rFonts w:ascii="Book Antiqua" w:hAnsi="Book Antiqua"/>
          <w:lang w:val="it-IT"/>
        </w:rPr>
        <w:t xml:space="preserve"> di far rispettare le regole orizzontali prima che i paesi inizino a legiferare individualmente.</w:t>
      </w:r>
      <w:r w:rsidR="00B750CD">
        <w:rPr>
          <w:rFonts w:ascii="Book Antiqua" w:hAnsi="Book Antiqua"/>
          <w:lang w:val="it-IT"/>
        </w:rPr>
        <w:t xml:space="preserve"> </w:t>
      </w:r>
      <w:r w:rsidR="00AA5781">
        <w:rPr>
          <w:rFonts w:ascii="Book Antiqua" w:hAnsi="Book Antiqua"/>
          <w:lang w:val="it-IT"/>
        </w:rPr>
        <w:t xml:space="preserve">Pur comprendendo la </w:t>
      </w:r>
      <w:r w:rsidR="00AA5781">
        <w:rPr>
          <w:rFonts w:ascii="Book Antiqua" w:hAnsi="Book Antiqua"/>
          <w:i/>
          <w:iCs/>
          <w:lang w:val="it-IT"/>
        </w:rPr>
        <w:t>ratio</w:t>
      </w:r>
      <w:r w:rsidR="00AA5781">
        <w:rPr>
          <w:rFonts w:ascii="Book Antiqua" w:hAnsi="Book Antiqua"/>
          <w:lang w:val="it-IT"/>
        </w:rPr>
        <w:t xml:space="preserve"> specificata dal Considerando 68, ossia </w:t>
      </w:r>
      <w:r w:rsidR="00AA5781" w:rsidRPr="00FA2400">
        <w:rPr>
          <w:rFonts w:ascii="Book Antiqua" w:hAnsi="Book Antiqua"/>
          <w:lang w:val="it-IT"/>
        </w:rPr>
        <w:t xml:space="preserve">che </w:t>
      </w:r>
      <w:r w:rsidR="00FA2400" w:rsidRPr="00FA2400">
        <w:rPr>
          <w:rFonts w:ascii="Book Antiqua" w:hAnsi="Book Antiqua"/>
          <w:lang w:val="it-IT"/>
        </w:rPr>
        <w:t>“</w:t>
      </w:r>
      <w:r w:rsidR="00B750CD" w:rsidRPr="00ED7963">
        <w:rPr>
          <w:rFonts w:ascii="Book Antiqua" w:hAnsi="Book Antiqua"/>
          <w:lang w:val="it-IT"/>
        </w:rPr>
        <w:t>per motivi eccezionali di pubblica sicurezza o di tutela della vita e della salute delle persone fisiche nonché della proprietà industriale e commerciale, gli Stati membri possano autorizzare l'immissione sul mercato o la messa i</w:t>
      </w:r>
      <w:r w:rsidR="00AA5781" w:rsidRPr="00FA2400">
        <w:rPr>
          <w:rFonts w:ascii="Book Antiqua" w:hAnsi="Book Antiqua"/>
          <w:lang w:val="it-IT"/>
        </w:rPr>
        <w:t>n</w:t>
      </w:r>
      <w:r w:rsidR="00B750CD" w:rsidRPr="00ED7963">
        <w:rPr>
          <w:rFonts w:ascii="Book Antiqua" w:hAnsi="Book Antiqua"/>
          <w:lang w:val="it-IT"/>
        </w:rPr>
        <w:t xml:space="preserve"> servizio di sistemi di IA che non sono stati sottoposti a una valutazione della conformità</w:t>
      </w:r>
      <w:r w:rsidR="00FA2400" w:rsidRPr="00FA2400">
        <w:rPr>
          <w:rFonts w:ascii="Book Antiqua" w:hAnsi="Book Antiqua"/>
          <w:lang w:val="it-IT"/>
        </w:rPr>
        <w:t>”</w:t>
      </w:r>
      <w:r>
        <w:rPr>
          <w:rFonts w:ascii="Book Antiqua" w:hAnsi="Book Antiqua"/>
          <w:lang w:val="it-IT"/>
        </w:rPr>
        <w:t>,</w:t>
      </w:r>
      <w:r w:rsidR="00AA5781">
        <w:rPr>
          <w:rFonts w:ascii="Book Antiqua" w:hAnsi="Book Antiqua"/>
          <w:i/>
          <w:iCs/>
          <w:lang w:val="it-IT"/>
        </w:rPr>
        <w:t xml:space="preserve"> </w:t>
      </w:r>
      <w:r w:rsidR="00AA5781">
        <w:rPr>
          <w:rFonts w:ascii="Book Antiqua" w:hAnsi="Book Antiqua"/>
          <w:lang w:val="it-IT"/>
        </w:rPr>
        <w:t>tuttavia, tale previsione fa sorgere</w:t>
      </w:r>
      <w:r>
        <w:rPr>
          <w:rFonts w:ascii="Book Antiqua" w:hAnsi="Book Antiqua"/>
          <w:lang w:val="it-IT"/>
        </w:rPr>
        <w:t>, da un lato,</w:t>
      </w:r>
      <w:r w:rsidR="00AA5781">
        <w:rPr>
          <w:rFonts w:ascii="Book Antiqua" w:hAnsi="Book Antiqua"/>
          <w:lang w:val="it-IT"/>
        </w:rPr>
        <w:t xml:space="preserve"> una serie di problematiche con riguardo alla </w:t>
      </w:r>
      <w:r w:rsidR="00AA5781">
        <w:rPr>
          <w:rFonts w:ascii="Book Antiqua" w:hAnsi="Book Antiqua"/>
          <w:i/>
          <w:iCs/>
          <w:lang w:val="it-IT"/>
        </w:rPr>
        <w:t xml:space="preserve">compliance </w:t>
      </w:r>
      <w:r w:rsidR="00AA5781">
        <w:rPr>
          <w:rFonts w:ascii="Book Antiqua" w:hAnsi="Book Antiqua"/>
          <w:lang w:val="it-IT"/>
        </w:rPr>
        <w:t>con le regole del Regolamento stesso, dall’altro</w:t>
      </w:r>
      <w:r>
        <w:rPr>
          <w:rFonts w:ascii="Book Antiqua" w:hAnsi="Book Antiqua"/>
          <w:lang w:val="it-IT"/>
        </w:rPr>
        <w:t>,</w:t>
      </w:r>
      <w:r w:rsidR="00AA5781">
        <w:rPr>
          <w:rFonts w:ascii="Book Antiqua" w:hAnsi="Book Antiqua"/>
          <w:lang w:val="it-IT"/>
        </w:rPr>
        <w:t xml:space="preserve"> un problema</w:t>
      </w:r>
      <w:r>
        <w:rPr>
          <w:rFonts w:ascii="Book Antiqua" w:hAnsi="Book Antiqua"/>
          <w:lang w:val="it-IT"/>
        </w:rPr>
        <w:t xml:space="preserve">, come si diceva, </w:t>
      </w:r>
      <w:r w:rsidR="00AA5781">
        <w:rPr>
          <w:rFonts w:ascii="Book Antiqua" w:hAnsi="Book Antiqua"/>
          <w:lang w:val="it-IT"/>
        </w:rPr>
        <w:t xml:space="preserve">di frammentazione del mercato. </w:t>
      </w:r>
      <w:r w:rsidR="00482108">
        <w:rPr>
          <w:rFonts w:ascii="Book Antiqua" w:hAnsi="Book Antiqua"/>
          <w:lang w:val="it-IT"/>
        </w:rPr>
        <w:t>I</w:t>
      </w:r>
      <w:r w:rsidR="00AA5781">
        <w:rPr>
          <w:rFonts w:ascii="Book Antiqua" w:hAnsi="Book Antiqua"/>
          <w:lang w:val="it-IT"/>
        </w:rPr>
        <w:t xml:space="preserve"> </w:t>
      </w:r>
      <w:r w:rsidR="00482108">
        <w:rPr>
          <w:rFonts w:ascii="Book Antiqua" w:hAnsi="Book Antiqua"/>
          <w:lang w:val="it-IT"/>
        </w:rPr>
        <w:t>rinvii</w:t>
      </w:r>
      <w:r w:rsidR="00AA5781">
        <w:rPr>
          <w:rFonts w:ascii="Book Antiqua" w:hAnsi="Book Antiqua"/>
          <w:lang w:val="it-IT"/>
        </w:rPr>
        <w:t xml:space="preserve"> </w:t>
      </w:r>
      <w:r w:rsidR="00482108">
        <w:rPr>
          <w:rFonts w:ascii="Book Antiqua" w:hAnsi="Book Antiqua"/>
          <w:lang w:val="it-IT"/>
        </w:rPr>
        <w:t>ivi messi in rilievo necessitano di una serie di interventi</w:t>
      </w:r>
      <w:r w:rsidR="00AA5781">
        <w:rPr>
          <w:rFonts w:ascii="Book Antiqua" w:hAnsi="Book Antiqua"/>
          <w:lang w:val="it-IT"/>
        </w:rPr>
        <w:t xml:space="preserve"> in capo agli Stati Membri, i quali, per garantire un'applicazione razionale delle norme, ed evitare interpretazioni creative e incoerenti, </w:t>
      </w:r>
      <w:r w:rsidR="00B750CD" w:rsidRPr="00B750CD">
        <w:rPr>
          <w:rFonts w:ascii="Book Antiqua" w:hAnsi="Book Antiqua"/>
          <w:lang w:val="it-IT"/>
        </w:rPr>
        <w:t>dovranno sviluppare le competenze necessarie in materia di IA e allocare sufficienti risorse umane e finanziarie</w:t>
      </w:r>
      <w:r w:rsidR="00AA5781">
        <w:rPr>
          <w:rFonts w:ascii="Book Antiqua" w:hAnsi="Book Antiqua"/>
          <w:lang w:val="it-IT"/>
        </w:rPr>
        <w:t>. Difatti, un’altra delle previsioni della proposta di Regolamento è l’istituzione di un</w:t>
      </w:r>
      <w:r>
        <w:rPr>
          <w:rFonts w:ascii="Book Antiqua" w:hAnsi="Book Antiqua"/>
          <w:lang w:val="it-IT"/>
        </w:rPr>
        <w:t>o</w:t>
      </w:r>
      <w:r w:rsidR="00AA5781">
        <w:rPr>
          <w:rFonts w:ascii="Book Antiqua" w:hAnsi="Book Antiqua"/>
          <w:lang w:val="it-IT"/>
        </w:rPr>
        <w:t xml:space="preserve"> </w:t>
      </w:r>
      <w:r w:rsidR="00B750CD" w:rsidRPr="00AA5781">
        <w:rPr>
          <w:rFonts w:ascii="Book Antiqua" w:hAnsi="Book Antiqua"/>
          <w:i/>
          <w:iCs/>
          <w:lang w:val="it-IT"/>
        </w:rPr>
        <w:t>European AI Board</w:t>
      </w:r>
      <w:r>
        <w:rPr>
          <w:rFonts w:ascii="Book Antiqua" w:hAnsi="Book Antiqua"/>
          <w:lang w:val="it-IT"/>
        </w:rPr>
        <w:t xml:space="preserve">: </w:t>
      </w:r>
      <w:r w:rsidR="00AA5781">
        <w:rPr>
          <w:rFonts w:ascii="Book Antiqua" w:hAnsi="Book Antiqua"/>
          <w:lang w:val="it-IT"/>
        </w:rPr>
        <w:t xml:space="preserve">una nuova autorità che, assieme alla </w:t>
      </w:r>
      <w:r w:rsidR="00B750CD" w:rsidRPr="00B750CD">
        <w:rPr>
          <w:rFonts w:ascii="Book Antiqua" w:hAnsi="Book Antiqua"/>
          <w:lang w:val="it-IT"/>
        </w:rPr>
        <w:t>Commissione</w:t>
      </w:r>
      <w:r w:rsidR="00AA5781">
        <w:rPr>
          <w:rFonts w:ascii="Book Antiqua" w:hAnsi="Book Antiqua"/>
          <w:lang w:val="it-IT"/>
        </w:rPr>
        <w:t xml:space="preserve"> Europea</w:t>
      </w:r>
      <w:r w:rsidR="00B750CD" w:rsidRPr="00B750CD">
        <w:rPr>
          <w:rFonts w:ascii="Book Antiqua" w:hAnsi="Book Antiqua"/>
          <w:lang w:val="it-IT"/>
        </w:rPr>
        <w:t xml:space="preserve">, </w:t>
      </w:r>
      <w:r w:rsidR="00AA5781">
        <w:rPr>
          <w:rFonts w:ascii="Book Antiqua" w:hAnsi="Book Antiqua"/>
          <w:lang w:val="it-IT"/>
        </w:rPr>
        <w:t xml:space="preserve">e </w:t>
      </w:r>
      <w:r w:rsidR="00B750CD" w:rsidRPr="00B750CD">
        <w:rPr>
          <w:rFonts w:ascii="Book Antiqua" w:hAnsi="Book Antiqua"/>
          <w:lang w:val="it-IT"/>
        </w:rPr>
        <w:t>in stretta collaborazione con l'industria</w:t>
      </w:r>
      <w:r w:rsidR="00AA5781">
        <w:rPr>
          <w:rFonts w:ascii="Book Antiqua" w:hAnsi="Book Antiqua"/>
          <w:lang w:val="it-IT"/>
        </w:rPr>
        <w:t xml:space="preserve"> tecnologica,</w:t>
      </w:r>
      <w:r w:rsidR="00B750CD" w:rsidRPr="00B750CD">
        <w:rPr>
          <w:rFonts w:ascii="Book Antiqua" w:hAnsi="Book Antiqua"/>
          <w:lang w:val="it-IT"/>
        </w:rPr>
        <w:t xml:space="preserve"> </w:t>
      </w:r>
      <w:r w:rsidR="00AA5781">
        <w:rPr>
          <w:rFonts w:ascii="Book Antiqua" w:hAnsi="Book Antiqua"/>
          <w:lang w:val="it-IT"/>
        </w:rPr>
        <w:t>dovranno</w:t>
      </w:r>
      <w:r w:rsidR="00B750CD" w:rsidRPr="00B750CD">
        <w:rPr>
          <w:rFonts w:ascii="Book Antiqua" w:hAnsi="Book Antiqua"/>
          <w:lang w:val="it-IT"/>
        </w:rPr>
        <w:t xml:space="preserve"> svolgere un ruolo chiave nel coordinare e consigliare gli Stati membri, </w:t>
      </w:r>
      <w:r w:rsidR="00AA5781">
        <w:rPr>
          <w:rFonts w:ascii="Book Antiqua" w:hAnsi="Book Antiqua"/>
          <w:lang w:val="it-IT"/>
        </w:rPr>
        <w:t xml:space="preserve">i quali, d’altro canto, dovranno possedere </w:t>
      </w:r>
      <w:r w:rsidR="00B750CD" w:rsidRPr="00B750CD">
        <w:rPr>
          <w:rFonts w:ascii="Book Antiqua" w:hAnsi="Book Antiqua"/>
          <w:lang w:val="it-IT"/>
        </w:rPr>
        <w:t>i poteri necessari per assicurare un'applicazione coerente</w:t>
      </w:r>
      <w:r w:rsidR="00AA5781">
        <w:rPr>
          <w:rFonts w:ascii="Book Antiqua" w:hAnsi="Book Antiqua"/>
          <w:lang w:val="it-IT"/>
        </w:rPr>
        <w:t xml:space="preserve"> del Regolamento.</w:t>
      </w:r>
      <w:r w:rsidR="00482108">
        <w:rPr>
          <w:rFonts w:ascii="Book Antiqua" w:hAnsi="Book Antiqua"/>
          <w:lang w:val="it-IT"/>
        </w:rPr>
        <w:t xml:space="preserve"> </w:t>
      </w:r>
    </w:p>
    <w:p w14:paraId="51BBAFCA" w14:textId="4475D3E1" w:rsidR="00834F57" w:rsidRPr="00763D91" w:rsidRDefault="00763D91" w:rsidP="00763D91">
      <w:pPr>
        <w:spacing w:line="360" w:lineRule="auto"/>
        <w:jc w:val="both"/>
        <w:rPr>
          <w:rFonts w:ascii="Book Antiqua" w:hAnsi="Book Antiqua"/>
          <w:lang w:val="it-IT"/>
        </w:rPr>
      </w:pPr>
      <w:r w:rsidRPr="00763D91">
        <w:rPr>
          <w:rFonts w:ascii="Book Antiqua" w:hAnsi="Book Antiqua"/>
          <w:lang w:val="it-IT"/>
        </w:rPr>
        <w:t>La mancanza di raccordo che si è voluto evidenziare emerge anche con riguardo alla scelta della definizione di “sistemi di IA”. Quella proposta dall’art. 3 del Regolamento è: “software sviluppato con una o più delle tecniche e degli</w:t>
      </w:r>
      <w:r>
        <w:rPr>
          <w:rFonts w:ascii="Book Antiqua" w:hAnsi="Book Antiqua"/>
          <w:lang w:val="it-IT"/>
        </w:rPr>
        <w:t xml:space="preserve"> </w:t>
      </w:r>
      <w:r w:rsidRPr="00763D91">
        <w:rPr>
          <w:rFonts w:ascii="Book Antiqua" w:hAnsi="Book Antiqua"/>
          <w:lang w:val="it-IT"/>
        </w:rPr>
        <w:t>approcci elencati nell'allegato I, che può, per una determinata serie di obiettivi definiti dall'uomo, generare output quali contenuti, previsioni, raccomandazioni o decisioni che influenzano gli ambienti con cui interagiscono”.  Questa definizione “aperta” sarebbe, come si rileva dall’ explanatory memorandum in apertura della proposta, in grado di garantire la massima conformità ai valori europei.Tuttavia, ad una lettura più attenta, si nota come manchi del tutto il riferimento ai principi</w:t>
      </w:r>
      <w:r>
        <w:rPr>
          <w:rFonts w:ascii="Book Antiqua" w:hAnsi="Book Antiqua"/>
          <w:lang w:val="it-IT"/>
        </w:rPr>
        <w:t xml:space="preserve"> </w:t>
      </w:r>
      <w:r w:rsidRPr="00763D91">
        <w:rPr>
          <w:rFonts w:ascii="Book Antiqua" w:hAnsi="Book Antiqua"/>
          <w:lang w:val="it-IT"/>
        </w:rPr>
        <w:t xml:space="preserve">costituzionali, se non per il richiamo ai termini “umano” e “dignità”. </w:t>
      </w:r>
      <w:r w:rsidR="00834F57" w:rsidRPr="00834F57">
        <w:rPr>
          <w:rFonts w:ascii="Book Antiqua" w:hAnsi="Book Antiqua"/>
          <w:lang w:val="it-IT"/>
        </w:rPr>
        <w:t>Se si legge l’art. 3 (1) in combinato disposto con l’Allegato I, si evince come il termine AI comprende praticamente qualsiasi programma di computer</w:t>
      </w:r>
      <w:r w:rsidR="00834F57">
        <w:rPr>
          <w:rFonts w:ascii="Book Antiqua" w:hAnsi="Book Antiqua"/>
          <w:lang w:val="it-IT"/>
        </w:rPr>
        <w:t xml:space="preserve">, definendo in modo quanto meno ampio (e, dunque, discrezionale), cosa debba essere ricompreso al suo interno, e cosa no. </w:t>
      </w:r>
      <w:r w:rsidR="00834F57" w:rsidRPr="006B2C69">
        <w:rPr>
          <w:rFonts w:ascii="Book Antiqua" w:hAnsi="Book Antiqua"/>
          <w:lang w:val="it-IT"/>
        </w:rPr>
        <w:t>Da un lato, un</w:t>
      </w:r>
      <w:r w:rsidR="00834F57">
        <w:rPr>
          <w:rFonts w:ascii="Book Antiqua" w:hAnsi="Book Antiqua"/>
          <w:lang w:val="it-IT"/>
        </w:rPr>
        <w:t>’</w:t>
      </w:r>
      <w:r w:rsidR="00834F57" w:rsidRPr="006B2C69">
        <w:rPr>
          <w:rFonts w:ascii="Book Antiqua" w:hAnsi="Book Antiqua"/>
          <w:lang w:val="it-IT"/>
        </w:rPr>
        <w:t xml:space="preserve">ampia definizione di </w:t>
      </w:r>
      <w:r w:rsidR="00834F57">
        <w:rPr>
          <w:rFonts w:ascii="Book Antiqua" w:hAnsi="Book Antiqua"/>
          <w:lang w:val="it-IT"/>
        </w:rPr>
        <w:t>“</w:t>
      </w:r>
      <w:r w:rsidR="00834F57" w:rsidRPr="006B2C69">
        <w:rPr>
          <w:rFonts w:ascii="Book Antiqua" w:hAnsi="Book Antiqua"/>
          <w:lang w:val="it-IT"/>
        </w:rPr>
        <w:t xml:space="preserve">sistemi </w:t>
      </w:r>
      <w:r w:rsidR="00834F57">
        <w:rPr>
          <w:rFonts w:ascii="Book Antiqua" w:hAnsi="Book Antiqua"/>
          <w:lang w:val="it-IT"/>
        </w:rPr>
        <w:t>IA”</w:t>
      </w:r>
      <w:r w:rsidR="00834F57" w:rsidRPr="006B2C69">
        <w:rPr>
          <w:rFonts w:ascii="Book Antiqua" w:hAnsi="Book Antiqua"/>
          <w:lang w:val="it-IT"/>
        </w:rPr>
        <w:t xml:space="preserve"> può essere giustificata alla luce delle </w:t>
      </w:r>
      <w:r w:rsidR="00834F57" w:rsidRPr="006B2C69">
        <w:rPr>
          <w:rFonts w:ascii="Book Antiqua" w:hAnsi="Book Antiqua"/>
          <w:lang w:val="it-IT"/>
        </w:rPr>
        <w:lastRenderedPageBreak/>
        <w:t>pratiche vietate AI delineate nell</w:t>
      </w:r>
      <w:r w:rsidR="00834F57">
        <w:rPr>
          <w:rFonts w:ascii="Book Antiqua" w:hAnsi="Book Antiqua"/>
          <w:lang w:val="it-IT"/>
        </w:rPr>
        <w:t>’</w:t>
      </w:r>
      <w:r w:rsidR="00834F57" w:rsidRPr="006B2C69">
        <w:rPr>
          <w:rFonts w:ascii="Book Antiqua" w:hAnsi="Book Antiqua"/>
          <w:lang w:val="it-IT"/>
        </w:rPr>
        <w:t xml:space="preserve">art. 5 AIA per compensare le minacce poste da diversi tipi di software ai diritti fondamentali degli individui. </w:t>
      </w:r>
      <w:r w:rsidR="00834F57">
        <w:rPr>
          <w:rFonts w:ascii="Book Antiqua" w:hAnsi="Book Antiqua"/>
          <w:lang w:val="it-IT"/>
        </w:rPr>
        <w:t xml:space="preserve">Il discrimine in questo caso non dovrebbe essere sul fatto che tali pratiche vietate sono abilitate dall’apprendimento automatico o logico, quanto piuttosto dal pericolo che pongono ai diritti dei cittadini interessati. </w:t>
      </w:r>
      <w:r w:rsidR="00834F57" w:rsidRPr="006B2C69">
        <w:rPr>
          <w:rFonts w:ascii="Book Antiqua" w:hAnsi="Book Antiqua"/>
          <w:lang w:val="it-IT"/>
        </w:rPr>
        <w:t xml:space="preserve">I requisiti obbligatori previsti per questi sistemi nel titolo III, capitolo 2, si basano sull'osservazione che un certo numero di diritti fondamentali sono influenzati negativamente, in particolare, dalle caratteristiche speciali </w:t>
      </w:r>
      <w:r w:rsidR="00834F57">
        <w:rPr>
          <w:rFonts w:ascii="Book Antiqua" w:hAnsi="Book Antiqua"/>
          <w:lang w:val="it-IT"/>
        </w:rPr>
        <w:t xml:space="preserve">del </w:t>
      </w:r>
      <w:r w:rsidR="00834F57">
        <w:rPr>
          <w:rFonts w:ascii="Book Antiqua" w:hAnsi="Book Antiqua"/>
          <w:i/>
          <w:iCs/>
          <w:lang w:val="it-IT"/>
        </w:rPr>
        <w:t>machine learning</w:t>
      </w:r>
      <w:r w:rsidR="00834F57" w:rsidRPr="006B2C69">
        <w:rPr>
          <w:rFonts w:ascii="Book Antiqua" w:hAnsi="Book Antiqua"/>
          <w:lang w:val="it-IT"/>
        </w:rPr>
        <w:t>, come l'opacità, la complessità, la dipendenza dai dati</w:t>
      </w:r>
      <w:r w:rsidR="00834F57">
        <w:rPr>
          <w:rFonts w:ascii="Book Antiqua" w:hAnsi="Book Antiqua"/>
          <w:lang w:val="it-IT"/>
        </w:rPr>
        <w:t xml:space="preserve">. </w:t>
      </w:r>
      <w:r w:rsidR="00834F57" w:rsidRPr="006B2C69">
        <w:rPr>
          <w:rFonts w:ascii="Book Antiqua" w:hAnsi="Book Antiqua"/>
          <w:lang w:val="it-IT"/>
        </w:rPr>
        <w:t>Poiché queste caratter</w:t>
      </w:r>
      <w:r w:rsidR="00834F57">
        <w:rPr>
          <w:rFonts w:ascii="Book Antiqua" w:hAnsi="Book Antiqua"/>
          <w:lang w:val="it-IT"/>
        </w:rPr>
        <w:t>i</w:t>
      </w:r>
      <w:r w:rsidR="00834F57" w:rsidRPr="006B2C69">
        <w:rPr>
          <w:rFonts w:ascii="Book Antiqua" w:hAnsi="Book Antiqua"/>
          <w:lang w:val="it-IT"/>
        </w:rPr>
        <w:t>stiche non sono presenti, o lo sono solo in parte, nei semplici algoritmi (basati sulla logica), l</w:t>
      </w:r>
      <w:r w:rsidR="00834F57">
        <w:rPr>
          <w:rFonts w:ascii="Book Antiqua" w:hAnsi="Book Antiqua"/>
          <w:lang w:val="it-IT"/>
        </w:rPr>
        <w:t>’</w:t>
      </w:r>
      <w:r w:rsidR="00834F57" w:rsidRPr="006B2C69">
        <w:rPr>
          <w:rFonts w:ascii="Book Antiqua" w:hAnsi="Book Antiqua"/>
          <w:lang w:val="it-IT"/>
        </w:rPr>
        <w:t xml:space="preserve">ampia definizione di IA </w:t>
      </w:r>
      <w:r w:rsidR="00834F57">
        <w:rPr>
          <w:rFonts w:ascii="Book Antiqua" w:hAnsi="Book Antiqua"/>
          <w:lang w:val="it-IT"/>
        </w:rPr>
        <w:t>potrebbe portare</w:t>
      </w:r>
      <w:r w:rsidR="00834F57" w:rsidRPr="006B2C69">
        <w:rPr>
          <w:rFonts w:ascii="Book Antiqua" w:hAnsi="Book Antiqua"/>
          <w:lang w:val="it-IT"/>
        </w:rPr>
        <w:t xml:space="preserve"> potenzialmente a una regolamentazione eccessiva.</w:t>
      </w:r>
    </w:p>
    <w:p w14:paraId="299E8D16" w14:textId="6FA575A9" w:rsidR="00A31C24" w:rsidRPr="00A31C24" w:rsidRDefault="00834F57" w:rsidP="00A31C24">
      <w:pPr>
        <w:spacing w:line="360" w:lineRule="auto"/>
        <w:jc w:val="both"/>
        <w:rPr>
          <w:rFonts w:ascii="Book Antiqua" w:hAnsi="Book Antiqua"/>
          <w:lang w:val="it-IT"/>
        </w:rPr>
      </w:pPr>
      <w:r>
        <w:rPr>
          <w:rFonts w:ascii="Book Antiqua" w:hAnsi="Book Antiqua"/>
          <w:lang w:val="it-IT"/>
        </w:rPr>
        <w:t xml:space="preserve">Un altro aspetto che desidero menzionare riguarda il coinvolgimento degli Stati Membri </w:t>
      </w:r>
      <w:r w:rsidR="00290EE9">
        <w:rPr>
          <w:rFonts w:ascii="Book Antiqua" w:hAnsi="Book Antiqua"/>
          <w:lang w:val="it-IT"/>
        </w:rPr>
        <w:t>nel</w:t>
      </w:r>
      <w:r w:rsidRPr="00834F57">
        <w:rPr>
          <w:rFonts w:ascii="Book Antiqua" w:hAnsi="Book Antiqua"/>
          <w:lang w:val="it-IT"/>
        </w:rPr>
        <w:t xml:space="preserve"> prevedere la possibilità di autorizzare in tutto o in parte l'uso di sistemi di identificazione biometrica remota "in tempo reale" in spazi accessibili al pubblico a fini di attività di contrasto, entro i limiti e alle condizioni di cui al paragrafo 1, lettera d), e ai paragrafi 2 e 3. </w:t>
      </w:r>
      <w:r w:rsidR="00F5363A" w:rsidRPr="00F5363A">
        <w:rPr>
          <w:rFonts w:ascii="Book Antiqua" w:hAnsi="Book Antiqua"/>
          <w:lang w:val="it-IT"/>
        </w:rPr>
        <w:t>A questo riguardo, giova ricordare che l’Italia ha recentemente previsto la sospensione di utilizzazione e installazione di impianti di videosorveglianza con sistemi di riconoscimento facciale operanti attraverso l'uso di dati biometrici fino al 2023 (si veda art. 9 co. 9 Decreto Capienze, DL 139/2021)</w:t>
      </w:r>
      <w:r w:rsidR="00F5363A">
        <w:rPr>
          <w:rFonts w:ascii="Book Antiqua" w:hAnsi="Book Antiqua"/>
          <w:lang w:val="it-IT"/>
        </w:rPr>
        <w:t xml:space="preserve">. Una decisione che potrebbe entrare in contrasto con l’impianto delineato dall’AI Act. </w:t>
      </w:r>
      <w:r w:rsidR="00A31C24">
        <w:rPr>
          <w:rFonts w:ascii="Book Antiqua" w:hAnsi="Book Antiqua"/>
          <w:lang w:val="it-IT"/>
        </w:rPr>
        <w:t>Il Regolamento, difatti, pur vietando in via generale l</w:t>
      </w:r>
      <w:r w:rsidR="00A31C24" w:rsidRPr="00A31C24">
        <w:rPr>
          <w:rFonts w:ascii="Book Antiqua" w:hAnsi="Book Antiqua"/>
          <w:lang w:val="it-IT"/>
        </w:rPr>
        <w:t xml:space="preserve">’utilizzo di </w:t>
      </w:r>
      <w:r w:rsidR="00A31C24" w:rsidRPr="00A31C24">
        <w:rPr>
          <w:rFonts w:ascii="Book Antiqua" w:hAnsi="Book Antiqua"/>
          <w:i/>
          <w:iCs/>
          <w:lang w:val="it-IT"/>
        </w:rPr>
        <w:t>biometric identification systems</w:t>
      </w:r>
      <w:r w:rsidR="00A31C24">
        <w:rPr>
          <w:rFonts w:ascii="Book Antiqua" w:hAnsi="Book Antiqua"/>
          <w:lang w:val="it-IT"/>
        </w:rPr>
        <w:t xml:space="preserve"> a meno che </w:t>
      </w:r>
      <w:r w:rsidR="00A31C24" w:rsidRPr="00A31C24">
        <w:rPr>
          <w:rFonts w:ascii="Book Antiqua" w:hAnsi="Book Antiqua"/>
          <w:lang w:val="it-IT"/>
        </w:rPr>
        <w:t>tale uso sia strettamente necessari</w:t>
      </w:r>
      <w:r w:rsidR="00A31C24">
        <w:rPr>
          <w:rFonts w:ascii="Book Antiqua" w:hAnsi="Book Antiqua"/>
          <w:lang w:val="it-IT"/>
        </w:rPr>
        <w:t xml:space="preserve">o per </w:t>
      </w:r>
      <w:r w:rsidR="00A31C24" w:rsidRPr="00A31C24">
        <w:rPr>
          <w:rFonts w:ascii="Book Antiqua" w:hAnsi="Book Antiqua"/>
          <w:lang w:val="it-IT"/>
        </w:rPr>
        <w:t>la ricerca mirata di potenziali vittime specifiche di reato, compresi i minori scomparsi; la prevenzione di una minaccia specifica, sostanziale e imminente per la vita o l'incolumità fisica delle persone fisiche o di un attacco terroristico;</w:t>
      </w:r>
      <w:r w:rsidR="00A31C24">
        <w:rPr>
          <w:rFonts w:ascii="Book Antiqua" w:hAnsi="Book Antiqua"/>
          <w:lang w:val="it-IT"/>
        </w:rPr>
        <w:t xml:space="preserve"> </w:t>
      </w:r>
      <w:r w:rsidR="00A31C24" w:rsidRPr="00A31C24">
        <w:rPr>
          <w:rFonts w:ascii="Book Antiqua" w:hAnsi="Book Antiqua"/>
          <w:lang w:val="it-IT"/>
        </w:rPr>
        <w:t>il rilevamento, la localizzazione, l'identificazione o l'azione penale nei confronti di un autore o un sospettato di un reato</w:t>
      </w:r>
      <w:r w:rsidR="00A31C24">
        <w:rPr>
          <w:rFonts w:ascii="Book Antiqua" w:hAnsi="Book Antiqua"/>
          <w:lang w:val="it-IT"/>
        </w:rPr>
        <w:t>. Dunque, è possibile parlare di una certa apertura nelle eccezioni delineate dalla Commissione, in cui gli Stati Membri possono definirne l’utilizzo</w:t>
      </w:r>
      <w:r w:rsidR="00A31C24" w:rsidRPr="00A31C24">
        <w:rPr>
          <w:rFonts w:ascii="Book Antiqua" w:hAnsi="Book Antiqua"/>
          <w:i/>
          <w:iCs/>
          <w:lang w:val="it-IT"/>
        </w:rPr>
        <w:t xml:space="preserve"> </w:t>
      </w:r>
      <w:r w:rsidR="00A31C24" w:rsidRPr="00A31C24">
        <w:rPr>
          <w:rFonts w:ascii="Book Antiqua" w:hAnsi="Book Antiqua"/>
          <w:lang w:val="it-IT"/>
        </w:rPr>
        <w:t>per scopi di pubblica sicurezza/</w:t>
      </w:r>
      <w:r w:rsidR="00A31C24" w:rsidRPr="00A31C24">
        <w:rPr>
          <w:rFonts w:ascii="Book Antiqua" w:hAnsi="Book Antiqua"/>
          <w:i/>
          <w:iCs/>
          <w:lang w:val="it-IT"/>
        </w:rPr>
        <w:t xml:space="preserve">law enforcement, </w:t>
      </w:r>
      <w:r w:rsidR="00A31C24">
        <w:rPr>
          <w:rFonts w:ascii="Book Antiqua" w:hAnsi="Book Antiqua"/>
          <w:lang w:val="it-IT"/>
        </w:rPr>
        <w:t xml:space="preserve">come </w:t>
      </w:r>
      <w:r w:rsidR="00A31C24" w:rsidRPr="00A31C24">
        <w:rPr>
          <w:rFonts w:ascii="Book Antiqua" w:hAnsi="Book Antiqua"/>
          <w:lang w:val="it-IT"/>
        </w:rPr>
        <w:t>delineati anche dall’omonima Direttiva</w:t>
      </w:r>
      <w:r w:rsidR="00A31C24">
        <w:rPr>
          <w:rFonts w:ascii="Book Antiqua" w:hAnsi="Book Antiqua"/>
          <w:lang w:val="it-IT"/>
        </w:rPr>
        <w:t>. Non salvaguarda nemmeno il paragrafo 3 dell’art. 4, ove si prevede che “</w:t>
      </w:r>
      <w:r w:rsidR="00A31C24" w:rsidRPr="00A31C24">
        <w:rPr>
          <w:rFonts w:ascii="Book Antiqua" w:hAnsi="Book Antiqua"/>
          <w:lang w:val="it-IT"/>
        </w:rPr>
        <w:t xml:space="preserve">ogni singolo uso di un sistema di identificazione biometrica remota "in tempo reale" in spazi accessibili al pubblico a fini di attività di contrasto è subordinato a un'autorizzazione preventiva rilasciata da un'autorità giudiziaria o da un'autorità amministrativa indipendente dello Stato membro in cui deve avvenire l'uso, rilasciata su richiesta motivata e in conformità alle regole dettagliate del diritto nazionale di cui al </w:t>
      </w:r>
      <w:r w:rsidR="00A31C24" w:rsidRPr="00A31C24">
        <w:rPr>
          <w:rFonts w:ascii="Book Antiqua" w:hAnsi="Book Antiqua"/>
          <w:lang w:val="it-IT"/>
        </w:rPr>
        <w:lastRenderedPageBreak/>
        <w:t>paragrafo 4. Tuttavia, in una situazione di urgenza debitamente giustificata, è possibile iniziare a usare il sistema senza autorizzazione e richiedere l'autorizzazione solo durante o dopo l'uso</w:t>
      </w:r>
      <w:r w:rsidR="00A31C24">
        <w:rPr>
          <w:rFonts w:ascii="Book Antiqua" w:hAnsi="Book Antiqua"/>
          <w:lang w:val="it-IT"/>
        </w:rPr>
        <w:t>”.</w:t>
      </w:r>
    </w:p>
    <w:p w14:paraId="11FD27F0" w14:textId="03EE579A" w:rsidR="00A31C24" w:rsidRDefault="00834F57" w:rsidP="00A31C24">
      <w:pPr>
        <w:spacing w:line="360" w:lineRule="auto"/>
        <w:jc w:val="both"/>
        <w:rPr>
          <w:rFonts w:ascii="Book Antiqua" w:hAnsi="Book Antiqua"/>
          <w:lang w:val="it-IT"/>
        </w:rPr>
      </w:pPr>
      <w:r>
        <w:rPr>
          <w:rFonts w:ascii="Book Antiqua" w:hAnsi="Book Antiqua"/>
          <w:lang w:val="it-IT"/>
        </w:rPr>
        <w:t xml:space="preserve">Tale apertura, oltre a comportare una serie di problematiche dal punto di vista dei diritti degli individui, ha delle conseguenze, come si diceva prima, anche sul piano del mercato interno, in quanto andrebbe a favorire la frammentazione dell’utilizzo di questi strumenti invasivi e, dunque, la commercializzazione di essi in alcune aree dell’Unione a scapito di </w:t>
      </w:r>
      <w:r w:rsidR="00A31C24">
        <w:rPr>
          <w:rFonts w:ascii="Book Antiqua" w:hAnsi="Book Antiqua"/>
          <w:lang w:val="it-IT"/>
        </w:rPr>
        <w:t xml:space="preserve">altre. Si osserva in tal caso che la proibizione di alcuni usi, a differenza di altri, non viene ben giustificata in nessun tipo. Difatti, senza fare distinzione tra pubblico e privato, se si vogliono abolire determinate pratiche considerate pericolose per i diritti fondamentali degli individui, allora dovrebbero essere applicata tale proibizione </w:t>
      </w:r>
      <w:r w:rsidR="00A31C24" w:rsidRPr="008E60B8">
        <w:rPr>
          <w:rFonts w:ascii="Book Antiqua" w:hAnsi="Book Antiqua"/>
          <w:lang w:val="it-IT"/>
        </w:rPr>
        <w:t>dovrebbe essere applicabile a tutti gli usi dei sistemi di IA biometrica - pubblici o privati.</w:t>
      </w:r>
      <w:r w:rsidR="00A31C24">
        <w:rPr>
          <w:rFonts w:ascii="Book Antiqua" w:hAnsi="Book Antiqua"/>
          <w:i/>
          <w:iCs/>
          <w:lang w:val="it-IT"/>
        </w:rPr>
        <w:t xml:space="preserve"> </w:t>
      </w:r>
      <w:r w:rsidR="00A31C24" w:rsidRPr="008E60B8">
        <w:rPr>
          <w:rFonts w:ascii="Book Antiqua" w:hAnsi="Book Antiqua"/>
          <w:lang w:val="it-IT"/>
        </w:rPr>
        <w:t xml:space="preserve">Inoltre, le eccezioni </w:t>
      </w:r>
      <w:r w:rsidR="00A31C24">
        <w:rPr>
          <w:rFonts w:ascii="Book Antiqua" w:hAnsi="Book Antiqua"/>
          <w:lang w:val="it-IT"/>
        </w:rPr>
        <w:t xml:space="preserve">individuate dalla Commissione </w:t>
      </w:r>
      <w:r w:rsidR="00A31C24" w:rsidRPr="008E60B8">
        <w:rPr>
          <w:rFonts w:ascii="Book Antiqua" w:hAnsi="Book Antiqua"/>
          <w:lang w:val="it-IT"/>
        </w:rPr>
        <w:t>sono troppo ampie, poiché la proposta stabilisce eccezioni non solo per la ricerca di vittime di crimini e la prevenzione di attacchi terroristici, ma anche per l'individuazione di sospetti criminali interessati da una pena detentiva di tre anni</w:t>
      </w:r>
      <w:r w:rsidR="00A31C24">
        <w:rPr>
          <w:rFonts w:ascii="Book Antiqua" w:hAnsi="Book Antiqua"/>
          <w:lang w:val="it-IT"/>
        </w:rPr>
        <w:t>. Tale aspetto è di una certa criticità anche secondo l’EDPBS che recentemente ha ordinato all’Europol di cancellare i dati raccolti da individui per i quali non hanno riscontrato alcun legame di attività criminale.</w:t>
      </w:r>
    </w:p>
    <w:p w14:paraId="57513E75" w14:textId="0DDD3F94" w:rsidR="00ED0447" w:rsidRDefault="00A31C24" w:rsidP="00601297">
      <w:pPr>
        <w:spacing w:line="360" w:lineRule="auto"/>
        <w:jc w:val="both"/>
        <w:rPr>
          <w:rFonts w:ascii="Book Antiqua" w:hAnsi="Book Antiqua"/>
          <w:lang w:val="it-IT"/>
        </w:rPr>
      </w:pPr>
      <w:r>
        <w:rPr>
          <w:rFonts w:ascii="Book Antiqua" w:hAnsi="Book Antiqua"/>
          <w:lang w:val="it-IT"/>
        </w:rPr>
        <w:t>E, venendo anche all’ultimo spettro di problematiche, occorre rammentare che si sta trattando di dati considerati dalla normativa a protezione dei dati personali</w:t>
      </w:r>
      <w:r w:rsidR="00822696">
        <w:rPr>
          <w:rFonts w:ascii="Book Antiqua" w:hAnsi="Book Antiqua"/>
          <w:lang w:val="it-IT"/>
        </w:rPr>
        <w:t>, in particolare dall’art. 9 del GDPR,</w:t>
      </w:r>
      <w:r>
        <w:rPr>
          <w:rFonts w:ascii="Book Antiqua" w:hAnsi="Book Antiqua"/>
          <w:lang w:val="it-IT"/>
        </w:rPr>
        <w:t xml:space="preserve"> dati sensibili</w:t>
      </w:r>
      <w:r w:rsidR="00822696">
        <w:rPr>
          <w:rFonts w:ascii="Book Antiqua" w:hAnsi="Book Antiqua"/>
          <w:lang w:val="it-IT"/>
        </w:rPr>
        <w:t>. Per questa ragione,</w:t>
      </w:r>
      <w:r>
        <w:rPr>
          <w:rFonts w:ascii="Book Antiqua" w:hAnsi="Book Antiqua"/>
          <w:lang w:val="it-IT"/>
        </w:rPr>
        <w:t xml:space="preserve"> possono essere processati alla presenza di determinati requisiti</w:t>
      </w:r>
      <w:r w:rsidR="00822696">
        <w:rPr>
          <w:rFonts w:ascii="Book Antiqua" w:hAnsi="Book Antiqua"/>
          <w:lang w:val="it-IT"/>
        </w:rPr>
        <w:t xml:space="preserve">, </w:t>
      </w:r>
      <w:r w:rsidR="00BB0D70">
        <w:rPr>
          <w:rFonts w:ascii="Book Antiqua" w:hAnsi="Book Antiqua"/>
          <w:lang w:val="it-IT"/>
        </w:rPr>
        <w:t>oltre che</w:t>
      </w:r>
      <w:r w:rsidR="00822696">
        <w:rPr>
          <w:rFonts w:ascii="Book Antiqua" w:hAnsi="Book Antiqua"/>
          <w:lang w:val="it-IT"/>
        </w:rPr>
        <w:t xml:space="preserve"> </w:t>
      </w:r>
      <w:r w:rsidR="00BB0D70">
        <w:rPr>
          <w:rFonts w:ascii="Book Antiqua" w:hAnsi="Book Antiqua"/>
          <w:lang w:val="it-IT"/>
        </w:rPr>
        <w:t>previa</w:t>
      </w:r>
      <w:r w:rsidR="00822696">
        <w:rPr>
          <w:rFonts w:ascii="Book Antiqua" w:hAnsi="Book Antiqua"/>
          <w:lang w:val="it-IT"/>
        </w:rPr>
        <w:t xml:space="preserve"> </w:t>
      </w:r>
      <w:r w:rsidR="00BB0D70">
        <w:rPr>
          <w:rFonts w:ascii="Book Antiqua" w:hAnsi="Book Antiqua"/>
          <w:lang w:val="it-IT"/>
        </w:rPr>
        <w:t>i</w:t>
      </w:r>
      <w:r w:rsidR="00822696">
        <w:rPr>
          <w:rFonts w:ascii="Book Antiqua" w:hAnsi="Book Antiqua"/>
          <w:lang w:val="it-IT"/>
        </w:rPr>
        <w:t>ndividuazione in una corretta base giuridica del trattamento (ex art. 6 del GDPR)</w:t>
      </w:r>
      <w:r w:rsidR="00BB0D70">
        <w:rPr>
          <w:rFonts w:ascii="Book Antiqua" w:hAnsi="Book Antiqua"/>
          <w:lang w:val="it-IT"/>
        </w:rPr>
        <w:t>. Tale aspetto sembra entrare in conflitto con la libertà concessa agli Stati Membri di autorizzare utilizzi emergenziali della biometria.</w:t>
      </w:r>
    </w:p>
    <w:p w14:paraId="0C125B3B" w14:textId="1E82ACDC" w:rsidR="00601297" w:rsidRPr="009F50B2" w:rsidRDefault="00BB0D70" w:rsidP="00601297">
      <w:pPr>
        <w:spacing w:line="360" w:lineRule="auto"/>
        <w:jc w:val="both"/>
        <w:rPr>
          <w:rFonts w:ascii="Book Antiqua" w:hAnsi="Book Antiqua"/>
          <w:lang w:val="it-IT"/>
        </w:rPr>
      </w:pPr>
      <w:r>
        <w:rPr>
          <w:rFonts w:ascii="Book Antiqua" w:hAnsi="Book Antiqua"/>
          <w:lang w:val="it-IT"/>
        </w:rPr>
        <w:t>Inoltre, all’interno</w:t>
      </w:r>
      <w:r w:rsidR="00FB52C6">
        <w:rPr>
          <w:rFonts w:ascii="Book Antiqua" w:hAnsi="Book Antiqua"/>
          <w:lang w:val="it-IT"/>
        </w:rPr>
        <w:t xml:space="preserve"> della normativa a protezione dei dati personali, è possibile rintracciare un obbligo/diritto molto specifico. L’art. 22 del GDPR prevede che “l’</w:t>
      </w:r>
      <w:r w:rsidR="00FB52C6" w:rsidRPr="00FB52C6">
        <w:rPr>
          <w:rFonts w:ascii="Book Antiqua" w:hAnsi="Book Antiqua"/>
          <w:lang w:val="it-IT"/>
        </w:rPr>
        <w:t>interessato ha il diritto di non essere sottoposto a una decisione basata unicamente sul trattamento automatizzato, compresa la profilazione, che produca effetti giuridici che lo riguardano o che incida in modo analogo significativamente sulla sua persona</w:t>
      </w:r>
      <w:r w:rsidR="00FB52C6">
        <w:rPr>
          <w:rFonts w:ascii="Book Antiqua" w:hAnsi="Book Antiqua"/>
          <w:lang w:val="it-IT"/>
        </w:rPr>
        <w:t xml:space="preserve">”. </w:t>
      </w:r>
      <w:r w:rsidR="00601297">
        <w:rPr>
          <w:rFonts w:ascii="Book Antiqua" w:hAnsi="Book Antiqua"/>
          <w:lang w:val="it-IT"/>
        </w:rPr>
        <w:t>Pertanto, tale norma assegna all’interessato il diritto di rifiutare l’essere sottoposto a una decisione automatizzata. I problemi con questo articolo sono già allo stato dell’arte numerosi con l’IA, primo per la sua implementazione</w:t>
      </w:r>
      <w:r w:rsidR="00572A9C">
        <w:rPr>
          <w:rFonts w:ascii="Book Antiqua" w:hAnsi="Book Antiqua"/>
          <w:lang w:val="it-IT"/>
        </w:rPr>
        <w:t xml:space="preserve">, secondo perché non troviamo un suo effettivo corrispettivo nella </w:t>
      </w:r>
      <w:r w:rsidR="00572A9C">
        <w:rPr>
          <w:rFonts w:ascii="Book Antiqua" w:hAnsi="Book Antiqua"/>
          <w:lang w:val="it-IT"/>
        </w:rPr>
        <w:lastRenderedPageBreak/>
        <w:t>proposta di Regolamento. Difatti, l</w:t>
      </w:r>
      <w:r w:rsidR="00601297" w:rsidRPr="00601297">
        <w:rPr>
          <w:rFonts w:ascii="Book Antiqua" w:hAnsi="Book Antiqua"/>
          <w:lang w:val="it-IT"/>
        </w:rPr>
        <w:t xml:space="preserve">’art. 22 (1) introduce un meccanismo di contestazione, stabilendo il diritto a non essere soggetti a una decisione basata unicamente su un trattamento automatizzato, </w:t>
      </w:r>
      <w:r w:rsidR="00572A9C">
        <w:rPr>
          <w:rFonts w:ascii="Book Antiqua" w:hAnsi="Book Antiqua"/>
          <w:lang w:val="it-IT"/>
        </w:rPr>
        <w:t xml:space="preserve">e il mancato raccordo con l’IA potrebbe essere problematico in quanto quest’ultima </w:t>
      </w:r>
      <w:r w:rsidR="00601297" w:rsidRPr="00601297">
        <w:rPr>
          <w:rFonts w:ascii="Book Antiqua" w:hAnsi="Book Antiqua"/>
          <w:lang w:val="it-IT"/>
        </w:rPr>
        <w:t xml:space="preserve">possiede un ambito di applicazione ben più vasto raccogliendo sia dati personali sia dati non personali; secondariamente, quando in contatto con sistemi automatizzati particolarmente complessi, come, ad esempio, il riconoscimento facciale, </w:t>
      </w:r>
      <w:r w:rsidR="00572A9C">
        <w:rPr>
          <w:rFonts w:ascii="Book Antiqua" w:hAnsi="Book Antiqua"/>
          <w:lang w:val="it-IT"/>
        </w:rPr>
        <w:t xml:space="preserve">di cui si è detto sopra, </w:t>
      </w:r>
      <w:r w:rsidR="00601297" w:rsidRPr="00601297">
        <w:rPr>
          <w:rFonts w:ascii="Book Antiqua" w:hAnsi="Book Antiqua"/>
          <w:lang w:val="it-IT"/>
        </w:rPr>
        <w:t xml:space="preserve">l’art. 22(3) del GDPR non fornisce una protezione sufficiente in quanto </w:t>
      </w:r>
      <w:r w:rsidR="00572A9C">
        <w:rPr>
          <w:rFonts w:ascii="Book Antiqua" w:hAnsi="Book Antiqua"/>
          <w:lang w:val="it-IT"/>
        </w:rPr>
        <w:t xml:space="preserve">una delle problematicità intrinseche di questo tipo di tecnologie è proprio il fatto che l’interessato non è sempre a conoscenza del fatto che sia stato sottoposto a questo trattamento. </w:t>
      </w:r>
      <w:r w:rsidR="00601297" w:rsidRPr="00601297">
        <w:rPr>
          <w:rFonts w:ascii="Book Antiqua" w:hAnsi="Book Antiqua"/>
          <w:lang w:val="it"/>
        </w:rPr>
        <w:t>L’aspetto che, sicuramente, preoccupa maggiormente è che le tecnologie algoritmiche non forniscono solo un “mezzo” per eseguire una decisione presa da un soggetto umano agente, ma, sempre più spesso, sono esse stesse ad assumere decisioni rilevanti per gli esseri umani e le loro libertà.</w:t>
      </w:r>
    </w:p>
    <w:p w14:paraId="54E39477" w14:textId="256D6DD4" w:rsidR="00601297" w:rsidRDefault="009F50B2" w:rsidP="00FB52C6">
      <w:pPr>
        <w:spacing w:line="360" w:lineRule="auto"/>
        <w:jc w:val="both"/>
        <w:rPr>
          <w:rFonts w:ascii="Book Antiqua" w:hAnsi="Book Antiqua"/>
          <w:lang w:val="it"/>
        </w:rPr>
      </w:pPr>
      <w:r>
        <w:rPr>
          <w:rFonts w:ascii="Book Antiqua" w:hAnsi="Book Antiqua"/>
          <w:lang w:val="it"/>
        </w:rPr>
        <w:t xml:space="preserve">A tale scopo non sembra, difatti, sorreggere la previsione dell’art. 14 della proposta, ossia la predisposizione di una supervisione umana dell’algoritmo. Anzitutto, questa norma non prevede in alcun modo un effetto intervento da parte dei soggetti interessati. </w:t>
      </w:r>
      <w:r w:rsidR="007C0AAB">
        <w:rPr>
          <w:rFonts w:ascii="Book Antiqua" w:hAnsi="Book Antiqua"/>
          <w:lang w:val="it"/>
        </w:rPr>
        <w:t>In secondo luogo, vi sono una serie di impraticabilità dal lato tecnico, nel termine di comprendere appieno da parte di un essere umano le capacità e i limiti di un sistema AI ad alto rischio (si veda l’art. 14 (4)(a) dell’AIA). Tale impraticabilità condurrebbe all’imposizione di un divieto indiretto di utilizzo di tali sistemi: se fosse questa l’intenzione della proposta, dovrebbe essere definita a chiare lettere nell’AIA una direzione di questo tipo anche nell’ottica di chiarire ai fornitori di IA fino a che punto possono usare sistemi di AI ad alto rischio opachi.</w:t>
      </w:r>
    </w:p>
    <w:p w14:paraId="6320E175" w14:textId="20FF8DF8" w:rsidR="009F50B2" w:rsidRPr="009F50B2" w:rsidRDefault="007C0AAB" w:rsidP="009F50B2">
      <w:pPr>
        <w:spacing w:line="360" w:lineRule="auto"/>
        <w:jc w:val="both"/>
        <w:rPr>
          <w:rFonts w:ascii="Book Antiqua" w:hAnsi="Book Antiqua"/>
          <w:lang w:val="it"/>
        </w:rPr>
      </w:pPr>
      <w:r>
        <w:rPr>
          <w:rFonts w:ascii="Book Antiqua" w:hAnsi="Book Antiqua"/>
          <w:lang w:val="it"/>
        </w:rPr>
        <w:t xml:space="preserve">In terzo luogo, l’art. 14 AIA non specifica quando, come e in quale fase del “trattamento” viene richiesta la supervisione umana, nonché sull’effettivo obbligo </w:t>
      </w:r>
      <w:r w:rsidR="00AC7861">
        <w:rPr>
          <w:rFonts w:ascii="Book Antiqua" w:hAnsi="Book Antiqua"/>
          <w:lang w:val="it"/>
        </w:rPr>
        <w:t xml:space="preserve">in capo agli utenti di garantire la supervisione umana. Dal punto di vista tecnico, una </w:t>
      </w:r>
      <w:r w:rsidR="009F50B2" w:rsidRPr="009F50B2">
        <w:rPr>
          <w:rFonts w:ascii="Book Antiqua" w:hAnsi="Book Antiqua"/>
          <w:lang w:val="it"/>
        </w:rPr>
        <w:t>supervisione umana completa deve comportare la supervisione del sistema di IA durante il suo intero ciclo di vita, assicurando misure obbligatorie di trasparenza sull'uso delle applicazioni di IA, comprese le statistiche pubbliche sulle distribuzioni, gli obiettivi, lo scopo e gli sviluppatori.</w:t>
      </w:r>
    </w:p>
    <w:p w14:paraId="042FF6FB" w14:textId="43FE1B31" w:rsidR="009F50B2" w:rsidRDefault="009F50B2" w:rsidP="009F50B2">
      <w:pPr>
        <w:spacing w:line="360" w:lineRule="auto"/>
        <w:jc w:val="both"/>
        <w:rPr>
          <w:rFonts w:ascii="Book Antiqua" w:hAnsi="Book Antiqua"/>
          <w:lang w:val="it"/>
        </w:rPr>
      </w:pPr>
      <w:r w:rsidRPr="009F50B2">
        <w:rPr>
          <w:rFonts w:ascii="Book Antiqua" w:hAnsi="Book Antiqua"/>
          <w:lang w:val="it"/>
        </w:rPr>
        <w:t xml:space="preserve">Le misure previste per garantire la supervisione umana ai sensi dell'art. 14(3) AIA e la disposizione corrispondente </w:t>
      </w:r>
      <w:r w:rsidR="00E979ED">
        <w:rPr>
          <w:rFonts w:ascii="Book Antiqua" w:hAnsi="Book Antiqua"/>
          <w:lang w:val="it"/>
        </w:rPr>
        <w:t>dell’a</w:t>
      </w:r>
      <w:r w:rsidRPr="009F50B2">
        <w:rPr>
          <w:rFonts w:ascii="Book Antiqua" w:hAnsi="Book Antiqua"/>
          <w:lang w:val="it"/>
        </w:rPr>
        <w:t>rt. 14(4) AIA tacciono anche su aspetti come la non discriminazione e l</w:t>
      </w:r>
      <w:r w:rsidR="00E979ED">
        <w:rPr>
          <w:rFonts w:ascii="Book Antiqua" w:hAnsi="Book Antiqua"/>
          <w:lang w:val="it"/>
        </w:rPr>
        <w:t>’e</w:t>
      </w:r>
      <w:r w:rsidRPr="009F50B2">
        <w:rPr>
          <w:rFonts w:ascii="Book Antiqua" w:hAnsi="Book Antiqua"/>
          <w:lang w:val="it"/>
        </w:rPr>
        <w:t>quità. A questo proposito, sarebbe prudente coinvolgere</w:t>
      </w:r>
      <w:r w:rsidR="00E979ED">
        <w:rPr>
          <w:rFonts w:ascii="Book Antiqua" w:hAnsi="Book Antiqua"/>
          <w:lang w:val="it"/>
        </w:rPr>
        <w:t xml:space="preserve"> i</w:t>
      </w:r>
      <w:r w:rsidRPr="009F50B2">
        <w:rPr>
          <w:rFonts w:ascii="Book Antiqua" w:hAnsi="Book Antiqua"/>
          <w:lang w:val="it"/>
        </w:rPr>
        <w:t xml:space="preserve"> </w:t>
      </w:r>
      <w:r w:rsidR="00E979ED">
        <w:rPr>
          <w:rFonts w:ascii="Book Antiqua" w:hAnsi="Book Antiqua"/>
          <w:lang w:val="it"/>
        </w:rPr>
        <w:t>“</w:t>
      </w:r>
      <w:r w:rsidR="00E979ED" w:rsidRPr="00E979ED">
        <w:rPr>
          <w:rFonts w:ascii="Book Antiqua" w:hAnsi="Book Antiqua"/>
          <w:lang w:val="it-IT"/>
        </w:rPr>
        <w:t>National Centers of Expertise on A</w:t>
      </w:r>
      <w:r w:rsidR="00E979ED">
        <w:rPr>
          <w:rFonts w:ascii="Book Antiqua" w:hAnsi="Book Antiqua"/>
          <w:lang w:val="it-IT"/>
        </w:rPr>
        <w:t>I”</w:t>
      </w:r>
      <w:r w:rsidRPr="009F50B2">
        <w:rPr>
          <w:rFonts w:ascii="Book Antiqua" w:hAnsi="Book Antiqua"/>
          <w:lang w:val="it"/>
        </w:rPr>
        <w:t xml:space="preserve"> con un forte impegno e coinvolgimento della società civile, degli </w:t>
      </w:r>
      <w:r w:rsidRPr="009F50B2">
        <w:rPr>
          <w:rFonts w:ascii="Book Antiqua" w:hAnsi="Book Antiqua"/>
          <w:lang w:val="it"/>
        </w:rPr>
        <w:lastRenderedPageBreak/>
        <w:t xml:space="preserve">organismi di uguaglianza e dei diritti umani per fornire input qualitativi alle misure </w:t>
      </w:r>
      <w:r w:rsidR="00E979ED">
        <w:rPr>
          <w:rFonts w:ascii="Book Antiqua" w:hAnsi="Book Antiqua"/>
          <w:lang w:val="it"/>
        </w:rPr>
        <w:t>individuate</w:t>
      </w:r>
      <w:r w:rsidRPr="009F50B2">
        <w:rPr>
          <w:rFonts w:ascii="Book Antiqua" w:hAnsi="Book Antiqua"/>
          <w:lang w:val="it"/>
        </w:rPr>
        <w:t xml:space="preserve"> per garantire la supervisione umana ai sensi dell'art. 14(3) dell</w:t>
      </w:r>
      <w:r w:rsidR="00E979ED">
        <w:rPr>
          <w:rFonts w:ascii="Book Antiqua" w:hAnsi="Book Antiqua"/>
          <w:lang w:val="it"/>
        </w:rPr>
        <w:t>’</w:t>
      </w:r>
      <w:r w:rsidRPr="009F50B2">
        <w:rPr>
          <w:rFonts w:ascii="Book Antiqua" w:hAnsi="Book Antiqua"/>
          <w:lang w:val="it"/>
        </w:rPr>
        <w:t>AIA e proporre una proposta di modifica della legge</w:t>
      </w:r>
      <w:r w:rsidR="00E979ED">
        <w:rPr>
          <w:rFonts w:ascii="Book Antiqua" w:hAnsi="Book Antiqua"/>
          <w:lang w:val="it"/>
        </w:rPr>
        <w:t xml:space="preserve"> che consenta di </w:t>
      </w:r>
      <w:r w:rsidRPr="009F50B2">
        <w:rPr>
          <w:rFonts w:ascii="Book Antiqua" w:hAnsi="Book Antiqua"/>
          <w:lang w:val="it"/>
        </w:rPr>
        <w:t>valutare i pregiudizi nei sistemi di IA.</w:t>
      </w:r>
    </w:p>
    <w:p w14:paraId="41C2D67D" w14:textId="5E9AA729" w:rsidR="00BB0D70" w:rsidRPr="00FA2400" w:rsidRDefault="00BB0D70" w:rsidP="00BB0D70">
      <w:pPr>
        <w:spacing w:line="360" w:lineRule="auto"/>
        <w:jc w:val="both"/>
        <w:rPr>
          <w:rFonts w:ascii="Book Antiqua" w:hAnsi="Book Antiqua"/>
          <w:lang w:val="it-IT"/>
        </w:rPr>
      </w:pPr>
      <w:r>
        <w:rPr>
          <w:rFonts w:ascii="Book Antiqua" w:hAnsi="Book Antiqua"/>
          <w:lang w:val="it"/>
        </w:rPr>
        <w:t xml:space="preserve">In conclusione, un ultimo </w:t>
      </w:r>
      <w:r w:rsidR="0036058D">
        <w:rPr>
          <w:rFonts w:ascii="Book Antiqua" w:hAnsi="Book Antiqua"/>
          <w:lang w:val="it"/>
        </w:rPr>
        <w:t>s</w:t>
      </w:r>
      <w:r>
        <w:rPr>
          <w:rFonts w:ascii="Book Antiqua" w:hAnsi="Book Antiqua"/>
          <w:lang w:val="it"/>
        </w:rPr>
        <w:t xml:space="preserve">punto di riflessione è posto dalla disciplina delle sanzioni. Difatti, il Regolamento assegna agli Stati Membri il compito di “adottare </w:t>
      </w:r>
      <w:r w:rsidRPr="00BB0D70">
        <w:rPr>
          <w:rFonts w:ascii="Book Antiqua" w:hAnsi="Book Antiqua"/>
          <w:lang w:val="it-IT"/>
        </w:rPr>
        <w:t>tutte le misure necessarie per assicurare l'attuazione delle disposizioni di cui al presente regolamento, anche stabilendo sanzioni effettive, proporzionate e dissuasive in caso di violazione. Per talune violazioni specifiche, è opportuno che gli Stati membri tengano conto dei margini e dei criteri stabiliti nel presente regolamento. Il Garante europeo della protezione dei dati dovrebbe disporre del potere di infliggere sanzioni pecuniarie alle istituzioni, alle agenzie e agli organismi dell'Unione che rientrano nell'ambito di applicazione del presente regolamento</w:t>
      </w:r>
      <w:r>
        <w:rPr>
          <w:rFonts w:ascii="Book Antiqua" w:hAnsi="Book Antiqua"/>
          <w:lang w:val="it-IT"/>
        </w:rPr>
        <w:t xml:space="preserve">” (Cons. 84). Ivi si </w:t>
      </w:r>
      <w:r w:rsidR="00FA2400">
        <w:rPr>
          <w:rFonts w:ascii="Book Antiqua" w:hAnsi="Book Antiqua"/>
          <w:lang w:val="it-IT"/>
        </w:rPr>
        <w:t>rinv</w:t>
      </w:r>
      <w:r w:rsidR="0036058D">
        <w:rPr>
          <w:rFonts w:ascii="Book Antiqua" w:hAnsi="Book Antiqua"/>
          <w:lang w:val="it-IT"/>
        </w:rPr>
        <w:t>i</w:t>
      </w:r>
      <w:r w:rsidR="00FA2400">
        <w:rPr>
          <w:rFonts w:ascii="Book Antiqua" w:hAnsi="Book Antiqua"/>
          <w:lang w:val="it-IT"/>
        </w:rPr>
        <w:t>ene</w:t>
      </w:r>
      <w:r>
        <w:rPr>
          <w:rFonts w:ascii="Book Antiqua" w:hAnsi="Book Antiqua"/>
          <w:lang w:val="it-IT"/>
        </w:rPr>
        <w:t xml:space="preserve"> un ulteriore </w:t>
      </w:r>
      <w:r w:rsidR="0036058D">
        <w:rPr>
          <w:rFonts w:ascii="Book Antiqua" w:hAnsi="Book Antiqua"/>
          <w:lang w:val="it-IT"/>
        </w:rPr>
        <w:t>possibile terreno</w:t>
      </w:r>
      <w:r>
        <w:rPr>
          <w:rFonts w:ascii="Book Antiqua" w:hAnsi="Book Antiqua"/>
          <w:lang w:val="it-IT"/>
        </w:rPr>
        <w:t xml:space="preserve"> di frammentazione. </w:t>
      </w:r>
      <w:r w:rsidRPr="00BB0D70">
        <w:rPr>
          <w:rFonts w:ascii="Book Antiqua" w:hAnsi="Book Antiqua"/>
          <w:lang w:val="it"/>
        </w:rPr>
        <w:t xml:space="preserve">Come menzionato nella sezione 5.3 e nella sezione 5.4, l'AIA non </w:t>
      </w:r>
      <w:r>
        <w:rPr>
          <w:rFonts w:ascii="Book Antiqua" w:hAnsi="Book Antiqua"/>
          <w:lang w:val="it"/>
        </w:rPr>
        <w:t>stabilisce forti strutture sanzionatorie</w:t>
      </w:r>
      <w:r w:rsidRPr="00BB0D70">
        <w:rPr>
          <w:rFonts w:ascii="Book Antiqua" w:hAnsi="Book Antiqua"/>
          <w:lang w:val="it"/>
        </w:rPr>
        <w:t xml:space="preserve">, perché </w:t>
      </w:r>
      <w:r w:rsidR="0036058D">
        <w:rPr>
          <w:rFonts w:ascii="Book Antiqua" w:hAnsi="Book Antiqua"/>
          <w:lang w:val="it"/>
        </w:rPr>
        <w:t>prevede</w:t>
      </w:r>
      <w:r w:rsidRPr="00BB0D70">
        <w:rPr>
          <w:rFonts w:ascii="Book Antiqua" w:hAnsi="Book Antiqua"/>
          <w:lang w:val="it"/>
        </w:rPr>
        <w:t xml:space="preserve"> principalmente un'autovalutazione interna da parte dei fornitori di IA per i sistemi di IA ad alto rischio, combinata con standard armonizzati che devono essere sviluppati da ESO privati. Anche se </w:t>
      </w:r>
      <w:r>
        <w:rPr>
          <w:rFonts w:ascii="Book Antiqua" w:hAnsi="Book Antiqua"/>
          <w:lang w:val="it"/>
        </w:rPr>
        <w:t>si assegna agli</w:t>
      </w:r>
      <w:r w:rsidRPr="00BB0D70">
        <w:rPr>
          <w:rFonts w:ascii="Book Antiqua" w:hAnsi="Book Antiqua"/>
          <w:lang w:val="it"/>
        </w:rPr>
        <w:t xml:space="preserve"> Stati membri il potere di </w:t>
      </w:r>
      <w:r>
        <w:rPr>
          <w:rFonts w:ascii="Book Antiqua" w:hAnsi="Book Antiqua"/>
          <w:lang w:val="it"/>
        </w:rPr>
        <w:t>prevedere</w:t>
      </w:r>
      <w:r w:rsidRPr="00BB0D70">
        <w:rPr>
          <w:rFonts w:ascii="Book Antiqua" w:hAnsi="Book Antiqua"/>
          <w:lang w:val="it"/>
        </w:rPr>
        <w:t xml:space="preserve"> norme sulle sanzioni, </w:t>
      </w:r>
      <w:r w:rsidR="00F15108">
        <w:rPr>
          <w:rFonts w:ascii="Book Antiqua" w:hAnsi="Book Antiqua"/>
          <w:lang w:val="it"/>
        </w:rPr>
        <w:t xml:space="preserve">e </w:t>
      </w:r>
      <w:r w:rsidRPr="00BB0D70">
        <w:rPr>
          <w:rFonts w:ascii="Book Antiqua" w:hAnsi="Book Antiqua"/>
          <w:lang w:val="it"/>
        </w:rPr>
        <w:t>le autorità di sorveglianza del mercato possono richiedere che un sistema di IA non conforme sia ritirato o richiamato dal mercato, questo potrebbe non essere sufficiente a garantire un'applicazione efficace. L'esperienza con il GDPR mostra che un eccessivo affidamento sull'applicazione da parte delle autorità nazionali porta a livelli molto diversi di protezione in tutta l'UE a causa delle diverse risorse delle autorità, ma anche a causa delle diverse opinioni su quando e come (spesso) intraprendere azioni</w:t>
      </w:r>
      <w:r w:rsidR="00F15108">
        <w:rPr>
          <w:rFonts w:ascii="Book Antiqua" w:hAnsi="Book Antiqua"/>
          <w:lang w:val="it"/>
        </w:rPr>
        <w:t xml:space="preserve">. </w:t>
      </w:r>
      <w:r w:rsidRPr="00BB0D70">
        <w:rPr>
          <w:rFonts w:ascii="Book Antiqua" w:hAnsi="Book Antiqua"/>
          <w:lang w:val="it"/>
        </w:rPr>
        <w:t xml:space="preserve">Inoltre, le autorità degli Stati membri non </w:t>
      </w:r>
      <w:r w:rsidR="00FA2400">
        <w:rPr>
          <w:rFonts w:ascii="Book Antiqua" w:hAnsi="Book Antiqua"/>
          <w:lang w:val="it"/>
        </w:rPr>
        <w:t>possiedono</w:t>
      </w:r>
      <w:r w:rsidRPr="00BB0D70">
        <w:rPr>
          <w:rFonts w:ascii="Book Antiqua" w:hAnsi="Book Antiqua"/>
          <w:lang w:val="it"/>
        </w:rPr>
        <w:t xml:space="preserve"> gli standard per valutare se i fornitori di sistemi di IA ad alto rischio stanno violando l'AIA. Poiché la proposta non stabilisce alcun requisito preciso per i sistemi AI ad alto rischio, ma lascia questo all'autovalutazione dei fornitori (così come alle organizzazioni di standardizzazione), non ci sono standard (uniformi) secondo i quali l'AIA potrebbe essere applicata</w:t>
      </w:r>
      <w:r w:rsidR="00F15108">
        <w:rPr>
          <w:rFonts w:ascii="Book Antiqua" w:hAnsi="Book Antiqua"/>
          <w:lang w:val="it"/>
        </w:rPr>
        <w:t>, lasciando sostanzialmente gli Stati Membri senza una solida guida su questo tema</w:t>
      </w:r>
      <w:r w:rsidR="00587B5B">
        <w:rPr>
          <w:rFonts w:ascii="Book Antiqua" w:hAnsi="Book Antiqua"/>
          <w:lang w:val="it"/>
        </w:rPr>
        <w:t>, imponendo loro un ulteriore sforzo per adattarsi alla struttura del Regolamento.</w:t>
      </w:r>
    </w:p>
    <w:p w14:paraId="0EB0CED8" w14:textId="77777777" w:rsidR="00BB0D70" w:rsidRPr="00BB0D70" w:rsidRDefault="00BB0D70" w:rsidP="009F50B2">
      <w:pPr>
        <w:spacing w:line="360" w:lineRule="auto"/>
        <w:jc w:val="both"/>
        <w:rPr>
          <w:rFonts w:ascii="Book Antiqua" w:hAnsi="Book Antiqua"/>
          <w:lang w:val="it-IT"/>
        </w:rPr>
      </w:pPr>
    </w:p>
    <w:p w14:paraId="4E67B7A8" w14:textId="77777777" w:rsidR="00FB52C6" w:rsidRPr="00FB52C6" w:rsidRDefault="00FB52C6" w:rsidP="00FB52C6">
      <w:pPr>
        <w:spacing w:line="360" w:lineRule="auto"/>
        <w:jc w:val="both"/>
        <w:rPr>
          <w:rFonts w:ascii="Book Antiqua" w:hAnsi="Book Antiqua"/>
          <w:lang w:val="it-IT"/>
        </w:rPr>
      </w:pPr>
    </w:p>
    <w:p w14:paraId="151A1D67" w14:textId="430C19DB" w:rsidR="008E60B8" w:rsidRPr="008E60B8" w:rsidRDefault="008E60B8" w:rsidP="00B71821">
      <w:pPr>
        <w:spacing w:line="360" w:lineRule="auto"/>
        <w:jc w:val="both"/>
        <w:rPr>
          <w:rFonts w:ascii="Book Antiqua" w:hAnsi="Book Antiqua"/>
          <w:i/>
          <w:iCs/>
          <w:lang w:val="it-IT"/>
        </w:rPr>
      </w:pPr>
    </w:p>
    <w:p w14:paraId="19F8C2A4" w14:textId="77777777" w:rsidR="009D3B15" w:rsidRPr="009D3B15" w:rsidRDefault="009D3B15" w:rsidP="00B71821">
      <w:pPr>
        <w:spacing w:line="360" w:lineRule="auto"/>
        <w:jc w:val="both"/>
        <w:rPr>
          <w:lang w:val="it-IT"/>
        </w:rPr>
      </w:pPr>
    </w:p>
    <w:sectPr w:rsidR="009D3B15" w:rsidRPr="009D3B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BFEFF" w14:textId="77777777" w:rsidR="00043D7C" w:rsidRDefault="00043D7C" w:rsidP="00601297">
      <w:r>
        <w:separator/>
      </w:r>
    </w:p>
  </w:endnote>
  <w:endnote w:type="continuationSeparator" w:id="0">
    <w:p w14:paraId="3009F040" w14:textId="77777777" w:rsidR="00043D7C" w:rsidRDefault="00043D7C" w:rsidP="0060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2BE8" w14:textId="77777777" w:rsidR="00043D7C" w:rsidRDefault="00043D7C" w:rsidP="00601297">
      <w:r>
        <w:separator/>
      </w:r>
    </w:p>
  </w:footnote>
  <w:footnote w:type="continuationSeparator" w:id="0">
    <w:p w14:paraId="5F9CCB54" w14:textId="77777777" w:rsidR="00043D7C" w:rsidRDefault="00043D7C" w:rsidP="00601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35B"/>
    <w:multiLevelType w:val="hybridMultilevel"/>
    <w:tmpl w:val="1C2E7C48"/>
    <w:lvl w:ilvl="0" w:tplc="F38037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3A6308"/>
    <w:multiLevelType w:val="hybridMultilevel"/>
    <w:tmpl w:val="63CC29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366CA2"/>
    <w:multiLevelType w:val="hybridMultilevel"/>
    <w:tmpl w:val="0F8484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647A4E"/>
    <w:multiLevelType w:val="multilevel"/>
    <w:tmpl w:val="A92A6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053DA5"/>
    <w:multiLevelType w:val="multilevel"/>
    <w:tmpl w:val="5C76788E"/>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D87D2C"/>
    <w:multiLevelType w:val="multilevel"/>
    <w:tmpl w:val="94AE4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E7A44"/>
    <w:multiLevelType w:val="multilevel"/>
    <w:tmpl w:val="A5483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15"/>
    <w:rsid w:val="00043D7C"/>
    <w:rsid w:val="001A50BF"/>
    <w:rsid w:val="001E24D0"/>
    <w:rsid w:val="00290EE9"/>
    <w:rsid w:val="003058CE"/>
    <w:rsid w:val="003346C3"/>
    <w:rsid w:val="0036058D"/>
    <w:rsid w:val="00371D84"/>
    <w:rsid w:val="0040503D"/>
    <w:rsid w:val="0044120E"/>
    <w:rsid w:val="00482108"/>
    <w:rsid w:val="004E3938"/>
    <w:rsid w:val="00502EEB"/>
    <w:rsid w:val="005219BD"/>
    <w:rsid w:val="00572A9C"/>
    <w:rsid w:val="00587B5B"/>
    <w:rsid w:val="005A5DA1"/>
    <w:rsid w:val="00601297"/>
    <w:rsid w:val="006B2C69"/>
    <w:rsid w:val="00716488"/>
    <w:rsid w:val="007537A4"/>
    <w:rsid w:val="00763D91"/>
    <w:rsid w:val="00796DC4"/>
    <w:rsid w:val="007C0AAB"/>
    <w:rsid w:val="00822696"/>
    <w:rsid w:val="00834F57"/>
    <w:rsid w:val="008B0542"/>
    <w:rsid w:val="008B4609"/>
    <w:rsid w:val="008E60B8"/>
    <w:rsid w:val="0091069C"/>
    <w:rsid w:val="00967BA4"/>
    <w:rsid w:val="009C62F1"/>
    <w:rsid w:val="009D3B15"/>
    <w:rsid w:val="009F50B2"/>
    <w:rsid w:val="00A00ED6"/>
    <w:rsid w:val="00A168D2"/>
    <w:rsid w:val="00A31C24"/>
    <w:rsid w:val="00A43314"/>
    <w:rsid w:val="00A4701B"/>
    <w:rsid w:val="00AA5781"/>
    <w:rsid w:val="00AC7861"/>
    <w:rsid w:val="00B52DEA"/>
    <w:rsid w:val="00B71821"/>
    <w:rsid w:val="00B750CD"/>
    <w:rsid w:val="00BB0D70"/>
    <w:rsid w:val="00BE58C9"/>
    <w:rsid w:val="00D55E0E"/>
    <w:rsid w:val="00DB16CE"/>
    <w:rsid w:val="00E979ED"/>
    <w:rsid w:val="00ED0447"/>
    <w:rsid w:val="00ED7963"/>
    <w:rsid w:val="00F15108"/>
    <w:rsid w:val="00F27FC5"/>
    <w:rsid w:val="00F5363A"/>
    <w:rsid w:val="00F8023C"/>
    <w:rsid w:val="00FA2400"/>
    <w:rsid w:val="00FB5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73CD"/>
  <w15:chartTrackingRefBased/>
  <w15:docId w15:val="{7137CCD5-BC65-B247-90AE-FE906C40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1C24"/>
    <w:rPr>
      <w:lang w:val="en-GB"/>
    </w:rPr>
  </w:style>
  <w:style w:type="paragraph" w:styleId="Titolo1">
    <w:name w:val="heading 1"/>
    <w:basedOn w:val="Normale"/>
    <w:next w:val="Normale"/>
    <w:link w:val="Titolo1Carattere"/>
    <w:autoRedefine/>
    <w:uiPriority w:val="9"/>
    <w:qFormat/>
    <w:rsid w:val="00371D84"/>
    <w:pPr>
      <w:keepNext/>
      <w:keepLines/>
      <w:numPr>
        <w:numId w:val="2"/>
      </w:numPr>
      <w:spacing w:before="240"/>
      <w:ind w:hanging="360"/>
      <w:outlineLvl w:val="0"/>
    </w:pPr>
    <w:rPr>
      <w:rFonts w:ascii="Garamond" w:eastAsiaTheme="majorEastAsia" w:hAnsi="Garamond" w:cstheme="majorBidi"/>
      <w:i/>
      <w:color w:val="000000" w:themeColor="tex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1D84"/>
    <w:rPr>
      <w:rFonts w:ascii="Garamond" w:eastAsiaTheme="majorEastAsia" w:hAnsi="Garamond" w:cstheme="majorBidi"/>
      <w:i/>
      <w:color w:val="000000" w:themeColor="text1"/>
      <w:sz w:val="26"/>
      <w:szCs w:val="26"/>
      <w:lang w:val="en-GB" w:eastAsia="it-IT"/>
    </w:rPr>
  </w:style>
  <w:style w:type="paragraph" w:customStyle="1" w:styleId="capitolo">
    <w:name w:val="capitolo"/>
    <w:basedOn w:val="Titolo"/>
    <w:link w:val="capitoloCarattere"/>
    <w:qFormat/>
    <w:rsid w:val="00716488"/>
    <w:pPr>
      <w:spacing w:line="360" w:lineRule="auto"/>
      <w:ind w:firstLine="709"/>
      <w:jc w:val="both"/>
    </w:pPr>
    <w:rPr>
      <w:rFonts w:ascii="Garamond" w:hAnsi="Garamond"/>
      <w:b/>
      <w:bCs/>
      <w:sz w:val="26"/>
      <w:szCs w:val="26"/>
      <w:lang w:eastAsia="it-IT"/>
    </w:rPr>
  </w:style>
  <w:style w:type="character" w:customStyle="1" w:styleId="capitoloCarattere">
    <w:name w:val="capitolo Carattere"/>
    <w:basedOn w:val="TitoloCarattere"/>
    <w:link w:val="capitolo"/>
    <w:rsid w:val="00716488"/>
    <w:rPr>
      <w:rFonts w:ascii="Garamond" w:eastAsiaTheme="majorEastAsia" w:hAnsi="Garamond" w:cstheme="majorBidi"/>
      <w:b/>
      <w:bCs/>
      <w:spacing w:val="-10"/>
      <w:kern w:val="28"/>
      <w:sz w:val="26"/>
      <w:szCs w:val="26"/>
      <w:lang w:val="en-GB" w:eastAsia="it-IT"/>
    </w:rPr>
  </w:style>
  <w:style w:type="paragraph" w:styleId="Titolo">
    <w:name w:val="Title"/>
    <w:basedOn w:val="Normale"/>
    <w:next w:val="Normale"/>
    <w:link w:val="TitoloCarattere"/>
    <w:uiPriority w:val="10"/>
    <w:qFormat/>
    <w:rsid w:val="0071648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16488"/>
    <w:rPr>
      <w:rFonts w:asciiTheme="majorHAnsi" w:eastAsiaTheme="majorEastAsia" w:hAnsiTheme="majorHAnsi" w:cstheme="majorBidi"/>
      <w:spacing w:val="-10"/>
      <w:kern w:val="28"/>
      <w:sz w:val="56"/>
      <w:szCs w:val="56"/>
    </w:rPr>
  </w:style>
  <w:style w:type="paragraph" w:customStyle="1" w:styleId="Corpotesi">
    <w:name w:val="Corpo tesi"/>
    <w:basedOn w:val="Normale"/>
    <w:autoRedefine/>
    <w:qFormat/>
    <w:rsid w:val="003058CE"/>
    <w:pPr>
      <w:spacing w:line="300" w:lineRule="auto"/>
      <w:ind w:firstLine="567"/>
      <w:jc w:val="both"/>
    </w:pPr>
    <w:rPr>
      <w:rFonts w:ascii="Times New Roman" w:hAnsi="Times New Roman" w:cs="Times New Roman"/>
      <w:color w:val="000000" w:themeColor="text1"/>
      <w:lang w:eastAsia="it-IT"/>
    </w:rPr>
  </w:style>
  <w:style w:type="paragraph" w:styleId="Paragrafoelenco">
    <w:name w:val="List Paragraph"/>
    <w:basedOn w:val="Normale"/>
    <w:uiPriority w:val="34"/>
    <w:qFormat/>
    <w:rsid w:val="009D3B15"/>
    <w:pPr>
      <w:ind w:left="720"/>
      <w:contextualSpacing/>
    </w:pPr>
  </w:style>
  <w:style w:type="paragraph" w:styleId="Testonotaapidipagina">
    <w:name w:val="footnote text"/>
    <w:basedOn w:val="Normale"/>
    <w:link w:val="TestonotaapidipaginaCarattere"/>
    <w:uiPriority w:val="99"/>
    <w:semiHidden/>
    <w:unhideWhenUsed/>
    <w:rsid w:val="00601297"/>
    <w:rPr>
      <w:sz w:val="20"/>
      <w:szCs w:val="20"/>
    </w:rPr>
  </w:style>
  <w:style w:type="character" w:customStyle="1" w:styleId="TestonotaapidipaginaCarattere">
    <w:name w:val="Testo nota a piè di pagina Carattere"/>
    <w:basedOn w:val="Carpredefinitoparagrafo"/>
    <w:link w:val="Testonotaapidipagina"/>
    <w:uiPriority w:val="99"/>
    <w:semiHidden/>
    <w:rsid w:val="00601297"/>
    <w:rPr>
      <w:sz w:val="20"/>
      <w:szCs w:val="20"/>
      <w:lang w:val="en-GB"/>
    </w:rPr>
  </w:style>
  <w:style w:type="character" w:styleId="Rimandonotaapidipagina">
    <w:name w:val="footnote reference"/>
    <w:aliases w:val="16 Point,Superscript 6 Point,ftref,FNRefe,sobrescrito,Footnote Refernece,Footnote Reference in text,Footnote Reference Superscript,Appel note de bas de p.,FZ,Footnote Reference2,Footnote number,Referencia nota al pie,FR,f"/>
    <w:basedOn w:val="Carpredefinitoparagrafo"/>
    <w:uiPriority w:val="99"/>
    <w:unhideWhenUsed/>
    <w:qFormat/>
    <w:rsid w:val="00601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7887">
      <w:bodyDiv w:val="1"/>
      <w:marLeft w:val="0"/>
      <w:marRight w:val="0"/>
      <w:marTop w:val="0"/>
      <w:marBottom w:val="0"/>
      <w:divBdr>
        <w:top w:val="none" w:sz="0" w:space="0" w:color="auto"/>
        <w:left w:val="none" w:sz="0" w:space="0" w:color="auto"/>
        <w:bottom w:val="none" w:sz="0" w:space="0" w:color="auto"/>
        <w:right w:val="none" w:sz="0" w:space="0" w:color="auto"/>
      </w:divBdr>
      <w:divsChild>
        <w:div w:id="708072447">
          <w:marLeft w:val="0"/>
          <w:marRight w:val="0"/>
          <w:marTop w:val="0"/>
          <w:marBottom w:val="0"/>
          <w:divBdr>
            <w:top w:val="none" w:sz="0" w:space="0" w:color="auto"/>
            <w:left w:val="none" w:sz="0" w:space="0" w:color="auto"/>
            <w:bottom w:val="none" w:sz="0" w:space="0" w:color="auto"/>
            <w:right w:val="none" w:sz="0" w:space="0" w:color="auto"/>
          </w:divBdr>
          <w:divsChild>
            <w:div w:id="819468120">
              <w:marLeft w:val="0"/>
              <w:marRight w:val="0"/>
              <w:marTop w:val="0"/>
              <w:marBottom w:val="0"/>
              <w:divBdr>
                <w:top w:val="none" w:sz="0" w:space="0" w:color="auto"/>
                <w:left w:val="none" w:sz="0" w:space="0" w:color="auto"/>
                <w:bottom w:val="none" w:sz="0" w:space="0" w:color="auto"/>
                <w:right w:val="none" w:sz="0" w:space="0" w:color="auto"/>
              </w:divBdr>
              <w:divsChild>
                <w:div w:id="1727681096">
                  <w:marLeft w:val="0"/>
                  <w:marRight w:val="0"/>
                  <w:marTop w:val="0"/>
                  <w:marBottom w:val="0"/>
                  <w:divBdr>
                    <w:top w:val="none" w:sz="0" w:space="0" w:color="auto"/>
                    <w:left w:val="none" w:sz="0" w:space="0" w:color="auto"/>
                    <w:bottom w:val="none" w:sz="0" w:space="0" w:color="auto"/>
                    <w:right w:val="none" w:sz="0" w:space="0" w:color="auto"/>
                  </w:divBdr>
                  <w:divsChild>
                    <w:div w:id="15129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2272">
      <w:bodyDiv w:val="1"/>
      <w:marLeft w:val="0"/>
      <w:marRight w:val="0"/>
      <w:marTop w:val="0"/>
      <w:marBottom w:val="0"/>
      <w:divBdr>
        <w:top w:val="none" w:sz="0" w:space="0" w:color="auto"/>
        <w:left w:val="none" w:sz="0" w:space="0" w:color="auto"/>
        <w:bottom w:val="none" w:sz="0" w:space="0" w:color="auto"/>
        <w:right w:val="none" w:sz="0" w:space="0" w:color="auto"/>
      </w:divBdr>
      <w:divsChild>
        <w:div w:id="1150561787">
          <w:marLeft w:val="0"/>
          <w:marRight w:val="0"/>
          <w:marTop w:val="0"/>
          <w:marBottom w:val="0"/>
          <w:divBdr>
            <w:top w:val="none" w:sz="0" w:space="0" w:color="auto"/>
            <w:left w:val="none" w:sz="0" w:space="0" w:color="auto"/>
            <w:bottom w:val="none" w:sz="0" w:space="0" w:color="auto"/>
            <w:right w:val="none" w:sz="0" w:space="0" w:color="auto"/>
          </w:divBdr>
          <w:divsChild>
            <w:div w:id="1380472610">
              <w:marLeft w:val="0"/>
              <w:marRight w:val="0"/>
              <w:marTop w:val="0"/>
              <w:marBottom w:val="0"/>
              <w:divBdr>
                <w:top w:val="none" w:sz="0" w:space="0" w:color="auto"/>
                <w:left w:val="none" w:sz="0" w:space="0" w:color="auto"/>
                <w:bottom w:val="none" w:sz="0" w:space="0" w:color="auto"/>
                <w:right w:val="none" w:sz="0" w:space="0" w:color="auto"/>
              </w:divBdr>
              <w:divsChild>
                <w:div w:id="1006788810">
                  <w:marLeft w:val="0"/>
                  <w:marRight w:val="0"/>
                  <w:marTop w:val="0"/>
                  <w:marBottom w:val="0"/>
                  <w:divBdr>
                    <w:top w:val="none" w:sz="0" w:space="0" w:color="auto"/>
                    <w:left w:val="none" w:sz="0" w:space="0" w:color="auto"/>
                    <w:bottom w:val="none" w:sz="0" w:space="0" w:color="auto"/>
                    <w:right w:val="none" w:sz="0" w:space="0" w:color="auto"/>
                  </w:divBdr>
                  <w:divsChild>
                    <w:div w:id="4409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468607">
      <w:bodyDiv w:val="1"/>
      <w:marLeft w:val="0"/>
      <w:marRight w:val="0"/>
      <w:marTop w:val="0"/>
      <w:marBottom w:val="0"/>
      <w:divBdr>
        <w:top w:val="none" w:sz="0" w:space="0" w:color="auto"/>
        <w:left w:val="none" w:sz="0" w:space="0" w:color="auto"/>
        <w:bottom w:val="none" w:sz="0" w:space="0" w:color="auto"/>
        <w:right w:val="none" w:sz="0" w:space="0" w:color="auto"/>
      </w:divBdr>
    </w:div>
    <w:div w:id="418907854">
      <w:bodyDiv w:val="1"/>
      <w:marLeft w:val="0"/>
      <w:marRight w:val="0"/>
      <w:marTop w:val="0"/>
      <w:marBottom w:val="0"/>
      <w:divBdr>
        <w:top w:val="none" w:sz="0" w:space="0" w:color="auto"/>
        <w:left w:val="none" w:sz="0" w:space="0" w:color="auto"/>
        <w:bottom w:val="none" w:sz="0" w:space="0" w:color="auto"/>
        <w:right w:val="none" w:sz="0" w:space="0" w:color="auto"/>
      </w:divBdr>
      <w:divsChild>
        <w:div w:id="1365250380">
          <w:marLeft w:val="0"/>
          <w:marRight w:val="0"/>
          <w:marTop w:val="0"/>
          <w:marBottom w:val="0"/>
          <w:divBdr>
            <w:top w:val="none" w:sz="0" w:space="0" w:color="auto"/>
            <w:left w:val="none" w:sz="0" w:space="0" w:color="auto"/>
            <w:bottom w:val="none" w:sz="0" w:space="0" w:color="auto"/>
            <w:right w:val="none" w:sz="0" w:space="0" w:color="auto"/>
          </w:divBdr>
          <w:divsChild>
            <w:div w:id="622157212">
              <w:marLeft w:val="0"/>
              <w:marRight w:val="0"/>
              <w:marTop w:val="0"/>
              <w:marBottom w:val="0"/>
              <w:divBdr>
                <w:top w:val="none" w:sz="0" w:space="0" w:color="auto"/>
                <w:left w:val="none" w:sz="0" w:space="0" w:color="auto"/>
                <w:bottom w:val="none" w:sz="0" w:space="0" w:color="auto"/>
                <w:right w:val="none" w:sz="0" w:space="0" w:color="auto"/>
              </w:divBdr>
              <w:divsChild>
                <w:div w:id="998728502">
                  <w:marLeft w:val="0"/>
                  <w:marRight w:val="0"/>
                  <w:marTop w:val="0"/>
                  <w:marBottom w:val="0"/>
                  <w:divBdr>
                    <w:top w:val="none" w:sz="0" w:space="0" w:color="auto"/>
                    <w:left w:val="none" w:sz="0" w:space="0" w:color="auto"/>
                    <w:bottom w:val="none" w:sz="0" w:space="0" w:color="auto"/>
                    <w:right w:val="none" w:sz="0" w:space="0" w:color="auto"/>
                  </w:divBdr>
                  <w:divsChild>
                    <w:div w:id="15013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69118">
      <w:bodyDiv w:val="1"/>
      <w:marLeft w:val="0"/>
      <w:marRight w:val="0"/>
      <w:marTop w:val="0"/>
      <w:marBottom w:val="0"/>
      <w:divBdr>
        <w:top w:val="none" w:sz="0" w:space="0" w:color="auto"/>
        <w:left w:val="none" w:sz="0" w:space="0" w:color="auto"/>
        <w:bottom w:val="none" w:sz="0" w:space="0" w:color="auto"/>
        <w:right w:val="none" w:sz="0" w:space="0" w:color="auto"/>
      </w:divBdr>
    </w:div>
    <w:div w:id="729428988">
      <w:bodyDiv w:val="1"/>
      <w:marLeft w:val="0"/>
      <w:marRight w:val="0"/>
      <w:marTop w:val="0"/>
      <w:marBottom w:val="0"/>
      <w:divBdr>
        <w:top w:val="none" w:sz="0" w:space="0" w:color="auto"/>
        <w:left w:val="none" w:sz="0" w:space="0" w:color="auto"/>
        <w:bottom w:val="none" w:sz="0" w:space="0" w:color="auto"/>
        <w:right w:val="none" w:sz="0" w:space="0" w:color="auto"/>
      </w:divBdr>
    </w:div>
    <w:div w:id="825821977">
      <w:bodyDiv w:val="1"/>
      <w:marLeft w:val="0"/>
      <w:marRight w:val="0"/>
      <w:marTop w:val="0"/>
      <w:marBottom w:val="0"/>
      <w:divBdr>
        <w:top w:val="none" w:sz="0" w:space="0" w:color="auto"/>
        <w:left w:val="none" w:sz="0" w:space="0" w:color="auto"/>
        <w:bottom w:val="none" w:sz="0" w:space="0" w:color="auto"/>
        <w:right w:val="none" w:sz="0" w:space="0" w:color="auto"/>
      </w:divBdr>
    </w:div>
    <w:div w:id="835805231">
      <w:bodyDiv w:val="1"/>
      <w:marLeft w:val="0"/>
      <w:marRight w:val="0"/>
      <w:marTop w:val="0"/>
      <w:marBottom w:val="0"/>
      <w:divBdr>
        <w:top w:val="none" w:sz="0" w:space="0" w:color="auto"/>
        <w:left w:val="none" w:sz="0" w:space="0" w:color="auto"/>
        <w:bottom w:val="none" w:sz="0" w:space="0" w:color="auto"/>
        <w:right w:val="none" w:sz="0" w:space="0" w:color="auto"/>
      </w:divBdr>
      <w:divsChild>
        <w:div w:id="1040277595">
          <w:marLeft w:val="0"/>
          <w:marRight w:val="0"/>
          <w:marTop w:val="0"/>
          <w:marBottom w:val="0"/>
          <w:divBdr>
            <w:top w:val="none" w:sz="0" w:space="0" w:color="auto"/>
            <w:left w:val="none" w:sz="0" w:space="0" w:color="auto"/>
            <w:bottom w:val="none" w:sz="0" w:space="0" w:color="auto"/>
            <w:right w:val="none" w:sz="0" w:space="0" w:color="auto"/>
          </w:divBdr>
          <w:divsChild>
            <w:div w:id="146943661">
              <w:marLeft w:val="0"/>
              <w:marRight w:val="0"/>
              <w:marTop w:val="0"/>
              <w:marBottom w:val="0"/>
              <w:divBdr>
                <w:top w:val="none" w:sz="0" w:space="0" w:color="auto"/>
                <w:left w:val="none" w:sz="0" w:space="0" w:color="auto"/>
                <w:bottom w:val="none" w:sz="0" w:space="0" w:color="auto"/>
                <w:right w:val="none" w:sz="0" w:space="0" w:color="auto"/>
              </w:divBdr>
              <w:divsChild>
                <w:div w:id="11559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9671">
      <w:bodyDiv w:val="1"/>
      <w:marLeft w:val="0"/>
      <w:marRight w:val="0"/>
      <w:marTop w:val="0"/>
      <w:marBottom w:val="0"/>
      <w:divBdr>
        <w:top w:val="none" w:sz="0" w:space="0" w:color="auto"/>
        <w:left w:val="none" w:sz="0" w:space="0" w:color="auto"/>
        <w:bottom w:val="none" w:sz="0" w:space="0" w:color="auto"/>
        <w:right w:val="none" w:sz="0" w:space="0" w:color="auto"/>
      </w:divBdr>
      <w:divsChild>
        <w:div w:id="1040204099">
          <w:marLeft w:val="0"/>
          <w:marRight w:val="0"/>
          <w:marTop w:val="0"/>
          <w:marBottom w:val="0"/>
          <w:divBdr>
            <w:top w:val="none" w:sz="0" w:space="0" w:color="auto"/>
            <w:left w:val="none" w:sz="0" w:space="0" w:color="auto"/>
            <w:bottom w:val="none" w:sz="0" w:space="0" w:color="auto"/>
            <w:right w:val="none" w:sz="0" w:space="0" w:color="auto"/>
          </w:divBdr>
          <w:divsChild>
            <w:div w:id="1313172019">
              <w:marLeft w:val="0"/>
              <w:marRight w:val="0"/>
              <w:marTop w:val="0"/>
              <w:marBottom w:val="0"/>
              <w:divBdr>
                <w:top w:val="none" w:sz="0" w:space="0" w:color="auto"/>
                <w:left w:val="none" w:sz="0" w:space="0" w:color="auto"/>
                <w:bottom w:val="none" w:sz="0" w:space="0" w:color="auto"/>
                <w:right w:val="none" w:sz="0" w:space="0" w:color="auto"/>
              </w:divBdr>
              <w:divsChild>
                <w:div w:id="2094350653">
                  <w:marLeft w:val="0"/>
                  <w:marRight w:val="0"/>
                  <w:marTop w:val="0"/>
                  <w:marBottom w:val="0"/>
                  <w:divBdr>
                    <w:top w:val="none" w:sz="0" w:space="0" w:color="auto"/>
                    <w:left w:val="none" w:sz="0" w:space="0" w:color="auto"/>
                    <w:bottom w:val="none" w:sz="0" w:space="0" w:color="auto"/>
                    <w:right w:val="none" w:sz="0" w:space="0" w:color="auto"/>
                  </w:divBdr>
                  <w:divsChild>
                    <w:div w:id="1386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5741">
      <w:bodyDiv w:val="1"/>
      <w:marLeft w:val="0"/>
      <w:marRight w:val="0"/>
      <w:marTop w:val="0"/>
      <w:marBottom w:val="0"/>
      <w:divBdr>
        <w:top w:val="none" w:sz="0" w:space="0" w:color="auto"/>
        <w:left w:val="none" w:sz="0" w:space="0" w:color="auto"/>
        <w:bottom w:val="none" w:sz="0" w:space="0" w:color="auto"/>
        <w:right w:val="none" w:sz="0" w:space="0" w:color="auto"/>
      </w:divBdr>
      <w:divsChild>
        <w:div w:id="865483435">
          <w:marLeft w:val="0"/>
          <w:marRight w:val="0"/>
          <w:marTop w:val="0"/>
          <w:marBottom w:val="0"/>
          <w:divBdr>
            <w:top w:val="none" w:sz="0" w:space="0" w:color="auto"/>
            <w:left w:val="none" w:sz="0" w:space="0" w:color="auto"/>
            <w:bottom w:val="none" w:sz="0" w:space="0" w:color="auto"/>
            <w:right w:val="none" w:sz="0" w:space="0" w:color="auto"/>
          </w:divBdr>
          <w:divsChild>
            <w:div w:id="1188327957">
              <w:marLeft w:val="0"/>
              <w:marRight w:val="0"/>
              <w:marTop w:val="0"/>
              <w:marBottom w:val="0"/>
              <w:divBdr>
                <w:top w:val="none" w:sz="0" w:space="0" w:color="auto"/>
                <w:left w:val="none" w:sz="0" w:space="0" w:color="auto"/>
                <w:bottom w:val="none" w:sz="0" w:space="0" w:color="auto"/>
                <w:right w:val="none" w:sz="0" w:space="0" w:color="auto"/>
              </w:divBdr>
              <w:divsChild>
                <w:div w:id="65419970">
                  <w:marLeft w:val="0"/>
                  <w:marRight w:val="0"/>
                  <w:marTop w:val="0"/>
                  <w:marBottom w:val="0"/>
                  <w:divBdr>
                    <w:top w:val="none" w:sz="0" w:space="0" w:color="auto"/>
                    <w:left w:val="none" w:sz="0" w:space="0" w:color="auto"/>
                    <w:bottom w:val="none" w:sz="0" w:space="0" w:color="auto"/>
                    <w:right w:val="none" w:sz="0" w:space="0" w:color="auto"/>
                  </w:divBdr>
                  <w:divsChild>
                    <w:div w:id="14697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0938">
      <w:bodyDiv w:val="1"/>
      <w:marLeft w:val="0"/>
      <w:marRight w:val="0"/>
      <w:marTop w:val="0"/>
      <w:marBottom w:val="0"/>
      <w:divBdr>
        <w:top w:val="none" w:sz="0" w:space="0" w:color="auto"/>
        <w:left w:val="none" w:sz="0" w:space="0" w:color="auto"/>
        <w:bottom w:val="none" w:sz="0" w:space="0" w:color="auto"/>
        <w:right w:val="none" w:sz="0" w:space="0" w:color="auto"/>
      </w:divBdr>
    </w:div>
    <w:div w:id="1359701959">
      <w:bodyDiv w:val="1"/>
      <w:marLeft w:val="0"/>
      <w:marRight w:val="0"/>
      <w:marTop w:val="0"/>
      <w:marBottom w:val="0"/>
      <w:divBdr>
        <w:top w:val="none" w:sz="0" w:space="0" w:color="auto"/>
        <w:left w:val="none" w:sz="0" w:space="0" w:color="auto"/>
        <w:bottom w:val="none" w:sz="0" w:space="0" w:color="auto"/>
        <w:right w:val="none" w:sz="0" w:space="0" w:color="auto"/>
      </w:divBdr>
    </w:div>
    <w:div w:id="1395853095">
      <w:bodyDiv w:val="1"/>
      <w:marLeft w:val="0"/>
      <w:marRight w:val="0"/>
      <w:marTop w:val="0"/>
      <w:marBottom w:val="0"/>
      <w:divBdr>
        <w:top w:val="none" w:sz="0" w:space="0" w:color="auto"/>
        <w:left w:val="none" w:sz="0" w:space="0" w:color="auto"/>
        <w:bottom w:val="none" w:sz="0" w:space="0" w:color="auto"/>
        <w:right w:val="none" w:sz="0" w:space="0" w:color="auto"/>
      </w:divBdr>
      <w:divsChild>
        <w:div w:id="1634023003">
          <w:marLeft w:val="0"/>
          <w:marRight w:val="0"/>
          <w:marTop w:val="0"/>
          <w:marBottom w:val="0"/>
          <w:divBdr>
            <w:top w:val="none" w:sz="0" w:space="0" w:color="auto"/>
            <w:left w:val="none" w:sz="0" w:space="0" w:color="auto"/>
            <w:bottom w:val="none" w:sz="0" w:space="0" w:color="auto"/>
            <w:right w:val="none" w:sz="0" w:space="0" w:color="auto"/>
          </w:divBdr>
          <w:divsChild>
            <w:div w:id="355814791">
              <w:marLeft w:val="0"/>
              <w:marRight w:val="0"/>
              <w:marTop w:val="0"/>
              <w:marBottom w:val="0"/>
              <w:divBdr>
                <w:top w:val="none" w:sz="0" w:space="0" w:color="auto"/>
                <w:left w:val="none" w:sz="0" w:space="0" w:color="auto"/>
                <w:bottom w:val="none" w:sz="0" w:space="0" w:color="auto"/>
                <w:right w:val="none" w:sz="0" w:space="0" w:color="auto"/>
              </w:divBdr>
              <w:divsChild>
                <w:div w:id="14335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7830">
      <w:bodyDiv w:val="1"/>
      <w:marLeft w:val="0"/>
      <w:marRight w:val="0"/>
      <w:marTop w:val="0"/>
      <w:marBottom w:val="0"/>
      <w:divBdr>
        <w:top w:val="none" w:sz="0" w:space="0" w:color="auto"/>
        <w:left w:val="none" w:sz="0" w:space="0" w:color="auto"/>
        <w:bottom w:val="none" w:sz="0" w:space="0" w:color="auto"/>
        <w:right w:val="none" w:sz="0" w:space="0" w:color="auto"/>
      </w:divBdr>
    </w:div>
    <w:div w:id="1693459814">
      <w:bodyDiv w:val="1"/>
      <w:marLeft w:val="0"/>
      <w:marRight w:val="0"/>
      <w:marTop w:val="0"/>
      <w:marBottom w:val="0"/>
      <w:divBdr>
        <w:top w:val="none" w:sz="0" w:space="0" w:color="auto"/>
        <w:left w:val="none" w:sz="0" w:space="0" w:color="auto"/>
        <w:bottom w:val="none" w:sz="0" w:space="0" w:color="auto"/>
        <w:right w:val="none" w:sz="0" w:space="0" w:color="auto"/>
      </w:divBdr>
    </w:div>
    <w:div w:id="1766539164">
      <w:bodyDiv w:val="1"/>
      <w:marLeft w:val="0"/>
      <w:marRight w:val="0"/>
      <w:marTop w:val="0"/>
      <w:marBottom w:val="0"/>
      <w:divBdr>
        <w:top w:val="none" w:sz="0" w:space="0" w:color="auto"/>
        <w:left w:val="none" w:sz="0" w:space="0" w:color="auto"/>
        <w:bottom w:val="none" w:sz="0" w:space="0" w:color="auto"/>
        <w:right w:val="none" w:sz="0" w:space="0" w:color="auto"/>
      </w:divBdr>
    </w:div>
    <w:div w:id="1768849337">
      <w:bodyDiv w:val="1"/>
      <w:marLeft w:val="0"/>
      <w:marRight w:val="0"/>
      <w:marTop w:val="0"/>
      <w:marBottom w:val="0"/>
      <w:divBdr>
        <w:top w:val="none" w:sz="0" w:space="0" w:color="auto"/>
        <w:left w:val="none" w:sz="0" w:space="0" w:color="auto"/>
        <w:bottom w:val="none" w:sz="0" w:space="0" w:color="auto"/>
        <w:right w:val="none" w:sz="0" w:space="0" w:color="auto"/>
      </w:divBdr>
    </w:div>
    <w:div w:id="1821775294">
      <w:bodyDiv w:val="1"/>
      <w:marLeft w:val="0"/>
      <w:marRight w:val="0"/>
      <w:marTop w:val="0"/>
      <w:marBottom w:val="0"/>
      <w:divBdr>
        <w:top w:val="none" w:sz="0" w:space="0" w:color="auto"/>
        <w:left w:val="none" w:sz="0" w:space="0" w:color="auto"/>
        <w:bottom w:val="none" w:sz="0" w:space="0" w:color="auto"/>
        <w:right w:val="none" w:sz="0" w:space="0" w:color="auto"/>
      </w:divBdr>
    </w:div>
    <w:div w:id="1823504308">
      <w:bodyDiv w:val="1"/>
      <w:marLeft w:val="0"/>
      <w:marRight w:val="0"/>
      <w:marTop w:val="0"/>
      <w:marBottom w:val="0"/>
      <w:divBdr>
        <w:top w:val="none" w:sz="0" w:space="0" w:color="auto"/>
        <w:left w:val="none" w:sz="0" w:space="0" w:color="auto"/>
        <w:bottom w:val="none" w:sz="0" w:space="0" w:color="auto"/>
        <w:right w:val="none" w:sz="0" w:space="0" w:color="auto"/>
      </w:divBdr>
    </w:div>
    <w:div w:id="1958633326">
      <w:bodyDiv w:val="1"/>
      <w:marLeft w:val="0"/>
      <w:marRight w:val="0"/>
      <w:marTop w:val="0"/>
      <w:marBottom w:val="0"/>
      <w:divBdr>
        <w:top w:val="none" w:sz="0" w:space="0" w:color="auto"/>
        <w:left w:val="none" w:sz="0" w:space="0" w:color="auto"/>
        <w:bottom w:val="none" w:sz="0" w:space="0" w:color="auto"/>
        <w:right w:val="none" w:sz="0" w:space="0" w:color="auto"/>
      </w:divBdr>
      <w:divsChild>
        <w:div w:id="2062363377">
          <w:marLeft w:val="0"/>
          <w:marRight w:val="0"/>
          <w:marTop w:val="0"/>
          <w:marBottom w:val="0"/>
          <w:divBdr>
            <w:top w:val="none" w:sz="0" w:space="0" w:color="auto"/>
            <w:left w:val="none" w:sz="0" w:space="0" w:color="auto"/>
            <w:bottom w:val="none" w:sz="0" w:space="0" w:color="auto"/>
            <w:right w:val="none" w:sz="0" w:space="0" w:color="auto"/>
          </w:divBdr>
          <w:divsChild>
            <w:div w:id="649870710">
              <w:marLeft w:val="0"/>
              <w:marRight w:val="0"/>
              <w:marTop w:val="0"/>
              <w:marBottom w:val="0"/>
              <w:divBdr>
                <w:top w:val="none" w:sz="0" w:space="0" w:color="auto"/>
                <w:left w:val="none" w:sz="0" w:space="0" w:color="auto"/>
                <w:bottom w:val="none" w:sz="0" w:space="0" w:color="auto"/>
                <w:right w:val="none" w:sz="0" w:space="0" w:color="auto"/>
              </w:divBdr>
              <w:divsChild>
                <w:div w:id="9241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14005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Paolucci</dc:creator>
  <cp:keywords/>
  <dc:description/>
  <cp:lastModifiedBy>Cdd</cp:lastModifiedBy>
  <cp:revision>2</cp:revision>
  <dcterms:created xsi:type="dcterms:W3CDTF">2022-02-09T10:15:00Z</dcterms:created>
  <dcterms:modified xsi:type="dcterms:W3CDTF">2022-02-09T10:15:00Z</dcterms:modified>
</cp:coreProperties>
</file>