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DBA8" w14:textId="77777777" w:rsidR="001F59AF" w:rsidRDefault="001F59AF" w:rsidP="00402E83">
      <w:pPr>
        <w:rPr>
          <w:b/>
          <w:bCs/>
          <w:sz w:val="28"/>
          <w:szCs w:val="28"/>
        </w:rPr>
      </w:pPr>
    </w:p>
    <w:p w14:paraId="00106BEF" w14:textId="0C926D67" w:rsidR="001F59AF" w:rsidRDefault="00BD3FC0" w:rsidP="00402E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B94562">
        <w:rPr>
          <w:b/>
          <w:bCs/>
          <w:sz w:val="28"/>
          <w:szCs w:val="28"/>
        </w:rPr>
        <w:t xml:space="preserve"> </w:t>
      </w:r>
      <w:r w:rsidR="00E3143A">
        <w:rPr>
          <w:b/>
          <w:bCs/>
          <w:sz w:val="28"/>
          <w:szCs w:val="28"/>
        </w:rPr>
        <w:t>Luglio 2022</w:t>
      </w:r>
    </w:p>
    <w:p w14:paraId="328C179E" w14:textId="77777777" w:rsidR="001F59AF" w:rsidRDefault="001F59AF" w:rsidP="005459A1">
      <w:pPr>
        <w:jc w:val="center"/>
        <w:rPr>
          <w:b/>
          <w:bCs/>
          <w:sz w:val="28"/>
          <w:szCs w:val="28"/>
        </w:rPr>
      </w:pPr>
    </w:p>
    <w:p w14:paraId="2E21E7BB" w14:textId="04D6721A" w:rsidR="005459A1" w:rsidRPr="00002C85" w:rsidRDefault="001F59AF" w:rsidP="00002C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Oggetto: precisazioni e </w:t>
      </w:r>
      <w:r w:rsidR="00002C85" w:rsidRPr="00402E83">
        <w:rPr>
          <w:b/>
          <w:bCs/>
          <w:sz w:val="28"/>
          <w:szCs w:val="28"/>
        </w:rPr>
        <w:t>elementi aggiuntivi</w:t>
      </w:r>
      <w:r>
        <w:rPr>
          <w:b/>
          <w:bCs/>
          <w:sz w:val="28"/>
          <w:szCs w:val="28"/>
        </w:rPr>
        <w:t xml:space="preserve"> in ordine alla presentazione </w:t>
      </w:r>
      <w:r w:rsidR="00002C85">
        <w:rPr>
          <w:b/>
          <w:bCs/>
          <w:sz w:val="28"/>
          <w:szCs w:val="28"/>
        </w:rPr>
        <w:t>CSEA</w:t>
      </w:r>
      <w:r>
        <w:rPr>
          <w:b/>
          <w:bCs/>
          <w:sz w:val="28"/>
          <w:szCs w:val="28"/>
        </w:rPr>
        <w:t xml:space="preserve"> di cui </w:t>
      </w:r>
      <w:r w:rsidR="00402E83">
        <w:rPr>
          <w:b/>
          <w:bCs/>
          <w:sz w:val="28"/>
          <w:szCs w:val="28"/>
        </w:rPr>
        <w:t xml:space="preserve">alla </w:t>
      </w:r>
      <w:r w:rsidR="00402E83" w:rsidRPr="002A66AC">
        <w:rPr>
          <w:b/>
          <w:bCs/>
          <w:sz w:val="28"/>
          <w:szCs w:val="28"/>
        </w:rPr>
        <w:t>audizione</w:t>
      </w:r>
      <w:r w:rsidR="005459A1" w:rsidRPr="002A66AC">
        <w:rPr>
          <w:b/>
          <w:bCs/>
          <w:sz w:val="28"/>
          <w:szCs w:val="28"/>
        </w:rPr>
        <w:t xml:space="preserve"> presso la X Commissione Attività Produttive della Camera dei Deputati</w:t>
      </w:r>
      <w:r w:rsidR="00002C85">
        <w:rPr>
          <w:b/>
          <w:bCs/>
          <w:sz w:val="28"/>
          <w:szCs w:val="28"/>
        </w:rPr>
        <w:t xml:space="preserve"> </w:t>
      </w:r>
      <w:r w:rsidR="00002C85" w:rsidRPr="00002C85">
        <w:rPr>
          <w:b/>
          <w:bCs/>
          <w:sz w:val="28"/>
          <w:szCs w:val="28"/>
        </w:rPr>
        <w:t xml:space="preserve">del </w:t>
      </w:r>
      <w:r w:rsidR="008A2455" w:rsidRPr="00002C85">
        <w:rPr>
          <w:b/>
          <w:bCs/>
          <w:sz w:val="28"/>
          <w:szCs w:val="28"/>
        </w:rPr>
        <w:t>15 giugno</w:t>
      </w:r>
      <w:r w:rsidR="005459A1" w:rsidRPr="00002C85">
        <w:rPr>
          <w:b/>
          <w:bCs/>
          <w:sz w:val="28"/>
          <w:szCs w:val="28"/>
        </w:rPr>
        <w:t xml:space="preserve"> 2022</w:t>
      </w:r>
    </w:p>
    <w:p w14:paraId="13C02744" w14:textId="77777777" w:rsidR="00337A5C" w:rsidRDefault="00337A5C" w:rsidP="00220C92">
      <w:pPr>
        <w:jc w:val="both"/>
        <w:rPr>
          <w:b/>
          <w:bCs/>
        </w:rPr>
      </w:pPr>
    </w:p>
    <w:p w14:paraId="4F39B124" w14:textId="32352CB2" w:rsidR="00337A5C" w:rsidRDefault="00337A5C" w:rsidP="00220C92">
      <w:pPr>
        <w:jc w:val="both"/>
        <w:rPr>
          <w:b/>
          <w:bCs/>
        </w:rPr>
      </w:pPr>
    </w:p>
    <w:p w14:paraId="3D007325" w14:textId="554E1B0C" w:rsidR="00E21CDE" w:rsidRDefault="00E21CDE" w:rsidP="00220C92">
      <w:pPr>
        <w:jc w:val="both"/>
        <w:rPr>
          <w:b/>
          <w:bCs/>
        </w:rPr>
      </w:pPr>
    </w:p>
    <w:p w14:paraId="427531AB" w14:textId="07842F9B" w:rsidR="003E7F2E" w:rsidRDefault="00284CB8" w:rsidP="00220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riferimento all’Audizione svolta presso </w:t>
      </w:r>
      <w:r w:rsidR="002151C4">
        <w:rPr>
          <w:sz w:val="28"/>
          <w:szCs w:val="28"/>
        </w:rPr>
        <w:t>c</w:t>
      </w:r>
      <w:r>
        <w:rPr>
          <w:sz w:val="28"/>
          <w:szCs w:val="28"/>
        </w:rPr>
        <w:t xml:space="preserve">odesta </w:t>
      </w:r>
      <w:r w:rsidR="002151C4">
        <w:rPr>
          <w:sz w:val="28"/>
          <w:szCs w:val="28"/>
        </w:rPr>
        <w:t xml:space="preserve">spettabile </w:t>
      </w:r>
      <w:r>
        <w:rPr>
          <w:sz w:val="28"/>
          <w:szCs w:val="28"/>
        </w:rPr>
        <w:t>Commissione</w:t>
      </w:r>
      <w:r w:rsidR="003E7F2E">
        <w:rPr>
          <w:sz w:val="28"/>
          <w:szCs w:val="28"/>
        </w:rPr>
        <w:t xml:space="preserve"> il 15 giugno scorso</w:t>
      </w:r>
      <w:r>
        <w:rPr>
          <w:sz w:val="28"/>
          <w:szCs w:val="28"/>
        </w:rPr>
        <w:t xml:space="preserve"> avente ad oggetto i</w:t>
      </w:r>
      <w:r w:rsidR="003E7F2E">
        <w:rPr>
          <w:sz w:val="28"/>
          <w:szCs w:val="28"/>
        </w:rPr>
        <w:t xml:space="preserve"> </w:t>
      </w:r>
      <w:r w:rsidR="008A45EB">
        <w:rPr>
          <w:sz w:val="28"/>
          <w:szCs w:val="28"/>
        </w:rPr>
        <w:t>“</w:t>
      </w:r>
      <w:r w:rsidRPr="00402E83">
        <w:rPr>
          <w:i/>
          <w:iCs/>
          <w:sz w:val="28"/>
          <w:szCs w:val="28"/>
        </w:rPr>
        <w:t>dati di utilizzo delle risorse destinate</w:t>
      </w:r>
      <w:r w:rsidR="003E7F2E" w:rsidRPr="00402E83">
        <w:rPr>
          <w:i/>
          <w:iCs/>
          <w:sz w:val="28"/>
          <w:szCs w:val="28"/>
        </w:rPr>
        <w:t xml:space="preserve"> </w:t>
      </w:r>
      <w:r w:rsidRPr="00402E83">
        <w:rPr>
          <w:i/>
          <w:iCs/>
          <w:sz w:val="28"/>
          <w:szCs w:val="28"/>
        </w:rPr>
        <w:t>al contenimento degli effetti degli aumenti</w:t>
      </w:r>
      <w:r w:rsidR="003E7F2E" w:rsidRPr="00402E83">
        <w:rPr>
          <w:i/>
          <w:iCs/>
          <w:sz w:val="28"/>
          <w:szCs w:val="28"/>
        </w:rPr>
        <w:t xml:space="preserve"> </w:t>
      </w:r>
      <w:r w:rsidRPr="00402E83">
        <w:rPr>
          <w:i/>
          <w:iCs/>
          <w:sz w:val="28"/>
          <w:szCs w:val="28"/>
        </w:rPr>
        <w:t>dei prezzi</w:t>
      </w:r>
      <w:r w:rsidR="00FD18E3" w:rsidRPr="00402E83">
        <w:rPr>
          <w:i/>
          <w:iCs/>
          <w:sz w:val="28"/>
          <w:szCs w:val="28"/>
        </w:rPr>
        <w:t xml:space="preserve"> </w:t>
      </w:r>
      <w:r w:rsidR="003E7F2E" w:rsidRPr="00402E83">
        <w:rPr>
          <w:i/>
          <w:iCs/>
          <w:sz w:val="28"/>
          <w:szCs w:val="28"/>
        </w:rPr>
        <w:t>nei</w:t>
      </w:r>
      <w:r w:rsidR="003A57CB" w:rsidRPr="00402E83">
        <w:rPr>
          <w:i/>
          <w:iCs/>
          <w:sz w:val="28"/>
          <w:szCs w:val="28"/>
        </w:rPr>
        <w:t xml:space="preserve"> </w:t>
      </w:r>
      <w:r w:rsidR="003E7F2E" w:rsidRPr="00402E83">
        <w:rPr>
          <w:i/>
          <w:iCs/>
          <w:sz w:val="28"/>
          <w:szCs w:val="28"/>
        </w:rPr>
        <w:t>settori elettrico e del gas naturale</w:t>
      </w:r>
      <w:r w:rsidR="00DD1212">
        <w:rPr>
          <w:i/>
          <w:iCs/>
          <w:sz w:val="28"/>
          <w:szCs w:val="28"/>
        </w:rPr>
        <w:t>”</w:t>
      </w:r>
      <w:r w:rsidR="003A57CB">
        <w:rPr>
          <w:sz w:val="28"/>
          <w:szCs w:val="28"/>
        </w:rPr>
        <w:t>,</w:t>
      </w:r>
      <w:r w:rsidR="001C1E20">
        <w:rPr>
          <w:sz w:val="28"/>
          <w:szCs w:val="28"/>
        </w:rPr>
        <w:t xml:space="preserve"> </w:t>
      </w:r>
      <w:r w:rsidR="002151C4">
        <w:rPr>
          <w:sz w:val="28"/>
          <w:szCs w:val="28"/>
        </w:rPr>
        <w:t>con</w:t>
      </w:r>
      <w:r w:rsidR="001C1E20">
        <w:rPr>
          <w:sz w:val="28"/>
          <w:szCs w:val="28"/>
        </w:rPr>
        <w:t xml:space="preserve"> particolare </w:t>
      </w:r>
      <w:r w:rsidR="002151C4">
        <w:rPr>
          <w:sz w:val="28"/>
          <w:szCs w:val="28"/>
        </w:rPr>
        <w:t xml:space="preserve">riferimento </w:t>
      </w:r>
      <w:r w:rsidR="001C1E20">
        <w:rPr>
          <w:sz w:val="28"/>
          <w:szCs w:val="28"/>
        </w:rPr>
        <w:t xml:space="preserve">alle osservazioni e alle richieste di chiarimenti </w:t>
      </w:r>
      <w:r w:rsidR="002151C4">
        <w:rPr>
          <w:sz w:val="28"/>
          <w:szCs w:val="28"/>
        </w:rPr>
        <w:t xml:space="preserve">pervenute </w:t>
      </w:r>
      <w:r w:rsidR="001C1E20">
        <w:rPr>
          <w:sz w:val="28"/>
          <w:szCs w:val="28"/>
        </w:rPr>
        <w:t>sulla</w:t>
      </w:r>
      <w:r w:rsidR="003A57CB">
        <w:rPr>
          <w:sz w:val="28"/>
          <w:szCs w:val="28"/>
        </w:rPr>
        <w:t xml:space="preserve"> </w:t>
      </w:r>
      <w:r w:rsidR="003E7F2E">
        <w:rPr>
          <w:sz w:val="28"/>
          <w:szCs w:val="28"/>
        </w:rPr>
        <w:t>presentazione</w:t>
      </w:r>
      <w:r>
        <w:rPr>
          <w:sz w:val="28"/>
          <w:szCs w:val="28"/>
        </w:rPr>
        <w:t xml:space="preserve"> </w:t>
      </w:r>
      <w:r w:rsidR="00CB2A1F">
        <w:rPr>
          <w:sz w:val="28"/>
          <w:szCs w:val="28"/>
        </w:rPr>
        <w:t xml:space="preserve">(in seguito Presentazione) </w:t>
      </w:r>
      <w:r w:rsidR="003E7F2E">
        <w:rPr>
          <w:sz w:val="28"/>
          <w:szCs w:val="28"/>
        </w:rPr>
        <w:t>già trasmessa e illustrata</w:t>
      </w:r>
      <w:r w:rsidR="000F1128">
        <w:rPr>
          <w:sz w:val="28"/>
          <w:szCs w:val="28"/>
        </w:rPr>
        <w:t xml:space="preserve">, in pari data, </w:t>
      </w:r>
      <w:r w:rsidR="00FD18E3">
        <w:rPr>
          <w:sz w:val="28"/>
          <w:szCs w:val="28"/>
        </w:rPr>
        <w:t>da CSEA</w:t>
      </w:r>
      <w:r w:rsidR="003E7F2E">
        <w:rPr>
          <w:sz w:val="28"/>
          <w:szCs w:val="28"/>
        </w:rPr>
        <w:t xml:space="preserve"> in detta Audizione</w:t>
      </w:r>
      <w:r w:rsidR="00E3143A">
        <w:rPr>
          <w:sz w:val="28"/>
          <w:szCs w:val="28"/>
        </w:rPr>
        <w:t>, si</w:t>
      </w:r>
      <w:r w:rsidR="008A45EB">
        <w:rPr>
          <w:sz w:val="28"/>
          <w:szCs w:val="28"/>
        </w:rPr>
        <w:t xml:space="preserve"> </w:t>
      </w:r>
      <w:r w:rsidR="008A2455">
        <w:rPr>
          <w:sz w:val="28"/>
          <w:szCs w:val="28"/>
        </w:rPr>
        <w:t>rimette la</w:t>
      </w:r>
      <w:r w:rsidR="00E3143A">
        <w:rPr>
          <w:sz w:val="28"/>
          <w:szCs w:val="28"/>
        </w:rPr>
        <w:t xml:space="preserve"> presente nota di riscontro</w:t>
      </w:r>
      <w:r w:rsidR="008A45EB">
        <w:rPr>
          <w:sz w:val="28"/>
          <w:szCs w:val="28"/>
        </w:rPr>
        <w:t>.</w:t>
      </w:r>
    </w:p>
    <w:p w14:paraId="1A9E9D13" w14:textId="28C73884" w:rsidR="008A45EB" w:rsidRDefault="008A45EB" w:rsidP="00220C92">
      <w:pPr>
        <w:jc w:val="both"/>
        <w:rPr>
          <w:sz w:val="28"/>
          <w:szCs w:val="28"/>
        </w:rPr>
      </w:pPr>
      <w:r>
        <w:rPr>
          <w:sz w:val="28"/>
          <w:szCs w:val="28"/>
        </w:rPr>
        <w:t>Al riguardo giova</w:t>
      </w:r>
      <w:r w:rsidR="009A21EA">
        <w:rPr>
          <w:sz w:val="28"/>
          <w:szCs w:val="28"/>
        </w:rPr>
        <w:t xml:space="preserve"> preliminarmente</w:t>
      </w:r>
      <w:r>
        <w:rPr>
          <w:sz w:val="28"/>
          <w:szCs w:val="28"/>
        </w:rPr>
        <w:t xml:space="preserve"> riepilogare che i dati forniti sono</w:t>
      </w:r>
      <w:r w:rsidR="00EF108E">
        <w:rPr>
          <w:sz w:val="28"/>
          <w:szCs w:val="28"/>
        </w:rPr>
        <w:t xml:space="preserve"> quelli risultanti</w:t>
      </w:r>
      <w:r w:rsidR="009A21EA">
        <w:rPr>
          <w:sz w:val="28"/>
          <w:szCs w:val="28"/>
        </w:rPr>
        <w:t>, secondo criterio di cassa,</w:t>
      </w:r>
      <w:r w:rsidR="00EF108E">
        <w:rPr>
          <w:sz w:val="28"/>
          <w:szCs w:val="28"/>
        </w:rPr>
        <w:t xml:space="preserve"> dal Bilancio CSEA o dai documenti contabili agli atti dell’Ente. </w:t>
      </w:r>
      <w:r>
        <w:rPr>
          <w:sz w:val="28"/>
          <w:szCs w:val="28"/>
        </w:rPr>
        <w:t xml:space="preserve"> </w:t>
      </w:r>
    </w:p>
    <w:p w14:paraId="1EBFC0F7" w14:textId="722A6971" w:rsidR="001C1E20" w:rsidRDefault="001C1E20" w:rsidP="00220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precisa che è stato possibile inviare a Codesta Spettabile Commissione solo in data odierna la presente nota al fine di provvedere, come richiesto, all’aggiornamento dati al </w:t>
      </w:r>
      <w:r w:rsidR="008A2455">
        <w:rPr>
          <w:sz w:val="28"/>
          <w:szCs w:val="28"/>
        </w:rPr>
        <w:t>30 giugno</w:t>
      </w:r>
      <w:r w:rsidR="00215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di </w:t>
      </w:r>
      <w:r w:rsidR="00755AA0">
        <w:rPr>
          <w:sz w:val="28"/>
          <w:szCs w:val="28"/>
        </w:rPr>
        <w:t>cui più</w:t>
      </w:r>
      <w:r w:rsidR="00EF108E">
        <w:rPr>
          <w:sz w:val="28"/>
          <w:szCs w:val="28"/>
        </w:rPr>
        <w:t xml:space="preserve"> in dettaglio si riferisce in seguito</w:t>
      </w:r>
      <w:r>
        <w:rPr>
          <w:sz w:val="28"/>
          <w:szCs w:val="28"/>
        </w:rPr>
        <w:t>.</w:t>
      </w:r>
    </w:p>
    <w:p w14:paraId="1DC48AEA" w14:textId="6F06B201" w:rsidR="001C1E20" w:rsidRDefault="001C1E20" w:rsidP="00220C92">
      <w:pPr>
        <w:jc w:val="both"/>
        <w:rPr>
          <w:sz w:val="28"/>
          <w:szCs w:val="28"/>
        </w:rPr>
      </w:pPr>
      <w:r>
        <w:rPr>
          <w:sz w:val="28"/>
          <w:szCs w:val="28"/>
        </w:rPr>
        <w:t>Per comodità di lettura si allegano alla presente nota le slide oggetto delle richieste di chiarimenti di cui sopra.</w:t>
      </w:r>
    </w:p>
    <w:p w14:paraId="43B18110" w14:textId="77777777" w:rsidR="006425BC" w:rsidRDefault="006425BC" w:rsidP="006425BC">
      <w:pPr>
        <w:jc w:val="both"/>
        <w:rPr>
          <w:sz w:val="28"/>
          <w:szCs w:val="28"/>
        </w:rPr>
      </w:pPr>
    </w:p>
    <w:p w14:paraId="11D69F8C" w14:textId="20762BCF" w:rsidR="002A66AC" w:rsidRPr="00CB2A1F" w:rsidRDefault="001C1E20" w:rsidP="00D57221">
      <w:pPr>
        <w:pStyle w:val="Paragrafoelenco"/>
        <w:numPr>
          <w:ilvl w:val="0"/>
          <w:numId w:val="15"/>
        </w:numPr>
        <w:spacing w:before="360" w:after="240"/>
        <w:ind w:left="357" w:hanging="357"/>
        <w:jc w:val="both"/>
        <w:rPr>
          <w:b/>
          <w:bCs/>
          <w:sz w:val="28"/>
          <w:szCs w:val="28"/>
        </w:rPr>
      </w:pPr>
      <w:r w:rsidRPr="00CB2A1F">
        <w:rPr>
          <w:b/>
          <w:bCs/>
          <w:sz w:val="28"/>
          <w:szCs w:val="28"/>
        </w:rPr>
        <w:t xml:space="preserve">In merito ai dati inerenti “il meccanismo di gettito nel </w:t>
      </w:r>
      <w:r w:rsidR="00F96055" w:rsidRPr="00CB2A1F">
        <w:rPr>
          <w:b/>
          <w:bCs/>
          <w:sz w:val="28"/>
          <w:szCs w:val="28"/>
        </w:rPr>
        <w:t>ra</w:t>
      </w:r>
      <w:r w:rsidR="00647E97" w:rsidRPr="00CB2A1F">
        <w:rPr>
          <w:b/>
          <w:bCs/>
          <w:sz w:val="28"/>
          <w:szCs w:val="28"/>
        </w:rPr>
        <w:t>pporto continuativo CSEA-GSE</w:t>
      </w:r>
      <w:r w:rsidRPr="00CB2A1F">
        <w:rPr>
          <w:b/>
          <w:bCs/>
          <w:sz w:val="28"/>
          <w:szCs w:val="28"/>
        </w:rPr>
        <w:t>” (ASOS)</w:t>
      </w:r>
    </w:p>
    <w:p w14:paraId="2FCD9CD7" w14:textId="358BEA2C" w:rsidR="001C1E20" w:rsidRDefault="001C1E20" w:rsidP="002A6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Tale chiarimento è stato richiesto con riferimento ai dati di cui alla slide </w:t>
      </w:r>
      <w:r w:rsidR="00EF108E">
        <w:rPr>
          <w:sz w:val="28"/>
          <w:szCs w:val="28"/>
        </w:rPr>
        <w:t>3.b di pag</w:t>
      </w:r>
      <w:r w:rsidR="00B94562">
        <w:rPr>
          <w:sz w:val="28"/>
          <w:szCs w:val="28"/>
        </w:rPr>
        <w:t>.</w:t>
      </w:r>
      <w:r>
        <w:rPr>
          <w:sz w:val="28"/>
          <w:szCs w:val="28"/>
        </w:rPr>
        <w:t xml:space="preserve"> 10 della citata </w:t>
      </w:r>
      <w:r w:rsidR="00CB2A1F">
        <w:rPr>
          <w:sz w:val="28"/>
          <w:szCs w:val="28"/>
        </w:rPr>
        <w:t>P</w:t>
      </w:r>
      <w:r>
        <w:rPr>
          <w:sz w:val="28"/>
          <w:szCs w:val="28"/>
        </w:rPr>
        <w:t>resentazione (</w:t>
      </w:r>
      <w:r w:rsidR="00CB2A1F">
        <w:rPr>
          <w:sz w:val="28"/>
          <w:szCs w:val="28"/>
        </w:rPr>
        <w:t>A</w:t>
      </w:r>
      <w:r>
        <w:rPr>
          <w:sz w:val="28"/>
          <w:szCs w:val="28"/>
        </w:rPr>
        <w:t>llegato 1).</w:t>
      </w:r>
    </w:p>
    <w:p w14:paraId="110BA6FB" w14:textId="1C7ED305" w:rsidR="00C9519C" w:rsidRPr="001F59AF" w:rsidRDefault="00C9519C" w:rsidP="002A66AC">
      <w:pPr>
        <w:jc w:val="both"/>
        <w:rPr>
          <w:sz w:val="28"/>
          <w:szCs w:val="28"/>
        </w:rPr>
      </w:pPr>
      <w:r w:rsidRPr="001F59AF">
        <w:rPr>
          <w:sz w:val="28"/>
          <w:szCs w:val="28"/>
        </w:rPr>
        <w:t>Per il finanziamento di alcune forme di incentivazione gestite operativamente dal GSE, prima fra tutte quella in favore delle fonti rinnovabili, la CSEA e lo stesso GSE mantengono un rapporto continuativo riguardante erogazioni a valere sul conto A3/A</w:t>
      </w:r>
      <w:r w:rsidRPr="001F59AF">
        <w:rPr>
          <w:sz w:val="28"/>
          <w:szCs w:val="28"/>
          <w:vertAlign w:val="subscript"/>
        </w:rPr>
        <w:t>SOS</w:t>
      </w:r>
      <w:r w:rsidRPr="001F59AF">
        <w:rPr>
          <w:sz w:val="28"/>
          <w:szCs w:val="28"/>
        </w:rPr>
        <w:t>.</w:t>
      </w:r>
    </w:p>
    <w:p w14:paraId="487237BD" w14:textId="10435C62" w:rsidR="00C9519C" w:rsidRPr="001F59AF" w:rsidRDefault="00C9519C" w:rsidP="002A66AC">
      <w:pPr>
        <w:jc w:val="both"/>
        <w:rPr>
          <w:sz w:val="28"/>
          <w:szCs w:val="28"/>
        </w:rPr>
      </w:pPr>
      <w:r w:rsidRPr="001F59AF">
        <w:rPr>
          <w:sz w:val="28"/>
          <w:szCs w:val="28"/>
        </w:rPr>
        <w:lastRenderedPageBreak/>
        <w:t xml:space="preserve">I movimenti finanziari seguono un meccanismo di acconto/saldo, che chiude su base mensile, le cui modalità operative e tempistiche sono regolate secondo quanto previsto all’Articolo 43 del </w:t>
      </w:r>
      <w:r w:rsidRPr="001F59AF">
        <w:rPr>
          <w:i/>
          <w:iCs/>
          <w:sz w:val="28"/>
          <w:szCs w:val="28"/>
        </w:rPr>
        <w:t>Testo Integrato delle Disposizioni per l’Erogazione dei Servizi di Trasmissione e Distribuzione dell’Energia Elettrica</w:t>
      </w:r>
      <w:r w:rsidRPr="001F59AF">
        <w:rPr>
          <w:sz w:val="28"/>
          <w:szCs w:val="28"/>
        </w:rPr>
        <w:t xml:space="preserve"> (TIT),</w:t>
      </w:r>
      <w:r w:rsidR="00E0296E" w:rsidRPr="001F59AF">
        <w:rPr>
          <w:sz w:val="28"/>
          <w:szCs w:val="28"/>
        </w:rPr>
        <w:t xml:space="preserve"> </w:t>
      </w:r>
      <w:r w:rsidR="00FE637B" w:rsidRPr="001F59AF">
        <w:rPr>
          <w:sz w:val="28"/>
          <w:szCs w:val="28"/>
        </w:rPr>
        <w:t>allegato alla Delibera Arera 568/2019/R/eel e poi integrato con successive deliberazioni.</w:t>
      </w:r>
    </w:p>
    <w:p w14:paraId="6DD7F4E5" w14:textId="5C7170E0" w:rsidR="00C9519C" w:rsidRPr="001F59AF" w:rsidRDefault="00C9519C" w:rsidP="002A66AC">
      <w:pPr>
        <w:jc w:val="both"/>
        <w:rPr>
          <w:sz w:val="28"/>
          <w:szCs w:val="28"/>
        </w:rPr>
      </w:pPr>
      <w:r w:rsidRPr="001F59AF">
        <w:rPr>
          <w:sz w:val="28"/>
          <w:szCs w:val="28"/>
        </w:rPr>
        <w:t>L’acconto viene erogato da CSEA al GSE entro</w:t>
      </w:r>
      <w:r w:rsidR="00CB3F10" w:rsidRPr="001F59AF">
        <w:rPr>
          <w:sz w:val="28"/>
          <w:szCs w:val="28"/>
        </w:rPr>
        <w:t xml:space="preserve"> il 17° giorno calendariale del mese “m”, mentre il saldo viene regolato entro il penultimo giorno lavorativo dello stesso mese “m”. </w:t>
      </w:r>
      <w:r w:rsidR="00CB3F10" w:rsidRPr="001F59AF">
        <w:rPr>
          <w:sz w:val="28"/>
          <w:szCs w:val="28"/>
          <w:u w:val="single"/>
        </w:rPr>
        <w:t>Il saldo potrà essere sia negativo (restituzione di parte dell’acconto dal GSE a CSEA) che positivo (integrazione dell’acconto da parte di CSEA al GSE)</w:t>
      </w:r>
      <w:r w:rsidR="007878B0" w:rsidRPr="001F59AF">
        <w:rPr>
          <w:sz w:val="28"/>
          <w:szCs w:val="28"/>
        </w:rPr>
        <w:t>,</w:t>
      </w:r>
      <w:r w:rsidR="00CB3F10" w:rsidRPr="001F59AF">
        <w:rPr>
          <w:sz w:val="28"/>
          <w:szCs w:val="28"/>
        </w:rPr>
        <w:t xml:space="preserve"> secondo </w:t>
      </w:r>
      <w:r w:rsidR="007878B0" w:rsidRPr="001F59AF">
        <w:rPr>
          <w:sz w:val="28"/>
          <w:szCs w:val="28"/>
        </w:rPr>
        <w:t>quanto risultante dal</w:t>
      </w:r>
      <w:r w:rsidR="00CB3F10" w:rsidRPr="001F59AF">
        <w:rPr>
          <w:sz w:val="28"/>
          <w:szCs w:val="28"/>
        </w:rPr>
        <w:t>la rendicontazione, da parte del GSE, dei reali costi mensili</w:t>
      </w:r>
      <w:r w:rsidR="007878B0" w:rsidRPr="001F59AF">
        <w:rPr>
          <w:sz w:val="28"/>
          <w:szCs w:val="28"/>
        </w:rPr>
        <w:t xml:space="preserve"> sostenuti</w:t>
      </w:r>
      <w:r w:rsidR="00CB3F10" w:rsidRPr="001F59AF">
        <w:rPr>
          <w:sz w:val="28"/>
          <w:szCs w:val="28"/>
        </w:rPr>
        <w:t>.</w:t>
      </w:r>
    </w:p>
    <w:p w14:paraId="1B9FA374" w14:textId="154E84BD" w:rsidR="00AC5312" w:rsidRPr="001F59AF" w:rsidRDefault="00AC5312" w:rsidP="00CB3F10">
      <w:pPr>
        <w:jc w:val="both"/>
        <w:rPr>
          <w:sz w:val="28"/>
          <w:szCs w:val="28"/>
        </w:rPr>
      </w:pPr>
      <w:r w:rsidRPr="001F59AF">
        <w:rPr>
          <w:sz w:val="28"/>
          <w:szCs w:val="28"/>
        </w:rPr>
        <w:t>L’acconto mensile, che rimane costante per 12 mesi, viene determinato in misura pari all’80% del fabbisogno medio mensile stimato dal GSE e comunicato ad Arera in occasione dell’aggiornamento delle componenti tariffarie del settore elettrico relative al primo trimestre di ogni anno (Articolo 43.2bis del TIT). A decorrere da</w:t>
      </w:r>
      <w:r w:rsidR="007878B0" w:rsidRPr="001F59AF">
        <w:rPr>
          <w:sz w:val="28"/>
          <w:szCs w:val="28"/>
        </w:rPr>
        <w:t>l</w:t>
      </w:r>
      <w:r w:rsidRPr="001F59AF">
        <w:rPr>
          <w:sz w:val="28"/>
          <w:szCs w:val="28"/>
        </w:rPr>
        <w:t xml:space="preserve"> febbraio 2022</w:t>
      </w:r>
      <w:r w:rsidR="00E925F0">
        <w:rPr>
          <w:sz w:val="28"/>
          <w:szCs w:val="28"/>
        </w:rPr>
        <w:t xml:space="preserve"> (e fino a febbraio 2023)</w:t>
      </w:r>
      <w:r w:rsidRPr="001F59AF">
        <w:rPr>
          <w:sz w:val="28"/>
          <w:szCs w:val="28"/>
        </w:rPr>
        <w:t xml:space="preserve"> è stato fissato un acconto mensile, su base annua, in misura pari a 590 mln €</w:t>
      </w:r>
      <w:r w:rsidR="00E925F0">
        <w:rPr>
          <w:sz w:val="28"/>
          <w:szCs w:val="28"/>
        </w:rPr>
        <w:t>.</w:t>
      </w:r>
    </w:p>
    <w:p w14:paraId="4710ABDB" w14:textId="037F9EE6" w:rsidR="00AC5312" w:rsidRPr="001F59AF" w:rsidRDefault="00AC5312" w:rsidP="00CB3F10">
      <w:pPr>
        <w:jc w:val="both"/>
        <w:rPr>
          <w:sz w:val="28"/>
          <w:szCs w:val="28"/>
        </w:rPr>
      </w:pPr>
      <w:r w:rsidRPr="001F59AF">
        <w:rPr>
          <w:sz w:val="28"/>
          <w:szCs w:val="28"/>
        </w:rPr>
        <w:t xml:space="preserve">Nella tabella seguente sono riassunti i movimenti finanziari </w:t>
      </w:r>
      <w:r w:rsidR="005170C4" w:rsidRPr="001F59AF">
        <w:rPr>
          <w:sz w:val="28"/>
          <w:szCs w:val="28"/>
        </w:rPr>
        <w:t>n</w:t>
      </w:r>
      <w:r w:rsidRPr="001F59AF">
        <w:rPr>
          <w:sz w:val="28"/>
          <w:szCs w:val="28"/>
        </w:rPr>
        <w:t>ell’anno 2022 relativi a questo meccanismo</w:t>
      </w:r>
      <w:r w:rsidR="00E0296E" w:rsidRPr="001F59AF">
        <w:rPr>
          <w:sz w:val="28"/>
          <w:szCs w:val="28"/>
        </w:rPr>
        <w:t>, utili a mostrare l’eventuale alternanza dei saldi mensili a debito o a credito che si determinano di volta in volta</w:t>
      </w:r>
      <w:r w:rsidRPr="001F59AF">
        <w:rPr>
          <w:sz w:val="28"/>
          <w:szCs w:val="28"/>
        </w:rPr>
        <w:t>.</w:t>
      </w:r>
    </w:p>
    <w:p w14:paraId="3CE309F1" w14:textId="00470874" w:rsidR="00AC5312" w:rsidRPr="001F59AF" w:rsidRDefault="001E46BC" w:rsidP="00CB3F10">
      <w:pPr>
        <w:jc w:val="both"/>
        <w:rPr>
          <w:sz w:val="28"/>
          <w:szCs w:val="28"/>
        </w:rPr>
      </w:pPr>
      <w:r w:rsidRPr="001F59AF">
        <w:rPr>
          <w:noProof/>
          <w:sz w:val="28"/>
          <w:szCs w:val="28"/>
          <w:lang w:eastAsia="it-IT"/>
        </w:rPr>
        <w:drawing>
          <wp:inline distT="0" distB="0" distL="0" distR="0" wp14:anchorId="7432ED88" wp14:editId="11C01862">
            <wp:extent cx="6120130" cy="22739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D4A71" w14:textId="0CD96D6B" w:rsidR="00AC5312" w:rsidRPr="001F59AF" w:rsidRDefault="00AC5312" w:rsidP="00CB3F10">
      <w:pPr>
        <w:jc w:val="both"/>
        <w:rPr>
          <w:sz w:val="28"/>
          <w:szCs w:val="28"/>
        </w:rPr>
      </w:pPr>
    </w:p>
    <w:p w14:paraId="39B0DC8D" w14:textId="7CCEE3F8" w:rsidR="00FE637B" w:rsidRPr="00D57221" w:rsidRDefault="001C1E20" w:rsidP="00D57221">
      <w:pPr>
        <w:pStyle w:val="Paragrafoelenco"/>
        <w:keepNext/>
        <w:numPr>
          <w:ilvl w:val="0"/>
          <w:numId w:val="15"/>
        </w:numPr>
        <w:spacing w:before="360" w:after="240"/>
        <w:ind w:left="357" w:hanging="357"/>
        <w:jc w:val="both"/>
        <w:rPr>
          <w:b/>
          <w:bCs/>
          <w:sz w:val="28"/>
          <w:szCs w:val="28"/>
        </w:rPr>
      </w:pPr>
      <w:r w:rsidRPr="0051101E">
        <w:rPr>
          <w:b/>
          <w:bCs/>
          <w:sz w:val="28"/>
          <w:szCs w:val="28"/>
        </w:rPr>
        <w:lastRenderedPageBreak/>
        <w:t xml:space="preserve">In merito all’esame </w:t>
      </w:r>
      <w:r w:rsidR="002151C4" w:rsidRPr="0051101E">
        <w:rPr>
          <w:b/>
          <w:bCs/>
          <w:sz w:val="28"/>
          <w:szCs w:val="28"/>
        </w:rPr>
        <w:t>congiunto</w:t>
      </w:r>
      <w:r w:rsidRPr="0051101E">
        <w:rPr>
          <w:b/>
          <w:bCs/>
          <w:sz w:val="28"/>
          <w:szCs w:val="28"/>
        </w:rPr>
        <w:t xml:space="preserve"> dei dati di cui all</w:t>
      </w:r>
      <w:r w:rsidR="00AA6C9E" w:rsidRPr="0051101E">
        <w:rPr>
          <w:b/>
          <w:bCs/>
          <w:sz w:val="28"/>
          <w:szCs w:val="28"/>
        </w:rPr>
        <w:t>e</w:t>
      </w:r>
      <w:r w:rsidRPr="0051101E">
        <w:rPr>
          <w:b/>
          <w:bCs/>
          <w:sz w:val="28"/>
          <w:szCs w:val="28"/>
        </w:rPr>
        <w:t xml:space="preserve"> </w:t>
      </w:r>
      <w:r w:rsidR="009831B7" w:rsidRPr="0051101E">
        <w:rPr>
          <w:b/>
          <w:bCs/>
          <w:sz w:val="28"/>
          <w:szCs w:val="28"/>
        </w:rPr>
        <w:t xml:space="preserve">slides </w:t>
      </w:r>
      <w:r w:rsidR="00755AA0" w:rsidRPr="0051101E">
        <w:rPr>
          <w:b/>
          <w:bCs/>
          <w:sz w:val="28"/>
          <w:szCs w:val="28"/>
        </w:rPr>
        <w:t>4.a di</w:t>
      </w:r>
      <w:r w:rsidR="00AA6C9E" w:rsidRPr="0051101E">
        <w:rPr>
          <w:b/>
          <w:bCs/>
          <w:sz w:val="28"/>
          <w:szCs w:val="28"/>
        </w:rPr>
        <w:t xml:space="preserve"> pag.</w:t>
      </w:r>
      <w:r w:rsidRPr="0051101E">
        <w:rPr>
          <w:b/>
          <w:bCs/>
          <w:sz w:val="28"/>
          <w:szCs w:val="28"/>
        </w:rPr>
        <w:t>1</w:t>
      </w:r>
      <w:r w:rsidR="00AA6C9E" w:rsidRPr="0051101E">
        <w:rPr>
          <w:b/>
          <w:bCs/>
          <w:sz w:val="28"/>
          <w:szCs w:val="28"/>
        </w:rPr>
        <w:t>1</w:t>
      </w:r>
      <w:r w:rsidRPr="0051101E">
        <w:rPr>
          <w:b/>
          <w:bCs/>
          <w:sz w:val="28"/>
          <w:szCs w:val="28"/>
        </w:rPr>
        <w:t xml:space="preserve"> e</w:t>
      </w:r>
      <w:r w:rsidR="00AA6C9E" w:rsidRPr="0051101E">
        <w:rPr>
          <w:b/>
          <w:bCs/>
          <w:sz w:val="28"/>
          <w:szCs w:val="28"/>
        </w:rPr>
        <w:t xml:space="preserve"> di pag</w:t>
      </w:r>
      <w:r w:rsidR="00B94562">
        <w:rPr>
          <w:b/>
          <w:bCs/>
          <w:sz w:val="28"/>
          <w:szCs w:val="28"/>
        </w:rPr>
        <w:t>.</w:t>
      </w:r>
      <w:r w:rsidR="00AA6C9E" w:rsidRPr="0051101E">
        <w:rPr>
          <w:b/>
          <w:bCs/>
          <w:sz w:val="28"/>
          <w:szCs w:val="28"/>
        </w:rPr>
        <w:t xml:space="preserve"> </w:t>
      </w:r>
      <w:r w:rsidRPr="0051101E">
        <w:rPr>
          <w:b/>
          <w:bCs/>
          <w:sz w:val="28"/>
          <w:szCs w:val="28"/>
        </w:rPr>
        <w:t>1</w:t>
      </w:r>
      <w:r w:rsidR="00AA6C9E" w:rsidRPr="0051101E">
        <w:rPr>
          <w:b/>
          <w:bCs/>
          <w:sz w:val="28"/>
          <w:szCs w:val="28"/>
        </w:rPr>
        <w:t>2</w:t>
      </w:r>
      <w:r w:rsidRPr="0051101E">
        <w:rPr>
          <w:b/>
          <w:bCs/>
          <w:sz w:val="28"/>
          <w:szCs w:val="28"/>
        </w:rPr>
        <w:t xml:space="preserve"> </w:t>
      </w:r>
      <w:r w:rsidR="00CB2A1F">
        <w:rPr>
          <w:b/>
          <w:bCs/>
          <w:sz w:val="28"/>
          <w:szCs w:val="28"/>
        </w:rPr>
        <w:t xml:space="preserve">della Presentazione </w:t>
      </w:r>
      <w:r w:rsidR="008304C6" w:rsidRPr="0051101E">
        <w:rPr>
          <w:b/>
          <w:bCs/>
          <w:sz w:val="28"/>
          <w:szCs w:val="28"/>
        </w:rPr>
        <w:t>e in particolare alla richiesta di chiarimenti circa l‘allocazione delle risorse dello Stato pari a 4,9</w:t>
      </w:r>
      <w:r w:rsidR="0051101E">
        <w:rPr>
          <w:b/>
          <w:bCs/>
          <w:sz w:val="28"/>
          <w:szCs w:val="28"/>
        </w:rPr>
        <w:t>52</w:t>
      </w:r>
      <w:r w:rsidR="008304C6" w:rsidRPr="0051101E">
        <w:rPr>
          <w:b/>
          <w:bCs/>
          <w:sz w:val="28"/>
          <w:szCs w:val="28"/>
        </w:rPr>
        <w:t xml:space="preserve"> mld/€</w:t>
      </w:r>
    </w:p>
    <w:p w14:paraId="7F9594AC" w14:textId="7A5F1E0A" w:rsidR="001C1E20" w:rsidRDefault="008304C6" w:rsidP="00FE637B">
      <w:pPr>
        <w:jc w:val="both"/>
        <w:rPr>
          <w:sz w:val="28"/>
          <w:szCs w:val="28"/>
        </w:rPr>
      </w:pPr>
      <w:r>
        <w:rPr>
          <w:sz w:val="28"/>
          <w:szCs w:val="28"/>
        </w:rPr>
        <w:t>Nella voce “entrate” di detti dati di consuntivazione si è data specifica evidenza delle risorse incassate nel 2021</w:t>
      </w:r>
      <w:r>
        <w:rPr>
          <w:rStyle w:val="Rimandonotaapidipagina"/>
          <w:sz w:val="28"/>
          <w:szCs w:val="28"/>
        </w:rPr>
        <w:footnoteReference w:id="1"/>
      </w:r>
      <w:r>
        <w:rPr>
          <w:sz w:val="28"/>
          <w:szCs w:val="28"/>
        </w:rPr>
        <w:t xml:space="preserve"> (slide</w:t>
      </w:r>
      <w:r w:rsidR="0051101E">
        <w:rPr>
          <w:sz w:val="28"/>
          <w:szCs w:val="28"/>
        </w:rPr>
        <w:t xml:space="preserve"> n. 4.b</w:t>
      </w:r>
      <w:r>
        <w:rPr>
          <w:sz w:val="28"/>
          <w:szCs w:val="28"/>
        </w:rPr>
        <w:t xml:space="preserve"> </w:t>
      </w:r>
      <w:r w:rsidR="0051101E">
        <w:rPr>
          <w:sz w:val="28"/>
          <w:szCs w:val="28"/>
        </w:rPr>
        <w:t>pag.</w:t>
      </w:r>
      <w:r>
        <w:rPr>
          <w:sz w:val="28"/>
          <w:szCs w:val="28"/>
        </w:rPr>
        <w:t>13</w:t>
      </w:r>
      <w:r w:rsidR="00CB2A1F">
        <w:rPr>
          <w:sz w:val="28"/>
          <w:szCs w:val="28"/>
        </w:rPr>
        <w:t xml:space="preserve"> della Presentazione</w:t>
      </w:r>
      <w:r>
        <w:rPr>
          <w:sz w:val="28"/>
          <w:szCs w:val="28"/>
        </w:rPr>
        <w:t>) a valere sui trasferimenti dallo Stato intervenuti per effetto di specifiche disposizioni di legge.</w:t>
      </w:r>
    </w:p>
    <w:p w14:paraId="5C04896C" w14:textId="44151215" w:rsidR="008304C6" w:rsidRDefault="008304C6" w:rsidP="008304C6">
      <w:pPr>
        <w:jc w:val="both"/>
        <w:rPr>
          <w:sz w:val="28"/>
          <w:szCs w:val="28"/>
        </w:rPr>
      </w:pPr>
      <w:r>
        <w:rPr>
          <w:sz w:val="28"/>
          <w:szCs w:val="28"/>
        </w:rPr>
        <w:t>La slide</w:t>
      </w:r>
      <w:r w:rsidR="0051101E">
        <w:rPr>
          <w:sz w:val="28"/>
          <w:szCs w:val="28"/>
        </w:rPr>
        <w:t xml:space="preserve"> n. 4.c di </w:t>
      </w:r>
      <w:r w:rsidR="00CB2A1F">
        <w:rPr>
          <w:sz w:val="28"/>
          <w:szCs w:val="28"/>
        </w:rPr>
        <w:t xml:space="preserve">pag </w:t>
      </w:r>
      <w:r>
        <w:rPr>
          <w:sz w:val="28"/>
          <w:szCs w:val="28"/>
        </w:rPr>
        <w:t>14 riporta le entrate e le uscite CSEA (flussi monetari) rilevat</w:t>
      </w:r>
      <w:r w:rsidR="003B1A14">
        <w:rPr>
          <w:sz w:val="28"/>
          <w:szCs w:val="28"/>
        </w:rPr>
        <w:t>e</w:t>
      </w:r>
      <w:r>
        <w:rPr>
          <w:sz w:val="28"/>
          <w:szCs w:val="28"/>
        </w:rPr>
        <w:t xml:space="preserve"> alla data del 31 maggio 2022</w:t>
      </w:r>
      <w:r>
        <w:rPr>
          <w:rStyle w:val="Rimandonotaapidipagina"/>
          <w:sz w:val="28"/>
          <w:szCs w:val="28"/>
        </w:rPr>
        <w:footnoteReference w:id="2"/>
      </w:r>
      <w:r>
        <w:rPr>
          <w:sz w:val="28"/>
          <w:szCs w:val="28"/>
        </w:rPr>
        <w:t>. Tale slide è stata aggiornata, come richiesto da Codesta Spettabile Commissione, con i flussi monetari rilevati in contabilità nel mese di giugno. L’aggiornamento è riportato in allegato</w:t>
      </w:r>
      <w:r w:rsidR="0051101E">
        <w:rPr>
          <w:sz w:val="28"/>
          <w:szCs w:val="28"/>
        </w:rPr>
        <w:t xml:space="preserve"> (</w:t>
      </w:r>
      <w:r w:rsidR="00CB2A1F">
        <w:rPr>
          <w:sz w:val="28"/>
          <w:szCs w:val="28"/>
        </w:rPr>
        <w:t>A</w:t>
      </w:r>
      <w:r w:rsidR="0051101E">
        <w:rPr>
          <w:sz w:val="28"/>
          <w:szCs w:val="28"/>
        </w:rPr>
        <w:t>llegato</w:t>
      </w:r>
      <w:r>
        <w:rPr>
          <w:sz w:val="28"/>
          <w:szCs w:val="28"/>
        </w:rPr>
        <w:t xml:space="preserve"> </w:t>
      </w:r>
      <w:r w:rsidR="00CB2A1F">
        <w:rPr>
          <w:sz w:val="28"/>
          <w:szCs w:val="28"/>
        </w:rPr>
        <w:t>2</w:t>
      </w:r>
      <w:r w:rsidR="0051101E">
        <w:rPr>
          <w:sz w:val="28"/>
          <w:szCs w:val="28"/>
        </w:rPr>
        <w:t>)</w:t>
      </w:r>
      <w:r>
        <w:rPr>
          <w:sz w:val="28"/>
          <w:szCs w:val="28"/>
        </w:rPr>
        <w:t xml:space="preserve"> alla presente nota.</w:t>
      </w:r>
    </w:p>
    <w:p w14:paraId="2898834D" w14:textId="7BF02918" w:rsidR="008304C6" w:rsidRDefault="008304C6" w:rsidP="00FE637B">
      <w:pPr>
        <w:jc w:val="both"/>
        <w:rPr>
          <w:sz w:val="28"/>
          <w:szCs w:val="28"/>
        </w:rPr>
      </w:pPr>
      <w:r>
        <w:rPr>
          <w:sz w:val="28"/>
          <w:szCs w:val="28"/>
        </w:rPr>
        <w:t>Passando all’analisi di dettaglio delle slide in questione si rappresenta quanto segue.</w:t>
      </w:r>
    </w:p>
    <w:p w14:paraId="5109E20A" w14:textId="77638472" w:rsidR="00FE637B" w:rsidRDefault="00FE637B" w:rsidP="00FE637B">
      <w:pPr>
        <w:jc w:val="both"/>
        <w:rPr>
          <w:sz w:val="28"/>
          <w:szCs w:val="28"/>
        </w:rPr>
      </w:pPr>
      <w:r w:rsidRPr="001F59AF">
        <w:rPr>
          <w:sz w:val="28"/>
          <w:szCs w:val="28"/>
        </w:rPr>
        <w:t xml:space="preserve">Con riferimento al consuntivo 2021, </w:t>
      </w:r>
      <w:r w:rsidR="00FB37CC">
        <w:rPr>
          <w:sz w:val="28"/>
          <w:szCs w:val="28"/>
        </w:rPr>
        <w:t>che consegna dati finanziari consolidati al 31 dicembre 2021, r</w:t>
      </w:r>
      <w:r w:rsidRPr="001F59AF">
        <w:rPr>
          <w:sz w:val="28"/>
          <w:szCs w:val="28"/>
        </w:rPr>
        <w:t>i</w:t>
      </w:r>
      <w:r w:rsidR="00FB37CC">
        <w:rPr>
          <w:sz w:val="28"/>
          <w:szCs w:val="28"/>
        </w:rPr>
        <w:t>guardo ai dati riportati ne</w:t>
      </w:r>
      <w:r w:rsidRPr="001F59AF">
        <w:rPr>
          <w:sz w:val="28"/>
          <w:szCs w:val="28"/>
        </w:rPr>
        <w:t xml:space="preserve">lla tabella </w:t>
      </w:r>
      <w:r w:rsidR="00FB37CC">
        <w:rPr>
          <w:sz w:val="28"/>
          <w:szCs w:val="28"/>
        </w:rPr>
        <w:t>de</w:t>
      </w:r>
      <w:r w:rsidRPr="001F59AF">
        <w:rPr>
          <w:sz w:val="28"/>
          <w:szCs w:val="28"/>
        </w:rPr>
        <w:t xml:space="preserve">lla slide n. 13 della </w:t>
      </w:r>
      <w:r w:rsidR="00CB2A1F">
        <w:rPr>
          <w:sz w:val="28"/>
          <w:szCs w:val="28"/>
        </w:rPr>
        <w:t>P</w:t>
      </w:r>
      <w:r w:rsidRPr="001F59AF">
        <w:rPr>
          <w:sz w:val="28"/>
          <w:szCs w:val="28"/>
        </w:rPr>
        <w:t>resentazione, si precisa che sul delta positivo entrate-uscite di cassa</w:t>
      </w:r>
      <w:r w:rsidR="00C22F38">
        <w:rPr>
          <w:sz w:val="28"/>
          <w:szCs w:val="28"/>
        </w:rPr>
        <w:t xml:space="preserve"> registrato al 31 dicembre 2021</w:t>
      </w:r>
      <w:r w:rsidRPr="001F59AF">
        <w:rPr>
          <w:sz w:val="28"/>
          <w:szCs w:val="28"/>
        </w:rPr>
        <w:t xml:space="preserve">, pari a </w:t>
      </w:r>
      <w:r w:rsidR="00FB37CC">
        <w:rPr>
          <w:sz w:val="28"/>
          <w:szCs w:val="28"/>
        </w:rPr>
        <w:t>euro</w:t>
      </w:r>
      <w:r w:rsidR="00615037">
        <w:rPr>
          <w:sz w:val="28"/>
          <w:szCs w:val="28"/>
        </w:rPr>
        <w:t xml:space="preserve"> </w:t>
      </w:r>
      <w:r w:rsidRPr="001F59AF">
        <w:rPr>
          <w:sz w:val="28"/>
          <w:szCs w:val="28"/>
        </w:rPr>
        <w:t xml:space="preserve">1,064 MLD, influisce l’incasso </w:t>
      </w:r>
      <w:r w:rsidRPr="001F59AF">
        <w:rPr>
          <w:sz w:val="28"/>
          <w:szCs w:val="28"/>
          <w:u w:val="single"/>
        </w:rPr>
        <w:t>anticipato</w:t>
      </w:r>
      <w:r w:rsidR="00ED3BB9">
        <w:rPr>
          <w:sz w:val="28"/>
          <w:szCs w:val="28"/>
          <w:u w:val="single"/>
        </w:rPr>
        <w:t>,</w:t>
      </w:r>
      <w:r w:rsidRPr="001F59AF">
        <w:rPr>
          <w:sz w:val="28"/>
          <w:szCs w:val="28"/>
        </w:rPr>
        <w:t xml:space="preserve"> </w:t>
      </w:r>
      <w:r w:rsidR="00F626C3" w:rsidRPr="005D3C75">
        <w:rPr>
          <w:sz w:val="28"/>
          <w:szCs w:val="28"/>
        </w:rPr>
        <w:t>rispetto al meccanismo ordinario</w:t>
      </w:r>
      <w:r w:rsidR="00ED3BB9">
        <w:rPr>
          <w:sz w:val="28"/>
          <w:szCs w:val="28"/>
        </w:rPr>
        <w:t>,</w:t>
      </w:r>
      <w:r w:rsidR="00F626C3" w:rsidRPr="00F626C3">
        <w:rPr>
          <w:sz w:val="28"/>
          <w:szCs w:val="28"/>
        </w:rPr>
        <w:t xml:space="preserve"> </w:t>
      </w:r>
      <w:r w:rsidR="00F626C3">
        <w:rPr>
          <w:sz w:val="28"/>
          <w:szCs w:val="28"/>
        </w:rPr>
        <w:t xml:space="preserve">avvenuto </w:t>
      </w:r>
      <w:r w:rsidRPr="001F59AF">
        <w:rPr>
          <w:sz w:val="28"/>
          <w:szCs w:val="28"/>
        </w:rPr>
        <w:t>nella seconda metà di dicembre 202</w:t>
      </w:r>
      <w:r w:rsidR="00C22F38">
        <w:rPr>
          <w:sz w:val="28"/>
          <w:szCs w:val="28"/>
        </w:rPr>
        <w:t>1</w:t>
      </w:r>
      <w:r w:rsidRPr="001F59AF">
        <w:rPr>
          <w:sz w:val="28"/>
          <w:szCs w:val="28"/>
        </w:rPr>
        <w:t xml:space="preserve"> </w:t>
      </w:r>
      <w:r w:rsidR="00C22F38">
        <w:rPr>
          <w:sz w:val="28"/>
          <w:szCs w:val="28"/>
        </w:rPr>
        <w:t>(</w:t>
      </w:r>
      <w:r w:rsidRPr="001F59AF">
        <w:rPr>
          <w:sz w:val="28"/>
          <w:szCs w:val="28"/>
        </w:rPr>
        <w:t>come illustrato nella slide n.</w:t>
      </w:r>
      <w:r w:rsidR="00C24CE4">
        <w:rPr>
          <w:sz w:val="28"/>
          <w:szCs w:val="28"/>
        </w:rPr>
        <w:t xml:space="preserve"> </w:t>
      </w:r>
      <w:r w:rsidR="0051101E">
        <w:rPr>
          <w:sz w:val="28"/>
          <w:szCs w:val="28"/>
        </w:rPr>
        <w:t>2b di pag.</w:t>
      </w:r>
      <w:r w:rsidRPr="001F59AF">
        <w:rPr>
          <w:sz w:val="28"/>
          <w:szCs w:val="28"/>
        </w:rPr>
        <w:t xml:space="preserve"> 7</w:t>
      </w:r>
      <w:r w:rsidR="00C22F38">
        <w:rPr>
          <w:sz w:val="28"/>
          <w:szCs w:val="28"/>
        </w:rPr>
        <w:t>)</w:t>
      </w:r>
      <w:r w:rsidRPr="001F59AF">
        <w:rPr>
          <w:sz w:val="28"/>
          <w:szCs w:val="28"/>
        </w:rPr>
        <w:t>, delle risorse trasferite dal Bilancio dello Stato di cui al DL 130 del 27 settembre 2021</w:t>
      </w:r>
      <w:r w:rsidR="00674543" w:rsidRPr="001F59AF">
        <w:rPr>
          <w:sz w:val="28"/>
          <w:szCs w:val="28"/>
        </w:rPr>
        <w:t>,</w:t>
      </w:r>
      <w:r w:rsidRPr="001F59AF">
        <w:rPr>
          <w:sz w:val="28"/>
          <w:szCs w:val="28"/>
        </w:rPr>
        <w:t xml:space="preserve"> per un importo complessivo pari</w:t>
      </w:r>
      <w:r w:rsidR="00052CCE" w:rsidRPr="001F59AF">
        <w:rPr>
          <w:sz w:val="28"/>
          <w:szCs w:val="28"/>
        </w:rPr>
        <w:t xml:space="preserve"> a 2,93 MLD €.</w:t>
      </w:r>
    </w:p>
    <w:p w14:paraId="3B532022" w14:textId="1B935D7F" w:rsidR="007F537C" w:rsidRDefault="00DE186D" w:rsidP="00FE637B">
      <w:pPr>
        <w:jc w:val="both"/>
        <w:rPr>
          <w:sz w:val="28"/>
          <w:szCs w:val="28"/>
        </w:rPr>
      </w:pPr>
      <w:r w:rsidRPr="001F59AF">
        <w:rPr>
          <w:sz w:val="28"/>
          <w:szCs w:val="28"/>
        </w:rPr>
        <w:t>Con riferimento</w:t>
      </w:r>
      <w:r w:rsidR="00152636">
        <w:rPr>
          <w:sz w:val="28"/>
          <w:szCs w:val="28"/>
        </w:rPr>
        <w:t xml:space="preserve"> ai dati</w:t>
      </w:r>
      <w:r w:rsidRPr="001F59AF">
        <w:rPr>
          <w:sz w:val="28"/>
          <w:szCs w:val="28"/>
        </w:rPr>
        <w:t xml:space="preserve"> </w:t>
      </w:r>
      <w:r w:rsidR="00080871" w:rsidRPr="001F59AF">
        <w:rPr>
          <w:sz w:val="28"/>
          <w:szCs w:val="28"/>
        </w:rPr>
        <w:t>2022</w:t>
      </w:r>
      <w:r w:rsidR="00C24CE4">
        <w:rPr>
          <w:sz w:val="28"/>
          <w:szCs w:val="28"/>
        </w:rPr>
        <w:t>,</w:t>
      </w:r>
      <w:r w:rsidR="00080871" w:rsidRPr="001F59AF">
        <w:rPr>
          <w:sz w:val="28"/>
          <w:szCs w:val="28"/>
        </w:rPr>
        <w:t xml:space="preserve"> di cui alla slide n.</w:t>
      </w:r>
      <w:r w:rsidR="00C24CE4">
        <w:rPr>
          <w:sz w:val="28"/>
          <w:szCs w:val="28"/>
        </w:rPr>
        <w:t xml:space="preserve"> 4c di pag</w:t>
      </w:r>
      <w:r w:rsidR="00B94562">
        <w:rPr>
          <w:sz w:val="28"/>
          <w:szCs w:val="28"/>
        </w:rPr>
        <w:t>.</w:t>
      </w:r>
      <w:r w:rsidR="00C24CE4">
        <w:rPr>
          <w:sz w:val="28"/>
          <w:szCs w:val="28"/>
        </w:rPr>
        <w:t xml:space="preserve"> </w:t>
      </w:r>
      <w:r w:rsidR="00080871" w:rsidRPr="001F59AF">
        <w:rPr>
          <w:sz w:val="28"/>
          <w:szCs w:val="28"/>
        </w:rPr>
        <w:t>14, si conferma che</w:t>
      </w:r>
      <w:r w:rsidR="00152636">
        <w:rPr>
          <w:sz w:val="28"/>
          <w:szCs w:val="28"/>
        </w:rPr>
        <w:t xml:space="preserve">: </w:t>
      </w:r>
      <w:r w:rsidR="00152636" w:rsidRPr="001F59AF">
        <w:rPr>
          <w:sz w:val="28"/>
          <w:szCs w:val="28"/>
        </w:rPr>
        <w:t>al 31 maggio 2022</w:t>
      </w:r>
      <w:r w:rsidR="00152636">
        <w:rPr>
          <w:sz w:val="28"/>
          <w:szCs w:val="28"/>
        </w:rPr>
        <w:t xml:space="preserve"> risultano rilevate, </w:t>
      </w:r>
      <w:r w:rsidR="00EF610E">
        <w:rPr>
          <w:sz w:val="28"/>
          <w:szCs w:val="28"/>
        </w:rPr>
        <w:t xml:space="preserve">sempre </w:t>
      </w:r>
      <w:r w:rsidR="00755AA0">
        <w:rPr>
          <w:sz w:val="28"/>
          <w:szCs w:val="28"/>
        </w:rPr>
        <w:t>secondo</w:t>
      </w:r>
      <w:r w:rsidR="00755AA0" w:rsidRPr="001F59AF">
        <w:rPr>
          <w:sz w:val="28"/>
          <w:szCs w:val="28"/>
        </w:rPr>
        <w:t xml:space="preserve"> criterio</w:t>
      </w:r>
      <w:r w:rsidRPr="001F59AF">
        <w:rPr>
          <w:sz w:val="28"/>
          <w:szCs w:val="28"/>
        </w:rPr>
        <w:t xml:space="preserve"> di cassa</w:t>
      </w:r>
      <w:r w:rsidR="00080871" w:rsidRPr="001F59AF">
        <w:rPr>
          <w:sz w:val="28"/>
          <w:szCs w:val="28"/>
        </w:rPr>
        <w:t xml:space="preserve">, </w:t>
      </w:r>
      <w:r w:rsidR="007F537C">
        <w:rPr>
          <w:sz w:val="28"/>
          <w:szCs w:val="28"/>
        </w:rPr>
        <w:t>entrate</w:t>
      </w:r>
      <w:r w:rsidR="007F537C" w:rsidRPr="001F59AF">
        <w:rPr>
          <w:sz w:val="28"/>
          <w:szCs w:val="28"/>
        </w:rPr>
        <w:t xml:space="preserve"> </w:t>
      </w:r>
      <w:r w:rsidRPr="001F59AF">
        <w:rPr>
          <w:sz w:val="28"/>
          <w:szCs w:val="28"/>
        </w:rPr>
        <w:t xml:space="preserve">pari a 6.657 Mln di € (di cui 3.192 Mln di € finanziamenti dallo Stato disposti all’art.1 della legge 30 dicembre 2021, n. 234). </w:t>
      </w:r>
    </w:p>
    <w:p w14:paraId="7C57D90B" w14:textId="4D56F0E0" w:rsidR="00DE186D" w:rsidRDefault="007F537C" w:rsidP="00FE637B">
      <w:pPr>
        <w:jc w:val="both"/>
        <w:rPr>
          <w:sz w:val="28"/>
          <w:szCs w:val="28"/>
        </w:rPr>
      </w:pPr>
      <w:r>
        <w:rPr>
          <w:sz w:val="28"/>
          <w:szCs w:val="28"/>
        </w:rPr>
        <w:t>Pertanto, non essendo stat</w:t>
      </w:r>
      <w:r w:rsidR="006E585F">
        <w:rPr>
          <w:sz w:val="28"/>
          <w:szCs w:val="28"/>
        </w:rPr>
        <w:t>e</w:t>
      </w:r>
      <w:r>
        <w:rPr>
          <w:sz w:val="28"/>
          <w:szCs w:val="28"/>
        </w:rPr>
        <w:t xml:space="preserve"> incassate al 31</w:t>
      </w:r>
      <w:r w:rsidR="00615037">
        <w:rPr>
          <w:sz w:val="28"/>
          <w:szCs w:val="28"/>
        </w:rPr>
        <w:t xml:space="preserve"> maggio </w:t>
      </w:r>
      <w:r>
        <w:rPr>
          <w:sz w:val="28"/>
          <w:szCs w:val="28"/>
        </w:rPr>
        <w:t xml:space="preserve">2022 </w:t>
      </w:r>
      <w:r w:rsidR="001C1A76">
        <w:rPr>
          <w:sz w:val="28"/>
          <w:szCs w:val="28"/>
        </w:rPr>
        <w:t>le ulteriori</w:t>
      </w:r>
      <w:r>
        <w:rPr>
          <w:sz w:val="28"/>
          <w:szCs w:val="28"/>
        </w:rPr>
        <w:t xml:space="preserve"> risorse finanziarie trasferite dallo Stato, le stesse non potevano essere rilevate in contabilità. Infatti </w:t>
      </w:r>
      <w:r w:rsidR="00DE186D" w:rsidRPr="00B3193A">
        <w:rPr>
          <w:sz w:val="28"/>
          <w:szCs w:val="28"/>
        </w:rPr>
        <w:t>le somme destinate a CSEA in trasferimento dal Bilancio dello Stat</w:t>
      </w:r>
      <w:r w:rsidR="00497371">
        <w:rPr>
          <w:sz w:val="28"/>
          <w:szCs w:val="28"/>
        </w:rPr>
        <w:t xml:space="preserve">o per </w:t>
      </w:r>
      <w:r w:rsidR="00DE186D" w:rsidRPr="00B3193A">
        <w:rPr>
          <w:sz w:val="28"/>
          <w:szCs w:val="28"/>
        </w:rPr>
        <w:t>3.650 Mln di € (art. 1 DL 17 1° marzo 2022, convertito con la legge 27 aprile 2022, n. 34)</w:t>
      </w:r>
      <w:r>
        <w:rPr>
          <w:sz w:val="28"/>
          <w:szCs w:val="28"/>
        </w:rPr>
        <w:t xml:space="preserve">, </w:t>
      </w:r>
      <w:r w:rsidR="00DE186D" w:rsidRPr="00B3193A">
        <w:rPr>
          <w:sz w:val="28"/>
          <w:szCs w:val="28"/>
        </w:rPr>
        <w:t>sono state incassat</w:t>
      </w:r>
      <w:r w:rsidR="00497371">
        <w:rPr>
          <w:sz w:val="28"/>
          <w:szCs w:val="28"/>
        </w:rPr>
        <w:t xml:space="preserve">e </w:t>
      </w:r>
      <w:r w:rsidR="00DE186D" w:rsidRPr="00B3193A">
        <w:rPr>
          <w:sz w:val="28"/>
          <w:szCs w:val="28"/>
        </w:rPr>
        <w:t xml:space="preserve">nel corso del </w:t>
      </w:r>
      <w:r w:rsidR="00F626C3">
        <w:rPr>
          <w:sz w:val="28"/>
          <w:szCs w:val="28"/>
        </w:rPr>
        <w:t xml:space="preserve">successivo </w:t>
      </w:r>
      <w:r w:rsidR="00DE186D" w:rsidRPr="00B3193A">
        <w:rPr>
          <w:sz w:val="28"/>
          <w:szCs w:val="28"/>
        </w:rPr>
        <w:t>mese di giugno.</w:t>
      </w:r>
      <w:r w:rsidR="007B78F0">
        <w:rPr>
          <w:sz w:val="28"/>
          <w:szCs w:val="28"/>
        </w:rPr>
        <w:t xml:space="preserve"> De</w:t>
      </w:r>
      <w:r w:rsidR="00CB3CAC">
        <w:rPr>
          <w:sz w:val="28"/>
          <w:szCs w:val="28"/>
        </w:rPr>
        <w:t>lle risorse trasferite dal Bilancio dello Stato ed incassate nel mese di giugno e dei relativi effetti sul delta entrate-uscite per l’anno 2022, al 30 giugno del corrente anno viene data specifica evidenza nell’ Allegato 2 alla presente nota.</w:t>
      </w:r>
      <w:r w:rsidR="00080871">
        <w:rPr>
          <w:sz w:val="28"/>
          <w:szCs w:val="28"/>
        </w:rPr>
        <w:t xml:space="preserve"> Si </w:t>
      </w:r>
      <w:r w:rsidR="00E925F0">
        <w:rPr>
          <w:sz w:val="28"/>
          <w:szCs w:val="28"/>
        </w:rPr>
        <w:t>precis</w:t>
      </w:r>
      <w:r w:rsidR="00CB3CAC">
        <w:rPr>
          <w:sz w:val="28"/>
          <w:szCs w:val="28"/>
        </w:rPr>
        <w:t>a, inoltre,</w:t>
      </w:r>
      <w:r w:rsidR="00080871">
        <w:rPr>
          <w:sz w:val="28"/>
          <w:szCs w:val="28"/>
        </w:rPr>
        <w:t xml:space="preserve"> </w:t>
      </w:r>
      <w:r w:rsidR="00E065CE">
        <w:rPr>
          <w:sz w:val="28"/>
          <w:szCs w:val="28"/>
        </w:rPr>
        <w:t>che</w:t>
      </w:r>
      <w:r w:rsidR="00E065CE" w:rsidRPr="00B3193A">
        <w:rPr>
          <w:sz w:val="28"/>
          <w:szCs w:val="28"/>
        </w:rPr>
        <w:t xml:space="preserve"> di tali somme </w:t>
      </w:r>
      <w:r w:rsidR="00CB3CAC">
        <w:rPr>
          <w:sz w:val="28"/>
          <w:szCs w:val="28"/>
        </w:rPr>
        <w:t xml:space="preserve">già in sede di Presentazione del 13 giugno </w:t>
      </w:r>
      <w:r>
        <w:rPr>
          <w:sz w:val="28"/>
          <w:szCs w:val="28"/>
        </w:rPr>
        <w:t>s</w:t>
      </w:r>
      <w:r w:rsidR="00EF610E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EF610E">
        <w:rPr>
          <w:sz w:val="28"/>
          <w:szCs w:val="28"/>
        </w:rPr>
        <w:t>è</w:t>
      </w:r>
      <w:r w:rsidR="00E065CE" w:rsidRPr="00B3193A">
        <w:rPr>
          <w:sz w:val="28"/>
          <w:szCs w:val="28"/>
        </w:rPr>
        <w:t xml:space="preserve"> </w:t>
      </w:r>
      <w:r w:rsidR="0066772F">
        <w:rPr>
          <w:sz w:val="28"/>
          <w:szCs w:val="28"/>
        </w:rPr>
        <w:t>dat</w:t>
      </w:r>
      <w:r w:rsidR="00EF610E">
        <w:rPr>
          <w:sz w:val="28"/>
          <w:szCs w:val="28"/>
        </w:rPr>
        <w:t>a</w:t>
      </w:r>
      <w:r w:rsidR="0066772F">
        <w:rPr>
          <w:sz w:val="28"/>
          <w:szCs w:val="28"/>
        </w:rPr>
        <w:t xml:space="preserve"> </w:t>
      </w:r>
      <w:r w:rsidR="00E065CE" w:rsidRPr="00B3193A">
        <w:rPr>
          <w:sz w:val="28"/>
          <w:szCs w:val="28"/>
        </w:rPr>
        <w:t>esplici</w:t>
      </w:r>
      <w:r w:rsidR="00EF610E">
        <w:rPr>
          <w:sz w:val="28"/>
          <w:szCs w:val="28"/>
        </w:rPr>
        <w:t>ta</w:t>
      </w:r>
      <w:r w:rsidR="00E065CE" w:rsidRPr="00B3193A">
        <w:rPr>
          <w:sz w:val="28"/>
          <w:szCs w:val="28"/>
        </w:rPr>
        <w:t xml:space="preserve"> e puntual</w:t>
      </w:r>
      <w:r w:rsidR="006E585F">
        <w:rPr>
          <w:sz w:val="28"/>
          <w:szCs w:val="28"/>
        </w:rPr>
        <w:t>e</w:t>
      </w:r>
      <w:r w:rsidR="00E065CE" w:rsidRPr="00B3193A">
        <w:rPr>
          <w:sz w:val="28"/>
          <w:szCs w:val="28"/>
        </w:rPr>
        <w:t xml:space="preserve"> </w:t>
      </w:r>
      <w:r w:rsidR="00E925F0">
        <w:rPr>
          <w:sz w:val="28"/>
          <w:szCs w:val="28"/>
        </w:rPr>
        <w:t>considera</w:t>
      </w:r>
      <w:r w:rsidR="0066772F">
        <w:rPr>
          <w:sz w:val="28"/>
          <w:szCs w:val="28"/>
        </w:rPr>
        <w:t>zione ed evidenza</w:t>
      </w:r>
      <w:r w:rsidR="00E065CE" w:rsidRPr="00B3193A">
        <w:rPr>
          <w:sz w:val="28"/>
          <w:szCs w:val="28"/>
        </w:rPr>
        <w:t xml:space="preserve"> nelle proiezioni</w:t>
      </w:r>
      <w:r w:rsidR="00E065CE">
        <w:rPr>
          <w:sz w:val="28"/>
          <w:szCs w:val="28"/>
        </w:rPr>
        <w:t xml:space="preserve"> delle giacenze </w:t>
      </w:r>
      <w:r w:rsidR="00E065CE" w:rsidRPr="00B3193A">
        <w:rPr>
          <w:sz w:val="28"/>
          <w:szCs w:val="28"/>
        </w:rPr>
        <w:t xml:space="preserve">al </w:t>
      </w:r>
      <w:r w:rsidR="00E065CE">
        <w:rPr>
          <w:sz w:val="28"/>
          <w:szCs w:val="28"/>
        </w:rPr>
        <w:t xml:space="preserve">31 </w:t>
      </w:r>
      <w:r w:rsidR="00E065CE" w:rsidRPr="00B3193A">
        <w:rPr>
          <w:sz w:val="28"/>
          <w:szCs w:val="28"/>
        </w:rPr>
        <w:t>dicembre 2022</w:t>
      </w:r>
      <w:r w:rsidR="0066772F">
        <w:rPr>
          <w:sz w:val="28"/>
          <w:szCs w:val="28"/>
        </w:rPr>
        <w:t xml:space="preserve">. </w:t>
      </w:r>
      <w:r w:rsidR="00C24CE4">
        <w:rPr>
          <w:sz w:val="28"/>
          <w:szCs w:val="28"/>
        </w:rPr>
        <w:t>Infatti,</w:t>
      </w:r>
      <w:r w:rsidR="0066772F">
        <w:rPr>
          <w:sz w:val="28"/>
          <w:szCs w:val="28"/>
        </w:rPr>
        <w:t xml:space="preserve"> le risorse di cui a detti </w:t>
      </w:r>
      <w:r w:rsidR="0066772F">
        <w:rPr>
          <w:sz w:val="28"/>
          <w:szCs w:val="28"/>
        </w:rPr>
        <w:lastRenderedPageBreak/>
        <w:t>ultimi trasferimenti dallo Stato</w:t>
      </w:r>
      <w:r w:rsidR="00E065CE" w:rsidRPr="00B3193A">
        <w:rPr>
          <w:sz w:val="28"/>
          <w:szCs w:val="28"/>
        </w:rPr>
        <w:t xml:space="preserve"> sono state sintetizzate nel grafico e nella tabella mostrate nella slide</w:t>
      </w:r>
      <w:r w:rsidR="00EF610E">
        <w:rPr>
          <w:sz w:val="28"/>
          <w:szCs w:val="28"/>
        </w:rPr>
        <w:t xml:space="preserve"> </w:t>
      </w:r>
      <w:r w:rsidR="00755AA0">
        <w:rPr>
          <w:sz w:val="28"/>
          <w:szCs w:val="28"/>
        </w:rPr>
        <w:t>4.f di</w:t>
      </w:r>
      <w:r w:rsidR="00EF610E">
        <w:rPr>
          <w:sz w:val="28"/>
          <w:szCs w:val="28"/>
        </w:rPr>
        <w:t xml:space="preserve"> pag.</w:t>
      </w:r>
      <w:r w:rsidR="00E065CE" w:rsidRPr="00B3193A">
        <w:rPr>
          <w:sz w:val="28"/>
          <w:szCs w:val="28"/>
        </w:rPr>
        <w:t xml:space="preserve"> 17 della </w:t>
      </w:r>
      <w:r w:rsidR="00C24CE4">
        <w:rPr>
          <w:sz w:val="28"/>
          <w:szCs w:val="28"/>
        </w:rPr>
        <w:t>P</w:t>
      </w:r>
      <w:r w:rsidR="00E065CE" w:rsidRPr="00B3193A">
        <w:rPr>
          <w:sz w:val="28"/>
          <w:szCs w:val="28"/>
        </w:rPr>
        <w:t>resentazione, in cui la curva</w:t>
      </w:r>
      <w:r w:rsidR="0066772F">
        <w:rPr>
          <w:sz w:val="28"/>
          <w:szCs w:val="28"/>
        </w:rPr>
        <w:t xml:space="preserve"> delle giacenze è</w:t>
      </w:r>
      <w:r w:rsidR="00E065CE" w:rsidRPr="00B3193A">
        <w:rPr>
          <w:sz w:val="28"/>
          <w:szCs w:val="28"/>
        </w:rPr>
        <w:t xml:space="preserve"> in crescita fino a mese di agosto 2022 </w:t>
      </w:r>
      <w:r w:rsidR="007A66C5">
        <w:rPr>
          <w:sz w:val="28"/>
          <w:szCs w:val="28"/>
        </w:rPr>
        <w:t xml:space="preserve">anche </w:t>
      </w:r>
      <w:r w:rsidR="0066772F">
        <w:rPr>
          <w:sz w:val="28"/>
          <w:szCs w:val="28"/>
        </w:rPr>
        <w:t>in</w:t>
      </w:r>
      <w:r w:rsidR="00E065CE" w:rsidRPr="00B3193A">
        <w:rPr>
          <w:sz w:val="28"/>
          <w:szCs w:val="28"/>
        </w:rPr>
        <w:t xml:space="preserve"> correla</w:t>
      </w:r>
      <w:r w:rsidR="0066772F">
        <w:rPr>
          <w:sz w:val="28"/>
          <w:szCs w:val="28"/>
        </w:rPr>
        <w:t>zione e per effetto de</w:t>
      </w:r>
      <w:r w:rsidR="00E065CE" w:rsidRPr="00B3193A">
        <w:rPr>
          <w:sz w:val="28"/>
          <w:szCs w:val="28"/>
        </w:rPr>
        <w:t>ll’incasso previsto di detti importi</w:t>
      </w:r>
      <w:r w:rsidR="00EF610E">
        <w:rPr>
          <w:sz w:val="28"/>
          <w:szCs w:val="28"/>
        </w:rPr>
        <w:t>.</w:t>
      </w:r>
    </w:p>
    <w:p w14:paraId="7CE5EC11" w14:textId="59FB0DC3" w:rsidR="00DE186D" w:rsidRPr="001F59AF" w:rsidRDefault="00DE186D" w:rsidP="00FE637B">
      <w:pPr>
        <w:jc w:val="both"/>
        <w:rPr>
          <w:sz w:val="28"/>
          <w:szCs w:val="28"/>
        </w:rPr>
      </w:pPr>
    </w:p>
    <w:p w14:paraId="09BAF25B" w14:textId="25A4A164" w:rsidR="00E875D9" w:rsidRPr="001F59AF" w:rsidRDefault="00152636" w:rsidP="00D57221">
      <w:pPr>
        <w:pStyle w:val="Paragrafoelenco"/>
        <w:numPr>
          <w:ilvl w:val="0"/>
          <w:numId w:val="15"/>
        </w:numPr>
        <w:spacing w:before="360" w:after="240"/>
        <w:ind w:left="357" w:hanging="357"/>
        <w:jc w:val="both"/>
        <w:rPr>
          <w:b/>
          <w:bCs/>
          <w:sz w:val="28"/>
          <w:szCs w:val="28"/>
        </w:rPr>
      </w:pPr>
      <w:r w:rsidRPr="00D57221">
        <w:rPr>
          <w:b/>
          <w:bCs/>
          <w:sz w:val="28"/>
          <w:szCs w:val="28"/>
        </w:rPr>
        <w:t>In merito alle</w:t>
      </w:r>
      <w:r w:rsidR="00EF7998" w:rsidRPr="00D57221">
        <w:rPr>
          <w:b/>
          <w:bCs/>
          <w:sz w:val="28"/>
          <w:szCs w:val="28"/>
        </w:rPr>
        <w:t xml:space="preserve"> principali</w:t>
      </w:r>
      <w:r w:rsidRPr="00D57221">
        <w:rPr>
          <w:b/>
          <w:bCs/>
          <w:sz w:val="28"/>
          <w:szCs w:val="28"/>
        </w:rPr>
        <w:t xml:space="preserve"> ipotesi </w:t>
      </w:r>
      <w:r w:rsidR="00E3143A" w:rsidRPr="00D57221">
        <w:rPr>
          <w:b/>
          <w:bCs/>
          <w:sz w:val="28"/>
          <w:szCs w:val="28"/>
        </w:rPr>
        <w:t xml:space="preserve">poste </w:t>
      </w:r>
      <w:r w:rsidRPr="00D57221">
        <w:rPr>
          <w:b/>
          <w:bCs/>
          <w:sz w:val="28"/>
          <w:szCs w:val="28"/>
        </w:rPr>
        <w:t xml:space="preserve">a base delle </w:t>
      </w:r>
      <w:r>
        <w:rPr>
          <w:b/>
          <w:bCs/>
          <w:sz w:val="28"/>
          <w:szCs w:val="28"/>
        </w:rPr>
        <w:t>p</w:t>
      </w:r>
      <w:r w:rsidR="00F80D02" w:rsidRPr="001F59AF">
        <w:rPr>
          <w:b/>
          <w:bCs/>
          <w:sz w:val="28"/>
          <w:szCs w:val="28"/>
        </w:rPr>
        <w:t xml:space="preserve">roiezioni </w:t>
      </w:r>
      <w:r w:rsidR="00B0373B" w:rsidRPr="001F59AF">
        <w:rPr>
          <w:b/>
          <w:bCs/>
          <w:sz w:val="28"/>
          <w:szCs w:val="28"/>
        </w:rPr>
        <w:t>g</w:t>
      </w:r>
      <w:r w:rsidR="00F80D02" w:rsidRPr="001F59AF">
        <w:rPr>
          <w:b/>
          <w:bCs/>
          <w:sz w:val="28"/>
          <w:szCs w:val="28"/>
        </w:rPr>
        <w:t>iacenze CSEA 2022</w:t>
      </w:r>
      <w:r w:rsidR="00EF29A1">
        <w:rPr>
          <w:b/>
          <w:bCs/>
          <w:sz w:val="28"/>
          <w:szCs w:val="28"/>
        </w:rPr>
        <w:t>, dei settori elettrico e gas,</w:t>
      </w:r>
      <w:r>
        <w:rPr>
          <w:b/>
          <w:bCs/>
          <w:sz w:val="28"/>
          <w:szCs w:val="28"/>
        </w:rPr>
        <w:t xml:space="preserve"> di cui alla slide </w:t>
      </w:r>
      <w:r w:rsidR="009F43F8">
        <w:rPr>
          <w:b/>
          <w:bCs/>
          <w:sz w:val="28"/>
          <w:szCs w:val="28"/>
        </w:rPr>
        <w:t>4d di pag</w:t>
      </w:r>
      <w:r w:rsidR="007A66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15</w:t>
      </w:r>
      <w:r w:rsidR="00E52316">
        <w:rPr>
          <w:b/>
          <w:bCs/>
          <w:sz w:val="28"/>
          <w:szCs w:val="28"/>
        </w:rPr>
        <w:t xml:space="preserve"> ed in merito alle principali</w:t>
      </w:r>
      <w:r w:rsidR="00A640E3">
        <w:rPr>
          <w:b/>
          <w:bCs/>
          <w:sz w:val="28"/>
          <w:szCs w:val="28"/>
        </w:rPr>
        <w:t xml:space="preserve"> </w:t>
      </w:r>
      <w:r w:rsidR="00E52316">
        <w:rPr>
          <w:b/>
          <w:bCs/>
          <w:sz w:val="28"/>
          <w:szCs w:val="28"/>
        </w:rPr>
        <w:t>variabili con significativo impatto sulle proiezioni di cu</w:t>
      </w:r>
      <w:r w:rsidR="006E585F">
        <w:rPr>
          <w:b/>
          <w:bCs/>
          <w:sz w:val="28"/>
          <w:szCs w:val="28"/>
        </w:rPr>
        <w:t>i a</w:t>
      </w:r>
      <w:r w:rsidR="00E52316">
        <w:rPr>
          <w:b/>
          <w:bCs/>
          <w:sz w:val="28"/>
          <w:szCs w:val="28"/>
        </w:rPr>
        <w:t>lla slide 4e di pag</w:t>
      </w:r>
      <w:r w:rsidR="007A66C5">
        <w:rPr>
          <w:b/>
          <w:bCs/>
          <w:sz w:val="28"/>
          <w:szCs w:val="28"/>
        </w:rPr>
        <w:t>.</w:t>
      </w:r>
      <w:r w:rsidR="00E52316">
        <w:rPr>
          <w:b/>
          <w:bCs/>
          <w:sz w:val="28"/>
          <w:szCs w:val="28"/>
        </w:rPr>
        <w:t xml:space="preserve"> 16</w:t>
      </w:r>
    </w:p>
    <w:p w14:paraId="3C6F4062" w14:textId="627BE66D" w:rsidR="00EF7998" w:rsidRDefault="00152636" w:rsidP="00220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Avendo la CSEA carattere di ente strumentale la cui </w:t>
      </w:r>
      <w:r w:rsidRPr="00402E83">
        <w:rPr>
          <w:i/>
          <w:iCs/>
          <w:sz w:val="28"/>
          <w:szCs w:val="28"/>
        </w:rPr>
        <w:t>mission</w:t>
      </w:r>
      <w:r>
        <w:rPr>
          <w:sz w:val="28"/>
          <w:szCs w:val="28"/>
        </w:rPr>
        <w:t xml:space="preserve"> è l’attuazione delle deliberazioni di ARERA, l</w:t>
      </w:r>
      <w:r w:rsidR="00F80D02" w:rsidRPr="001F59AF">
        <w:rPr>
          <w:sz w:val="28"/>
          <w:szCs w:val="28"/>
        </w:rPr>
        <w:t>e proiezioni delle giacenze CSEA al 31 dicembre 2022</w:t>
      </w:r>
      <w:r w:rsidR="007825DB" w:rsidRPr="001F59AF">
        <w:rPr>
          <w:sz w:val="28"/>
          <w:szCs w:val="28"/>
        </w:rPr>
        <w:t xml:space="preserve"> per i settori elettrico e gas</w:t>
      </w:r>
      <w:r w:rsidR="00F80D02" w:rsidRPr="001F59AF">
        <w:rPr>
          <w:sz w:val="28"/>
          <w:szCs w:val="28"/>
        </w:rPr>
        <w:t xml:space="preserve">, </w:t>
      </w:r>
      <w:r w:rsidR="0033412B" w:rsidRPr="001F59AF">
        <w:rPr>
          <w:sz w:val="28"/>
          <w:szCs w:val="28"/>
        </w:rPr>
        <w:t xml:space="preserve">presentate nel corso dell’audizione dello scorso 15 giugno, si </w:t>
      </w:r>
      <w:r>
        <w:rPr>
          <w:sz w:val="28"/>
          <w:szCs w:val="28"/>
        </w:rPr>
        <w:t xml:space="preserve">sono </w:t>
      </w:r>
      <w:r w:rsidR="0033412B" w:rsidRPr="001F59AF">
        <w:rPr>
          <w:sz w:val="28"/>
          <w:szCs w:val="28"/>
        </w:rPr>
        <w:t>basa</w:t>
      </w:r>
      <w:r>
        <w:rPr>
          <w:sz w:val="28"/>
          <w:szCs w:val="28"/>
        </w:rPr>
        <w:t>te</w:t>
      </w:r>
      <w:r w:rsidR="0033412B" w:rsidRPr="001F59AF">
        <w:rPr>
          <w:sz w:val="28"/>
          <w:szCs w:val="28"/>
        </w:rPr>
        <w:t xml:space="preserve"> su un approccio </w:t>
      </w:r>
      <w:r w:rsidR="0033412B" w:rsidRPr="001F59AF">
        <w:rPr>
          <w:i/>
          <w:iCs/>
          <w:sz w:val="28"/>
          <w:szCs w:val="28"/>
        </w:rPr>
        <w:t>busine</w:t>
      </w:r>
      <w:r w:rsidR="00983CA8" w:rsidRPr="001F59AF">
        <w:rPr>
          <w:i/>
          <w:iCs/>
          <w:sz w:val="28"/>
          <w:szCs w:val="28"/>
        </w:rPr>
        <w:t>s</w:t>
      </w:r>
      <w:r w:rsidR="0033412B" w:rsidRPr="001F59AF">
        <w:rPr>
          <w:i/>
          <w:iCs/>
          <w:sz w:val="28"/>
          <w:szCs w:val="28"/>
        </w:rPr>
        <w:t>s as usual</w:t>
      </w:r>
      <w:r w:rsidR="0033412B" w:rsidRPr="001F59AF">
        <w:rPr>
          <w:sz w:val="28"/>
          <w:szCs w:val="28"/>
        </w:rPr>
        <w:t>, che cioè non ipotizza ulteriori interventi dello Stato oltre a quelli</w:t>
      </w:r>
      <w:r w:rsidR="00C60CB2">
        <w:rPr>
          <w:sz w:val="28"/>
          <w:szCs w:val="28"/>
        </w:rPr>
        <w:t xml:space="preserve"> formalmente</w:t>
      </w:r>
      <w:r w:rsidR="0033412B" w:rsidRPr="001F59AF">
        <w:rPr>
          <w:sz w:val="28"/>
          <w:szCs w:val="28"/>
        </w:rPr>
        <w:t xml:space="preserve"> previsti nei dispositivi normativi pubblicati, né variazioni delle aliquote degli Oneri Generali di Sistema e delle altre componenti tariffarie</w:t>
      </w:r>
      <w:r w:rsidR="00CB3CAC">
        <w:rPr>
          <w:sz w:val="28"/>
          <w:szCs w:val="28"/>
        </w:rPr>
        <w:t>, quali quelle da ultimo</w:t>
      </w:r>
      <w:r w:rsidR="00497371">
        <w:rPr>
          <w:sz w:val="28"/>
          <w:szCs w:val="28"/>
        </w:rPr>
        <w:t xml:space="preserve"> </w:t>
      </w:r>
      <w:r w:rsidR="0033412B" w:rsidRPr="001F59AF">
        <w:rPr>
          <w:sz w:val="28"/>
          <w:szCs w:val="28"/>
        </w:rPr>
        <w:t>fi</w:t>
      </w:r>
      <w:r w:rsidR="006A205A" w:rsidRPr="001F59AF">
        <w:rPr>
          <w:sz w:val="28"/>
          <w:szCs w:val="28"/>
        </w:rPr>
        <w:t>ss</w:t>
      </w:r>
      <w:r w:rsidR="0033412B" w:rsidRPr="001F59AF">
        <w:rPr>
          <w:sz w:val="28"/>
          <w:szCs w:val="28"/>
        </w:rPr>
        <w:t>ate trimestralmente da</w:t>
      </w:r>
      <w:r w:rsidR="00E52316">
        <w:rPr>
          <w:sz w:val="28"/>
          <w:szCs w:val="28"/>
        </w:rPr>
        <w:t>lle deliberazioni di</w:t>
      </w:r>
      <w:r w:rsidR="0033412B" w:rsidRPr="001F59AF">
        <w:rPr>
          <w:sz w:val="28"/>
          <w:szCs w:val="28"/>
        </w:rPr>
        <w:t xml:space="preserve"> </w:t>
      </w:r>
      <w:r w:rsidR="00497371">
        <w:rPr>
          <w:sz w:val="28"/>
          <w:szCs w:val="28"/>
        </w:rPr>
        <w:t>ARERA.</w:t>
      </w:r>
      <w:r w:rsidR="003C43B6" w:rsidRPr="001F59AF">
        <w:rPr>
          <w:sz w:val="28"/>
          <w:szCs w:val="28"/>
        </w:rPr>
        <w:t xml:space="preserve"> </w:t>
      </w:r>
    </w:p>
    <w:p w14:paraId="6143C924" w14:textId="2FD88296" w:rsidR="00EF7998" w:rsidRDefault="00E52316" w:rsidP="00220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</w:t>
      </w:r>
      <w:r w:rsidR="00FB7A8D">
        <w:rPr>
          <w:sz w:val="28"/>
          <w:szCs w:val="28"/>
        </w:rPr>
        <w:t xml:space="preserve">quanto </w:t>
      </w:r>
      <w:r>
        <w:rPr>
          <w:sz w:val="28"/>
          <w:szCs w:val="28"/>
        </w:rPr>
        <w:t>concerne l’indicazione di alcuni variabili</w:t>
      </w:r>
      <w:r w:rsidR="00EE3E16">
        <w:rPr>
          <w:sz w:val="28"/>
          <w:szCs w:val="28"/>
        </w:rPr>
        <w:t xml:space="preserve"> esogene</w:t>
      </w:r>
      <w:r>
        <w:rPr>
          <w:sz w:val="28"/>
          <w:szCs w:val="28"/>
        </w:rPr>
        <w:t xml:space="preserve">, di difficile previsione in ordine alla relativa evoluzione, in grado di incidere in modo significativo sull’andamento delle giacenze CSEA </w:t>
      </w:r>
      <w:r w:rsidR="00FB7A8D">
        <w:rPr>
          <w:sz w:val="28"/>
          <w:szCs w:val="28"/>
        </w:rPr>
        <w:t>(</w:t>
      </w:r>
      <w:r w:rsidR="00755AA0">
        <w:rPr>
          <w:sz w:val="28"/>
          <w:szCs w:val="28"/>
        </w:rPr>
        <w:t>come sinteticamente</w:t>
      </w:r>
      <w:r>
        <w:rPr>
          <w:sz w:val="28"/>
          <w:szCs w:val="28"/>
        </w:rPr>
        <w:t xml:space="preserve"> richiamate </w:t>
      </w:r>
      <w:r w:rsidR="00FB7A8D">
        <w:rPr>
          <w:sz w:val="28"/>
          <w:szCs w:val="28"/>
        </w:rPr>
        <w:t xml:space="preserve">nella slide </w:t>
      </w:r>
      <w:r w:rsidR="00C24CE4">
        <w:rPr>
          <w:sz w:val="28"/>
          <w:szCs w:val="28"/>
        </w:rPr>
        <w:t xml:space="preserve">n. </w:t>
      </w:r>
      <w:r w:rsidR="00FB7A8D">
        <w:rPr>
          <w:sz w:val="28"/>
          <w:szCs w:val="28"/>
        </w:rPr>
        <w:t>4e di pag 16)</w:t>
      </w:r>
      <w:r w:rsidR="004500C1">
        <w:rPr>
          <w:sz w:val="28"/>
          <w:szCs w:val="28"/>
        </w:rPr>
        <w:t xml:space="preserve">, sulla base di ulteriori </w:t>
      </w:r>
      <w:r w:rsidR="00FB7A8D">
        <w:rPr>
          <w:sz w:val="28"/>
          <w:szCs w:val="28"/>
        </w:rPr>
        <w:t xml:space="preserve">interlocuzioni </w:t>
      </w:r>
      <w:r w:rsidR="004500C1">
        <w:rPr>
          <w:sz w:val="28"/>
          <w:szCs w:val="28"/>
        </w:rPr>
        <w:t xml:space="preserve">con il </w:t>
      </w:r>
      <w:r w:rsidR="00FB7A8D">
        <w:rPr>
          <w:sz w:val="28"/>
          <w:szCs w:val="28"/>
        </w:rPr>
        <w:t xml:space="preserve">MEF e </w:t>
      </w:r>
      <w:r w:rsidR="004500C1">
        <w:rPr>
          <w:sz w:val="28"/>
          <w:szCs w:val="28"/>
        </w:rPr>
        <w:t xml:space="preserve">con </w:t>
      </w:r>
      <w:r w:rsidR="00FB7A8D">
        <w:rPr>
          <w:sz w:val="28"/>
          <w:szCs w:val="28"/>
        </w:rPr>
        <w:t>ARERA</w:t>
      </w:r>
      <w:r w:rsidR="004500C1">
        <w:rPr>
          <w:sz w:val="28"/>
          <w:szCs w:val="28"/>
        </w:rPr>
        <w:t xml:space="preserve"> avvenute nel corso </w:t>
      </w:r>
      <w:r w:rsidR="000F5F17">
        <w:rPr>
          <w:sz w:val="28"/>
          <w:szCs w:val="28"/>
        </w:rPr>
        <w:t>de</w:t>
      </w:r>
      <w:r w:rsidR="00C270AC">
        <w:rPr>
          <w:sz w:val="28"/>
          <w:szCs w:val="28"/>
        </w:rPr>
        <w:t>l</w:t>
      </w:r>
      <w:r w:rsidR="000F5F17">
        <w:rPr>
          <w:sz w:val="28"/>
          <w:szCs w:val="28"/>
        </w:rPr>
        <w:t xml:space="preserve"> mes</w:t>
      </w:r>
      <w:r w:rsidR="00C270AC">
        <w:rPr>
          <w:sz w:val="28"/>
          <w:szCs w:val="28"/>
        </w:rPr>
        <w:t>e</w:t>
      </w:r>
      <w:r w:rsidR="004500C1">
        <w:rPr>
          <w:sz w:val="28"/>
          <w:szCs w:val="28"/>
        </w:rPr>
        <w:t xml:space="preserve"> di giugno 2022,</w:t>
      </w:r>
      <w:r w:rsidR="00EE3E16">
        <w:rPr>
          <w:sz w:val="28"/>
          <w:szCs w:val="28"/>
        </w:rPr>
        <w:t xml:space="preserve"> e sulla base di precisazioni da questi fornite</w:t>
      </w:r>
      <w:r w:rsidR="004500C1">
        <w:rPr>
          <w:sz w:val="28"/>
          <w:szCs w:val="28"/>
        </w:rPr>
        <w:t xml:space="preserve"> si precisa che le ipotesi relative al bonus sociale non dovranno più tenere conto di eventuali effetti di retroattività.</w:t>
      </w:r>
    </w:p>
    <w:p w14:paraId="3F68838C" w14:textId="6F525521" w:rsidR="00EE3E16" w:rsidRDefault="00EE3E16" w:rsidP="00220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ordine alla </w:t>
      </w:r>
      <w:r w:rsidR="007A66C5">
        <w:rPr>
          <w:sz w:val="28"/>
          <w:szCs w:val="28"/>
        </w:rPr>
        <w:t>difficoltosa</w:t>
      </w:r>
      <w:r w:rsidR="00DB0778">
        <w:rPr>
          <w:sz w:val="28"/>
          <w:szCs w:val="28"/>
        </w:rPr>
        <w:t xml:space="preserve"> prevedibilità di alcune variabili incidenti sull’andamento delle giacenze per il 2022, giova fare riferimento alla</w:t>
      </w:r>
      <w:r w:rsidR="0093136A">
        <w:rPr>
          <w:sz w:val="28"/>
          <w:szCs w:val="28"/>
        </w:rPr>
        <w:t xml:space="preserve"> variabile indicata nella slide 4e della Presentazione alla voce “prezzo e disponibilità del gas naturale”, </w:t>
      </w:r>
      <w:r w:rsidR="00EA1CD8">
        <w:rPr>
          <w:sz w:val="28"/>
          <w:szCs w:val="28"/>
        </w:rPr>
        <w:t>per informare circa gli effetti correlati alla recentissima</w:t>
      </w:r>
      <w:r w:rsidR="00D0700D">
        <w:rPr>
          <w:sz w:val="28"/>
          <w:szCs w:val="28"/>
        </w:rPr>
        <w:t xml:space="preserve"> attuazione delle misure urgenti per il conferimento della capacità del servizio di stoccaggio </w:t>
      </w:r>
      <w:r w:rsidR="00EA1CD8">
        <w:rPr>
          <w:sz w:val="28"/>
          <w:szCs w:val="28"/>
        </w:rPr>
        <w:t>di cui</w:t>
      </w:r>
      <w:r w:rsidR="00D0700D">
        <w:rPr>
          <w:sz w:val="28"/>
          <w:szCs w:val="28"/>
        </w:rPr>
        <w:t xml:space="preserve"> </w:t>
      </w:r>
      <w:r w:rsidR="00EA1CD8">
        <w:rPr>
          <w:sz w:val="28"/>
          <w:szCs w:val="28"/>
        </w:rPr>
        <w:t>a</w:t>
      </w:r>
      <w:r w:rsidR="00D0700D">
        <w:rPr>
          <w:sz w:val="28"/>
          <w:szCs w:val="28"/>
        </w:rPr>
        <w:t xml:space="preserve">l decreto del Ministro della Transizione Ecologica 22 giugno 2022 n.253 e </w:t>
      </w:r>
      <w:r w:rsidR="00EA1CD8">
        <w:rPr>
          <w:sz w:val="28"/>
          <w:szCs w:val="28"/>
        </w:rPr>
        <w:t>a</w:t>
      </w:r>
      <w:r w:rsidR="00D0700D">
        <w:rPr>
          <w:sz w:val="28"/>
          <w:szCs w:val="28"/>
        </w:rPr>
        <w:t>lla conseguente  deliberazione ARERA</w:t>
      </w:r>
      <w:r w:rsidR="0093136A">
        <w:rPr>
          <w:sz w:val="28"/>
          <w:szCs w:val="28"/>
        </w:rPr>
        <w:t xml:space="preserve"> </w:t>
      </w:r>
      <w:r w:rsidR="00D0700D">
        <w:rPr>
          <w:sz w:val="28"/>
          <w:szCs w:val="28"/>
        </w:rPr>
        <w:t>24 giugno 2022 n.274. Per effetto di tali disposizioni</w:t>
      </w:r>
      <w:r w:rsidR="00EA1CD8">
        <w:rPr>
          <w:sz w:val="28"/>
          <w:szCs w:val="28"/>
        </w:rPr>
        <w:t>, infatti,</w:t>
      </w:r>
      <w:r w:rsidR="00077BA5">
        <w:rPr>
          <w:sz w:val="28"/>
          <w:szCs w:val="28"/>
        </w:rPr>
        <w:t xml:space="preserve"> aventi carattere di strao</w:t>
      </w:r>
      <w:r w:rsidR="007A66C5">
        <w:rPr>
          <w:sz w:val="28"/>
          <w:szCs w:val="28"/>
        </w:rPr>
        <w:t>r</w:t>
      </w:r>
      <w:r w:rsidR="00077BA5">
        <w:rPr>
          <w:sz w:val="28"/>
          <w:szCs w:val="28"/>
        </w:rPr>
        <w:t>dinarietà ed impellenza in</w:t>
      </w:r>
      <w:r w:rsidR="00D0700D">
        <w:rPr>
          <w:sz w:val="28"/>
          <w:szCs w:val="28"/>
        </w:rPr>
        <w:t xml:space="preserve"> materia di sicurezza del sistema</w:t>
      </w:r>
      <w:r w:rsidR="00077BA5">
        <w:rPr>
          <w:sz w:val="28"/>
          <w:szCs w:val="28"/>
        </w:rPr>
        <w:t xml:space="preserve"> </w:t>
      </w:r>
      <w:r w:rsidR="007A66C5">
        <w:rPr>
          <w:sz w:val="28"/>
          <w:szCs w:val="28"/>
        </w:rPr>
        <w:t xml:space="preserve">energetico </w:t>
      </w:r>
      <w:r w:rsidR="00077BA5">
        <w:rPr>
          <w:sz w:val="28"/>
          <w:szCs w:val="28"/>
        </w:rPr>
        <w:t>nazionale</w:t>
      </w:r>
      <w:r w:rsidR="00B11B04">
        <w:rPr>
          <w:sz w:val="28"/>
          <w:szCs w:val="28"/>
        </w:rPr>
        <w:t>,</w:t>
      </w:r>
      <w:r w:rsidR="00077BA5">
        <w:rPr>
          <w:sz w:val="28"/>
          <w:szCs w:val="28"/>
        </w:rPr>
        <w:t xml:space="preserve"> è stato previsto che CSEA eroghi al responsabile del bilanciamento fino a 2 mld di euro per il servizio di riempimento di ultima istanza</w:t>
      </w:r>
      <w:r w:rsidR="00DB0778">
        <w:rPr>
          <w:sz w:val="28"/>
          <w:szCs w:val="28"/>
        </w:rPr>
        <w:t>. Al riguardo</w:t>
      </w:r>
      <w:r w:rsidR="00EA1CD8">
        <w:rPr>
          <w:sz w:val="28"/>
          <w:szCs w:val="28"/>
        </w:rPr>
        <w:t xml:space="preserve">, si </w:t>
      </w:r>
      <w:r w:rsidR="00B11B04">
        <w:rPr>
          <w:sz w:val="28"/>
          <w:szCs w:val="28"/>
        </w:rPr>
        <w:t>fa presente</w:t>
      </w:r>
      <w:r w:rsidR="00EA1CD8">
        <w:rPr>
          <w:sz w:val="28"/>
          <w:szCs w:val="28"/>
        </w:rPr>
        <w:t xml:space="preserve"> che</w:t>
      </w:r>
      <w:r w:rsidR="00DB0778">
        <w:rPr>
          <w:sz w:val="28"/>
          <w:szCs w:val="28"/>
        </w:rPr>
        <w:t xml:space="preserve"> già in data 4 luglio scorso è stata effettuata da CSEA una prima erogazione in favore di SNAM RETE GAS </w:t>
      </w:r>
      <w:r w:rsidR="007A66C5">
        <w:rPr>
          <w:sz w:val="28"/>
          <w:szCs w:val="28"/>
        </w:rPr>
        <w:t>S</w:t>
      </w:r>
      <w:r w:rsidR="00DB0778">
        <w:rPr>
          <w:sz w:val="28"/>
          <w:szCs w:val="28"/>
        </w:rPr>
        <w:t>pa per complessivi 822 Mln di euro.</w:t>
      </w:r>
    </w:p>
    <w:p w14:paraId="354D1B16" w14:textId="4FF13FA2" w:rsidR="00EF7998" w:rsidRDefault="00EF7998" w:rsidP="00220C92">
      <w:pPr>
        <w:jc w:val="both"/>
        <w:rPr>
          <w:sz w:val="28"/>
          <w:szCs w:val="28"/>
        </w:rPr>
      </w:pPr>
    </w:p>
    <w:p w14:paraId="7523027D" w14:textId="4498CAA6" w:rsidR="00EF7998" w:rsidRPr="00D57221" w:rsidRDefault="00EF7998" w:rsidP="00D57221">
      <w:pPr>
        <w:pStyle w:val="Paragrafoelenco"/>
        <w:numPr>
          <w:ilvl w:val="0"/>
          <w:numId w:val="15"/>
        </w:numPr>
        <w:spacing w:before="360" w:after="240"/>
        <w:ind w:left="357" w:hanging="357"/>
        <w:jc w:val="both"/>
        <w:rPr>
          <w:b/>
          <w:bCs/>
          <w:sz w:val="28"/>
          <w:szCs w:val="28"/>
        </w:rPr>
      </w:pPr>
      <w:r w:rsidRPr="00D57221">
        <w:rPr>
          <w:b/>
          <w:bCs/>
          <w:sz w:val="28"/>
          <w:szCs w:val="28"/>
        </w:rPr>
        <w:t xml:space="preserve">In merito alle </w:t>
      </w:r>
      <w:r>
        <w:rPr>
          <w:b/>
          <w:bCs/>
          <w:sz w:val="28"/>
          <w:szCs w:val="28"/>
        </w:rPr>
        <w:t>p</w:t>
      </w:r>
      <w:r w:rsidRPr="001F59AF">
        <w:rPr>
          <w:b/>
          <w:bCs/>
          <w:sz w:val="28"/>
          <w:szCs w:val="28"/>
        </w:rPr>
        <w:t xml:space="preserve">roiezioni </w:t>
      </w:r>
      <w:r w:rsidR="007A66C5">
        <w:rPr>
          <w:b/>
          <w:bCs/>
          <w:sz w:val="28"/>
          <w:szCs w:val="28"/>
        </w:rPr>
        <w:t xml:space="preserve">delle </w:t>
      </w:r>
      <w:r w:rsidRPr="001F59AF">
        <w:rPr>
          <w:b/>
          <w:bCs/>
          <w:sz w:val="28"/>
          <w:szCs w:val="28"/>
        </w:rPr>
        <w:t xml:space="preserve">giacenze CSEA </w:t>
      </w:r>
      <w:r w:rsidR="00B20EBA">
        <w:rPr>
          <w:b/>
          <w:bCs/>
          <w:sz w:val="28"/>
          <w:szCs w:val="28"/>
        </w:rPr>
        <w:t>dei settori elettrico e gas</w:t>
      </w:r>
      <w:r w:rsidR="00A40422">
        <w:rPr>
          <w:b/>
          <w:bCs/>
          <w:sz w:val="28"/>
          <w:szCs w:val="28"/>
        </w:rPr>
        <w:t xml:space="preserve"> </w:t>
      </w:r>
      <w:r w:rsidRPr="001F59AF">
        <w:rPr>
          <w:b/>
          <w:bCs/>
          <w:sz w:val="28"/>
          <w:szCs w:val="28"/>
        </w:rPr>
        <w:t>al 31 dicembre 2022</w:t>
      </w:r>
      <w:r>
        <w:rPr>
          <w:b/>
          <w:bCs/>
          <w:sz w:val="28"/>
          <w:szCs w:val="28"/>
        </w:rPr>
        <w:t xml:space="preserve"> di cui alla slide 4.f di pag </w:t>
      </w:r>
      <w:r w:rsidR="00755AA0">
        <w:rPr>
          <w:b/>
          <w:bCs/>
          <w:sz w:val="28"/>
          <w:szCs w:val="28"/>
        </w:rPr>
        <w:t>17.</w:t>
      </w:r>
    </w:p>
    <w:p w14:paraId="6D97C117" w14:textId="5BCAA695" w:rsidR="000C688A" w:rsidRDefault="00663732" w:rsidP="000C688A">
      <w:pPr>
        <w:jc w:val="both"/>
        <w:rPr>
          <w:sz w:val="28"/>
          <w:szCs w:val="28"/>
        </w:rPr>
      </w:pPr>
      <w:r>
        <w:rPr>
          <w:sz w:val="28"/>
          <w:szCs w:val="28"/>
        </w:rPr>
        <w:t>In una logica di collaborazione proattiva, nel corso dell’audizione in questione si è ritenuto di rendere disponibile u</w:t>
      </w:r>
      <w:r w:rsidR="001F4F14">
        <w:rPr>
          <w:sz w:val="28"/>
          <w:szCs w:val="28"/>
        </w:rPr>
        <w:t>na prima</w:t>
      </w:r>
      <w:r w:rsidR="000C688A">
        <w:rPr>
          <w:sz w:val="28"/>
          <w:szCs w:val="28"/>
        </w:rPr>
        <w:t xml:space="preserve"> proiezione dell</w:t>
      </w:r>
      <w:r w:rsidR="00EA1CD8">
        <w:rPr>
          <w:sz w:val="28"/>
          <w:szCs w:val="28"/>
        </w:rPr>
        <w:t>o stato delle</w:t>
      </w:r>
      <w:r w:rsidR="000C688A">
        <w:rPr>
          <w:sz w:val="28"/>
          <w:szCs w:val="28"/>
        </w:rPr>
        <w:t xml:space="preserve"> giacenze</w:t>
      </w:r>
      <w:r w:rsidR="00EA1CD8">
        <w:rPr>
          <w:sz w:val="28"/>
          <w:szCs w:val="28"/>
        </w:rPr>
        <w:t xml:space="preserve"> </w:t>
      </w:r>
      <w:r w:rsidR="00B11B04">
        <w:rPr>
          <w:sz w:val="28"/>
          <w:szCs w:val="28"/>
        </w:rPr>
        <w:t xml:space="preserve">CSEA </w:t>
      </w:r>
      <w:r w:rsidR="00EA1CD8">
        <w:rPr>
          <w:sz w:val="28"/>
          <w:szCs w:val="28"/>
        </w:rPr>
        <w:t xml:space="preserve">fino al 31 dicembre 2022, pur </w:t>
      </w:r>
      <w:r w:rsidR="000C688A">
        <w:rPr>
          <w:sz w:val="28"/>
          <w:szCs w:val="28"/>
        </w:rPr>
        <w:t xml:space="preserve">non </w:t>
      </w:r>
      <w:r w:rsidR="00EA1CD8">
        <w:rPr>
          <w:sz w:val="28"/>
          <w:szCs w:val="28"/>
        </w:rPr>
        <w:t xml:space="preserve">essendo </w:t>
      </w:r>
      <w:r>
        <w:rPr>
          <w:sz w:val="28"/>
          <w:szCs w:val="28"/>
        </w:rPr>
        <w:t>tale elaborazione</w:t>
      </w:r>
      <w:r w:rsidR="000C688A">
        <w:rPr>
          <w:sz w:val="28"/>
          <w:szCs w:val="28"/>
        </w:rPr>
        <w:t xml:space="preserve"> strettamente</w:t>
      </w:r>
      <w:r w:rsidR="00EA1CD8">
        <w:rPr>
          <w:sz w:val="28"/>
          <w:szCs w:val="28"/>
        </w:rPr>
        <w:t xml:space="preserve"> configurabile</w:t>
      </w:r>
      <w:r w:rsidR="000C688A">
        <w:rPr>
          <w:sz w:val="28"/>
          <w:szCs w:val="28"/>
        </w:rPr>
        <w:t xml:space="preserve"> tra i dati oggetto della audizione</w:t>
      </w:r>
      <w:r w:rsidR="00EA1CD8">
        <w:rPr>
          <w:sz w:val="28"/>
          <w:szCs w:val="28"/>
        </w:rPr>
        <w:t>,</w:t>
      </w:r>
      <w:r w:rsidR="000C688A">
        <w:rPr>
          <w:sz w:val="28"/>
          <w:szCs w:val="28"/>
        </w:rPr>
        <w:t xml:space="preserve">, al fine di fornire utili elementi di informazione e conoscenza a codesta spettabile Commissione, pur nell’approccio richiamato al precedente paragrafo </w:t>
      </w:r>
      <w:r w:rsidR="00BA48F3">
        <w:rPr>
          <w:sz w:val="28"/>
          <w:szCs w:val="28"/>
        </w:rPr>
        <w:t>3.</w:t>
      </w:r>
    </w:p>
    <w:p w14:paraId="6150EC7D" w14:textId="334523C9" w:rsidR="00D56016" w:rsidRDefault="00BA48F3" w:rsidP="00220C92">
      <w:pPr>
        <w:jc w:val="both"/>
        <w:rPr>
          <w:sz w:val="28"/>
          <w:szCs w:val="28"/>
        </w:rPr>
      </w:pPr>
      <w:r>
        <w:rPr>
          <w:sz w:val="28"/>
          <w:szCs w:val="28"/>
        </w:rPr>
        <w:t>In considerazio</w:t>
      </w:r>
      <w:r w:rsidR="00790E85">
        <w:rPr>
          <w:sz w:val="28"/>
          <w:szCs w:val="28"/>
        </w:rPr>
        <w:t>ne di quanto sopra,</w:t>
      </w:r>
      <w:r w:rsidR="004500C1">
        <w:rPr>
          <w:sz w:val="28"/>
          <w:szCs w:val="28"/>
        </w:rPr>
        <w:t xml:space="preserve"> e coerentemente con i criteri sopra rappresentati,</w:t>
      </w:r>
      <w:r w:rsidR="00790E85">
        <w:rPr>
          <w:sz w:val="28"/>
          <w:szCs w:val="28"/>
        </w:rPr>
        <w:t xml:space="preserve"> ai fini delle proiezioni delle giacenze al 31 dicembre 2022, le aliquote degli Oneri generali di </w:t>
      </w:r>
      <w:r w:rsidR="00755AA0">
        <w:rPr>
          <w:sz w:val="28"/>
          <w:szCs w:val="28"/>
        </w:rPr>
        <w:t>sistema</w:t>
      </w:r>
      <w:r w:rsidR="00755AA0" w:rsidRPr="001F59AF">
        <w:rPr>
          <w:sz w:val="28"/>
          <w:szCs w:val="28"/>
        </w:rPr>
        <w:t>, sono</w:t>
      </w:r>
      <w:r w:rsidR="004500C1">
        <w:rPr>
          <w:sz w:val="28"/>
          <w:szCs w:val="28"/>
        </w:rPr>
        <w:t xml:space="preserve"> state</w:t>
      </w:r>
      <w:r w:rsidR="00790E85">
        <w:rPr>
          <w:sz w:val="28"/>
          <w:szCs w:val="28"/>
        </w:rPr>
        <w:t xml:space="preserve"> </w:t>
      </w:r>
      <w:r w:rsidR="0033412B" w:rsidRPr="001F59AF">
        <w:rPr>
          <w:sz w:val="28"/>
          <w:szCs w:val="28"/>
        </w:rPr>
        <w:t>poste</w:t>
      </w:r>
      <w:r w:rsidR="001F4F14">
        <w:rPr>
          <w:sz w:val="28"/>
          <w:szCs w:val="28"/>
        </w:rPr>
        <w:t xml:space="preserve"> nella Presentazione,</w:t>
      </w:r>
      <w:r w:rsidR="00FF74EC">
        <w:rPr>
          <w:sz w:val="28"/>
          <w:szCs w:val="28"/>
        </w:rPr>
        <w:t xml:space="preserve"> </w:t>
      </w:r>
      <w:r w:rsidR="0033412B" w:rsidRPr="001F59AF">
        <w:rPr>
          <w:sz w:val="28"/>
          <w:szCs w:val="28"/>
        </w:rPr>
        <w:t>per tutta la restante parte del 2022</w:t>
      </w:r>
      <w:r w:rsidR="001F4F14">
        <w:rPr>
          <w:sz w:val="28"/>
          <w:szCs w:val="28"/>
        </w:rPr>
        <w:t>,</w:t>
      </w:r>
      <w:r w:rsidR="00C83185">
        <w:rPr>
          <w:sz w:val="28"/>
          <w:szCs w:val="28"/>
        </w:rPr>
        <w:t xml:space="preserve"> in un logica </w:t>
      </w:r>
      <w:r w:rsidR="00FF74EC">
        <w:rPr>
          <w:sz w:val="28"/>
          <w:szCs w:val="28"/>
        </w:rPr>
        <w:t>non discrezionale</w:t>
      </w:r>
      <w:r w:rsidR="00C83185">
        <w:rPr>
          <w:sz w:val="28"/>
          <w:szCs w:val="28"/>
        </w:rPr>
        <w:t xml:space="preserve">, </w:t>
      </w:r>
      <w:r w:rsidR="0033412B" w:rsidRPr="001F59AF">
        <w:rPr>
          <w:sz w:val="28"/>
          <w:szCs w:val="28"/>
        </w:rPr>
        <w:t>par</w:t>
      </w:r>
      <w:r w:rsidR="006A205A" w:rsidRPr="001F59AF">
        <w:rPr>
          <w:sz w:val="28"/>
          <w:szCs w:val="28"/>
        </w:rPr>
        <w:t>i</w:t>
      </w:r>
      <w:r w:rsidR="0033412B" w:rsidRPr="001F59AF">
        <w:rPr>
          <w:sz w:val="28"/>
          <w:szCs w:val="28"/>
        </w:rPr>
        <w:t xml:space="preserve"> a quelle </w:t>
      </w:r>
      <w:r w:rsidR="003C43B6" w:rsidRPr="001F59AF">
        <w:rPr>
          <w:sz w:val="28"/>
          <w:szCs w:val="28"/>
        </w:rPr>
        <w:t xml:space="preserve"> vigenti</w:t>
      </w:r>
      <w:r w:rsidR="0033412B" w:rsidRPr="001F59AF">
        <w:rPr>
          <w:sz w:val="28"/>
          <w:szCs w:val="28"/>
        </w:rPr>
        <w:t xml:space="preserve"> </w:t>
      </w:r>
      <w:r w:rsidR="0033412B" w:rsidRPr="004500C1">
        <w:rPr>
          <w:sz w:val="28"/>
          <w:szCs w:val="28"/>
        </w:rPr>
        <w:t xml:space="preserve">per il secondo trimestre </w:t>
      </w:r>
      <w:r w:rsidR="003C43B6" w:rsidRPr="004500C1">
        <w:rPr>
          <w:sz w:val="28"/>
          <w:szCs w:val="28"/>
        </w:rPr>
        <w:t>2022</w:t>
      </w:r>
      <w:r w:rsidR="00790E85">
        <w:rPr>
          <w:sz w:val="28"/>
          <w:szCs w:val="28"/>
        </w:rPr>
        <w:t>.</w:t>
      </w:r>
    </w:p>
    <w:p w14:paraId="4F2E0BEF" w14:textId="08D0A894" w:rsidR="00CE53F6" w:rsidRDefault="000759B7" w:rsidP="00220C92">
      <w:pPr>
        <w:jc w:val="both"/>
        <w:rPr>
          <w:sz w:val="28"/>
          <w:szCs w:val="28"/>
        </w:rPr>
      </w:pPr>
      <w:r w:rsidRPr="000759B7">
        <w:rPr>
          <w:sz w:val="28"/>
          <w:szCs w:val="28"/>
        </w:rPr>
        <w:t>Al fine di fornire</w:t>
      </w:r>
      <w:r w:rsidR="00FF74EC">
        <w:rPr>
          <w:sz w:val="28"/>
          <w:szCs w:val="28"/>
        </w:rPr>
        <w:t xml:space="preserve">, in questa sede, </w:t>
      </w:r>
      <w:r w:rsidRPr="000759B7">
        <w:rPr>
          <w:sz w:val="28"/>
          <w:szCs w:val="28"/>
        </w:rPr>
        <w:t xml:space="preserve"> un andamento delle giacenze CSEA il più possibile aggiornato, è stato rielaborato il prospetto delle giacenze CSEA al 31 dicembre 2022 tenendo conto delle disposizioni normative deliberate dopo l’audizione del 15 giugno 2022 (</w:t>
      </w:r>
      <w:r w:rsidR="00CE53F6">
        <w:rPr>
          <w:sz w:val="28"/>
          <w:szCs w:val="28"/>
        </w:rPr>
        <w:t>A</w:t>
      </w:r>
      <w:r w:rsidRPr="000759B7">
        <w:rPr>
          <w:sz w:val="28"/>
          <w:szCs w:val="28"/>
        </w:rPr>
        <w:t xml:space="preserve">llegato </w:t>
      </w:r>
      <w:r w:rsidR="00CE53F6">
        <w:rPr>
          <w:sz w:val="28"/>
          <w:szCs w:val="28"/>
        </w:rPr>
        <w:t>3</w:t>
      </w:r>
      <w:r w:rsidRPr="000759B7">
        <w:rPr>
          <w:sz w:val="28"/>
          <w:szCs w:val="28"/>
        </w:rPr>
        <w:t xml:space="preserve">). Nello specifico, il </w:t>
      </w:r>
      <w:r w:rsidR="00CE53F6">
        <w:rPr>
          <w:sz w:val="28"/>
          <w:szCs w:val="28"/>
        </w:rPr>
        <w:t xml:space="preserve">nuovo </w:t>
      </w:r>
      <w:r w:rsidRPr="000759B7">
        <w:rPr>
          <w:sz w:val="28"/>
          <w:szCs w:val="28"/>
        </w:rPr>
        <w:t>prospetto recepisce:</w:t>
      </w:r>
    </w:p>
    <w:p w14:paraId="53D6BD59" w14:textId="0CDF1FA1" w:rsidR="002F2325" w:rsidRDefault="002F2325" w:rsidP="002F2325">
      <w:pPr>
        <w:pStyle w:val="Paragrafoelenco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B24F82">
        <w:rPr>
          <w:sz w:val="28"/>
          <w:szCs w:val="28"/>
        </w:rPr>
        <w:t>a</w:t>
      </w:r>
      <w:r>
        <w:rPr>
          <w:sz w:val="28"/>
          <w:szCs w:val="28"/>
        </w:rPr>
        <w:t xml:space="preserve"> deliberazion</w:t>
      </w:r>
      <w:r w:rsidR="00B24F82">
        <w:rPr>
          <w:sz w:val="28"/>
          <w:szCs w:val="28"/>
        </w:rPr>
        <w:t>e</w:t>
      </w:r>
      <w:r>
        <w:rPr>
          <w:sz w:val="28"/>
          <w:szCs w:val="28"/>
        </w:rPr>
        <w:t xml:space="preserve"> ARERA </w:t>
      </w:r>
      <w:r w:rsidR="00D24998">
        <w:rPr>
          <w:sz w:val="28"/>
          <w:szCs w:val="28"/>
        </w:rPr>
        <w:t>n. 295/2022 del 30 giugno 2022</w:t>
      </w:r>
      <w:r w:rsidR="00B24F82">
        <w:rPr>
          <w:sz w:val="28"/>
          <w:szCs w:val="28"/>
        </w:rPr>
        <w:t>,</w:t>
      </w:r>
      <w:r w:rsidR="00D24998">
        <w:rPr>
          <w:sz w:val="28"/>
          <w:szCs w:val="28"/>
        </w:rPr>
        <w:t xml:space="preserve"> </w:t>
      </w:r>
      <w:r>
        <w:rPr>
          <w:sz w:val="28"/>
          <w:szCs w:val="28"/>
        </w:rPr>
        <w:t>relativ</w:t>
      </w:r>
      <w:r w:rsidR="00B24F82">
        <w:rPr>
          <w:sz w:val="28"/>
          <w:szCs w:val="28"/>
        </w:rPr>
        <w:t>a</w:t>
      </w:r>
      <w:r>
        <w:rPr>
          <w:sz w:val="28"/>
          <w:szCs w:val="28"/>
        </w:rPr>
        <w:t xml:space="preserve"> all’aggiornamento delle aliquote delle componenti tariffarie per il III trimestre 2022 destinate alla copertura degli oneri generali e di ulteriori componenti del settore elettrico e gas;</w:t>
      </w:r>
    </w:p>
    <w:p w14:paraId="702AE9BA" w14:textId="77777777" w:rsidR="002F2325" w:rsidRDefault="002F2325" w:rsidP="002F2325">
      <w:pPr>
        <w:pStyle w:val="Paragrafoelenco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 risorse destinate alla CSEA dal Decreto Legge del 30 giugno 2022 pari a 2.563 Mln di €;</w:t>
      </w:r>
    </w:p>
    <w:p w14:paraId="39558213" w14:textId="54AAFB75" w:rsidR="002F2325" w:rsidRDefault="002F2325" w:rsidP="002F2325">
      <w:pPr>
        <w:pStyle w:val="Paragrafoelenco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 u</w:t>
      </w:r>
      <w:r w:rsidRPr="008136D8">
        <w:rPr>
          <w:sz w:val="28"/>
          <w:szCs w:val="28"/>
        </w:rPr>
        <w:t xml:space="preserve">lteriori misure urgenti per il conferimento della capacità di servizio di </w:t>
      </w:r>
      <w:r w:rsidRPr="00992843">
        <w:rPr>
          <w:sz w:val="28"/>
          <w:szCs w:val="28"/>
        </w:rPr>
        <w:t>stoccaggio di gas naturale ai sensi del decreto del Ministro della Transizione Ecologica n. 253 del 22 giugno 2022, di cui alla deliberazione</w:t>
      </w:r>
      <w:r>
        <w:rPr>
          <w:sz w:val="28"/>
          <w:szCs w:val="28"/>
        </w:rPr>
        <w:t xml:space="preserve"> ARERA</w:t>
      </w:r>
      <w:r w:rsidRPr="00992843">
        <w:rPr>
          <w:sz w:val="28"/>
          <w:szCs w:val="28"/>
        </w:rPr>
        <w:t xml:space="preserve"> 274/2022/R/gas;</w:t>
      </w:r>
    </w:p>
    <w:p w14:paraId="206BF656" w14:textId="7E9BD916" w:rsidR="002F2325" w:rsidRPr="002039BB" w:rsidRDefault="002F2325" w:rsidP="002F2325">
      <w:pPr>
        <w:pStyle w:val="Paragrafoelenco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 u</w:t>
      </w:r>
      <w:r w:rsidRPr="00992843">
        <w:rPr>
          <w:sz w:val="28"/>
          <w:szCs w:val="28"/>
        </w:rPr>
        <w:t xml:space="preserve">lteriori disposizioni di ARERA e/o nuove informazioni </w:t>
      </w:r>
      <w:r w:rsidR="0052629C">
        <w:rPr>
          <w:sz w:val="28"/>
          <w:szCs w:val="28"/>
        </w:rPr>
        <w:t>e dati acquisite</w:t>
      </w:r>
      <w:r w:rsidRPr="00992843">
        <w:rPr>
          <w:sz w:val="28"/>
          <w:szCs w:val="28"/>
        </w:rPr>
        <w:t xml:space="preserve"> d</w:t>
      </w:r>
      <w:r w:rsidR="0052629C">
        <w:rPr>
          <w:sz w:val="28"/>
          <w:szCs w:val="28"/>
        </w:rPr>
        <w:t>a</w:t>
      </w:r>
      <w:r w:rsidRPr="00992843">
        <w:rPr>
          <w:sz w:val="28"/>
          <w:szCs w:val="28"/>
        </w:rPr>
        <w:t xml:space="preserve"> CSEA anche  da parte degli operatori</w:t>
      </w:r>
      <w:r>
        <w:rPr>
          <w:sz w:val="28"/>
          <w:szCs w:val="28"/>
        </w:rPr>
        <w:t xml:space="preserve"> di riferimento</w:t>
      </w:r>
    </w:p>
    <w:p w14:paraId="0F80732A" w14:textId="77777777" w:rsidR="00DC2046" w:rsidRPr="001F59AF" w:rsidRDefault="00DC2046" w:rsidP="00220C92">
      <w:pPr>
        <w:pStyle w:val="Paragrafoelenco"/>
        <w:jc w:val="both"/>
        <w:rPr>
          <w:sz w:val="28"/>
          <w:szCs w:val="28"/>
          <w:highlight w:val="yellow"/>
        </w:rPr>
      </w:pPr>
    </w:p>
    <w:p w14:paraId="54B82DDF" w14:textId="496FA1B4" w:rsidR="00C4388E" w:rsidRPr="001F59AF" w:rsidRDefault="00C4388E" w:rsidP="00215713">
      <w:pPr>
        <w:pStyle w:val="Paragrafoelenco"/>
        <w:ind w:left="0"/>
        <w:jc w:val="both"/>
        <w:rPr>
          <w:sz w:val="28"/>
          <w:szCs w:val="28"/>
        </w:rPr>
      </w:pPr>
    </w:p>
    <w:p w14:paraId="691FE16C" w14:textId="1D6C93F3" w:rsidR="00215713" w:rsidRPr="001F59AF" w:rsidRDefault="00152636" w:rsidP="00D57221">
      <w:pPr>
        <w:pStyle w:val="Paragrafoelenco"/>
        <w:keepNext/>
        <w:numPr>
          <w:ilvl w:val="0"/>
          <w:numId w:val="15"/>
        </w:numPr>
        <w:spacing w:before="360" w:after="240"/>
        <w:ind w:left="357" w:hanging="3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In merito al </w:t>
      </w:r>
      <w:r w:rsidR="00215713" w:rsidRPr="001F59AF">
        <w:rPr>
          <w:b/>
          <w:bCs/>
          <w:sz w:val="28"/>
          <w:szCs w:val="28"/>
        </w:rPr>
        <w:t>Conto CMOG</w:t>
      </w:r>
    </w:p>
    <w:p w14:paraId="00DEAEEE" w14:textId="2369D68A" w:rsidR="00886A06" w:rsidRPr="001F59AF" w:rsidRDefault="00886A06" w:rsidP="00886A06">
      <w:pPr>
        <w:jc w:val="both"/>
        <w:rPr>
          <w:sz w:val="28"/>
          <w:szCs w:val="28"/>
        </w:rPr>
      </w:pPr>
      <w:r w:rsidRPr="001F59AF">
        <w:rPr>
          <w:sz w:val="28"/>
          <w:szCs w:val="28"/>
        </w:rPr>
        <w:t xml:space="preserve">L’Autorità di Regolazione per Energia Reti e Ambiente (ARERA), con l’articolo 3 della delibera 50/2018/R/eel, ha istituito il conto per la compensazione dei crediti altrimenti non recuperabili connessi agli Oneri Generali di Sistema (c.d. CMOG). Il conto non è alimentato da specifiche componenti tariffarie, ma da versamenti effettuati da altri Conti di Gestione CSEA </w:t>
      </w:r>
      <w:r w:rsidR="007047E4" w:rsidRPr="001F59AF">
        <w:rPr>
          <w:sz w:val="28"/>
          <w:szCs w:val="28"/>
        </w:rPr>
        <w:t>“</w:t>
      </w:r>
      <w:r w:rsidR="007047E4" w:rsidRPr="001F59AF">
        <w:rPr>
          <w:i/>
          <w:iCs/>
          <w:sz w:val="28"/>
          <w:szCs w:val="28"/>
        </w:rPr>
        <w:t>secondo proporzioni definite con determinazione del Direttore della Direzione Infrastrutture dell’Autorità</w:t>
      </w:r>
      <w:r w:rsidR="007047E4" w:rsidRPr="001F59AF">
        <w:rPr>
          <w:sz w:val="28"/>
          <w:szCs w:val="28"/>
        </w:rPr>
        <w:t>” (Art. 3.3 della citata Delibera Arera)</w:t>
      </w:r>
    </w:p>
    <w:p w14:paraId="79E9876C" w14:textId="094879DE" w:rsidR="00886A06" w:rsidRPr="001F59AF" w:rsidRDefault="00B151A3" w:rsidP="00886A06">
      <w:pPr>
        <w:jc w:val="both"/>
        <w:rPr>
          <w:sz w:val="28"/>
          <w:szCs w:val="28"/>
        </w:rPr>
      </w:pPr>
      <w:r w:rsidRPr="001F59AF">
        <w:rPr>
          <w:sz w:val="28"/>
          <w:szCs w:val="28"/>
        </w:rPr>
        <w:t xml:space="preserve">Su questo conto di gestione </w:t>
      </w:r>
      <w:r w:rsidR="0066391E" w:rsidRPr="001F59AF">
        <w:rPr>
          <w:sz w:val="28"/>
          <w:szCs w:val="28"/>
        </w:rPr>
        <w:t xml:space="preserve">di </w:t>
      </w:r>
      <w:r w:rsidRPr="001F59AF">
        <w:rPr>
          <w:sz w:val="28"/>
          <w:szCs w:val="28"/>
        </w:rPr>
        <w:t>CSEA insistono due meccanismi introdotti da Arera:</w:t>
      </w:r>
    </w:p>
    <w:p w14:paraId="0EFD2576" w14:textId="7BE7CB2C" w:rsidR="00886A06" w:rsidRPr="001F59AF" w:rsidRDefault="00886A06" w:rsidP="00886A06">
      <w:pPr>
        <w:pStyle w:val="Paragrafoelenco"/>
        <w:numPr>
          <w:ilvl w:val="0"/>
          <w:numId w:val="12"/>
        </w:numPr>
        <w:spacing w:line="256" w:lineRule="auto"/>
        <w:jc w:val="both"/>
        <w:rPr>
          <w:sz w:val="28"/>
          <w:szCs w:val="28"/>
        </w:rPr>
      </w:pPr>
      <w:r w:rsidRPr="001F59AF">
        <w:rPr>
          <w:sz w:val="28"/>
          <w:szCs w:val="28"/>
        </w:rPr>
        <w:t>reintegrazione alle imprese distributrici di energia elettrica dei crediti non riscossi e altrimenti non recuperabili in ordine agli Oneri Generali di Sistema</w:t>
      </w:r>
      <w:r w:rsidR="0066391E" w:rsidRPr="001F59AF">
        <w:rPr>
          <w:sz w:val="28"/>
          <w:szCs w:val="28"/>
        </w:rPr>
        <w:t>. Il meccanismo,</w:t>
      </w:r>
      <w:r w:rsidRPr="001F59AF">
        <w:rPr>
          <w:sz w:val="28"/>
          <w:szCs w:val="28"/>
        </w:rPr>
        <w:t xml:space="preserve"> istituito con la delibera 50/2018/R/eel</w:t>
      </w:r>
      <w:r w:rsidR="0066391E" w:rsidRPr="001F59AF">
        <w:rPr>
          <w:sz w:val="28"/>
          <w:szCs w:val="28"/>
        </w:rPr>
        <w:t xml:space="preserve"> e</w:t>
      </w:r>
      <w:r w:rsidR="00B151A3" w:rsidRPr="001F59AF">
        <w:rPr>
          <w:sz w:val="28"/>
          <w:szCs w:val="28"/>
        </w:rPr>
        <w:t xml:space="preserve"> organizzato su base annuale, ha iniziato ad essere applicato a partire dall’anno 2018</w:t>
      </w:r>
      <w:r w:rsidRPr="001F59AF">
        <w:rPr>
          <w:sz w:val="28"/>
          <w:szCs w:val="28"/>
        </w:rPr>
        <w:t>;</w:t>
      </w:r>
    </w:p>
    <w:p w14:paraId="2092DC30" w14:textId="0EF6B956" w:rsidR="00886A06" w:rsidRPr="001F59AF" w:rsidRDefault="00886A06" w:rsidP="00886A06">
      <w:pPr>
        <w:pStyle w:val="Paragrafoelenco"/>
        <w:numPr>
          <w:ilvl w:val="0"/>
          <w:numId w:val="12"/>
        </w:numPr>
        <w:spacing w:line="256" w:lineRule="auto"/>
        <w:jc w:val="both"/>
        <w:rPr>
          <w:sz w:val="28"/>
          <w:szCs w:val="28"/>
        </w:rPr>
      </w:pPr>
      <w:r w:rsidRPr="001F59AF">
        <w:rPr>
          <w:sz w:val="28"/>
          <w:szCs w:val="28"/>
        </w:rPr>
        <w:t>riconoscimento agli Utenti del trasporto degli Oneri Generali di Sistema non riscossi dai clienti finali e già versati alle imprese distributrici</w:t>
      </w:r>
      <w:r w:rsidR="0066391E" w:rsidRPr="001F59AF">
        <w:rPr>
          <w:sz w:val="28"/>
          <w:szCs w:val="28"/>
        </w:rPr>
        <w:t xml:space="preserve">. Il meccanismo, </w:t>
      </w:r>
      <w:r w:rsidRPr="001F59AF">
        <w:rPr>
          <w:sz w:val="28"/>
          <w:szCs w:val="28"/>
        </w:rPr>
        <w:t>istituito con la delibera 32/2021/R/eel</w:t>
      </w:r>
      <w:r w:rsidR="0066391E" w:rsidRPr="001F59AF">
        <w:rPr>
          <w:sz w:val="28"/>
          <w:szCs w:val="28"/>
        </w:rPr>
        <w:t xml:space="preserve"> e</w:t>
      </w:r>
      <w:r w:rsidR="00B151A3" w:rsidRPr="001F59AF">
        <w:rPr>
          <w:sz w:val="28"/>
          <w:szCs w:val="28"/>
        </w:rPr>
        <w:t xml:space="preserve"> organizzato su base annuale, ha iniziato ad essere applicato a partire dall’anno 2021</w:t>
      </w:r>
    </w:p>
    <w:p w14:paraId="0A414412" w14:textId="2ADD61A2" w:rsidR="00886A06" w:rsidRPr="001F59AF" w:rsidRDefault="00B151A3" w:rsidP="00886A06">
      <w:pPr>
        <w:jc w:val="both"/>
        <w:rPr>
          <w:sz w:val="28"/>
          <w:szCs w:val="28"/>
        </w:rPr>
      </w:pPr>
      <w:r w:rsidRPr="001F59AF">
        <w:rPr>
          <w:sz w:val="28"/>
          <w:szCs w:val="28"/>
        </w:rPr>
        <w:t>La tabella che segue raccoglie, per singolo anno,</w:t>
      </w:r>
      <w:r w:rsidR="00886A06" w:rsidRPr="001F59AF">
        <w:rPr>
          <w:sz w:val="28"/>
          <w:szCs w:val="28"/>
        </w:rPr>
        <w:t xml:space="preserve"> le erogazioni in favore de</w:t>
      </w:r>
      <w:r w:rsidRPr="001F59AF">
        <w:rPr>
          <w:sz w:val="28"/>
          <w:szCs w:val="28"/>
        </w:rPr>
        <w:t>gli operatori</w:t>
      </w:r>
      <w:r w:rsidR="00886A06" w:rsidRPr="001F59AF">
        <w:rPr>
          <w:sz w:val="28"/>
          <w:szCs w:val="28"/>
        </w:rPr>
        <w:t xml:space="preserve"> </w:t>
      </w:r>
      <w:r w:rsidRPr="001F59AF">
        <w:rPr>
          <w:sz w:val="28"/>
          <w:szCs w:val="28"/>
        </w:rPr>
        <w:t xml:space="preserve">interessati </w:t>
      </w:r>
      <w:r w:rsidR="00886A06" w:rsidRPr="001F59AF">
        <w:rPr>
          <w:sz w:val="28"/>
          <w:szCs w:val="28"/>
        </w:rPr>
        <w:t>e i versamenti effettuati da</w:t>
      </w:r>
      <w:r w:rsidRPr="001F59AF">
        <w:rPr>
          <w:sz w:val="28"/>
          <w:szCs w:val="28"/>
        </w:rPr>
        <w:t>gli operatori</w:t>
      </w:r>
      <w:r w:rsidR="00886A06" w:rsidRPr="001F59AF">
        <w:rPr>
          <w:sz w:val="28"/>
          <w:szCs w:val="28"/>
        </w:rPr>
        <w:t xml:space="preserve"> alla CSEA degli importi </w:t>
      </w:r>
      <w:r w:rsidRPr="001F59AF">
        <w:rPr>
          <w:sz w:val="28"/>
          <w:szCs w:val="28"/>
        </w:rPr>
        <w:t xml:space="preserve">eventualmente </w:t>
      </w:r>
      <w:r w:rsidR="00886A06" w:rsidRPr="001F59AF">
        <w:rPr>
          <w:sz w:val="28"/>
          <w:szCs w:val="28"/>
        </w:rPr>
        <w:t>riscossi successivamente al riconoscimento dell’ammontare di reintegrazione per gli anni precedenti</w:t>
      </w:r>
      <w:r w:rsidRPr="001F59AF">
        <w:rPr>
          <w:sz w:val="28"/>
          <w:szCs w:val="28"/>
        </w:rPr>
        <w:t>.</w:t>
      </w:r>
    </w:p>
    <w:p w14:paraId="68284DBC" w14:textId="226AAAE4" w:rsidR="00B151A3" w:rsidRPr="001F59AF" w:rsidRDefault="00983CA8" w:rsidP="00886A06">
      <w:pPr>
        <w:jc w:val="both"/>
        <w:rPr>
          <w:sz w:val="28"/>
          <w:szCs w:val="28"/>
        </w:rPr>
      </w:pPr>
      <w:r w:rsidRPr="001F59AF">
        <w:rPr>
          <w:noProof/>
          <w:sz w:val="28"/>
          <w:szCs w:val="28"/>
          <w:lang w:eastAsia="it-IT"/>
        </w:rPr>
        <w:drawing>
          <wp:inline distT="0" distB="0" distL="0" distR="0" wp14:anchorId="388A5342" wp14:editId="09411FB9">
            <wp:extent cx="6120130" cy="127254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1A3" w:rsidRPr="001F59AF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6091" w14:textId="77777777" w:rsidR="006578CC" w:rsidRDefault="006578CC" w:rsidP="008C1257">
      <w:pPr>
        <w:spacing w:after="0" w:line="240" w:lineRule="auto"/>
      </w:pPr>
      <w:r>
        <w:separator/>
      </w:r>
    </w:p>
  </w:endnote>
  <w:endnote w:type="continuationSeparator" w:id="0">
    <w:p w14:paraId="72FFFAD5" w14:textId="77777777" w:rsidR="006578CC" w:rsidRDefault="006578CC" w:rsidP="008C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244746"/>
      <w:docPartObj>
        <w:docPartGallery w:val="Page Numbers (Bottom of Page)"/>
        <w:docPartUnique/>
      </w:docPartObj>
    </w:sdtPr>
    <w:sdtEndPr/>
    <w:sdtContent>
      <w:p w14:paraId="64D5538E" w14:textId="219827F5" w:rsidR="00D57221" w:rsidRDefault="00D5722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A51C7F" w14:textId="77777777" w:rsidR="00D57221" w:rsidRDefault="00D572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7799B" w14:textId="77777777" w:rsidR="006578CC" w:rsidRDefault="006578CC" w:rsidP="008C1257">
      <w:pPr>
        <w:spacing w:after="0" w:line="240" w:lineRule="auto"/>
      </w:pPr>
      <w:r>
        <w:separator/>
      </w:r>
    </w:p>
  </w:footnote>
  <w:footnote w:type="continuationSeparator" w:id="0">
    <w:p w14:paraId="7D07958D" w14:textId="77777777" w:rsidR="006578CC" w:rsidRDefault="006578CC" w:rsidP="008C1257">
      <w:pPr>
        <w:spacing w:after="0" w:line="240" w:lineRule="auto"/>
      </w:pPr>
      <w:r>
        <w:continuationSeparator/>
      </w:r>
    </w:p>
  </w:footnote>
  <w:footnote w:id="1">
    <w:p w14:paraId="4B681419" w14:textId="1301E6D1" w:rsidR="008304C6" w:rsidRPr="008304C6" w:rsidRDefault="008304C6">
      <w:pPr>
        <w:pStyle w:val="Testonotaapidipagina"/>
      </w:pPr>
      <w:r>
        <w:rPr>
          <w:rStyle w:val="Rimandonotaapidipagina"/>
        </w:rPr>
        <w:footnoteRef/>
      </w:r>
      <w:r>
        <w:t xml:space="preserve"> C</w:t>
      </w:r>
      <w:r w:rsidRPr="00402E83">
        <w:t>ome risultanti dal Bilancio 2021 approvato il 26 aprile 2022 dal Comitato di gestione CSEA previo parere favorevole dei Revisori dei Conti.</w:t>
      </w:r>
    </w:p>
  </w:footnote>
  <w:footnote w:id="2">
    <w:p w14:paraId="05600395" w14:textId="4F168CDB" w:rsidR="008304C6" w:rsidRDefault="008304C6">
      <w:pPr>
        <w:pStyle w:val="Testonotaapidipagina"/>
      </w:pPr>
      <w:r>
        <w:rPr>
          <w:rStyle w:val="Rimandonotaapidipagina"/>
        </w:rPr>
        <w:footnoteRef/>
      </w:r>
      <w:r>
        <w:t xml:space="preserve"> Il 31.05.2022 </w:t>
      </w:r>
      <w:r w:rsidRPr="00402E83">
        <w:t>rappresenta la chiusura</w:t>
      </w:r>
      <w:r>
        <w:t xml:space="preserve"> contabile </w:t>
      </w:r>
      <w:r w:rsidRPr="00402E83">
        <w:t xml:space="preserve">del </w:t>
      </w:r>
      <w:r w:rsidR="00755AA0" w:rsidRPr="00402E83">
        <w:t>mese più</w:t>
      </w:r>
      <w:r w:rsidRPr="00402E83">
        <w:t xml:space="preserve"> prossima all‘audizione tenutasi il 15 giugno 2022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24"/>
    <w:multiLevelType w:val="hybridMultilevel"/>
    <w:tmpl w:val="87C62648"/>
    <w:lvl w:ilvl="0" w:tplc="FCE8FC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6A4"/>
    <w:multiLevelType w:val="hybridMultilevel"/>
    <w:tmpl w:val="1AE07E7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5AE8"/>
    <w:multiLevelType w:val="hybridMultilevel"/>
    <w:tmpl w:val="69069178"/>
    <w:lvl w:ilvl="0" w:tplc="6ADC0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F45BC"/>
    <w:multiLevelType w:val="hybridMultilevel"/>
    <w:tmpl w:val="CA0A84F4"/>
    <w:lvl w:ilvl="0" w:tplc="8490F3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55C3E"/>
    <w:multiLevelType w:val="hybridMultilevel"/>
    <w:tmpl w:val="E7FC38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018C8"/>
    <w:multiLevelType w:val="hybridMultilevel"/>
    <w:tmpl w:val="50EA96F4"/>
    <w:lvl w:ilvl="0" w:tplc="6ADC0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8537D"/>
    <w:multiLevelType w:val="hybridMultilevel"/>
    <w:tmpl w:val="2E909C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E1D80"/>
    <w:multiLevelType w:val="hybridMultilevel"/>
    <w:tmpl w:val="DE969F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421F8"/>
    <w:multiLevelType w:val="hybridMultilevel"/>
    <w:tmpl w:val="D4DCB99A"/>
    <w:lvl w:ilvl="0" w:tplc="6ADC0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E557D"/>
    <w:multiLevelType w:val="hybridMultilevel"/>
    <w:tmpl w:val="67CC60FC"/>
    <w:lvl w:ilvl="0" w:tplc="6ADC0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4C2544"/>
    <w:multiLevelType w:val="hybridMultilevel"/>
    <w:tmpl w:val="60A658B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31B2D"/>
    <w:multiLevelType w:val="hybridMultilevel"/>
    <w:tmpl w:val="763C7E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B42924"/>
    <w:multiLevelType w:val="hybridMultilevel"/>
    <w:tmpl w:val="22020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065BA"/>
    <w:multiLevelType w:val="hybridMultilevel"/>
    <w:tmpl w:val="974A9C0E"/>
    <w:lvl w:ilvl="0" w:tplc="0410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 w15:restartNumberingAfterBreak="0">
    <w:nsid w:val="6EAE5E81"/>
    <w:multiLevelType w:val="hybridMultilevel"/>
    <w:tmpl w:val="48B00774"/>
    <w:lvl w:ilvl="0" w:tplc="76622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75C7C"/>
    <w:multiLevelType w:val="hybridMultilevel"/>
    <w:tmpl w:val="0DBC4E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263232">
    <w:abstractNumId w:val="7"/>
  </w:num>
  <w:num w:numId="2" w16cid:durableId="1269656453">
    <w:abstractNumId w:val="6"/>
  </w:num>
  <w:num w:numId="3" w16cid:durableId="222181386">
    <w:abstractNumId w:val="12"/>
  </w:num>
  <w:num w:numId="4" w16cid:durableId="1082068445">
    <w:abstractNumId w:val="9"/>
  </w:num>
  <w:num w:numId="5" w16cid:durableId="225265168">
    <w:abstractNumId w:val="1"/>
  </w:num>
  <w:num w:numId="6" w16cid:durableId="2058385685">
    <w:abstractNumId w:val="10"/>
  </w:num>
  <w:num w:numId="7" w16cid:durableId="1999384373">
    <w:abstractNumId w:val="13"/>
  </w:num>
  <w:num w:numId="8" w16cid:durableId="473763027">
    <w:abstractNumId w:val="5"/>
  </w:num>
  <w:num w:numId="9" w16cid:durableId="2108891657">
    <w:abstractNumId w:val="8"/>
  </w:num>
  <w:num w:numId="10" w16cid:durableId="425418026">
    <w:abstractNumId w:val="2"/>
  </w:num>
  <w:num w:numId="11" w16cid:durableId="455369138">
    <w:abstractNumId w:val="11"/>
  </w:num>
  <w:num w:numId="12" w16cid:durableId="305739242">
    <w:abstractNumId w:val="14"/>
  </w:num>
  <w:num w:numId="13" w16cid:durableId="1414276397">
    <w:abstractNumId w:val="3"/>
  </w:num>
  <w:num w:numId="14" w16cid:durableId="1625849745">
    <w:abstractNumId w:val="0"/>
  </w:num>
  <w:num w:numId="15" w16cid:durableId="1616324546">
    <w:abstractNumId w:val="4"/>
  </w:num>
  <w:num w:numId="16" w16cid:durableId="7624100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02"/>
    <w:rsid w:val="00002C85"/>
    <w:rsid w:val="0000513D"/>
    <w:rsid w:val="00011B83"/>
    <w:rsid w:val="00016EB2"/>
    <w:rsid w:val="00043E5A"/>
    <w:rsid w:val="00052CCE"/>
    <w:rsid w:val="00062D19"/>
    <w:rsid w:val="000700E6"/>
    <w:rsid w:val="000759B7"/>
    <w:rsid w:val="00077BA5"/>
    <w:rsid w:val="00077DDA"/>
    <w:rsid w:val="00080871"/>
    <w:rsid w:val="000A4506"/>
    <w:rsid w:val="000C561E"/>
    <w:rsid w:val="000C688A"/>
    <w:rsid w:val="000D18D9"/>
    <w:rsid w:val="000D5A17"/>
    <w:rsid w:val="000E2FCF"/>
    <w:rsid w:val="000F1128"/>
    <w:rsid w:val="000F23A9"/>
    <w:rsid w:val="000F5F17"/>
    <w:rsid w:val="000F742D"/>
    <w:rsid w:val="00115C47"/>
    <w:rsid w:val="001203BD"/>
    <w:rsid w:val="001402E2"/>
    <w:rsid w:val="00152636"/>
    <w:rsid w:val="001579D9"/>
    <w:rsid w:val="001C1A76"/>
    <w:rsid w:val="001C1E20"/>
    <w:rsid w:val="001D735A"/>
    <w:rsid w:val="001E46BC"/>
    <w:rsid w:val="001F4F14"/>
    <w:rsid w:val="001F59AF"/>
    <w:rsid w:val="002022BD"/>
    <w:rsid w:val="00210AE0"/>
    <w:rsid w:val="002151C4"/>
    <w:rsid w:val="00215713"/>
    <w:rsid w:val="00220C92"/>
    <w:rsid w:val="00236285"/>
    <w:rsid w:val="00240EED"/>
    <w:rsid w:val="00284CB8"/>
    <w:rsid w:val="002A66AC"/>
    <w:rsid w:val="002E3592"/>
    <w:rsid w:val="002F2325"/>
    <w:rsid w:val="00320DFD"/>
    <w:rsid w:val="0033412B"/>
    <w:rsid w:val="00337A5C"/>
    <w:rsid w:val="00361D9F"/>
    <w:rsid w:val="003672C6"/>
    <w:rsid w:val="00386268"/>
    <w:rsid w:val="00392A0D"/>
    <w:rsid w:val="003941E9"/>
    <w:rsid w:val="003A4139"/>
    <w:rsid w:val="003A57CB"/>
    <w:rsid w:val="003A6BE6"/>
    <w:rsid w:val="003B1A14"/>
    <w:rsid w:val="003B60F9"/>
    <w:rsid w:val="003B6C9E"/>
    <w:rsid w:val="003C43B6"/>
    <w:rsid w:val="003C4708"/>
    <w:rsid w:val="003E7F2E"/>
    <w:rsid w:val="00402E83"/>
    <w:rsid w:val="00436C82"/>
    <w:rsid w:val="004500C1"/>
    <w:rsid w:val="00451378"/>
    <w:rsid w:val="00464DF9"/>
    <w:rsid w:val="0047611C"/>
    <w:rsid w:val="00497371"/>
    <w:rsid w:val="004D774B"/>
    <w:rsid w:val="004E01A9"/>
    <w:rsid w:val="004F13A5"/>
    <w:rsid w:val="00504B1C"/>
    <w:rsid w:val="0051101E"/>
    <w:rsid w:val="005170C4"/>
    <w:rsid w:val="0052629C"/>
    <w:rsid w:val="00531F99"/>
    <w:rsid w:val="00533FB8"/>
    <w:rsid w:val="005459A1"/>
    <w:rsid w:val="00581774"/>
    <w:rsid w:val="005A6706"/>
    <w:rsid w:val="005C7122"/>
    <w:rsid w:val="005D65F8"/>
    <w:rsid w:val="005E2276"/>
    <w:rsid w:val="005F2D79"/>
    <w:rsid w:val="006002DC"/>
    <w:rsid w:val="00612568"/>
    <w:rsid w:val="00615037"/>
    <w:rsid w:val="006425BC"/>
    <w:rsid w:val="006464CD"/>
    <w:rsid w:val="00647E97"/>
    <w:rsid w:val="006578CC"/>
    <w:rsid w:val="00663732"/>
    <w:rsid w:val="0066391E"/>
    <w:rsid w:val="00667433"/>
    <w:rsid w:val="0066772F"/>
    <w:rsid w:val="00674543"/>
    <w:rsid w:val="006A205A"/>
    <w:rsid w:val="006A7B4B"/>
    <w:rsid w:val="006B1A25"/>
    <w:rsid w:val="006C1A99"/>
    <w:rsid w:val="006C5B72"/>
    <w:rsid w:val="006C6632"/>
    <w:rsid w:val="006C7B6A"/>
    <w:rsid w:val="006D26A7"/>
    <w:rsid w:val="006E585F"/>
    <w:rsid w:val="006E5F54"/>
    <w:rsid w:val="007047E4"/>
    <w:rsid w:val="007119A6"/>
    <w:rsid w:val="00720FF1"/>
    <w:rsid w:val="0074185E"/>
    <w:rsid w:val="0074343F"/>
    <w:rsid w:val="00755AA0"/>
    <w:rsid w:val="0076346B"/>
    <w:rsid w:val="0077780D"/>
    <w:rsid w:val="007825DB"/>
    <w:rsid w:val="00784D4F"/>
    <w:rsid w:val="00787617"/>
    <w:rsid w:val="007878B0"/>
    <w:rsid w:val="0079041F"/>
    <w:rsid w:val="00790E85"/>
    <w:rsid w:val="007A2FA6"/>
    <w:rsid w:val="007A66C5"/>
    <w:rsid w:val="007B78F0"/>
    <w:rsid w:val="007F123D"/>
    <w:rsid w:val="007F537C"/>
    <w:rsid w:val="007F53D5"/>
    <w:rsid w:val="007F795C"/>
    <w:rsid w:val="00817843"/>
    <w:rsid w:val="008304C6"/>
    <w:rsid w:val="00831960"/>
    <w:rsid w:val="00840DBA"/>
    <w:rsid w:val="00862A85"/>
    <w:rsid w:val="00886A06"/>
    <w:rsid w:val="00887192"/>
    <w:rsid w:val="008A2455"/>
    <w:rsid w:val="008A45EB"/>
    <w:rsid w:val="008A6517"/>
    <w:rsid w:val="008C1257"/>
    <w:rsid w:val="008F4E86"/>
    <w:rsid w:val="00900F3E"/>
    <w:rsid w:val="009010C7"/>
    <w:rsid w:val="0093136A"/>
    <w:rsid w:val="00954FAF"/>
    <w:rsid w:val="00955D08"/>
    <w:rsid w:val="00974527"/>
    <w:rsid w:val="009831B7"/>
    <w:rsid w:val="00983CA8"/>
    <w:rsid w:val="00990A97"/>
    <w:rsid w:val="009A21EA"/>
    <w:rsid w:val="009F1C0F"/>
    <w:rsid w:val="009F43F8"/>
    <w:rsid w:val="00A01872"/>
    <w:rsid w:val="00A25E3D"/>
    <w:rsid w:val="00A40422"/>
    <w:rsid w:val="00A41365"/>
    <w:rsid w:val="00A640E3"/>
    <w:rsid w:val="00A91BBC"/>
    <w:rsid w:val="00AA6C9E"/>
    <w:rsid w:val="00AC5312"/>
    <w:rsid w:val="00AE019B"/>
    <w:rsid w:val="00B00CF5"/>
    <w:rsid w:val="00B0373B"/>
    <w:rsid w:val="00B11B04"/>
    <w:rsid w:val="00B151A3"/>
    <w:rsid w:val="00B20EBA"/>
    <w:rsid w:val="00B24EB2"/>
    <w:rsid w:val="00B24F82"/>
    <w:rsid w:val="00B25C51"/>
    <w:rsid w:val="00B94562"/>
    <w:rsid w:val="00BA48F3"/>
    <w:rsid w:val="00BC3E23"/>
    <w:rsid w:val="00BD3FC0"/>
    <w:rsid w:val="00BE0695"/>
    <w:rsid w:val="00BE6EB4"/>
    <w:rsid w:val="00C065A6"/>
    <w:rsid w:val="00C22F38"/>
    <w:rsid w:val="00C24CE4"/>
    <w:rsid w:val="00C270AC"/>
    <w:rsid w:val="00C30590"/>
    <w:rsid w:val="00C4388E"/>
    <w:rsid w:val="00C5702F"/>
    <w:rsid w:val="00C60CB2"/>
    <w:rsid w:val="00C83185"/>
    <w:rsid w:val="00C9519C"/>
    <w:rsid w:val="00CA5052"/>
    <w:rsid w:val="00CB2A1F"/>
    <w:rsid w:val="00CB3CAC"/>
    <w:rsid w:val="00CB3F10"/>
    <w:rsid w:val="00CC43D2"/>
    <w:rsid w:val="00CE53F6"/>
    <w:rsid w:val="00D036C6"/>
    <w:rsid w:val="00D0700D"/>
    <w:rsid w:val="00D239BE"/>
    <w:rsid w:val="00D24998"/>
    <w:rsid w:val="00D30E57"/>
    <w:rsid w:val="00D33636"/>
    <w:rsid w:val="00D356B1"/>
    <w:rsid w:val="00D56016"/>
    <w:rsid w:val="00D57221"/>
    <w:rsid w:val="00D70D48"/>
    <w:rsid w:val="00DB0778"/>
    <w:rsid w:val="00DB3787"/>
    <w:rsid w:val="00DC0AF6"/>
    <w:rsid w:val="00DC2046"/>
    <w:rsid w:val="00DD0884"/>
    <w:rsid w:val="00DD1212"/>
    <w:rsid w:val="00DD575C"/>
    <w:rsid w:val="00DE186D"/>
    <w:rsid w:val="00DF4DD9"/>
    <w:rsid w:val="00E0296E"/>
    <w:rsid w:val="00E065CE"/>
    <w:rsid w:val="00E21CDE"/>
    <w:rsid w:val="00E3143A"/>
    <w:rsid w:val="00E315DC"/>
    <w:rsid w:val="00E3271F"/>
    <w:rsid w:val="00E40BF3"/>
    <w:rsid w:val="00E52316"/>
    <w:rsid w:val="00E6510C"/>
    <w:rsid w:val="00E773B7"/>
    <w:rsid w:val="00E87B1C"/>
    <w:rsid w:val="00E925F0"/>
    <w:rsid w:val="00EA1A02"/>
    <w:rsid w:val="00EA1CD8"/>
    <w:rsid w:val="00EC7731"/>
    <w:rsid w:val="00ED0118"/>
    <w:rsid w:val="00ED1759"/>
    <w:rsid w:val="00ED2E38"/>
    <w:rsid w:val="00ED3BB9"/>
    <w:rsid w:val="00EE3E16"/>
    <w:rsid w:val="00EF108E"/>
    <w:rsid w:val="00EF29A1"/>
    <w:rsid w:val="00EF610E"/>
    <w:rsid w:val="00EF7998"/>
    <w:rsid w:val="00F36EDD"/>
    <w:rsid w:val="00F45445"/>
    <w:rsid w:val="00F626C3"/>
    <w:rsid w:val="00F657B5"/>
    <w:rsid w:val="00F80D02"/>
    <w:rsid w:val="00F96055"/>
    <w:rsid w:val="00FA2E5B"/>
    <w:rsid w:val="00FA30A8"/>
    <w:rsid w:val="00FA3DDF"/>
    <w:rsid w:val="00FB37CC"/>
    <w:rsid w:val="00FB7A8D"/>
    <w:rsid w:val="00FC41EE"/>
    <w:rsid w:val="00FD18E3"/>
    <w:rsid w:val="00FE637B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EFAEC"/>
  <w15:docId w15:val="{858D9295-8AB4-4B51-9634-6AD23F26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56B1"/>
    <w:pPr>
      <w:ind w:left="720"/>
      <w:contextualSpacing/>
    </w:pPr>
  </w:style>
  <w:style w:type="paragraph" w:styleId="Revisione">
    <w:name w:val="Revision"/>
    <w:hidden/>
    <w:uiPriority w:val="99"/>
    <w:semiHidden/>
    <w:rsid w:val="000A4506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886A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029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0296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0296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29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296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E5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04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04C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04C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572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7221"/>
  </w:style>
  <w:style w:type="paragraph" w:styleId="Pidipagina">
    <w:name w:val="footer"/>
    <w:basedOn w:val="Normale"/>
    <w:link w:val="PidipaginaCarattere"/>
    <w:uiPriority w:val="99"/>
    <w:unhideWhenUsed/>
    <w:rsid w:val="00D572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7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CE97B-7CCD-4630-9976-CDEDC916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Di Cori</dc:creator>
  <cp:lastModifiedBy>Barbara Molinari</cp:lastModifiedBy>
  <cp:revision>3</cp:revision>
  <cp:lastPrinted>2022-06-28T10:07:00Z</cp:lastPrinted>
  <dcterms:created xsi:type="dcterms:W3CDTF">2022-07-07T16:45:00Z</dcterms:created>
  <dcterms:modified xsi:type="dcterms:W3CDTF">2022-07-11T07:21:00Z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8124df-03f0-4cdf-b399-aaf54953b75a_Enabled">
    <vt:lpwstr>true</vt:lpwstr>
  </property>
  <property fmtid="{D5CDD505-2E9C-101B-9397-08002B2CF9AE}" pid="3" name="MSIP_Label_198124df-03f0-4cdf-b399-aaf54953b75a_SetDate">
    <vt:lpwstr>2022-06-16T12:57:16Z</vt:lpwstr>
  </property>
  <property fmtid="{D5CDD505-2E9C-101B-9397-08002B2CF9AE}" pid="4" name="MSIP_Label_198124df-03f0-4cdf-b399-aaf54953b75a_Method">
    <vt:lpwstr>Standard</vt:lpwstr>
  </property>
  <property fmtid="{D5CDD505-2E9C-101B-9397-08002B2CF9AE}" pid="5" name="MSIP_Label_198124df-03f0-4cdf-b399-aaf54953b75a_Name">
    <vt:lpwstr>Etichetta Digitale_0</vt:lpwstr>
  </property>
  <property fmtid="{D5CDD505-2E9C-101B-9397-08002B2CF9AE}" pid="6" name="MSIP_Label_198124df-03f0-4cdf-b399-aaf54953b75a_SiteId">
    <vt:lpwstr>9daa3517-cb58-496c-b5b4-f9ac2a30048b</vt:lpwstr>
  </property>
  <property fmtid="{D5CDD505-2E9C-101B-9397-08002B2CF9AE}" pid="7" name="MSIP_Label_198124df-03f0-4cdf-b399-aaf54953b75a_ActionId">
    <vt:lpwstr>adb52c4c-9fc4-4446-a7fd-20be1e0eece9</vt:lpwstr>
  </property>
  <property fmtid="{D5CDD505-2E9C-101B-9397-08002B2CF9AE}" pid="8" name="MSIP_Label_198124df-03f0-4cdf-b399-aaf54953b75a_ContentBits">
    <vt:lpwstr>0</vt:lpwstr>
  </property>
</Properties>
</file>