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34D9" w14:textId="26B19E71" w:rsidR="006174F1" w:rsidRDefault="006174F1" w:rsidP="006174F1">
      <w:pPr>
        <w:pStyle w:val="NormaleWeb"/>
        <w:shd w:val="clear" w:color="auto" w:fill="FFFFFF"/>
        <w:spacing w:before="0" w:after="0"/>
        <w:jc w:val="center"/>
        <w:rPr>
          <w:rStyle w:val="Enfasigrassetto"/>
          <w:color w:val="003366"/>
          <w:sz w:val="30"/>
          <w:szCs w:val="30"/>
        </w:rPr>
      </w:pPr>
      <w:r>
        <w:rPr>
          <w:rStyle w:val="Enfasigrassetto"/>
          <w:color w:val="003366"/>
          <w:sz w:val="30"/>
          <w:szCs w:val="30"/>
        </w:rPr>
        <w:t xml:space="preserve">Ergastolo ostativo: </w:t>
      </w:r>
      <w:r w:rsidR="001F7CE9">
        <w:rPr>
          <w:rStyle w:val="Enfasigrassetto"/>
          <w:color w:val="003366"/>
          <w:sz w:val="30"/>
          <w:szCs w:val="30"/>
        </w:rPr>
        <w:t xml:space="preserve">Conversione </w:t>
      </w:r>
      <w:r>
        <w:rPr>
          <w:rStyle w:val="Enfasigrassetto"/>
          <w:color w:val="003366"/>
          <w:sz w:val="30"/>
          <w:szCs w:val="30"/>
        </w:rPr>
        <w:t>D. L. 162/2022</w:t>
      </w:r>
    </w:p>
    <w:p w14:paraId="0850669D" w14:textId="19532B52" w:rsidR="006174F1" w:rsidRDefault="00982D15" w:rsidP="006174F1">
      <w:pPr>
        <w:pStyle w:val="NormaleWeb"/>
        <w:shd w:val="clear" w:color="auto" w:fill="FFFFFF"/>
        <w:spacing w:before="0" w:after="0"/>
        <w:jc w:val="center"/>
        <w:rPr>
          <w:rFonts w:ascii="Georgia" w:hAnsi="Georgia"/>
          <w:color w:val="003366"/>
          <w:sz w:val="26"/>
          <w:szCs w:val="26"/>
        </w:rPr>
      </w:pPr>
      <w:r>
        <w:rPr>
          <w:rStyle w:val="Enfasigrassetto"/>
          <w:color w:val="003366"/>
          <w:sz w:val="30"/>
          <w:szCs w:val="30"/>
        </w:rPr>
        <w:t>Marco Patarnello - A</w:t>
      </w:r>
      <w:r w:rsidR="006174F1">
        <w:rPr>
          <w:rStyle w:val="Enfasigrassetto"/>
          <w:color w:val="003366"/>
          <w:sz w:val="30"/>
          <w:szCs w:val="30"/>
        </w:rPr>
        <w:t xml:space="preserve">udizione </w:t>
      </w:r>
      <w:r w:rsidR="001F7CE9">
        <w:rPr>
          <w:rStyle w:val="Enfasigrassetto"/>
          <w:color w:val="003366"/>
          <w:sz w:val="30"/>
          <w:szCs w:val="30"/>
        </w:rPr>
        <w:t>Camera dei Deputati</w:t>
      </w:r>
      <w:r w:rsidR="006174F1">
        <w:rPr>
          <w:rStyle w:val="Enfasigrassetto"/>
          <w:color w:val="003366"/>
          <w:sz w:val="30"/>
          <w:szCs w:val="30"/>
        </w:rPr>
        <w:t xml:space="preserve"> </w:t>
      </w:r>
      <w:r w:rsidR="001F7CE9">
        <w:rPr>
          <w:rStyle w:val="Enfasigrassetto"/>
          <w:color w:val="003366"/>
          <w:sz w:val="30"/>
          <w:szCs w:val="30"/>
        </w:rPr>
        <w:t>15 dicembre</w:t>
      </w:r>
      <w:r w:rsidR="006174F1">
        <w:rPr>
          <w:rStyle w:val="Enfasigrassetto"/>
          <w:color w:val="003366"/>
          <w:sz w:val="30"/>
          <w:szCs w:val="30"/>
        </w:rPr>
        <w:t xml:space="preserve"> 2022</w:t>
      </w:r>
    </w:p>
    <w:p w14:paraId="1FF1D644" w14:textId="19C1A63D" w:rsidR="002D25D6" w:rsidRDefault="00D062D6"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 xml:space="preserve">Credo </w:t>
      </w:r>
      <w:r w:rsidR="001F7CE9">
        <w:rPr>
          <w:rFonts w:ascii="Georgia" w:hAnsi="Georgia"/>
          <w:color w:val="003366"/>
          <w:sz w:val="26"/>
          <w:szCs w:val="26"/>
        </w:rPr>
        <w:t xml:space="preserve">di cogliere il senso di questa audizione limitando il mio </w:t>
      </w:r>
      <w:r w:rsidR="006174F1">
        <w:rPr>
          <w:rFonts w:ascii="Georgia" w:hAnsi="Georgia"/>
          <w:color w:val="003366"/>
          <w:sz w:val="26"/>
          <w:szCs w:val="26"/>
        </w:rPr>
        <w:t xml:space="preserve">intervento </w:t>
      </w:r>
      <w:r>
        <w:rPr>
          <w:rFonts w:ascii="Georgia" w:hAnsi="Georgia"/>
          <w:color w:val="003366"/>
          <w:sz w:val="26"/>
          <w:szCs w:val="26"/>
        </w:rPr>
        <w:t>a poche e puntuali osservazioni</w:t>
      </w:r>
      <w:r w:rsidR="001F7CE9">
        <w:rPr>
          <w:rFonts w:ascii="Georgia" w:hAnsi="Georgia"/>
          <w:color w:val="003366"/>
          <w:sz w:val="26"/>
          <w:szCs w:val="26"/>
        </w:rPr>
        <w:t xml:space="preserve"> rispetto al testo del </w:t>
      </w:r>
      <w:proofErr w:type="gramStart"/>
      <w:r w:rsidR="001F7CE9">
        <w:rPr>
          <w:rFonts w:ascii="Georgia" w:hAnsi="Georgia"/>
          <w:color w:val="003366"/>
          <w:sz w:val="26"/>
          <w:szCs w:val="26"/>
        </w:rPr>
        <w:t>Decreto Legge</w:t>
      </w:r>
      <w:proofErr w:type="gramEnd"/>
      <w:r w:rsidR="001F7CE9">
        <w:rPr>
          <w:rFonts w:ascii="Georgia" w:hAnsi="Georgia"/>
          <w:color w:val="003366"/>
          <w:sz w:val="26"/>
          <w:szCs w:val="26"/>
        </w:rPr>
        <w:t xml:space="preserve"> come modificato dal Senato della Repubblica</w:t>
      </w:r>
      <w:r w:rsidR="00F65EA5">
        <w:rPr>
          <w:rFonts w:ascii="Georgia" w:hAnsi="Georgia"/>
          <w:color w:val="003366"/>
          <w:sz w:val="26"/>
          <w:szCs w:val="26"/>
        </w:rPr>
        <w:t xml:space="preserve">. </w:t>
      </w:r>
      <w:r w:rsidR="002D25D6">
        <w:rPr>
          <w:rFonts w:ascii="Georgia" w:hAnsi="Georgia"/>
          <w:color w:val="003366"/>
          <w:sz w:val="26"/>
          <w:szCs w:val="26"/>
        </w:rPr>
        <w:t xml:space="preserve"> </w:t>
      </w:r>
    </w:p>
    <w:p w14:paraId="715F9623" w14:textId="0CF47954" w:rsidR="0025703D" w:rsidRDefault="00F650F8"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M</w:t>
      </w:r>
      <w:r w:rsidR="0025703D">
        <w:rPr>
          <w:rFonts w:ascii="Georgia" w:hAnsi="Georgia"/>
          <w:color w:val="003366"/>
          <w:sz w:val="26"/>
          <w:szCs w:val="26"/>
        </w:rPr>
        <w:t xml:space="preserve">i </w:t>
      </w:r>
      <w:r>
        <w:rPr>
          <w:rFonts w:ascii="Georgia" w:hAnsi="Georgia"/>
          <w:color w:val="003366"/>
          <w:sz w:val="26"/>
          <w:szCs w:val="26"/>
        </w:rPr>
        <w:t>si</w:t>
      </w:r>
      <w:r w:rsidR="005B5B6E">
        <w:rPr>
          <w:rFonts w:ascii="Georgia" w:hAnsi="Georgia"/>
          <w:color w:val="003366"/>
          <w:sz w:val="26"/>
          <w:szCs w:val="26"/>
        </w:rPr>
        <w:t>a</w:t>
      </w:r>
      <w:r>
        <w:rPr>
          <w:rFonts w:ascii="Georgia" w:hAnsi="Georgia"/>
          <w:color w:val="003366"/>
          <w:sz w:val="26"/>
          <w:szCs w:val="26"/>
        </w:rPr>
        <w:t xml:space="preserve"> consentito</w:t>
      </w:r>
      <w:r w:rsidR="002D25D6">
        <w:rPr>
          <w:rFonts w:ascii="Georgia" w:hAnsi="Georgia"/>
          <w:color w:val="003366"/>
          <w:sz w:val="26"/>
          <w:szCs w:val="26"/>
        </w:rPr>
        <w:t>, però,</w:t>
      </w:r>
      <w:r>
        <w:rPr>
          <w:rFonts w:ascii="Georgia" w:hAnsi="Georgia"/>
          <w:color w:val="003366"/>
          <w:sz w:val="26"/>
          <w:szCs w:val="26"/>
        </w:rPr>
        <w:t xml:space="preserve"> di premettere c</w:t>
      </w:r>
      <w:r w:rsidR="0025703D">
        <w:rPr>
          <w:rFonts w:ascii="Georgia" w:hAnsi="Georgia"/>
          <w:color w:val="003366"/>
          <w:sz w:val="26"/>
          <w:szCs w:val="26"/>
        </w:rPr>
        <w:t xml:space="preserve">he valuto con favore la scelta convinta </w:t>
      </w:r>
      <w:proofErr w:type="spellStart"/>
      <w:r w:rsidR="00F65EA5">
        <w:rPr>
          <w:rFonts w:ascii="Georgia" w:hAnsi="Georgia"/>
          <w:color w:val="003366"/>
          <w:sz w:val="26"/>
          <w:szCs w:val="26"/>
        </w:rPr>
        <w:t>vrso</w:t>
      </w:r>
      <w:proofErr w:type="spellEnd"/>
      <w:r w:rsidR="0025703D">
        <w:rPr>
          <w:rFonts w:ascii="Georgia" w:hAnsi="Georgia"/>
          <w:color w:val="003366"/>
          <w:sz w:val="26"/>
          <w:szCs w:val="26"/>
        </w:rPr>
        <w:t xml:space="preserve"> un intervento del Legislatore in questa delicatissima materia, poco adatta ad interventi </w:t>
      </w:r>
      <w:r w:rsidR="00BE23E0">
        <w:rPr>
          <w:rFonts w:ascii="Georgia" w:hAnsi="Georgia"/>
          <w:color w:val="003366"/>
          <w:sz w:val="26"/>
          <w:szCs w:val="26"/>
        </w:rPr>
        <w:t xml:space="preserve">con strumenti </w:t>
      </w:r>
      <w:r w:rsidR="003C10BF">
        <w:rPr>
          <w:rFonts w:ascii="Georgia" w:hAnsi="Georgia"/>
          <w:color w:val="003366"/>
          <w:sz w:val="26"/>
          <w:szCs w:val="26"/>
        </w:rPr>
        <w:t>essenzialmente</w:t>
      </w:r>
      <w:r w:rsidR="0025703D">
        <w:rPr>
          <w:rFonts w:ascii="Georgia" w:hAnsi="Georgia"/>
          <w:color w:val="003366"/>
          <w:sz w:val="26"/>
          <w:szCs w:val="26"/>
        </w:rPr>
        <w:t xml:space="preserve"> ab</w:t>
      </w:r>
      <w:r w:rsidR="00BE23E0">
        <w:rPr>
          <w:rFonts w:ascii="Georgia" w:hAnsi="Georgia"/>
          <w:color w:val="003366"/>
          <w:sz w:val="26"/>
          <w:szCs w:val="26"/>
        </w:rPr>
        <w:t>rogativi</w:t>
      </w:r>
      <w:r w:rsidR="0025703D">
        <w:rPr>
          <w:rFonts w:ascii="Georgia" w:hAnsi="Georgia"/>
          <w:color w:val="003366"/>
          <w:sz w:val="26"/>
          <w:szCs w:val="26"/>
        </w:rPr>
        <w:t>.</w:t>
      </w:r>
      <w:r w:rsidR="00E55FE0">
        <w:rPr>
          <w:rFonts w:ascii="Georgia" w:hAnsi="Georgia"/>
          <w:color w:val="003366"/>
          <w:sz w:val="26"/>
          <w:szCs w:val="26"/>
        </w:rPr>
        <w:t xml:space="preserve"> </w:t>
      </w:r>
    </w:p>
    <w:p w14:paraId="20BE8598" w14:textId="77085782" w:rsidR="00E55FE0" w:rsidRPr="002C4628" w:rsidRDefault="00DE1A2C"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 xml:space="preserve">Aggiungo, inoltre, </w:t>
      </w:r>
      <w:r w:rsidR="0017092F" w:rsidRPr="002C4628">
        <w:rPr>
          <w:rFonts w:ascii="Georgia" w:hAnsi="Georgia"/>
          <w:color w:val="003366"/>
          <w:sz w:val="26"/>
          <w:szCs w:val="26"/>
        </w:rPr>
        <w:t>che quest</w:t>
      </w:r>
      <w:r w:rsidR="002C4628">
        <w:rPr>
          <w:rFonts w:ascii="Georgia" w:hAnsi="Georgia"/>
          <w:color w:val="003366"/>
          <w:sz w:val="26"/>
          <w:szCs w:val="26"/>
        </w:rPr>
        <w:t>e</w:t>
      </w:r>
      <w:r w:rsidR="0017092F" w:rsidRPr="002C4628">
        <w:rPr>
          <w:rFonts w:ascii="Georgia" w:hAnsi="Georgia"/>
          <w:color w:val="003366"/>
          <w:sz w:val="26"/>
          <w:szCs w:val="26"/>
        </w:rPr>
        <w:t xml:space="preserve"> </w:t>
      </w:r>
      <w:r w:rsidR="002C4628">
        <w:rPr>
          <w:rFonts w:ascii="Georgia" w:hAnsi="Georgia"/>
          <w:color w:val="003366"/>
          <w:sz w:val="26"/>
          <w:szCs w:val="26"/>
        </w:rPr>
        <w:t xml:space="preserve">mie </w:t>
      </w:r>
      <w:r w:rsidR="0017092F" w:rsidRPr="002C4628">
        <w:rPr>
          <w:rFonts w:ascii="Georgia" w:hAnsi="Georgia"/>
          <w:color w:val="003366"/>
          <w:sz w:val="26"/>
          <w:szCs w:val="26"/>
        </w:rPr>
        <w:t xml:space="preserve">riflessioni sono essenzialmente il frutto </w:t>
      </w:r>
      <w:r w:rsidR="003C10BF" w:rsidRPr="002C4628">
        <w:rPr>
          <w:rFonts w:ascii="Georgia" w:hAnsi="Georgia"/>
          <w:color w:val="003366"/>
          <w:sz w:val="26"/>
          <w:szCs w:val="26"/>
        </w:rPr>
        <w:t xml:space="preserve">del confronto </w:t>
      </w:r>
      <w:r w:rsidR="002C4628">
        <w:rPr>
          <w:rFonts w:ascii="Georgia" w:hAnsi="Georgia"/>
          <w:color w:val="003366"/>
          <w:sz w:val="26"/>
          <w:szCs w:val="26"/>
        </w:rPr>
        <w:t xml:space="preserve">costante </w:t>
      </w:r>
      <w:r w:rsidR="003C10BF" w:rsidRPr="002C4628">
        <w:rPr>
          <w:rFonts w:ascii="Georgia" w:hAnsi="Georgia"/>
          <w:color w:val="003366"/>
          <w:sz w:val="26"/>
          <w:szCs w:val="26"/>
        </w:rPr>
        <w:t>con i colleghi del mio ufficio</w:t>
      </w:r>
      <w:r w:rsidR="00E55FE0" w:rsidRPr="002C4628">
        <w:rPr>
          <w:rFonts w:ascii="Georgia" w:hAnsi="Georgia"/>
          <w:color w:val="003366"/>
          <w:sz w:val="26"/>
          <w:szCs w:val="26"/>
        </w:rPr>
        <w:t xml:space="preserve"> </w:t>
      </w:r>
      <w:r w:rsidR="000B1082" w:rsidRPr="002C4628">
        <w:rPr>
          <w:rFonts w:ascii="Georgia" w:hAnsi="Georgia"/>
          <w:color w:val="003366"/>
          <w:sz w:val="26"/>
          <w:szCs w:val="26"/>
        </w:rPr>
        <w:t>e con la Presidenza del medesimo</w:t>
      </w:r>
      <w:r w:rsidR="003C10BF" w:rsidRPr="002C4628">
        <w:rPr>
          <w:rFonts w:ascii="Georgia" w:hAnsi="Georgia"/>
          <w:color w:val="003366"/>
          <w:sz w:val="26"/>
          <w:szCs w:val="26"/>
        </w:rPr>
        <w:t>.</w:t>
      </w:r>
      <w:r w:rsidR="000B1082" w:rsidRPr="002C4628">
        <w:rPr>
          <w:rFonts w:ascii="Georgia" w:hAnsi="Georgia"/>
          <w:color w:val="003366"/>
          <w:sz w:val="26"/>
          <w:szCs w:val="26"/>
        </w:rPr>
        <w:t xml:space="preserve"> </w:t>
      </w:r>
      <w:r w:rsidR="00D062D6">
        <w:rPr>
          <w:rFonts w:ascii="Georgia" w:hAnsi="Georgia"/>
          <w:color w:val="003366"/>
          <w:sz w:val="26"/>
          <w:szCs w:val="26"/>
        </w:rPr>
        <w:t xml:space="preserve">So che in questa sede non è necessario, ma credo sia utile ricordare che il Tribunale di sorveglianza di Roma </w:t>
      </w:r>
      <w:r w:rsidR="000B1082" w:rsidRPr="002C4628">
        <w:rPr>
          <w:rFonts w:ascii="Georgia" w:hAnsi="Georgia"/>
          <w:iCs/>
          <w:color w:val="003366"/>
          <w:sz w:val="26"/>
          <w:szCs w:val="26"/>
        </w:rPr>
        <w:t xml:space="preserve">ha giurisdizione nazionale esclusiva </w:t>
      </w:r>
      <w:r w:rsidR="00780314" w:rsidRPr="002C4628">
        <w:rPr>
          <w:rFonts w:ascii="Georgia" w:hAnsi="Georgia"/>
          <w:iCs/>
          <w:color w:val="003366"/>
          <w:sz w:val="26"/>
          <w:szCs w:val="26"/>
        </w:rPr>
        <w:t xml:space="preserve">in tema di </w:t>
      </w:r>
      <w:r w:rsidR="00780314">
        <w:rPr>
          <w:rFonts w:ascii="Georgia" w:hAnsi="Georgia"/>
          <w:iCs/>
          <w:color w:val="003366"/>
          <w:sz w:val="26"/>
          <w:szCs w:val="26"/>
        </w:rPr>
        <w:t xml:space="preserve">applicazione dei </w:t>
      </w:r>
      <w:r w:rsidR="00780314" w:rsidRPr="002C4628">
        <w:rPr>
          <w:rFonts w:ascii="Georgia" w:hAnsi="Georgia"/>
          <w:iCs/>
          <w:color w:val="003366"/>
          <w:sz w:val="26"/>
          <w:szCs w:val="26"/>
        </w:rPr>
        <w:t xml:space="preserve">benefici </w:t>
      </w:r>
      <w:r w:rsidR="00780314">
        <w:rPr>
          <w:rFonts w:ascii="Georgia" w:hAnsi="Georgia"/>
          <w:iCs/>
          <w:color w:val="003366"/>
          <w:sz w:val="26"/>
          <w:szCs w:val="26"/>
        </w:rPr>
        <w:t>penitenziari a</w:t>
      </w:r>
      <w:r w:rsidR="00780314" w:rsidRPr="002C4628">
        <w:rPr>
          <w:rFonts w:ascii="Georgia" w:hAnsi="Georgia"/>
          <w:iCs/>
          <w:color w:val="003366"/>
          <w:sz w:val="26"/>
          <w:szCs w:val="26"/>
        </w:rPr>
        <w:t xml:space="preserve">i collaboratori di giustizia </w:t>
      </w:r>
      <w:r w:rsidR="00780314">
        <w:rPr>
          <w:rFonts w:ascii="Georgia" w:hAnsi="Georgia"/>
          <w:iCs/>
          <w:color w:val="003366"/>
          <w:sz w:val="26"/>
          <w:szCs w:val="26"/>
        </w:rPr>
        <w:t xml:space="preserve">e </w:t>
      </w:r>
      <w:r w:rsidR="000B1082" w:rsidRPr="002C4628">
        <w:rPr>
          <w:rFonts w:ascii="Georgia" w:hAnsi="Georgia"/>
          <w:iCs/>
          <w:color w:val="003366"/>
          <w:sz w:val="26"/>
          <w:szCs w:val="26"/>
        </w:rPr>
        <w:t xml:space="preserve">di applicazione e proroga del regime di cui all’art. 41bis </w:t>
      </w:r>
      <w:proofErr w:type="spellStart"/>
      <w:r w:rsidR="000B1082" w:rsidRPr="002C4628">
        <w:rPr>
          <w:rFonts w:ascii="Georgia" w:hAnsi="Georgia"/>
          <w:iCs/>
          <w:color w:val="003366"/>
          <w:sz w:val="26"/>
          <w:szCs w:val="26"/>
        </w:rPr>
        <w:t>o.p.</w:t>
      </w:r>
      <w:proofErr w:type="spellEnd"/>
      <w:r w:rsidR="001F7CE9">
        <w:rPr>
          <w:rFonts w:ascii="Georgia" w:hAnsi="Georgia"/>
          <w:iCs/>
          <w:color w:val="003366"/>
          <w:sz w:val="26"/>
          <w:szCs w:val="26"/>
        </w:rPr>
        <w:t>, quindi si tratta di un osservatorio privilegiato</w:t>
      </w:r>
      <w:r w:rsidR="000B1082" w:rsidRPr="002C4628">
        <w:rPr>
          <w:rFonts w:ascii="Georgia" w:hAnsi="Georgia"/>
          <w:iCs/>
          <w:color w:val="003366"/>
          <w:sz w:val="26"/>
          <w:szCs w:val="26"/>
        </w:rPr>
        <w:t xml:space="preserve">.  </w:t>
      </w:r>
    </w:p>
    <w:p w14:paraId="4B46132B" w14:textId="5168DC0A" w:rsidR="00263D91" w:rsidRPr="005B5B6E" w:rsidRDefault="005B5B6E" w:rsidP="006174F1">
      <w:pPr>
        <w:pStyle w:val="NormaleWeb"/>
        <w:shd w:val="clear" w:color="auto" w:fill="FFFFFF"/>
        <w:spacing w:before="0" w:after="0"/>
        <w:jc w:val="both"/>
        <w:rPr>
          <w:rFonts w:ascii="Georgia" w:hAnsi="Georgia"/>
          <w:b/>
          <w:bCs/>
          <w:color w:val="003366"/>
          <w:sz w:val="26"/>
          <w:szCs w:val="26"/>
        </w:rPr>
      </w:pPr>
      <w:r w:rsidRPr="005B5B6E">
        <w:rPr>
          <w:rFonts w:ascii="Georgia" w:hAnsi="Georgia"/>
          <w:b/>
          <w:bCs/>
          <w:color w:val="003366"/>
          <w:sz w:val="26"/>
          <w:szCs w:val="26"/>
        </w:rPr>
        <w:t>Premessa: i</w:t>
      </w:r>
      <w:r w:rsidR="00350742" w:rsidRPr="005B5B6E">
        <w:rPr>
          <w:rFonts w:ascii="Georgia" w:hAnsi="Georgia"/>
          <w:b/>
          <w:bCs/>
          <w:color w:val="003366"/>
          <w:sz w:val="26"/>
          <w:szCs w:val="26"/>
        </w:rPr>
        <w:t>l delicato tema della collaborazione con la giustizia</w:t>
      </w:r>
    </w:p>
    <w:p w14:paraId="5933C19C" w14:textId="6BFA3B26" w:rsidR="002D25D6" w:rsidRDefault="00F65EA5"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 xml:space="preserve">Non mi stancherò di ricordare </w:t>
      </w:r>
      <w:r w:rsidR="00F650F8">
        <w:rPr>
          <w:rFonts w:ascii="Georgia" w:hAnsi="Georgia"/>
          <w:color w:val="003366"/>
          <w:sz w:val="26"/>
          <w:szCs w:val="26"/>
        </w:rPr>
        <w:t xml:space="preserve">che la constatazione di illegittimità costituzionale dell’art. 4bis </w:t>
      </w:r>
      <w:proofErr w:type="spellStart"/>
      <w:r w:rsidR="00F650F8">
        <w:rPr>
          <w:rFonts w:ascii="Georgia" w:hAnsi="Georgia"/>
          <w:color w:val="003366"/>
          <w:sz w:val="26"/>
          <w:szCs w:val="26"/>
        </w:rPr>
        <w:t>o.p.</w:t>
      </w:r>
      <w:proofErr w:type="spellEnd"/>
      <w:r w:rsidR="00F650F8">
        <w:rPr>
          <w:rFonts w:ascii="Georgia" w:hAnsi="Georgia"/>
          <w:color w:val="003366"/>
          <w:sz w:val="26"/>
          <w:szCs w:val="26"/>
        </w:rPr>
        <w:t xml:space="preserve"> -contenuta </w:t>
      </w:r>
      <w:r w:rsidR="005973F3">
        <w:rPr>
          <w:rFonts w:ascii="Georgia" w:hAnsi="Georgia"/>
          <w:color w:val="003366"/>
          <w:sz w:val="26"/>
          <w:szCs w:val="26"/>
        </w:rPr>
        <w:t>tanto</w:t>
      </w:r>
      <w:r w:rsidR="00F650F8">
        <w:rPr>
          <w:rFonts w:ascii="Georgia" w:hAnsi="Georgia"/>
          <w:color w:val="003366"/>
          <w:sz w:val="26"/>
          <w:szCs w:val="26"/>
        </w:rPr>
        <w:t xml:space="preserve"> nella sentenza n. 253/2019 quanto nell’ordinanza 97/2021 della Corte costituzionale- non ha </w:t>
      </w:r>
      <w:r w:rsidR="005973F3">
        <w:rPr>
          <w:rFonts w:ascii="Georgia" w:hAnsi="Georgia"/>
          <w:color w:val="003366"/>
          <w:sz w:val="26"/>
          <w:szCs w:val="26"/>
        </w:rPr>
        <w:t>incrinato</w:t>
      </w:r>
      <w:r w:rsidR="00F650F8">
        <w:rPr>
          <w:rFonts w:ascii="Georgia" w:hAnsi="Georgia"/>
          <w:color w:val="003366"/>
          <w:sz w:val="26"/>
          <w:szCs w:val="26"/>
        </w:rPr>
        <w:t xml:space="preserve"> la centralità della collaborazione con la giustizia quale indispensabile strumento di verifica della rottura dei legami criminali in questa materia</w:t>
      </w:r>
      <w:r w:rsidR="00350742">
        <w:rPr>
          <w:rFonts w:ascii="Georgia" w:hAnsi="Georgia"/>
          <w:color w:val="003366"/>
          <w:sz w:val="26"/>
          <w:szCs w:val="26"/>
        </w:rPr>
        <w:t xml:space="preserve">; in particolare, </w:t>
      </w:r>
      <w:r w:rsidR="001D4F23">
        <w:rPr>
          <w:rFonts w:ascii="Georgia" w:hAnsi="Georgia"/>
          <w:color w:val="003366"/>
          <w:sz w:val="26"/>
          <w:szCs w:val="26"/>
        </w:rPr>
        <w:t xml:space="preserve">è necessario sottolineare che entrambi i provvedimenti giurisdizionali segnalati, in linea con le precedenti decisioni della Corte costituzionale, non hanno messo in discussione </w:t>
      </w:r>
      <w:r w:rsidR="002E143C">
        <w:rPr>
          <w:rFonts w:ascii="Georgia" w:hAnsi="Georgia"/>
          <w:color w:val="003366"/>
          <w:sz w:val="26"/>
          <w:szCs w:val="26"/>
        </w:rPr>
        <w:t>la ragionevolezza del</w:t>
      </w:r>
      <w:r w:rsidR="001D4F23">
        <w:rPr>
          <w:rFonts w:ascii="Georgia" w:hAnsi="Georgia"/>
          <w:color w:val="003366"/>
          <w:sz w:val="26"/>
          <w:szCs w:val="26"/>
        </w:rPr>
        <w:t>le massime di esperienza che sinora hanno regolato la materia</w:t>
      </w:r>
      <w:r w:rsidR="008C0036">
        <w:rPr>
          <w:rStyle w:val="Rimandonotaapidipagina"/>
          <w:rFonts w:ascii="Georgia" w:hAnsi="Georgia"/>
          <w:color w:val="003366"/>
          <w:sz w:val="26"/>
          <w:szCs w:val="26"/>
        </w:rPr>
        <w:footnoteReference w:id="1"/>
      </w:r>
      <w:r w:rsidR="001D4F23">
        <w:rPr>
          <w:rFonts w:ascii="Georgia" w:hAnsi="Georgia"/>
          <w:color w:val="003366"/>
          <w:sz w:val="26"/>
          <w:szCs w:val="26"/>
        </w:rPr>
        <w:t xml:space="preserve">. Fra di esse, ai nostri fini assume particolare significato quella secondo la quale la collaborazione, pur non costituendo necessaria dimostrazione di avvenuto ravvedimento, costituisce </w:t>
      </w:r>
      <w:r w:rsidR="002E143C">
        <w:rPr>
          <w:rFonts w:ascii="Georgia" w:hAnsi="Georgia"/>
          <w:color w:val="003366"/>
          <w:sz w:val="26"/>
          <w:szCs w:val="26"/>
        </w:rPr>
        <w:t xml:space="preserve">comunque </w:t>
      </w:r>
      <w:r w:rsidR="00D062D6">
        <w:rPr>
          <w:rFonts w:ascii="Georgia" w:hAnsi="Georgia"/>
          <w:color w:val="003366"/>
          <w:sz w:val="26"/>
          <w:szCs w:val="26"/>
        </w:rPr>
        <w:t xml:space="preserve">un </w:t>
      </w:r>
      <w:r w:rsidR="004E3AF5">
        <w:rPr>
          <w:rFonts w:ascii="Georgia" w:hAnsi="Georgia"/>
          <w:color w:val="003366"/>
          <w:sz w:val="26"/>
          <w:szCs w:val="26"/>
        </w:rPr>
        <w:t xml:space="preserve">elemento di </w:t>
      </w:r>
      <w:r w:rsidR="001D4F23">
        <w:rPr>
          <w:rFonts w:ascii="Georgia" w:hAnsi="Georgia"/>
          <w:color w:val="003366"/>
          <w:sz w:val="26"/>
          <w:szCs w:val="26"/>
        </w:rPr>
        <w:t>dimostrazione della rottura del legame con l’associazione criminale (mafiosa o terroristica) da parte del condannato.</w:t>
      </w:r>
      <w:r w:rsidR="00350742">
        <w:rPr>
          <w:rFonts w:ascii="Georgia" w:hAnsi="Georgia"/>
          <w:color w:val="003366"/>
          <w:sz w:val="26"/>
          <w:szCs w:val="26"/>
        </w:rPr>
        <w:t xml:space="preserve"> </w:t>
      </w:r>
      <w:r w:rsidR="00453FFA">
        <w:rPr>
          <w:rFonts w:ascii="Georgia" w:hAnsi="Georgia"/>
          <w:color w:val="003366"/>
          <w:sz w:val="26"/>
          <w:szCs w:val="26"/>
        </w:rPr>
        <w:t>Non a caso</w:t>
      </w:r>
      <w:r w:rsidR="002D25D6">
        <w:rPr>
          <w:rFonts w:ascii="Georgia" w:hAnsi="Georgia"/>
          <w:color w:val="003366"/>
          <w:sz w:val="26"/>
          <w:szCs w:val="26"/>
        </w:rPr>
        <w:t>, nessun</w:t>
      </w:r>
      <w:r w:rsidR="004B1AE0">
        <w:rPr>
          <w:rFonts w:ascii="Georgia" w:hAnsi="Georgia"/>
          <w:color w:val="003366"/>
          <w:sz w:val="26"/>
          <w:szCs w:val="26"/>
        </w:rPr>
        <w:t xml:space="preserve">a delle due decisioni </w:t>
      </w:r>
      <w:r w:rsidR="002D25D6">
        <w:rPr>
          <w:rFonts w:ascii="Georgia" w:hAnsi="Georgia"/>
          <w:color w:val="003366"/>
          <w:sz w:val="26"/>
          <w:szCs w:val="26"/>
        </w:rPr>
        <w:t>citat</w:t>
      </w:r>
      <w:r w:rsidR="004B1AE0">
        <w:rPr>
          <w:rFonts w:ascii="Georgia" w:hAnsi="Georgia"/>
          <w:color w:val="003366"/>
          <w:sz w:val="26"/>
          <w:szCs w:val="26"/>
        </w:rPr>
        <w:t>e</w:t>
      </w:r>
      <w:r w:rsidR="002D25D6">
        <w:rPr>
          <w:rFonts w:ascii="Georgia" w:hAnsi="Georgia"/>
          <w:color w:val="003366"/>
          <w:sz w:val="26"/>
          <w:szCs w:val="26"/>
        </w:rPr>
        <w:t xml:space="preserve"> </w:t>
      </w:r>
      <w:r w:rsidR="00453FFA">
        <w:rPr>
          <w:rFonts w:ascii="Georgia" w:hAnsi="Georgia"/>
          <w:color w:val="003366"/>
          <w:sz w:val="26"/>
          <w:szCs w:val="26"/>
        </w:rPr>
        <w:t xml:space="preserve">ha </w:t>
      </w:r>
      <w:r w:rsidR="002D25D6">
        <w:rPr>
          <w:rFonts w:ascii="Georgia" w:hAnsi="Georgia"/>
          <w:color w:val="003366"/>
          <w:sz w:val="26"/>
          <w:szCs w:val="26"/>
        </w:rPr>
        <w:t>messo in discussione l’istituto della collaborazione impossibile, inesigibile o irrilevante.</w:t>
      </w:r>
      <w:r w:rsidR="00D062D6">
        <w:rPr>
          <w:rFonts w:ascii="Georgia" w:hAnsi="Georgia"/>
          <w:color w:val="003366"/>
          <w:sz w:val="26"/>
          <w:szCs w:val="26"/>
        </w:rPr>
        <w:t xml:space="preserve"> Istituto che, anzi, ha avuto un esplicito avallo della Corte</w:t>
      </w:r>
      <w:r w:rsidR="006F1FE1">
        <w:rPr>
          <w:rFonts w:ascii="Georgia" w:hAnsi="Georgia"/>
          <w:color w:val="003366"/>
          <w:sz w:val="26"/>
          <w:szCs w:val="26"/>
        </w:rPr>
        <w:t xml:space="preserve"> (Sent. C. cost. n. 20/2022).</w:t>
      </w:r>
      <w:r w:rsidR="002D25D6">
        <w:rPr>
          <w:rFonts w:ascii="Georgia" w:hAnsi="Georgia"/>
          <w:color w:val="003366"/>
          <w:sz w:val="26"/>
          <w:szCs w:val="26"/>
        </w:rPr>
        <w:t xml:space="preserve"> </w:t>
      </w:r>
    </w:p>
    <w:p w14:paraId="58A90002" w14:textId="6CC74E87" w:rsidR="00E55FE0" w:rsidRDefault="002D25D6"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S</w:t>
      </w:r>
      <w:r w:rsidR="00F65EA5">
        <w:rPr>
          <w:rFonts w:ascii="Georgia" w:hAnsi="Georgia"/>
          <w:color w:val="003366"/>
          <w:sz w:val="26"/>
          <w:szCs w:val="26"/>
        </w:rPr>
        <w:t>u queste premesse</w:t>
      </w:r>
      <w:r>
        <w:rPr>
          <w:rFonts w:ascii="Georgia" w:hAnsi="Georgia"/>
          <w:color w:val="003366"/>
          <w:sz w:val="26"/>
          <w:szCs w:val="26"/>
        </w:rPr>
        <w:t>, appare</w:t>
      </w:r>
      <w:r w:rsidR="00E55FE0">
        <w:rPr>
          <w:rFonts w:ascii="Georgia" w:hAnsi="Georgia"/>
          <w:color w:val="003366"/>
          <w:sz w:val="26"/>
          <w:szCs w:val="26"/>
        </w:rPr>
        <w:t xml:space="preserve"> indispensabile una rigorosa regolazione</w:t>
      </w:r>
      <w:r>
        <w:rPr>
          <w:rFonts w:ascii="Georgia" w:hAnsi="Georgia"/>
          <w:color w:val="003366"/>
          <w:sz w:val="26"/>
          <w:szCs w:val="26"/>
        </w:rPr>
        <w:t xml:space="preserve"> </w:t>
      </w:r>
      <w:r w:rsidR="00E55FE0">
        <w:rPr>
          <w:rFonts w:ascii="Georgia" w:hAnsi="Georgia"/>
          <w:color w:val="003366"/>
          <w:sz w:val="26"/>
          <w:szCs w:val="26"/>
        </w:rPr>
        <w:t xml:space="preserve">delle eccezioni al principio generale che vedeva nella sola collaborazione </w:t>
      </w:r>
      <w:r w:rsidR="00D87FA4">
        <w:rPr>
          <w:rFonts w:ascii="Georgia" w:hAnsi="Georgia"/>
          <w:color w:val="003366"/>
          <w:sz w:val="26"/>
          <w:szCs w:val="26"/>
        </w:rPr>
        <w:t xml:space="preserve">(o nella sua impossibilità, inesigibilità o irrilevanza) </w:t>
      </w:r>
      <w:r w:rsidR="00E55FE0">
        <w:rPr>
          <w:rFonts w:ascii="Georgia" w:hAnsi="Georgia"/>
          <w:color w:val="003366"/>
          <w:sz w:val="26"/>
          <w:szCs w:val="26"/>
        </w:rPr>
        <w:t>la via d’accesso alla dimostrazione della rottura del legame criminale</w:t>
      </w:r>
      <w:r w:rsidR="00D87FA4">
        <w:rPr>
          <w:rFonts w:ascii="Georgia" w:hAnsi="Georgia"/>
          <w:color w:val="003366"/>
          <w:sz w:val="26"/>
          <w:szCs w:val="26"/>
        </w:rPr>
        <w:t xml:space="preserve"> e quindi all’ammissibilità di qualsivoglia beneficio penitenziario (a </w:t>
      </w:r>
      <w:r w:rsidR="00D87FA4">
        <w:rPr>
          <w:rFonts w:ascii="Georgia" w:hAnsi="Georgia"/>
          <w:color w:val="003366"/>
          <w:sz w:val="26"/>
          <w:szCs w:val="26"/>
        </w:rPr>
        <w:lastRenderedPageBreak/>
        <w:t xml:space="preserve">prescindere </w:t>
      </w:r>
      <w:r w:rsidR="003C5BD4">
        <w:rPr>
          <w:rFonts w:ascii="Georgia" w:hAnsi="Georgia"/>
          <w:color w:val="003366"/>
          <w:sz w:val="26"/>
          <w:szCs w:val="26"/>
        </w:rPr>
        <w:t xml:space="preserve">dalle altre verifiche previste e </w:t>
      </w:r>
      <w:r w:rsidR="00D87FA4">
        <w:rPr>
          <w:rFonts w:ascii="Georgia" w:hAnsi="Georgia"/>
          <w:color w:val="003366"/>
          <w:sz w:val="26"/>
          <w:szCs w:val="26"/>
        </w:rPr>
        <w:t xml:space="preserve">dalla </w:t>
      </w:r>
      <w:proofErr w:type="spellStart"/>
      <w:r w:rsidR="00D87FA4">
        <w:rPr>
          <w:rFonts w:ascii="Georgia" w:hAnsi="Georgia"/>
          <w:color w:val="003366"/>
          <w:sz w:val="26"/>
          <w:szCs w:val="26"/>
        </w:rPr>
        <w:t>meritevolezza</w:t>
      </w:r>
      <w:proofErr w:type="spellEnd"/>
      <w:r w:rsidR="00D87FA4">
        <w:rPr>
          <w:rFonts w:ascii="Georgia" w:hAnsi="Georgia"/>
          <w:color w:val="003366"/>
          <w:sz w:val="26"/>
          <w:szCs w:val="26"/>
        </w:rPr>
        <w:t>, da valutare solo successivamente)</w:t>
      </w:r>
      <w:r w:rsidR="00E55FE0">
        <w:rPr>
          <w:rFonts w:ascii="Georgia" w:hAnsi="Georgia"/>
          <w:color w:val="003366"/>
          <w:sz w:val="26"/>
          <w:szCs w:val="26"/>
        </w:rPr>
        <w:t xml:space="preserve">. </w:t>
      </w:r>
    </w:p>
    <w:p w14:paraId="587080E4" w14:textId="1BFFD32D" w:rsidR="001D7C1E" w:rsidRDefault="00E55FE0"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 xml:space="preserve">In questa direzione, prima </w:t>
      </w:r>
      <w:r w:rsidR="000B1082">
        <w:rPr>
          <w:rFonts w:ascii="Georgia" w:hAnsi="Georgia"/>
          <w:color w:val="003366"/>
          <w:sz w:val="26"/>
          <w:szCs w:val="26"/>
        </w:rPr>
        <w:t xml:space="preserve">ancora </w:t>
      </w:r>
      <w:r w:rsidR="00D87FA4">
        <w:rPr>
          <w:rFonts w:ascii="Georgia" w:hAnsi="Georgia"/>
          <w:color w:val="003366"/>
          <w:sz w:val="26"/>
          <w:szCs w:val="26"/>
        </w:rPr>
        <w:t>dei -</w:t>
      </w:r>
      <w:r>
        <w:rPr>
          <w:rFonts w:ascii="Georgia" w:hAnsi="Georgia"/>
          <w:color w:val="003366"/>
          <w:sz w:val="26"/>
          <w:szCs w:val="26"/>
        </w:rPr>
        <w:t>ed a prescindere dai</w:t>
      </w:r>
      <w:r w:rsidR="00D87FA4">
        <w:rPr>
          <w:rFonts w:ascii="Georgia" w:hAnsi="Georgia"/>
          <w:color w:val="003366"/>
          <w:sz w:val="26"/>
          <w:szCs w:val="26"/>
        </w:rPr>
        <w:t>-</w:t>
      </w:r>
      <w:r>
        <w:rPr>
          <w:rFonts w:ascii="Georgia" w:hAnsi="Georgia"/>
          <w:color w:val="003366"/>
          <w:sz w:val="26"/>
          <w:szCs w:val="26"/>
        </w:rPr>
        <w:t xml:space="preserve"> dettagliati passaggi istruttori e di approfondimento </w:t>
      </w:r>
      <w:r w:rsidR="005A3D78">
        <w:rPr>
          <w:rFonts w:ascii="Georgia" w:hAnsi="Georgia"/>
          <w:color w:val="003366"/>
          <w:sz w:val="26"/>
          <w:szCs w:val="26"/>
        </w:rPr>
        <w:t>-</w:t>
      </w:r>
      <w:r>
        <w:rPr>
          <w:rFonts w:ascii="Georgia" w:hAnsi="Georgia"/>
          <w:color w:val="003366"/>
          <w:sz w:val="26"/>
          <w:szCs w:val="26"/>
        </w:rPr>
        <w:t>di informazioni e punti di vista</w:t>
      </w:r>
      <w:r w:rsidR="005A3D78">
        <w:rPr>
          <w:rFonts w:ascii="Georgia" w:hAnsi="Georgia"/>
          <w:color w:val="003366"/>
          <w:sz w:val="26"/>
          <w:szCs w:val="26"/>
        </w:rPr>
        <w:t>-</w:t>
      </w:r>
      <w:r>
        <w:rPr>
          <w:rFonts w:ascii="Georgia" w:hAnsi="Georgia"/>
          <w:color w:val="003366"/>
          <w:sz w:val="26"/>
          <w:szCs w:val="26"/>
        </w:rPr>
        <w:t xml:space="preserve"> previsti nel D. L. in esame, </w:t>
      </w:r>
      <w:r w:rsidRPr="00F65EA5">
        <w:rPr>
          <w:rFonts w:ascii="Georgia" w:hAnsi="Georgia"/>
          <w:color w:val="003366"/>
          <w:sz w:val="26"/>
          <w:szCs w:val="26"/>
          <w:u w:val="single"/>
        </w:rPr>
        <w:t>per la magistratura di sorveglianza risulterebbe</w:t>
      </w:r>
      <w:r w:rsidR="00F650F8" w:rsidRPr="00F65EA5">
        <w:rPr>
          <w:rFonts w:ascii="Georgia" w:hAnsi="Georgia"/>
          <w:color w:val="003366"/>
          <w:sz w:val="26"/>
          <w:szCs w:val="26"/>
          <w:u w:val="single"/>
        </w:rPr>
        <w:t xml:space="preserve"> </w:t>
      </w:r>
      <w:r w:rsidRPr="00F65EA5">
        <w:rPr>
          <w:rFonts w:ascii="Georgia" w:hAnsi="Georgia"/>
          <w:color w:val="003366"/>
          <w:sz w:val="26"/>
          <w:szCs w:val="26"/>
          <w:u w:val="single"/>
        </w:rPr>
        <w:t xml:space="preserve">particolarmente </w:t>
      </w:r>
      <w:r w:rsidR="00D87FA4" w:rsidRPr="00F65EA5">
        <w:rPr>
          <w:rFonts w:ascii="Georgia" w:hAnsi="Georgia"/>
          <w:color w:val="003366"/>
          <w:sz w:val="26"/>
          <w:szCs w:val="26"/>
          <w:u w:val="single"/>
        </w:rPr>
        <w:t>pertinente ed utile l’allegazione e l’esplicitazione delle ragioni che inducono il detenuto a non praticare la “strada maestra” della collaborazione</w:t>
      </w:r>
      <w:r w:rsidR="00D87FA4">
        <w:rPr>
          <w:rFonts w:ascii="Georgia" w:hAnsi="Georgia"/>
          <w:color w:val="003366"/>
          <w:sz w:val="26"/>
          <w:szCs w:val="26"/>
        </w:rPr>
        <w:t>.</w:t>
      </w:r>
      <w:r w:rsidR="005A3D78">
        <w:rPr>
          <w:rFonts w:ascii="Georgia" w:hAnsi="Georgia"/>
          <w:color w:val="003366"/>
          <w:sz w:val="26"/>
          <w:szCs w:val="26"/>
        </w:rPr>
        <w:t xml:space="preserve"> Infatti, se è certo che in linea di principio possono ricorrere situazioni capaci di rendere “lacerante” -e quindi “non </w:t>
      </w:r>
      <w:proofErr w:type="gramStart"/>
      <w:r w:rsidR="005A3D78">
        <w:rPr>
          <w:rFonts w:ascii="Georgia" w:hAnsi="Georgia"/>
          <w:color w:val="003366"/>
          <w:sz w:val="26"/>
          <w:szCs w:val="26"/>
        </w:rPr>
        <w:t>esigibile”-</w:t>
      </w:r>
      <w:proofErr w:type="gramEnd"/>
      <w:r w:rsidR="005A3D78">
        <w:rPr>
          <w:rFonts w:ascii="Georgia" w:hAnsi="Georgia"/>
          <w:color w:val="003366"/>
          <w:sz w:val="26"/>
          <w:szCs w:val="26"/>
        </w:rPr>
        <w:t xml:space="preserve"> la richiesta dello Stato di collaborare, sembra altrettanto evidente che -a fronte della “vastità criminale” </w:t>
      </w:r>
      <w:proofErr w:type="spellStart"/>
      <w:r w:rsidR="006F1FE1">
        <w:rPr>
          <w:rFonts w:ascii="Georgia" w:hAnsi="Georgia"/>
          <w:color w:val="003366"/>
          <w:sz w:val="26"/>
          <w:szCs w:val="26"/>
        </w:rPr>
        <w:t>dell</w:t>
      </w:r>
      <w:r w:rsidR="004B1AE0">
        <w:rPr>
          <w:rFonts w:ascii="Georgia" w:hAnsi="Georgia"/>
          <w:color w:val="003366"/>
          <w:sz w:val="26"/>
          <w:szCs w:val="26"/>
        </w:rPr>
        <w:t>”</w:t>
      </w:r>
      <w:r w:rsidR="006F1FE1">
        <w:rPr>
          <w:rFonts w:ascii="Georgia" w:hAnsi="Georgia"/>
          <w:color w:val="003366"/>
          <w:sz w:val="26"/>
          <w:szCs w:val="26"/>
        </w:rPr>
        <w:t>Antistato</w:t>
      </w:r>
      <w:proofErr w:type="spellEnd"/>
      <w:r w:rsidR="004B1AE0">
        <w:rPr>
          <w:rFonts w:ascii="Georgia" w:hAnsi="Georgia"/>
          <w:color w:val="003366"/>
          <w:sz w:val="26"/>
          <w:szCs w:val="26"/>
        </w:rPr>
        <w:t>”</w:t>
      </w:r>
      <w:r w:rsidR="006F1FE1">
        <w:rPr>
          <w:rFonts w:ascii="Georgia" w:hAnsi="Georgia"/>
          <w:color w:val="003366"/>
          <w:sz w:val="26"/>
          <w:szCs w:val="26"/>
        </w:rPr>
        <w:t xml:space="preserve"> e </w:t>
      </w:r>
      <w:r w:rsidR="005A3D78">
        <w:rPr>
          <w:rFonts w:ascii="Georgia" w:hAnsi="Georgia"/>
          <w:color w:val="003366"/>
          <w:sz w:val="26"/>
          <w:szCs w:val="26"/>
        </w:rPr>
        <w:t xml:space="preserve">di condotte associative mafiose o terroristiche capaci di asservire interi territori- solo l’effettivo ricorrere di tale </w:t>
      </w:r>
      <w:r w:rsidR="008243B5">
        <w:rPr>
          <w:rFonts w:ascii="Georgia" w:hAnsi="Georgia"/>
          <w:color w:val="003366"/>
          <w:sz w:val="26"/>
          <w:szCs w:val="26"/>
        </w:rPr>
        <w:t xml:space="preserve">apprezzabile lacerazione personale </w:t>
      </w:r>
      <w:r w:rsidR="005A3D78">
        <w:rPr>
          <w:rFonts w:ascii="Georgia" w:hAnsi="Georgia"/>
          <w:color w:val="003366"/>
          <w:sz w:val="26"/>
          <w:szCs w:val="26"/>
        </w:rPr>
        <w:t xml:space="preserve">può legittimamente giustificare </w:t>
      </w:r>
      <w:r w:rsidR="006D6EF9">
        <w:rPr>
          <w:rFonts w:ascii="Georgia" w:hAnsi="Georgia"/>
          <w:color w:val="003366"/>
          <w:sz w:val="26"/>
          <w:szCs w:val="26"/>
        </w:rPr>
        <w:t>la decisione di non collaborare</w:t>
      </w:r>
      <w:r w:rsidR="005A3D78">
        <w:rPr>
          <w:rFonts w:ascii="Georgia" w:hAnsi="Georgia"/>
          <w:color w:val="003366"/>
          <w:sz w:val="26"/>
          <w:szCs w:val="26"/>
        </w:rPr>
        <w:t xml:space="preserve">. </w:t>
      </w:r>
    </w:p>
    <w:p w14:paraId="7DB171F0" w14:textId="22762A4F" w:rsidR="00236C89" w:rsidRDefault="008243B5"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Né deve essere sottovalutata l’effettiva importanza ed utilità</w:t>
      </w:r>
      <w:r w:rsidR="001D7C1E">
        <w:rPr>
          <w:rFonts w:ascii="Georgia" w:hAnsi="Georgia"/>
          <w:color w:val="003366"/>
          <w:sz w:val="26"/>
          <w:szCs w:val="26"/>
        </w:rPr>
        <w:t xml:space="preserve"> (per chi deve valutare la concessione del beneficio richiesto)</w:t>
      </w:r>
      <w:r>
        <w:rPr>
          <w:rFonts w:ascii="Georgia" w:hAnsi="Georgia"/>
          <w:color w:val="003366"/>
          <w:sz w:val="26"/>
          <w:szCs w:val="26"/>
        </w:rPr>
        <w:t xml:space="preserve"> dell’esplicitazione delle ragioni che inducono </w:t>
      </w:r>
      <w:r w:rsidR="004B1AE0">
        <w:rPr>
          <w:rFonts w:ascii="Georgia" w:hAnsi="Georgia"/>
          <w:color w:val="003366"/>
          <w:sz w:val="26"/>
          <w:szCs w:val="26"/>
        </w:rPr>
        <w:t xml:space="preserve">il detenuto </w:t>
      </w:r>
      <w:r>
        <w:rPr>
          <w:rFonts w:ascii="Georgia" w:hAnsi="Georgia"/>
          <w:color w:val="003366"/>
          <w:sz w:val="26"/>
          <w:szCs w:val="26"/>
        </w:rPr>
        <w:t>a non collaborare</w:t>
      </w:r>
      <w:r w:rsidR="001D7C1E">
        <w:rPr>
          <w:rFonts w:ascii="Georgia" w:hAnsi="Georgia"/>
          <w:color w:val="003366"/>
          <w:sz w:val="26"/>
          <w:szCs w:val="26"/>
        </w:rPr>
        <w:t>:</w:t>
      </w:r>
      <w:r>
        <w:rPr>
          <w:rFonts w:ascii="Georgia" w:hAnsi="Georgia"/>
          <w:color w:val="003366"/>
          <w:sz w:val="26"/>
          <w:szCs w:val="26"/>
        </w:rPr>
        <w:t xml:space="preserve"> innanzitutto perché </w:t>
      </w:r>
      <w:r w:rsidR="008734E3">
        <w:rPr>
          <w:rFonts w:ascii="Georgia" w:hAnsi="Georgia"/>
          <w:color w:val="003366"/>
          <w:sz w:val="26"/>
          <w:szCs w:val="26"/>
        </w:rPr>
        <w:t>la casistica</w:t>
      </w:r>
      <w:r>
        <w:rPr>
          <w:rFonts w:ascii="Georgia" w:hAnsi="Georgia"/>
          <w:color w:val="003366"/>
          <w:sz w:val="26"/>
          <w:szCs w:val="26"/>
        </w:rPr>
        <w:t xml:space="preserve"> delle circostanze che possono giustificar</w:t>
      </w:r>
      <w:r w:rsidR="001D7C1E">
        <w:rPr>
          <w:rFonts w:ascii="Georgia" w:hAnsi="Georgia"/>
          <w:color w:val="003366"/>
          <w:sz w:val="26"/>
          <w:szCs w:val="26"/>
        </w:rPr>
        <w:t xml:space="preserve">e </w:t>
      </w:r>
      <w:r>
        <w:rPr>
          <w:rFonts w:ascii="Georgia" w:hAnsi="Georgia"/>
          <w:color w:val="003366"/>
          <w:sz w:val="26"/>
          <w:szCs w:val="26"/>
        </w:rPr>
        <w:t xml:space="preserve">la </w:t>
      </w:r>
      <w:r w:rsidR="001D7C1E">
        <w:rPr>
          <w:rFonts w:ascii="Georgia" w:hAnsi="Georgia"/>
          <w:color w:val="003366"/>
          <w:sz w:val="26"/>
          <w:szCs w:val="26"/>
        </w:rPr>
        <w:t xml:space="preserve">scelta di non collaborare </w:t>
      </w:r>
      <w:r>
        <w:rPr>
          <w:rFonts w:ascii="Georgia" w:hAnsi="Georgia"/>
          <w:color w:val="003366"/>
          <w:sz w:val="26"/>
          <w:szCs w:val="26"/>
        </w:rPr>
        <w:t>non è indeterminat</w:t>
      </w:r>
      <w:r w:rsidR="008734E3">
        <w:rPr>
          <w:rFonts w:ascii="Georgia" w:hAnsi="Georgia"/>
          <w:color w:val="003366"/>
          <w:sz w:val="26"/>
          <w:szCs w:val="26"/>
        </w:rPr>
        <w:t>a</w:t>
      </w:r>
      <w:r>
        <w:rPr>
          <w:rFonts w:ascii="Georgia" w:hAnsi="Georgia"/>
          <w:color w:val="003366"/>
          <w:sz w:val="26"/>
          <w:szCs w:val="26"/>
        </w:rPr>
        <w:t>, né del tutto sfornit</w:t>
      </w:r>
      <w:r w:rsidR="008734E3">
        <w:rPr>
          <w:rFonts w:ascii="Georgia" w:hAnsi="Georgia"/>
          <w:color w:val="003366"/>
          <w:sz w:val="26"/>
          <w:szCs w:val="26"/>
        </w:rPr>
        <w:t>a</w:t>
      </w:r>
      <w:r>
        <w:rPr>
          <w:rFonts w:ascii="Georgia" w:hAnsi="Georgia"/>
          <w:color w:val="003366"/>
          <w:sz w:val="26"/>
          <w:szCs w:val="26"/>
        </w:rPr>
        <w:t xml:space="preserve"> di un margine di verifica; in secondo luogo, perché i lunghi percorsi personali in detenzione, se adeguatamente osservati, sono suscettibili di una loro lettura</w:t>
      </w:r>
      <w:r w:rsidR="001D7C1E">
        <w:rPr>
          <w:rFonts w:ascii="Georgia" w:hAnsi="Georgia"/>
          <w:color w:val="003366"/>
          <w:sz w:val="26"/>
          <w:szCs w:val="26"/>
        </w:rPr>
        <w:t>, anche sotto tale profilo</w:t>
      </w:r>
      <w:r>
        <w:rPr>
          <w:rFonts w:ascii="Georgia" w:hAnsi="Georgia"/>
          <w:color w:val="003366"/>
          <w:sz w:val="26"/>
          <w:szCs w:val="26"/>
        </w:rPr>
        <w:t>; in terzo luogo, perché l’esplicitazione di tali ragioni verbalizza, comunque, una presa di distanza</w:t>
      </w:r>
      <w:r w:rsidR="009F2171">
        <w:rPr>
          <w:rFonts w:ascii="Georgia" w:hAnsi="Georgia"/>
          <w:color w:val="003366"/>
          <w:sz w:val="26"/>
          <w:szCs w:val="26"/>
        </w:rPr>
        <w:t xml:space="preserve"> pubblica dalla logica omertosa; in definitiva, in quanto</w:t>
      </w:r>
      <w:r>
        <w:rPr>
          <w:rFonts w:ascii="Georgia" w:hAnsi="Georgia"/>
          <w:color w:val="003366"/>
          <w:sz w:val="26"/>
          <w:szCs w:val="26"/>
        </w:rPr>
        <w:t xml:space="preserve"> </w:t>
      </w:r>
      <w:r w:rsidR="005B5B6E">
        <w:rPr>
          <w:rFonts w:ascii="Georgia" w:hAnsi="Georgia"/>
          <w:color w:val="003366"/>
          <w:sz w:val="26"/>
          <w:szCs w:val="26"/>
        </w:rPr>
        <w:t>l’effettiva interiorizzazione del bisogno di collaborare alla ricucitura del</w:t>
      </w:r>
      <w:r w:rsidR="004B1AE0">
        <w:rPr>
          <w:rFonts w:ascii="Georgia" w:hAnsi="Georgia"/>
          <w:color w:val="003366"/>
          <w:sz w:val="26"/>
          <w:szCs w:val="26"/>
        </w:rPr>
        <w:t xml:space="preserve"> devastante </w:t>
      </w:r>
      <w:r w:rsidR="005B5B6E">
        <w:rPr>
          <w:rFonts w:ascii="Georgia" w:hAnsi="Georgia"/>
          <w:color w:val="003366"/>
          <w:sz w:val="26"/>
          <w:szCs w:val="26"/>
        </w:rPr>
        <w:t xml:space="preserve">strappo sociale che la </w:t>
      </w:r>
      <w:r w:rsidR="008734E3">
        <w:rPr>
          <w:rFonts w:ascii="Georgia" w:hAnsi="Georgia"/>
          <w:color w:val="003366"/>
          <w:sz w:val="26"/>
          <w:szCs w:val="26"/>
        </w:rPr>
        <w:t xml:space="preserve">propria </w:t>
      </w:r>
      <w:r w:rsidR="005B5B6E">
        <w:rPr>
          <w:rFonts w:ascii="Georgia" w:hAnsi="Georgia"/>
          <w:color w:val="003366"/>
          <w:sz w:val="26"/>
          <w:szCs w:val="26"/>
        </w:rPr>
        <w:t xml:space="preserve">condotta criminale ha contribuito a creare difficilmente resta privo di tracce esteriori. </w:t>
      </w:r>
      <w:r w:rsidR="00746908">
        <w:rPr>
          <w:rFonts w:ascii="Georgia" w:hAnsi="Georgia"/>
          <w:color w:val="003366"/>
          <w:sz w:val="26"/>
          <w:szCs w:val="26"/>
        </w:rPr>
        <w:t xml:space="preserve">In tal modo, gli strumenti per soppesare l’autenticità della rottura </w:t>
      </w:r>
      <w:r w:rsidR="0038341C">
        <w:rPr>
          <w:rFonts w:ascii="Georgia" w:hAnsi="Georgia"/>
          <w:color w:val="003366"/>
          <w:sz w:val="26"/>
          <w:szCs w:val="26"/>
        </w:rPr>
        <w:t xml:space="preserve">(o dell’intenzione di rottura) </w:t>
      </w:r>
      <w:r w:rsidR="00746908">
        <w:rPr>
          <w:rFonts w:ascii="Georgia" w:hAnsi="Georgia"/>
          <w:color w:val="003366"/>
          <w:sz w:val="26"/>
          <w:szCs w:val="26"/>
        </w:rPr>
        <w:t>col passato aumentano e si arricchiscono di aspetti significativi.</w:t>
      </w:r>
      <w:r w:rsidR="004B1AE0">
        <w:rPr>
          <w:rFonts w:ascii="Georgia" w:hAnsi="Georgia"/>
          <w:color w:val="003366"/>
          <w:sz w:val="26"/>
          <w:szCs w:val="26"/>
        </w:rPr>
        <w:t xml:space="preserve"> </w:t>
      </w:r>
    </w:p>
    <w:p w14:paraId="16C18AE6" w14:textId="0ECC3A7A" w:rsidR="00746908" w:rsidRDefault="005B5B6E"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 xml:space="preserve">In questa prospettiva, </w:t>
      </w:r>
      <w:r w:rsidR="001A68D4">
        <w:rPr>
          <w:rFonts w:ascii="Georgia" w:hAnsi="Georgia"/>
          <w:color w:val="003366"/>
          <w:sz w:val="26"/>
          <w:szCs w:val="26"/>
        </w:rPr>
        <w:t>se non si vuole immaginare una radicale riscrittura del testo</w:t>
      </w:r>
      <w:r w:rsidR="00551D5A">
        <w:rPr>
          <w:rStyle w:val="Rimandonotaapidipagina"/>
          <w:rFonts w:ascii="Georgia" w:hAnsi="Georgia"/>
          <w:color w:val="003366"/>
          <w:sz w:val="26"/>
          <w:szCs w:val="26"/>
        </w:rPr>
        <w:footnoteReference w:id="2"/>
      </w:r>
      <w:r w:rsidR="001A68D4">
        <w:rPr>
          <w:rFonts w:ascii="Georgia" w:hAnsi="Georgia"/>
          <w:color w:val="003366"/>
          <w:sz w:val="26"/>
          <w:szCs w:val="26"/>
        </w:rPr>
        <w:t xml:space="preserve">, potrebbe rivelarsi importante -se non decisiva- </w:t>
      </w:r>
      <w:r w:rsidR="001A68D4" w:rsidRPr="003E0776">
        <w:rPr>
          <w:rFonts w:ascii="Georgia" w:hAnsi="Georgia"/>
          <w:color w:val="003366"/>
          <w:sz w:val="26"/>
          <w:szCs w:val="26"/>
          <w:u w:val="single"/>
        </w:rPr>
        <w:t>la soppressione dell’avverbio “eventualmente”</w:t>
      </w:r>
      <w:r>
        <w:rPr>
          <w:rFonts w:ascii="Georgia" w:hAnsi="Georgia"/>
          <w:color w:val="003366"/>
          <w:sz w:val="26"/>
          <w:szCs w:val="26"/>
        </w:rPr>
        <w:t xml:space="preserve"> </w:t>
      </w:r>
      <w:r w:rsidR="001A68D4">
        <w:rPr>
          <w:rFonts w:ascii="Georgia" w:hAnsi="Georgia"/>
          <w:color w:val="003366"/>
          <w:sz w:val="26"/>
          <w:szCs w:val="26"/>
        </w:rPr>
        <w:t>contenuto nel nuovo comma 1bis</w:t>
      </w:r>
      <w:r w:rsidR="00777C83">
        <w:rPr>
          <w:rFonts w:ascii="Georgia" w:hAnsi="Georgia"/>
          <w:color w:val="003366"/>
          <w:sz w:val="26"/>
          <w:szCs w:val="26"/>
        </w:rPr>
        <w:t xml:space="preserve"> (e nel successivo comma 1bis. 1)</w:t>
      </w:r>
      <w:r w:rsidR="001A68D4">
        <w:rPr>
          <w:rFonts w:ascii="Georgia" w:hAnsi="Georgia"/>
          <w:color w:val="003366"/>
          <w:sz w:val="26"/>
          <w:szCs w:val="26"/>
        </w:rPr>
        <w:t xml:space="preserve">. </w:t>
      </w:r>
    </w:p>
    <w:p w14:paraId="4B30A6BE" w14:textId="19FA47F0" w:rsidR="00F650F8" w:rsidRDefault="001A68D4"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 xml:space="preserve">Il testo che ne residuerebbe non è detto che nell’interpretazione giurisprudenziale assumerebbe la portata centrale </w:t>
      </w:r>
      <w:r w:rsidR="008B642D">
        <w:rPr>
          <w:rFonts w:ascii="Georgia" w:hAnsi="Georgia"/>
          <w:color w:val="003366"/>
          <w:sz w:val="26"/>
          <w:szCs w:val="26"/>
        </w:rPr>
        <w:t>-</w:t>
      </w:r>
      <w:r>
        <w:rPr>
          <w:rFonts w:ascii="Georgia" w:hAnsi="Georgia"/>
          <w:color w:val="003366"/>
          <w:sz w:val="26"/>
          <w:szCs w:val="26"/>
        </w:rPr>
        <w:t>che auspica chi scrive</w:t>
      </w:r>
      <w:r w:rsidR="008B642D">
        <w:rPr>
          <w:rFonts w:ascii="Georgia" w:hAnsi="Georgia"/>
          <w:color w:val="003366"/>
          <w:sz w:val="26"/>
          <w:szCs w:val="26"/>
        </w:rPr>
        <w:t>- quale premessa di ammissibilità dell’istanza</w:t>
      </w:r>
      <w:r>
        <w:rPr>
          <w:rFonts w:ascii="Georgia" w:hAnsi="Georgia"/>
          <w:color w:val="003366"/>
          <w:sz w:val="26"/>
          <w:szCs w:val="26"/>
        </w:rPr>
        <w:t>, ma certamente offrirebbe uno strumento interpretativo molto utile</w:t>
      </w:r>
      <w:r w:rsidR="008B642D">
        <w:rPr>
          <w:rFonts w:ascii="Georgia" w:hAnsi="Georgia"/>
          <w:color w:val="003366"/>
          <w:sz w:val="26"/>
          <w:szCs w:val="26"/>
        </w:rPr>
        <w:t>,</w:t>
      </w:r>
      <w:r>
        <w:rPr>
          <w:rFonts w:ascii="Georgia" w:hAnsi="Georgia"/>
          <w:color w:val="003366"/>
          <w:sz w:val="26"/>
          <w:szCs w:val="26"/>
        </w:rPr>
        <w:t xml:space="preserve"> senza snaturare il senso della riforma.</w:t>
      </w:r>
    </w:p>
    <w:p w14:paraId="1F6906BA" w14:textId="77777777" w:rsidR="00367C27" w:rsidRDefault="001A68D4"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 xml:space="preserve">Non </w:t>
      </w:r>
      <w:r w:rsidR="008B642D">
        <w:rPr>
          <w:rFonts w:ascii="Georgia" w:hAnsi="Georgia"/>
          <w:color w:val="003366"/>
          <w:sz w:val="26"/>
          <w:szCs w:val="26"/>
        </w:rPr>
        <w:t>mi</w:t>
      </w:r>
      <w:r>
        <w:rPr>
          <w:rFonts w:ascii="Georgia" w:hAnsi="Georgia"/>
          <w:color w:val="003366"/>
          <w:sz w:val="26"/>
          <w:szCs w:val="26"/>
        </w:rPr>
        <w:t xml:space="preserve"> </w:t>
      </w:r>
      <w:r w:rsidR="008734E3">
        <w:rPr>
          <w:rFonts w:ascii="Georgia" w:hAnsi="Georgia"/>
          <w:color w:val="003366"/>
          <w:sz w:val="26"/>
          <w:szCs w:val="26"/>
        </w:rPr>
        <w:t>sfugge</w:t>
      </w:r>
      <w:r>
        <w:rPr>
          <w:rFonts w:ascii="Georgia" w:hAnsi="Georgia"/>
          <w:color w:val="003366"/>
          <w:sz w:val="26"/>
          <w:szCs w:val="26"/>
        </w:rPr>
        <w:t xml:space="preserve"> che l’approccio proposto su questo terreno </w:t>
      </w:r>
      <w:r w:rsidR="008B642D">
        <w:rPr>
          <w:rFonts w:ascii="Georgia" w:hAnsi="Georgia"/>
          <w:color w:val="003366"/>
          <w:sz w:val="26"/>
          <w:szCs w:val="26"/>
        </w:rPr>
        <w:t xml:space="preserve">a qualcuno </w:t>
      </w:r>
      <w:r>
        <w:rPr>
          <w:rFonts w:ascii="Georgia" w:hAnsi="Georgia"/>
          <w:color w:val="003366"/>
          <w:sz w:val="26"/>
          <w:szCs w:val="26"/>
        </w:rPr>
        <w:t xml:space="preserve">potrebbe </w:t>
      </w:r>
      <w:r w:rsidR="008B642D">
        <w:rPr>
          <w:rFonts w:ascii="Georgia" w:hAnsi="Georgia"/>
          <w:color w:val="003366"/>
          <w:sz w:val="26"/>
          <w:szCs w:val="26"/>
        </w:rPr>
        <w:t xml:space="preserve">apparire </w:t>
      </w:r>
      <w:r w:rsidR="00551D5A">
        <w:rPr>
          <w:rFonts w:ascii="Georgia" w:hAnsi="Georgia"/>
          <w:color w:val="003366"/>
          <w:sz w:val="26"/>
          <w:szCs w:val="26"/>
        </w:rPr>
        <w:t xml:space="preserve">ostacolato da </w:t>
      </w:r>
      <w:r>
        <w:rPr>
          <w:rFonts w:ascii="Georgia" w:hAnsi="Georgia"/>
          <w:color w:val="003366"/>
          <w:sz w:val="26"/>
          <w:szCs w:val="26"/>
        </w:rPr>
        <w:t xml:space="preserve">una certa lettura del ragionamento sotteso alla sentenza </w:t>
      </w:r>
      <w:r w:rsidR="008B642D">
        <w:rPr>
          <w:rFonts w:ascii="Georgia" w:hAnsi="Georgia"/>
          <w:color w:val="003366"/>
          <w:sz w:val="26"/>
          <w:szCs w:val="26"/>
        </w:rPr>
        <w:t xml:space="preserve">n. 253/2019 </w:t>
      </w:r>
      <w:r>
        <w:rPr>
          <w:rFonts w:ascii="Georgia" w:hAnsi="Georgia"/>
          <w:color w:val="003366"/>
          <w:sz w:val="26"/>
          <w:szCs w:val="26"/>
        </w:rPr>
        <w:t xml:space="preserve">della Corte costituzionale </w:t>
      </w:r>
      <w:r w:rsidR="00CB406D">
        <w:rPr>
          <w:rFonts w:ascii="Georgia" w:hAnsi="Georgia"/>
          <w:color w:val="003366"/>
          <w:sz w:val="26"/>
          <w:szCs w:val="26"/>
        </w:rPr>
        <w:t>(</w:t>
      </w:r>
      <w:r w:rsidR="002C3F05">
        <w:rPr>
          <w:rFonts w:ascii="Georgia" w:hAnsi="Georgia"/>
          <w:color w:val="003366"/>
          <w:sz w:val="26"/>
          <w:szCs w:val="26"/>
        </w:rPr>
        <w:t xml:space="preserve">certamente </w:t>
      </w:r>
      <w:r w:rsidR="004E3AF5">
        <w:rPr>
          <w:rFonts w:ascii="Georgia" w:hAnsi="Georgia"/>
          <w:color w:val="003366"/>
          <w:sz w:val="26"/>
          <w:szCs w:val="26"/>
        </w:rPr>
        <w:t xml:space="preserve">non </w:t>
      </w:r>
      <w:r w:rsidR="008B642D">
        <w:rPr>
          <w:rFonts w:ascii="Georgia" w:hAnsi="Georgia"/>
          <w:color w:val="003366"/>
          <w:sz w:val="26"/>
          <w:szCs w:val="26"/>
        </w:rPr>
        <w:t xml:space="preserve">rispetto </w:t>
      </w:r>
      <w:r w:rsidR="00551D5A">
        <w:rPr>
          <w:rFonts w:ascii="Georgia" w:hAnsi="Georgia"/>
          <w:color w:val="003366"/>
          <w:sz w:val="26"/>
          <w:szCs w:val="26"/>
        </w:rPr>
        <w:t>a</w:t>
      </w:r>
      <w:r w:rsidR="00CB406D">
        <w:rPr>
          <w:rFonts w:ascii="Georgia" w:hAnsi="Georgia"/>
          <w:color w:val="003366"/>
          <w:sz w:val="26"/>
          <w:szCs w:val="26"/>
        </w:rPr>
        <w:t xml:space="preserve"> quello sotteso all’ordinanza n. 97 del 2021). </w:t>
      </w:r>
      <w:r w:rsidR="0065569F">
        <w:rPr>
          <w:rFonts w:ascii="Georgia" w:hAnsi="Georgia"/>
          <w:color w:val="003366"/>
          <w:sz w:val="26"/>
          <w:szCs w:val="26"/>
        </w:rPr>
        <w:t xml:space="preserve">In particolare, </w:t>
      </w:r>
      <w:r w:rsidR="002C3F05">
        <w:rPr>
          <w:rFonts w:ascii="Georgia" w:hAnsi="Georgia"/>
          <w:color w:val="003366"/>
          <w:sz w:val="26"/>
          <w:szCs w:val="26"/>
        </w:rPr>
        <w:t xml:space="preserve">potrebbe risultare d’ostacolo una possibile dilatazione di un malinteso “diritto al silenzio”, menzionato in alcuni passaggi della sentenza n. 253 citata. </w:t>
      </w:r>
    </w:p>
    <w:p w14:paraId="2B67DC32" w14:textId="77777777" w:rsidR="00367C27" w:rsidRDefault="002C3F05"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lastRenderedPageBreak/>
        <w:t>Ma sarebbe un</w:t>
      </w:r>
      <w:r w:rsidR="006D6EF9">
        <w:rPr>
          <w:rFonts w:ascii="Georgia" w:hAnsi="Georgia"/>
          <w:color w:val="003366"/>
          <w:sz w:val="26"/>
          <w:szCs w:val="26"/>
        </w:rPr>
        <w:t>a lettura errata del dettato costituzionale</w:t>
      </w:r>
      <w:r w:rsidR="0083173E">
        <w:rPr>
          <w:rFonts w:ascii="Georgia" w:hAnsi="Georgia"/>
          <w:color w:val="003366"/>
          <w:sz w:val="26"/>
          <w:szCs w:val="26"/>
        </w:rPr>
        <w:t xml:space="preserve"> e della decisione della Corte</w:t>
      </w:r>
      <w:r>
        <w:rPr>
          <w:rFonts w:ascii="Georgia" w:hAnsi="Georgia"/>
          <w:color w:val="003366"/>
          <w:sz w:val="26"/>
          <w:szCs w:val="26"/>
        </w:rPr>
        <w:t xml:space="preserve">. </w:t>
      </w:r>
    </w:p>
    <w:p w14:paraId="2AF5109F" w14:textId="1B33C060" w:rsidR="00621C26" w:rsidRDefault="00B8058C"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 xml:space="preserve">Innanzitutto, perché la </w:t>
      </w:r>
      <w:r w:rsidR="00EE2801">
        <w:rPr>
          <w:rFonts w:ascii="Georgia" w:hAnsi="Georgia"/>
          <w:color w:val="003366"/>
          <w:sz w:val="26"/>
          <w:szCs w:val="26"/>
        </w:rPr>
        <w:t>s</w:t>
      </w:r>
      <w:r>
        <w:rPr>
          <w:rFonts w:ascii="Georgia" w:hAnsi="Georgia"/>
          <w:color w:val="003366"/>
          <w:sz w:val="26"/>
          <w:szCs w:val="26"/>
        </w:rPr>
        <w:t xml:space="preserve">entenza n. 253 opera un ragionamento molto più articolato e complesso, nell’ambito del quale l’ipotizzato “diritto al silenzio” </w:t>
      </w:r>
      <w:r w:rsidR="0038341C">
        <w:rPr>
          <w:rFonts w:ascii="Georgia" w:hAnsi="Georgia"/>
          <w:color w:val="003366"/>
          <w:sz w:val="26"/>
          <w:szCs w:val="26"/>
        </w:rPr>
        <w:t>-</w:t>
      </w:r>
      <w:r>
        <w:rPr>
          <w:rFonts w:ascii="Georgia" w:hAnsi="Georgia"/>
          <w:color w:val="003366"/>
          <w:sz w:val="26"/>
          <w:szCs w:val="26"/>
        </w:rPr>
        <w:t xml:space="preserve">pur al netto di talune contraddizioni contenute nel </w:t>
      </w:r>
      <w:r w:rsidR="00746908">
        <w:rPr>
          <w:rFonts w:ascii="Georgia" w:hAnsi="Georgia"/>
          <w:color w:val="003366"/>
          <w:sz w:val="26"/>
          <w:szCs w:val="26"/>
        </w:rPr>
        <w:t xml:space="preserve">medesimo </w:t>
      </w:r>
      <w:r>
        <w:rPr>
          <w:rFonts w:ascii="Georgia" w:hAnsi="Georgia"/>
          <w:color w:val="003366"/>
          <w:sz w:val="26"/>
          <w:szCs w:val="26"/>
        </w:rPr>
        <w:t>testo</w:t>
      </w:r>
      <w:r w:rsidR="0038341C">
        <w:rPr>
          <w:rFonts w:ascii="Georgia" w:hAnsi="Georgia"/>
          <w:color w:val="003366"/>
          <w:sz w:val="26"/>
          <w:szCs w:val="26"/>
        </w:rPr>
        <w:t>-</w:t>
      </w:r>
      <w:r>
        <w:rPr>
          <w:rFonts w:ascii="Georgia" w:hAnsi="Georgia"/>
          <w:color w:val="003366"/>
          <w:sz w:val="26"/>
          <w:szCs w:val="26"/>
        </w:rPr>
        <w:t xml:space="preserve"> viene calato in una prospettiva </w:t>
      </w:r>
      <w:r w:rsidR="0038341C">
        <w:rPr>
          <w:rFonts w:ascii="Georgia" w:hAnsi="Georgia"/>
          <w:color w:val="003366"/>
          <w:sz w:val="26"/>
          <w:szCs w:val="26"/>
        </w:rPr>
        <w:t>che non può essere semplificata in questo modo</w:t>
      </w:r>
      <w:r>
        <w:rPr>
          <w:rFonts w:ascii="Georgia" w:hAnsi="Georgia"/>
          <w:color w:val="003366"/>
          <w:sz w:val="26"/>
          <w:szCs w:val="26"/>
        </w:rPr>
        <w:t xml:space="preserve"> e </w:t>
      </w:r>
      <w:r w:rsidR="0083173E">
        <w:rPr>
          <w:rFonts w:ascii="Georgia" w:hAnsi="Georgia"/>
          <w:color w:val="003366"/>
          <w:sz w:val="26"/>
          <w:szCs w:val="26"/>
        </w:rPr>
        <w:t xml:space="preserve">comunque </w:t>
      </w:r>
      <w:r w:rsidR="00EE6060">
        <w:rPr>
          <w:rFonts w:ascii="Georgia" w:hAnsi="Georgia"/>
          <w:color w:val="003366"/>
          <w:sz w:val="26"/>
          <w:szCs w:val="26"/>
        </w:rPr>
        <w:t xml:space="preserve">tale ipotetico “diritto” </w:t>
      </w:r>
      <w:r>
        <w:rPr>
          <w:rFonts w:ascii="Georgia" w:hAnsi="Georgia"/>
          <w:color w:val="003366"/>
          <w:sz w:val="26"/>
          <w:szCs w:val="26"/>
        </w:rPr>
        <w:t xml:space="preserve">non costituisce “il cuore dispositivo” della decisione. </w:t>
      </w:r>
    </w:p>
    <w:p w14:paraId="7451BD90" w14:textId="5759CC07" w:rsidR="001A68D4" w:rsidRPr="00367C27" w:rsidRDefault="00B8058C" w:rsidP="006174F1">
      <w:pPr>
        <w:pStyle w:val="NormaleWeb"/>
        <w:shd w:val="clear" w:color="auto" w:fill="FFFFFF"/>
        <w:spacing w:before="0" w:after="0"/>
        <w:jc w:val="both"/>
        <w:rPr>
          <w:rFonts w:ascii="Georgia" w:hAnsi="Georgia"/>
          <w:color w:val="003366"/>
          <w:sz w:val="26"/>
          <w:szCs w:val="26"/>
          <w:u w:val="single"/>
        </w:rPr>
      </w:pPr>
      <w:r>
        <w:rPr>
          <w:rFonts w:ascii="Georgia" w:hAnsi="Georgia"/>
          <w:color w:val="003366"/>
          <w:sz w:val="26"/>
          <w:szCs w:val="26"/>
        </w:rPr>
        <w:t xml:space="preserve">Ma soprattutto </w:t>
      </w:r>
      <w:r w:rsidR="00621C26">
        <w:rPr>
          <w:rFonts w:ascii="Georgia" w:hAnsi="Georgia"/>
          <w:color w:val="003366"/>
          <w:sz w:val="26"/>
          <w:szCs w:val="26"/>
        </w:rPr>
        <w:t xml:space="preserve">voglio ricordare che </w:t>
      </w:r>
      <w:r w:rsidR="002C3F05" w:rsidRPr="00367C27">
        <w:rPr>
          <w:rFonts w:ascii="Georgia" w:hAnsi="Georgia"/>
          <w:color w:val="003366"/>
          <w:sz w:val="26"/>
          <w:szCs w:val="26"/>
          <w:u w:val="single"/>
        </w:rPr>
        <w:t>l’ordinanza n. 97 del 2021</w:t>
      </w:r>
      <w:r>
        <w:rPr>
          <w:rFonts w:ascii="Georgia" w:hAnsi="Georgia"/>
          <w:color w:val="003366"/>
          <w:sz w:val="26"/>
          <w:szCs w:val="26"/>
        </w:rPr>
        <w:t xml:space="preserve"> </w:t>
      </w:r>
      <w:r w:rsidR="0083173E">
        <w:rPr>
          <w:rFonts w:ascii="Georgia" w:hAnsi="Georgia"/>
          <w:color w:val="003366"/>
          <w:sz w:val="26"/>
          <w:szCs w:val="26"/>
        </w:rPr>
        <w:t>-</w:t>
      </w:r>
      <w:r w:rsidR="002C3F05">
        <w:rPr>
          <w:rFonts w:ascii="Georgia" w:hAnsi="Georgia"/>
          <w:color w:val="003366"/>
          <w:sz w:val="26"/>
          <w:szCs w:val="26"/>
        </w:rPr>
        <w:t xml:space="preserve">che ha </w:t>
      </w:r>
      <w:r>
        <w:rPr>
          <w:rFonts w:ascii="Georgia" w:hAnsi="Georgia"/>
          <w:color w:val="003366"/>
          <w:sz w:val="26"/>
          <w:szCs w:val="26"/>
        </w:rPr>
        <w:t xml:space="preserve">specificamente </w:t>
      </w:r>
      <w:r w:rsidR="002C3F05">
        <w:rPr>
          <w:rFonts w:ascii="Georgia" w:hAnsi="Georgia"/>
          <w:color w:val="003366"/>
          <w:sz w:val="26"/>
          <w:szCs w:val="26"/>
        </w:rPr>
        <w:t xml:space="preserve">investito </w:t>
      </w:r>
      <w:r w:rsidR="00EE2801">
        <w:rPr>
          <w:rFonts w:ascii="Georgia" w:hAnsi="Georgia"/>
          <w:color w:val="003366"/>
          <w:sz w:val="26"/>
          <w:szCs w:val="26"/>
        </w:rPr>
        <w:t>q</w:t>
      </w:r>
      <w:r w:rsidR="002C3F05">
        <w:rPr>
          <w:rFonts w:ascii="Georgia" w:hAnsi="Georgia"/>
          <w:color w:val="003366"/>
          <w:sz w:val="26"/>
          <w:szCs w:val="26"/>
        </w:rPr>
        <w:t>uesto Parlamento del mandato a r</w:t>
      </w:r>
      <w:r w:rsidR="0083173E">
        <w:rPr>
          <w:rFonts w:ascii="Georgia" w:hAnsi="Georgia"/>
          <w:color w:val="003366"/>
          <w:sz w:val="26"/>
          <w:szCs w:val="26"/>
        </w:rPr>
        <w:t>ivedere il testo dell’art. 4bis-</w:t>
      </w:r>
      <w:r w:rsidR="002C3F05">
        <w:rPr>
          <w:rFonts w:ascii="Georgia" w:hAnsi="Georgia"/>
          <w:color w:val="003366"/>
          <w:sz w:val="26"/>
          <w:szCs w:val="26"/>
        </w:rPr>
        <w:t xml:space="preserve"> </w:t>
      </w:r>
      <w:r w:rsidR="002C3F05" w:rsidRPr="00367C27">
        <w:rPr>
          <w:rFonts w:ascii="Georgia" w:hAnsi="Georgia"/>
          <w:color w:val="003366"/>
          <w:sz w:val="26"/>
          <w:szCs w:val="26"/>
          <w:u w:val="single"/>
        </w:rPr>
        <w:t xml:space="preserve">ha espressamente indicato, fra le legittime possibilità di scelta del Legislatore, quella di </w:t>
      </w:r>
      <w:r w:rsidR="002C3F05" w:rsidRPr="00367C27">
        <w:rPr>
          <w:rFonts w:ascii="Georgia" w:hAnsi="Georgia"/>
          <w:i/>
          <w:iCs/>
          <w:color w:val="003366"/>
          <w:sz w:val="26"/>
          <w:szCs w:val="26"/>
          <w:u w:val="single"/>
        </w:rPr>
        <w:t>“annoverarsi</w:t>
      </w:r>
      <w:r w:rsidR="002C3F05" w:rsidRPr="00367C27">
        <w:rPr>
          <w:rFonts w:ascii="Georgia" w:hAnsi="Georgia"/>
          <w:color w:val="003366"/>
          <w:sz w:val="26"/>
          <w:szCs w:val="26"/>
          <w:u w:val="single"/>
        </w:rPr>
        <w:t xml:space="preserve"> [fra le co</w:t>
      </w:r>
      <w:r w:rsidR="006D6EF9" w:rsidRPr="00367C27">
        <w:rPr>
          <w:rFonts w:ascii="Georgia" w:hAnsi="Georgia"/>
          <w:color w:val="003366"/>
          <w:sz w:val="26"/>
          <w:szCs w:val="26"/>
          <w:u w:val="single"/>
        </w:rPr>
        <w:t>ndizioni a cui legare i margini di apertura ai benefici</w:t>
      </w:r>
      <w:r w:rsidR="002C3F05" w:rsidRPr="00367C27">
        <w:rPr>
          <w:rFonts w:ascii="Georgia" w:hAnsi="Georgia"/>
          <w:color w:val="003366"/>
          <w:sz w:val="26"/>
          <w:szCs w:val="26"/>
          <w:u w:val="single"/>
        </w:rPr>
        <w:t xml:space="preserve">] </w:t>
      </w:r>
      <w:r w:rsidR="002C3F05" w:rsidRPr="00367C27">
        <w:rPr>
          <w:rFonts w:ascii="Georgia" w:hAnsi="Georgia"/>
          <w:i/>
          <w:iCs/>
          <w:color w:val="003366"/>
          <w:sz w:val="26"/>
          <w:szCs w:val="26"/>
          <w:u w:val="single"/>
        </w:rPr>
        <w:t>la emersione delle specifiche ragioni della mancata collaborazione”</w:t>
      </w:r>
      <w:r w:rsidR="002C3F05" w:rsidRPr="00367C27">
        <w:rPr>
          <w:rStyle w:val="Rimandonotaapidipagina"/>
          <w:rFonts w:ascii="Georgia" w:hAnsi="Georgia"/>
          <w:i/>
          <w:iCs/>
          <w:color w:val="003366"/>
          <w:sz w:val="26"/>
          <w:szCs w:val="26"/>
          <w:u w:val="single"/>
        </w:rPr>
        <w:footnoteReference w:id="3"/>
      </w:r>
      <w:r w:rsidRPr="00367C27">
        <w:rPr>
          <w:rFonts w:ascii="Georgia" w:hAnsi="Georgia"/>
          <w:color w:val="003366"/>
          <w:sz w:val="26"/>
          <w:szCs w:val="26"/>
          <w:u w:val="single"/>
        </w:rPr>
        <w:t>.</w:t>
      </w:r>
      <w:r w:rsidR="00621C26" w:rsidRPr="00367C27">
        <w:rPr>
          <w:rFonts w:ascii="Georgia" w:hAnsi="Georgia"/>
          <w:color w:val="003366"/>
          <w:sz w:val="26"/>
          <w:szCs w:val="26"/>
          <w:u w:val="single"/>
        </w:rPr>
        <w:t xml:space="preserve"> Rinunciare a questo spazio da parte del Legislatore si avvia ad essere un grave errore rispetto all’esigenza di un contrasto al crimine mafioso.</w:t>
      </w:r>
    </w:p>
    <w:p w14:paraId="3C8EEC34" w14:textId="3DCF8F2B" w:rsidR="00746908" w:rsidRDefault="00367C27"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Invece, u</w:t>
      </w:r>
      <w:r w:rsidR="00746908">
        <w:rPr>
          <w:rFonts w:ascii="Georgia" w:hAnsi="Georgia"/>
          <w:color w:val="003366"/>
          <w:sz w:val="26"/>
          <w:szCs w:val="26"/>
        </w:rPr>
        <w:t xml:space="preserve">na correzione del genere suggerito potrebbe risultare </w:t>
      </w:r>
      <w:r w:rsidR="00746908" w:rsidRPr="00EE6060">
        <w:rPr>
          <w:rFonts w:ascii="Georgia" w:hAnsi="Georgia"/>
          <w:color w:val="003366"/>
          <w:sz w:val="26"/>
          <w:szCs w:val="26"/>
          <w:u w:val="single"/>
        </w:rPr>
        <w:t>l’architrave di un controllo rigoroso della materia</w:t>
      </w:r>
      <w:r w:rsidR="00746908">
        <w:rPr>
          <w:rFonts w:ascii="Georgia" w:hAnsi="Georgia"/>
          <w:color w:val="003366"/>
          <w:sz w:val="26"/>
          <w:szCs w:val="26"/>
        </w:rPr>
        <w:t>, senza intaccare la sostanza delle esigenze evidenziate dalla Corte costituzionale</w:t>
      </w:r>
      <w:r w:rsidR="00EE6060">
        <w:rPr>
          <w:rFonts w:ascii="Georgia" w:hAnsi="Georgia"/>
          <w:color w:val="003366"/>
          <w:sz w:val="26"/>
          <w:szCs w:val="26"/>
        </w:rPr>
        <w:t>.</w:t>
      </w:r>
      <w:r w:rsidR="00E41BD8">
        <w:rPr>
          <w:rFonts w:ascii="Georgia" w:hAnsi="Georgia"/>
          <w:color w:val="003366"/>
          <w:sz w:val="26"/>
          <w:szCs w:val="26"/>
        </w:rPr>
        <w:t xml:space="preserve"> Sono consapevole che il Senato ha trasmesso un testo che conferma la sussistenza di questo avverbio, ma sono fermamente convinto che questo è un punto cruciale della modifica che state esaminando, che potrebbe cambiare profondamento l’incisività del controllo esercitato dalla nostra giurisdizione. </w:t>
      </w:r>
    </w:p>
    <w:p w14:paraId="51E4EC71" w14:textId="367DAB6E" w:rsidR="0083173E" w:rsidRDefault="0083173E" w:rsidP="006174F1">
      <w:pPr>
        <w:pStyle w:val="NormaleWeb"/>
        <w:shd w:val="clear" w:color="auto" w:fill="FFFFFF"/>
        <w:spacing w:before="0" w:after="0"/>
        <w:jc w:val="both"/>
        <w:rPr>
          <w:rFonts w:ascii="Georgia" w:hAnsi="Georgia"/>
          <w:color w:val="003366"/>
          <w:sz w:val="26"/>
          <w:szCs w:val="26"/>
        </w:rPr>
      </w:pPr>
      <w:r w:rsidRPr="0083173E">
        <w:rPr>
          <w:rFonts w:ascii="Georgia" w:hAnsi="Georgia"/>
          <w:b/>
          <w:color w:val="003366"/>
          <w:sz w:val="26"/>
          <w:szCs w:val="26"/>
        </w:rPr>
        <w:t>L’eliminazione della collaborazione impossibile</w:t>
      </w:r>
      <w:r>
        <w:rPr>
          <w:rFonts w:ascii="Georgia" w:hAnsi="Georgia"/>
          <w:color w:val="003366"/>
          <w:sz w:val="26"/>
          <w:szCs w:val="26"/>
        </w:rPr>
        <w:t xml:space="preserve"> (o irrilevante o inesigibile o dell’integrale accertamento dei fatti)</w:t>
      </w:r>
    </w:p>
    <w:p w14:paraId="017F335D" w14:textId="5C34E3E2" w:rsidR="00745FA4" w:rsidRDefault="00E41BD8"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Anche su questo fronte conservo le mie perple</w:t>
      </w:r>
      <w:r w:rsidR="00355077">
        <w:rPr>
          <w:rFonts w:ascii="Georgia" w:hAnsi="Georgia"/>
          <w:color w:val="003366"/>
          <w:sz w:val="26"/>
          <w:szCs w:val="26"/>
        </w:rPr>
        <w:t>ssità rispetto alla scelta effettuata dal D.L</w:t>
      </w:r>
      <w:r>
        <w:rPr>
          <w:rFonts w:ascii="Georgia" w:hAnsi="Georgia"/>
          <w:color w:val="003366"/>
          <w:sz w:val="26"/>
          <w:szCs w:val="26"/>
        </w:rPr>
        <w:t xml:space="preserve">. </w:t>
      </w:r>
      <w:r w:rsidR="0083173E">
        <w:rPr>
          <w:rFonts w:ascii="Georgia" w:hAnsi="Georgia"/>
          <w:color w:val="003366"/>
          <w:sz w:val="26"/>
          <w:szCs w:val="26"/>
        </w:rPr>
        <w:t>L</w:t>
      </w:r>
      <w:r w:rsidR="00EE6060">
        <w:rPr>
          <w:rFonts w:ascii="Georgia" w:hAnsi="Georgia"/>
          <w:color w:val="003366"/>
          <w:sz w:val="26"/>
          <w:szCs w:val="26"/>
        </w:rPr>
        <w:t>a realizzazione di una disciplina che elimina</w:t>
      </w:r>
      <w:r w:rsidR="0083173E">
        <w:rPr>
          <w:rFonts w:ascii="Georgia" w:hAnsi="Georgia"/>
          <w:color w:val="003366"/>
          <w:sz w:val="26"/>
          <w:szCs w:val="26"/>
        </w:rPr>
        <w:t xml:space="preserve"> questo </w:t>
      </w:r>
      <w:r w:rsidR="005B68C9">
        <w:rPr>
          <w:rFonts w:ascii="Georgia" w:hAnsi="Georgia"/>
          <w:color w:val="003366"/>
          <w:sz w:val="26"/>
          <w:szCs w:val="26"/>
        </w:rPr>
        <w:t xml:space="preserve">spazio alternativo </w:t>
      </w:r>
      <w:r w:rsidR="00766EEE">
        <w:rPr>
          <w:rFonts w:ascii="Georgia" w:hAnsi="Georgia"/>
          <w:color w:val="003366"/>
          <w:sz w:val="26"/>
          <w:szCs w:val="26"/>
        </w:rPr>
        <w:t xml:space="preserve">alla effettiva collaborazione </w:t>
      </w:r>
      <w:r w:rsidR="005B68C9">
        <w:rPr>
          <w:rFonts w:ascii="Georgia" w:hAnsi="Georgia"/>
          <w:color w:val="003366"/>
          <w:sz w:val="26"/>
          <w:szCs w:val="26"/>
        </w:rPr>
        <w:t>suscita perplessità e appesantisce inutilmente la “gravosità” costituzionale della normativa. L’istituto -di cauta ed equilibrata utilizzazione nel</w:t>
      </w:r>
      <w:r w:rsidR="002C4628">
        <w:rPr>
          <w:rFonts w:ascii="Georgia" w:hAnsi="Georgia"/>
          <w:color w:val="003366"/>
          <w:sz w:val="26"/>
          <w:szCs w:val="26"/>
        </w:rPr>
        <w:t>la giurisprudenza</w:t>
      </w:r>
      <w:r w:rsidR="005B68C9">
        <w:rPr>
          <w:rFonts w:ascii="Georgia" w:hAnsi="Georgia"/>
          <w:color w:val="003366"/>
          <w:sz w:val="26"/>
          <w:szCs w:val="26"/>
        </w:rPr>
        <w:t>- aveva trovato un buon assetto interpretativo e costituiva un elemento di razionalità dell’ordinamento, nella misura in cui poneva l’obbligo di collaborare al centro dei presupposti necessari per l’ammissibilità della domanda per la concessione dei benefici solo quando tale presupposto aveva una effettiva ragionevolezza.</w:t>
      </w:r>
      <w:r w:rsidR="00766EEE">
        <w:rPr>
          <w:rFonts w:ascii="Georgia" w:hAnsi="Georgia"/>
          <w:color w:val="003366"/>
          <w:sz w:val="26"/>
          <w:szCs w:val="26"/>
        </w:rPr>
        <w:t xml:space="preserve"> E’ vero che in </w:t>
      </w:r>
      <w:r w:rsidR="00745FA4">
        <w:rPr>
          <w:rFonts w:ascii="Georgia" w:hAnsi="Georgia"/>
          <w:color w:val="003366"/>
          <w:sz w:val="26"/>
          <w:szCs w:val="26"/>
        </w:rPr>
        <w:t>teoria</w:t>
      </w:r>
      <w:r w:rsidR="00766EEE">
        <w:rPr>
          <w:rFonts w:ascii="Georgia" w:hAnsi="Georgia"/>
          <w:color w:val="003366"/>
          <w:sz w:val="26"/>
          <w:szCs w:val="26"/>
        </w:rPr>
        <w:t xml:space="preserve"> questo istituto potrebbe avallare una lettura meramente “utilitaristica” o “investigativa” della disciplina della collaborazione,</w:t>
      </w:r>
      <w:r w:rsidR="00745FA4">
        <w:rPr>
          <w:rFonts w:ascii="Georgia" w:hAnsi="Georgia"/>
          <w:color w:val="003366"/>
          <w:sz w:val="26"/>
          <w:szCs w:val="26"/>
        </w:rPr>
        <w:t xml:space="preserve"> </w:t>
      </w:r>
      <w:r w:rsidR="00766EEE">
        <w:rPr>
          <w:rFonts w:ascii="Georgia" w:hAnsi="Georgia"/>
          <w:color w:val="003366"/>
          <w:sz w:val="26"/>
          <w:szCs w:val="26"/>
        </w:rPr>
        <w:t xml:space="preserve">ma in realtà si tratta di una preoccupazione smentita </w:t>
      </w:r>
      <w:r w:rsidR="00745FA4">
        <w:rPr>
          <w:rFonts w:ascii="Georgia" w:hAnsi="Georgia"/>
          <w:color w:val="003366"/>
          <w:sz w:val="26"/>
          <w:szCs w:val="26"/>
        </w:rPr>
        <w:t>dai fatti</w:t>
      </w:r>
      <w:r w:rsidR="00766EEE">
        <w:rPr>
          <w:rFonts w:ascii="Georgia" w:hAnsi="Georgia"/>
          <w:color w:val="003366"/>
          <w:sz w:val="26"/>
          <w:szCs w:val="26"/>
        </w:rPr>
        <w:t>, dal momento che la sua attuale esistenza non ha impedito la lettura della collaborazione come semplice indice della persistenza o rottura del legame criminale, indice</w:t>
      </w:r>
      <w:r w:rsidR="00745FA4">
        <w:rPr>
          <w:rFonts w:ascii="Georgia" w:hAnsi="Georgia"/>
          <w:color w:val="003366"/>
          <w:sz w:val="26"/>
          <w:szCs w:val="26"/>
        </w:rPr>
        <w:t xml:space="preserve"> che perde di significato se la collaborazione non è concretamente possibile. </w:t>
      </w:r>
    </w:p>
    <w:p w14:paraId="5553A72F" w14:textId="256F02C9" w:rsidR="00D900F5" w:rsidRDefault="00AD3D12"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Peraltro, proprio la reintroduzione</w:t>
      </w:r>
      <w:r w:rsidR="00900817">
        <w:rPr>
          <w:rFonts w:ascii="Georgia" w:hAnsi="Georgia"/>
          <w:color w:val="003366"/>
          <w:sz w:val="26"/>
          <w:szCs w:val="26"/>
        </w:rPr>
        <w:t xml:space="preserve"> </w:t>
      </w:r>
      <w:r w:rsidR="00EE6060">
        <w:rPr>
          <w:rFonts w:ascii="Georgia" w:hAnsi="Georgia"/>
          <w:color w:val="003366"/>
          <w:sz w:val="26"/>
          <w:szCs w:val="26"/>
        </w:rPr>
        <w:t xml:space="preserve">-magari </w:t>
      </w:r>
      <w:r w:rsidR="00900817">
        <w:rPr>
          <w:rFonts w:ascii="Georgia" w:hAnsi="Georgia"/>
          <w:color w:val="003366"/>
          <w:sz w:val="26"/>
          <w:szCs w:val="26"/>
        </w:rPr>
        <w:t>rimodellata-</w:t>
      </w:r>
      <w:r>
        <w:rPr>
          <w:rFonts w:ascii="Georgia" w:hAnsi="Georgia"/>
          <w:color w:val="003366"/>
          <w:sz w:val="26"/>
          <w:szCs w:val="26"/>
        </w:rPr>
        <w:t xml:space="preserve"> di questo istituto potrebbe essere lo strumento per un divers</w:t>
      </w:r>
      <w:r w:rsidR="00D900F5">
        <w:rPr>
          <w:rFonts w:ascii="Georgia" w:hAnsi="Georgia"/>
          <w:color w:val="003366"/>
          <w:sz w:val="26"/>
          <w:szCs w:val="26"/>
        </w:rPr>
        <w:t>o</w:t>
      </w:r>
      <w:r>
        <w:rPr>
          <w:rFonts w:ascii="Georgia" w:hAnsi="Georgia"/>
          <w:color w:val="003366"/>
          <w:sz w:val="26"/>
          <w:szCs w:val="26"/>
        </w:rPr>
        <w:t xml:space="preserve"> </w:t>
      </w:r>
      <w:r w:rsidR="00D900F5">
        <w:rPr>
          <w:rFonts w:ascii="Georgia" w:hAnsi="Georgia"/>
          <w:color w:val="003366"/>
          <w:sz w:val="26"/>
          <w:szCs w:val="26"/>
        </w:rPr>
        <w:t xml:space="preserve">approccio al </w:t>
      </w:r>
      <w:r>
        <w:rPr>
          <w:rFonts w:ascii="Georgia" w:hAnsi="Georgia"/>
          <w:color w:val="003366"/>
          <w:sz w:val="26"/>
          <w:szCs w:val="26"/>
        </w:rPr>
        <w:t xml:space="preserve">problema posto dalla Corte costituzionale, laddove il Legislatore dovesse stabilire, ad esempio, che la collaborazione quale esclusiva premessa di accesso ai benefici possa essere eliminata </w:t>
      </w:r>
      <w:r w:rsidR="002C4628">
        <w:rPr>
          <w:rFonts w:ascii="Georgia" w:hAnsi="Georgia"/>
          <w:color w:val="003366"/>
          <w:sz w:val="26"/>
          <w:szCs w:val="26"/>
        </w:rPr>
        <w:lastRenderedPageBreak/>
        <w:t xml:space="preserve">anche </w:t>
      </w:r>
      <w:r>
        <w:rPr>
          <w:rFonts w:ascii="Georgia" w:hAnsi="Georgia"/>
          <w:color w:val="003366"/>
          <w:sz w:val="26"/>
          <w:szCs w:val="26"/>
        </w:rPr>
        <w:t xml:space="preserve">al ricorrere di </w:t>
      </w:r>
      <w:r w:rsidR="00D900F5">
        <w:rPr>
          <w:rFonts w:ascii="Georgia" w:hAnsi="Georgia"/>
          <w:color w:val="003366"/>
          <w:sz w:val="26"/>
          <w:szCs w:val="26"/>
        </w:rPr>
        <w:t>ragionevoli e specifiche motivazioni soggettive che la rendessero “non esigibile”</w:t>
      </w:r>
      <w:r w:rsidR="00900817">
        <w:rPr>
          <w:rFonts w:ascii="Georgia" w:hAnsi="Georgia"/>
          <w:color w:val="003366"/>
          <w:sz w:val="26"/>
          <w:szCs w:val="26"/>
        </w:rPr>
        <w:t xml:space="preserve"> (vedasi nota 2)</w:t>
      </w:r>
      <w:r w:rsidR="00D900F5">
        <w:rPr>
          <w:rFonts w:ascii="Georgia" w:hAnsi="Georgia"/>
          <w:color w:val="003366"/>
          <w:sz w:val="26"/>
          <w:szCs w:val="26"/>
        </w:rPr>
        <w:t>.</w:t>
      </w:r>
    </w:p>
    <w:p w14:paraId="76BE20DB" w14:textId="25856891" w:rsidR="005B68C9" w:rsidRPr="00554D24" w:rsidRDefault="00554D24" w:rsidP="006174F1">
      <w:pPr>
        <w:pStyle w:val="NormaleWeb"/>
        <w:shd w:val="clear" w:color="auto" w:fill="FFFFFF"/>
        <w:spacing w:before="0" w:after="0"/>
        <w:jc w:val="both"/>
        <w:rPr>
          <w:rFonts w:ascii="Georgia" w:hAnsi="Georgia"/>
          <w:b/>
          <w:color w:val="003366"/>
          <w:sz w:val="26"/>
          <w:szCs w:val="26"/>
        </w:rPr>
      </w:pPr>
      <w:r>
        <w:rPr>
          <w:rFonts w:ascii="Georgia" w:hAnsi="Georgia"/>
          <w:b/>
          <w:color w:val="003366"/>
          <w:sz w:val="26"/>
          <w:szCs w:val="26"/>
        </w:rPr>
        <w:t>A</w:t>
      </w:r>
      <w:r w:rsidRPr="00554D24">
        <w:rPr>
          <w:rFonts w:ascii="Georgia" w:hAnsi="Georgia"/>
          <w:b/>
          <w:color w:val="003366"/>
          <w:sz w:val="26"/>
          <w:szCs w:val="26"/>
        </w:rPr>
        <w:t>llargamento o restrizione del catalogo dei reati “di prima fascia”</w:t>
      </w:r>
    </w:p>
    <w:p w14:paraId="738734D8" w14:textId="6227D2DF" w:rsidR="00292333" w:rsidRDefault="005073C2"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Un</w:t>
      </w:r>
      <w:r w:rsidR="00771AE6">
        <w:rPr>
          <w:rFonts w:ascii="Georgia" w:hAnsi="Georgia"/>
          <w:color w:val="003366"/>
          <w:sz w:val="26"/>
          <w:szCs w:val="26"/>
        </w:rPr>
        <w:t>a</w:t>
      </w:r>
      <w:r>
        <w:rPr>
          <w:rFonts w:ascii="Georgia" w:hAnsi="Georgia"/>
          <w:color w:val="003366"/>
          <w:sz w:val="26"/>
          <w:szCs w:val="26"/>
        </w:rPr>
        <w:t xml:space="preserve"> </w:t>
      </w:r>
      <w:r w:rsidR="00367C27">
        <w:rPr>
          <w:rFonts w:ascii="Georgia" w:hAnsi="Georgia"/>
          <w:color w:val="003366"/>
          <w:sz w:val="26"/>
          <w:szCs w:val="26"/>
        </w:rPr>
        <w:t>razionalizzazione</w:t>
      </w:r>
      <w:r>
        <w:rPr>
          <w:rFonts w:ascii="Georgia" w:hAnsi="Georgia"/>
          <w:color w:val="003366"/>
          <w:sz w:val="26"/>
          <w:szCs w:val="26"/>
        </w:rPr>
        <w:t xml:space="preserve"> del ca</w:t>
      </w:r>
      <w:r w:rsidR="00746908">
        <w:rPr>
          <w:rFonts w:ascii="Georgia" w:hAnsi="Georgia"/>
          <w:color w:val="003366"/>
          <w:sz w:val="26"/>
          <w:szCs w:val="26"/>
        </w:rPr>
        <w:t xml:space="preserve">talogo dei reati </w:t>
      </w:r>
      <w:r w:rsidR="006E19FE">
        <w:rPr>
          <w:rFonts w:ascii="Georgia" w:hAnsi="Georgia"/>
          <w:color w:val="003366"/>
          <w:sz w:val="26"/>
          <w:szCs w:val="26"/>
        </w:rPr>
        <w:t>caratterizzati da</w:t>
      </w:r>
      <w:r w:rsidR="00746908">
        <w:rPr>
          <w:rFonts w:ascii="Georgia" w:hAnsi="Georgia"/>
          <w:color w:val="003366"/>
          <w:sz w:val="26"/>
          <w:szCs w:val="26"/>
        </w:rPr>
        <w:t xml:space="preserve"> </w:t>
      </w:r>
      <w:proofErr w:type="spellStart"/>
      <w:r w:rsidR="00746908">
        <w:rPr>
          <w:rFonts w:ascii="Georgia" w:hAnsi="Georgia"/>
          <w:color w:val="003366"/>
          <w:sz w:val="26"/>
          <w:szCs w:val="26"/>
        </w:rPr>
        <w:t>ostatività</w:t>
      </w:r>
      <w:proofErr w:type="spellEnd"/>
      <w:r w:rsidR="00746908">
        <w:rPr>
          <w:rFonts w:ascii="Georgia" w:hAnsi="Georgia"/>
          <w:color w:val="003366"/>
          <w:sz w:val="26"/>
          <w:szCs w:val="26"/>
        </w:rPr>
        <w:t xml:space="preserve"> </w:t>
      </w:r>
      <w:r w:rsidR="006E19FE">
        <w:rPr>
          <w:rFonts w:ascii="Georgia" w:hAnsi="Georgia"/>
          <w:color w:val="003366"/>
          <w:sz w:val="26"/>
          <w:szCs w:val="26"/>
        </w:rPr>
        <w:t xml:space="preserve">“assoluta” (ma anche “relativa”) </w:t>
      </w:r>
      <w:r>
        <w:rPr>
          <w:rFonts w:ascii="Georgia" w:hAnsi="Georgia"/>
          <w:color w:val="003366"/>
          <w:sz w:val="26"/>
          <w:szCs w:val="26"/>
        </w:rPr>
        <w:t xml:space="preserve">avrebbe potuto costituire la strada per venire incontro a taluni dei profili oggetto della preoccupazione della Corte costituzionale. </w:t>
      </w:r>
      <w:r w:rsidR="00292333">
        <w:rPr>
          <w:rFonts w:ascii="Georgia" w:hAnsi="Georgia"/>
          <w:color w:val="003366"/>
          <w:sz w:val="26"/>
          <w:szCs w:val="26"/>
        </w:rPr>
        <w:t>Ciò in quanto l</w:t>
      </w:r>
      <w:r w:rsidR="00900817">
        <w:rPr>
          <w:rFonts w:ascii="Georgia" w:hAnsi="Georgia"/>
          <w:color w:val="003366"/>
          <w:sz w:val="26"/>
          <w:szCs w:val="26"/>
        </w:rPr>
        <w:t>’obbligo della</w:t>
      </w:r>
      <w:r>
        <w:rPr>
          <w:rFonts w:ascii="Georgia" w:hAnsi="Georgia"/>
          <w:color w:val="003366"/>
          <w:sz w:val="26"/>
          <w:szCs w:val="26"/>
        </w:rPr>
        <w:t xml:space="preserve"> collaborazione mostra la sua forza </w:t>
      </w:r>
      <w:r w:rsidR="002759CA">
        <w:rPr>
          <w:rFonts w:ascii="Georgia" w:hAnsi="Georgia"/>
          <w:color w:val="003366"/>
          <w:sz w:val="26"/>
          <w:szCs w:val="26"/>
        </w:rPr>
        <w:t xml:space="preserve">logica </w:t>
      </w:r>
      <w:r>
        <w:rPr>
          <w:rFonts w:ascii="Georgia" w:hAnsi="Georgia"/>
          <w:color w:val="003366"/>
          <w:sz w:val="26"/>
          <w:szCs w:val="26"/>
        </w:rPr>
        <w:t xml:space="preserve">essenzialmente rispetto </w:t>
      </w:r>
      <w:r w:rsidR="00292333">
        <w:rPr>
          <w:rFonts w:ascii="Georgia" w:hAnsi="Georgia"/>
          <w:color w:val="003366"/>
          <w:sz w:val="26"/>
          <w:szCs w:val="26"/>
        </w:rPr>
        <w:t xml:space="preserve">al contrasto </w:t>
      </w:r>
      <w:proofErr w:type="spellStart"/>
      <w:proofErr w:type="gramStart"/>
      <w:r w:rsidR="00292333">
        <w:rPr>
          <w:rFonts w:ascii="Georgia" w:hAnsi="Georgia"/>
          <w:color w:val="003366"/>
          <w:sz w:val="26"/>
          <w:szCs w:val="26"/>
        </w:rPr>
        <w:t>all</w:t>
      </w:r>
      <w:r w:rsidR="004A2CCC">
        <w:rPr>
          <w:rFonts w:ascii="Georgia" w:hAnsi="Georgia"/>
          <w:color w:val="003366"/>
          <w:sz w:val="26"/>
          <w:szCs w:val="26"/>
        </w:rPr>
        <w:t>”</w:t>
      </w:r>
      <w:r w:rsidR="00292333">
        <w:rPr>
          <w:rFonts w:ascii="Georgia" w:hAnsi="Georgia"/>
          <w:color w:val="003366"/>
          <w:sz w:val="26"/>
          <w:szCs w:val="26"/>
        </w:rPr>
        <w:t>Antistato</w:t>
      </w:r>
      <w:proofErr w:type="spellEnd"/>
      <w:proofErr w:type="gramEnd"/>
      <w:r w:rsidR="004A2CCC">
        <w:rPr>
          <w:rFonts w:ascii="Georgia" w:hAnsi="Georgia"/>
          <w:color w:val="003366"/>
          <w:sz w:val="26"/>
          <w:szCs w:val="26"/>
        </w:rPr>
        <w:t>”</w:t>
      </w:r>
      <w:r w:rsidR="00292333">
        <w:rPr>
          <w:rFonts w:ascii="Georgia" w:hAnsi="Georgia"/>
          <w:color w:val="003366"/>
          <w:sz w:val="26"/>
          <w:szCs w:val="26"/>
        </w:rPr>
        <w:t>, quindi rispetto</w:t>
      </w:r>
      <w:r w:rsidR="00900817">
        <w:rPr>
          <w:rFonts w:ascii="Georgia" w:hAnsi="Georgia"/>
          <w:color w:val="003366"/>
          <w:sz w:val="26"/>
          <w:szCs w:val="26"/>
        </w:rPr>
        <w:t xml:space="preserve"> </w:t>
      </w:r>
      <w:r>
        <w:rPr>
          <w:rFonts w:ascii="Georgia" w:hAnsi="Georgia"/>
          <w:color w:val="003366"/>
          <w:sz w:val="26"/>
          <w:szCs w:val="26"/>
        </w:rPr>
        <w:t xml:space="preserve">alle fattispecie di carattere associativo e alla specifica tipologia di reati che ne costituiscono il fulcro. </w:t>
      </w:r>
      <w:r w:rsidR="00367C27">
        <w:rPr>
          <w:rFonts w:ascii="Georgia" w:hAnsi="Georgia"/>
          <w:color w:val="003366"/>
          <w:sz w:val="26"/>
          <w:szCs w:val="26"/>
        </w:rPr>
        <w:t xml:space="preserve">Quanto più rigoroso e razionale è questo catalogo tanto più razionale è la disciplina di rigore imposta. </w:t>
      </w:r>
    </w:p>
    <w:p w14:paraId="528B3141" w14:textId="4307F633" w:rsidR="00292333" w:rsidRDefault="005073C2"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 xml:space="preserve">Si ricordi, inoltre, che la giurisprudenza di legittimità </w:t>
      </w:r>
      <w:r w:rsidR="002759CA">
        <w:rPr>
          <w:rFonts w:ascii="Georgia" w:hAnsi="Georgia"/>
          <w:color w:val="003366"/>
          <w:sz w:val="26"/>
          <w:szCs w:val="26"/>
        </w:rPr>
        <w:t xml:space="preserve">ha delimitato </w:t>
      </w:r>
      <w:r w:rsidR="00367C27">
        <w:rPr>
          <w:rFonts w:ascii="Georgia" w:hAnsi="Georgia"/>
          <w:color w:val="003366"/>
          <w:sz w:val="26"/>
          <w:szCs w:val="26"/>
        </w:rPr>
        <w:t xml:space="preserve">fortemente </w:t>
      </w:r>
      <w:r w:rsidR="002759CA">
        <w:rPr>
          <w:rFonts w:ascii="Georgia" w:hAnsi="Georgia"/>
          <w:color w:val="003366"/>
          <w:sz w:val="26"/>
          <w:szCs w:val="26"/>
        </w:rPr>
        <w:t>il perimetro della collaborazione che può legittimamente essere pretesa, legandola alle specifiche imputazioni del soggetto e a circostanze ed elementi già emersi nel corso del processo</w:t>
      </w:r>
      <w:r w:rsidR="00B714F5">
        <w:rPr>
          <w:rFonts w:ascii="Georgia" w:hAnsi="Georgia"/>
          <w:color w:val="003366"/>
          <w:sz w:val="26"/>
          <w:szCs w:val="26"/>
        </w:rPr>
        <w:t>;</w:t>
      </w:r>
      <w:r w:rsidR="00292333">
        <w:rPr>
          <w:rFonts w:ascii="Georgia" w:hAnsi="Georgia"/>
          <w:color w:val="003366"/>
          <w:sz w:val="26"/>
          <w:szCs w:val="26"/>
        </w:rPr>
        <w:t xml:space="preserve"> quindi</w:t>
      </w:r>
      <w:r w:rsidR="00B714F5">
        <w:rPr>
          <w:rFonts w:ascii="Georgia" w:hAnsi="Georgia"/>
          <w:color w:val="003366"/>
          <w:sz w:val="26"/>
          <w:szCs w:val="26"/>
        </w:rPr>
        <w:t>,</w:t>
      </w:r>
      <w:r w:rsidR="00292333">
        <w:rPr>
          <w:rFonts w:ascii="Georgia" w:hAnsi="Georgia"/>
          <w:color w:val="003366"/>
          <w:sz w:val="26"/>
          <w:szCs w:val="26"/>
        </w:rPr>
        <w:t xml:space="preserve"> l’inserimento di fattispecie </w:t>
      </w:r>
      <w:r w:rsidR="002527B7">
        <w:rPr>
          <w:rFonts w:ascii="Georgia" w:hAnsi="Georgia"/>
          <w:color w:val="003366"/>
          <w:sz w:val="26"/>
          <w:szCs w:val="26"/>
        </w:rPr>
        <w:t xml:space="preserve">mono-personali o </w:t>
      </w:r>
      <w:r w:rsidR="00292333">
        <w:rPr>
          <w:rFonts w:ascii="Georgia" w:hAnsi="Georgia"/>
          <w:color w:val="003366"/>
          <w:sz w:val="26"/>
          <w:szCs w:val="26"/>
        </w:rPr>
        <w:t>di semplice concorso nel reato</w:t>
      </w:r>
      <w:r w:rsidR="00367C27">
        <w:rPr>
          <w:rFonts w:ascii="Georgia" w:hAnsi="Georgia"/>
          <w:color w:val="003366"/>
          <w:sz w:val="26"/>
          <w:szCs w:val="26"/>
        </w:rPr>
        <w:t>, prive della forza intimidatrice dell’A</w:t>
      </w:r>
      <w:r w:rsidR="00B714F5">
        <w:rPr>
          <w:rFonts w:ascii="Georgia" w:hAnsi="Georgia"/>
          <w:color w:val="003366"/>
          <w:sz w:val="26"/>
          <w:szCs w:val="26"/>
        </w:rPr>
        <w:t>n</w:t>
      </w:r>
      <w:r w:rsidR="00367C27">
        <w:rPr>
          <w:rFonts w:ascii="Georgia" w:hAnsi="Georgia"/>
          <w:color w:val="003366"/>
          <w:sz w:val="26"/>
          <w:szCs w:val="26"/>
        </w:rPr>
        <w:t>tistato</w:t>
      </w:r>
      <w:r w:rsidR="00B714F5">
        <w:rPr>
          <w:rFonts w:ascii="Georgia" w:hAnsi="Georgia"/>
          <w:color w:val="003366"/>
          <w:sz w:val="26"/>
          <w:szCs w:val="26"/>
        </w:rPr>
        <w:t>,</w:t>
      </w:r>
      <w:r w:rsidR="00292333">
        <w:rPr>
          <w:rFonts w:ascii="Georgia" w:hAnsi="Georgia"/>
          <w:color w:val="003366"/>
          <w:sz w:val="26"/>
          <w:szCs w:val="26"/>
        </w:rPr>
        <w:t xml:space="preserve"> introdotte nel corso del tempo</w:t>
      </w:r>
      <w:r w:rsidR="00B714F5">
        <w:rPr>
          <w:rFonts w:ascii="Georgia" w:hAnsi="Georgia"/>
          <w:color w:val="003366"/>
          <w:sz w:val="26"/>
          <w:szCs w:val="26"/>
        </w:rPr>
        <w:t>,</w:t>
      </w:r>
      <w:r w:rsidR="00292333">
        <w:rPr>
          <w:rFonts w:ascii="Georgia" w:hAnsi="Georgia"/>
          <w:color w:val="003366"/>
          <w:sz w:val="26"/>
          <w:szCs w:val="26"/>
        </w:rPr>
        <w:t xml:space="preserve"> risulta </w:t>
      </w:r>
      <w:r w:rsidR="00B714F5">
        <w:rPr>
          <w:rFonts w:ascii="Georgia" w:hAnsi="Georgia"/>
          <w:color w:val="003366"/>
          <w:sz w:val="26"/>
          <w:szCs w:val="26"/>
        </w:rPr>
        <w:t>privo d</w:t>
      </w:r>
      <w:r w:rsidR="002527B7">
        <w:rPr>
          <w:rFonts w:ascii="Georgia" w:hAnsi="Georgia"/>
          <w:color w:val="003366"/>
          <w:sz w:val="26"/>
          <w:szCs w:val="26"/>
        </w:rPr>
        <w:t>i utilità effettiva e quindi problematico</w:t>
      </w:r>
      <w:r w:rsidR="00292333">
        <w:rPr>
          <w:rFonts w:ascii="Georgia" w:hAnsi="Georgia"/>
          <w:color w:val="003366"/>
          <w:sz w:val="26"/>
          <w:szCs w:val="26"/>
        </w:rPr>
        <w:t xml:space="preserve">. Disciplinare sotto la medesima norma e nel medesimo modo tipologie criminologiche </w:t>
      </w:r>
      <w:r w:rsidR="00B714F5">
        <w:rPr>
          <w:rFonts w:ascii="Georgia" w:hAnsi="Georgia"/>
          <w:color w:val="003366"/>
          <w:sz w:val="26"/>
          <w:szCs w:val="26"/>
        </w:rPr>
        <w:t xml:space="preserve">completamente </w:t>
      </w:r>
      <w:r w:rsidR="00292333">
        <w:rPr>
          <w:rFonts w:ascii="Georgia" w:hAnsi="Georgia"/>
          <w:color w:val="003366"/>
          <w:sz w:val="26"/>
          <w:szCs w:val="26"/>
        </w:rPr>
        <w:t>di</w:t>
      </w:r>
      <w:r w:rsidR="00B714F5">
        <w:rPr>
          <w:rFonts w:ascii="Georgia" w:hAnsi="Georgia"/>
          <w:color w:val="003366"/>
          <w:sz w:val="26"/>
          <w:szCs w:val="26"/>
        </w:rPr>
        <w:t>fferenti</w:t>
      </w:r>
      <w:r w:rsidR="00292333">
        <w:rPr>
          <w:rFonts w:ascii="Georgia" w:hAnsi="Georgia"/>
          <w:color w:val="003366"/>
          <w:sz w:val="26"/>
          <w:szCs w:val="26"/>
        </w:rPr>
        <w:t xml:space="preserve"> mina la </w:t>
      </w:r>
      <w:r w:rsidR="00B714F5">
        <w:rPr>
          <w:rFonts w:ascii="Georgia" w:hAnsi="Georgia"/>
          <w:color w:val="003366"/>
          <w:sz w:val="26"/>
          <w:szCs w:val="26"/>
        </w:rPr>
        <w:t xml:space="preserve">razionalità e la </w:t>
      </w:r>
      <w:r w:rsidR="00292333">
        <w:rPr>
          <w:rFonts w:ascii="Georgia" w:hAnsi="Georgia"/>
          <w:color w:val="003366"/>
          <w:sz w:val="26"/>
          <w:szCs w:val="26"/>
        </w:rPr>
        <w:t>tenuta della normativa.</w:t>
      </w:r>
      <w:r w:rsidR="002527B7">
        <w:rPr>
          <w:rFonts w:ascii="Georgia" w:hAnsi="Georgia"/>
          <w:color w:val="003366"/>
          <w:sz w:val="26"/>
          <w:szCs w:val="26"/>
        </w:rPr>
        <w:t xml:space="preserve"> Questo andr</w:t>
      </w:r>
      <w:r w:rsidR="006E19FE">
        <w:rPr>
          <w:rFonts w:ascii="Georgia" w:hAnsi="Georgia"/>
          <w:color w:val="003366"/>
          <w:sz w:val="26"/>
          <w:szCs w:val="26"/>
        </w:rPr>
        <w:t>à</w:t>
      </w:r>
      <w:r w:rsidR="002527B7">
        <w:rPr>
          <w:rFonts w:ascii="Georgia" w:hAnsi="Georgia"/>
          <w:color w:val="003366"/>
          <w:sz w:val="26"/>
          <w:szCs w:val="26"/>
        </w:rPr>
        <w:t xml:space="preserve"> ripensato, quando maturerà una rivisitazione meditata </w:t>
      </w:r>
      <w:r w:rsidR="00190F83">
        <w:rPr>
          <w:rFonts w:ascii="Georgia" w:hAnsi="Georgia"/>
          <w:color w:val="003366"/>
          <w:sz w:val="26"/>
          <w:szCs w:val="26"/>
        </w:rPr>
        <w:t xml:space="preserve">e </w:t>
      </w:r>
      <w:r w:rsidR="002527B7">
        <w:rPr>
          <w:rFonts w:ascii="Georgia" w:hAnsi="Georgia"/>
          <w:color w:val="003366"/>
          <w:sz w:val="26"/>
          <w:szCs w:val="26"/>
        </w:rPr>
        <w:t>complessiva di questa normativa.</w:t>
      </w:r>
      <w:r w:rsidR="00292333">
        <w:rPr>
          <w:rFonts w:ascii="Georgia" w:hAnsi="Georgia"/>
          <w:color w:val="003366"/>
          <w:sz w:val="26"/>
          <w:szCs w:val="26"/>
        </w:rPr>
        <w:t xml:space="preserve"> </w:t>
      </w:r>
    </w:p>
    <w:p w14:paraId="74173BD3" w14:textId="6328AE91" w:rsidR="00355077" w:rsidRPr="00B714F5" w:rsidRDefault="00B714F5" w:rsidP="006174F1">
      <w:pPr>
        <w:pStyle w:val="NormaleWeb"/>
        <w:shd w:val="clear" w:color="auto" w:fill="FFFFFF"/>
        <w:spacing w:before="0" w:after="0"/>
        <w:jc w:val="both"/>
        <w:rPr>
          <w:rFonts w:ascii="Georgia" w:hAnsi="Georgia"/>
          <w:color w:val="003366"/>
          <w:sz w:val="26"/>
          <w:szCs w:val="26"/>
          <w:u w:val="single"/>
        </w:rPr>
      </w:pPr>
      <w:r>
        <w:rPr>
          <w:rFonts w:ascii="Georgia" w:hAnsi="Georgia"/>
          <w:color w:val="003366"/>
          <w:sz w:val="26"/>
          <w:szCs w:val="26"/>
        </w:rPr>
        <w:t>Sotto questo profilo, c</w:t>
      </w:r>
      <w:r w:rsidR="00355077">
        <w:rPr>
          <w:rFonts w:ascii="Georgia" w:hAnsi="Georgia"/>
          <w:color w:val="003366"/>
          <w:sz w:val="26"/>
          <w:szCs w:val="26"/>
        </w:rPr>
        <w:t>i tengo a precisare che l’esclusione dei reati contro la pubblica amministrazione dal catalogo dell</w:t>
      </w:r>
      <w:r w:rsidR="000307BF">
        <w:rPr>
          <w:rFonts w:ascii="Georgia" w:hAnsi="Georgia"/>
          <w:color w:val="003366"/>
          <w:sz w:val="26"/>
          <w:szCs w:val="26"/>
        </w:rPr>
        <w:t xml:space="preserve">’art. 4bis </w:t>
      </w:r>
      <w:proofErr w:type="spellStart"/>
      <w:r w:rsidR="000307BF">
        <w:rPr>
          <w:rFonts w:ascii="Georgia" w:hAnsi="Georgia"/>
          <w:color w:val="003366"/>
          <w:sz w:val="26"/>
          <w:szCs w:val="26"/>
        </w:rPr>
        <w:t>o.p.</w:t>
      </w:r>
      <w:proofErr w:type="spellEnd"/>
      <w:r w:rsidR="00355077">
        <w:rPr>
          <w:rFonts w:ascii="Georgia" w:hAnsi="Georgia"/>
          <w:color w:val="003366"/>
          <w:sz w:val="26"/>
          <w:szCs w:val="26"/>
        </w:rPr>
        <w:t>, effettuata dal Senato,</w:t>
      </w:r>
      <w:r w:rsidR="000307BF">
        <w:rPr>
          <w:rFonts w:ascii="Georgia" w:hAnsi="Georgia"/>
          <w:color w:val="003366"/>
          <w:sz w:val="26"/>
          <w:szCs w:val="26"/>
        </w:rPr>
        <w:t xml:space="preserve"> pur potendo apparire proiettata nella logica di opportuna razionalizzazione, in realtà</w:t>
      </w:r>
      <w:r w:rsidR="00355077">
        <w:rPr>
          <w:rFonts w:ascii="Georgia" w:hAnsi="Georgia"/>
          <w:color w:val="003366"/>
          <w:sz w:val="26"/>
          <w:szCs w:val="26"/>
        </w:rPr>
        <w:t xml:space="preserve"> non risulta affatto coerente con la conservazione di altre tipologie di reati che parimenti non hanno carattere associativo</w:t>
      </w:r>
      <w:r>
        <w:rPr>
          <w:rFonts w:ascii="Georgia" w:hAnsi="Georgia"/>
          <w:color w:val="003366"/>
          <w:sz w:val="26"/>
          <w:szCs w:val="26"/>
        </w:rPr>
        <w:t xml:space="preserve"> e intimidatorio</w:t>
      </w:r>
      <w:r w:rsidR="00355077">
        <w:rPr>
          <w:rFonts w:ascii="Georgia" w:hAnsi="Georgia"/>
          <w:color w:val="003366"/>
          <w:sz w:val="26"/>
          <w:szCs w:val="26"/>
        </w:rPr>
        <w:t xml:space="preserve">. </w:t>
      </w:r>
      <w:r w:rsidR="000307BF" w:rsidRPr="00B714F5">
        <w:rPr>
          <w:rFonts w:ascii="Georgia" w:hAnsi="Georgia"/>
          <w:color w:val="003366"/>
          <w:sz w:val="26"/>
          <w:szCs w:val="26"/>
          <w:u w:val="single"/>
        </w:rPr>
        <w:t>I</w:t>
      </w:r>
      <w:r w:rsidR="00355077" w:rsidRPr="00B714F5">
        <w:rPr>
          <w:rFonts w:ascii="Georgia" w:hAnsi="Georgia"/>
          <w:color w:val="003366"/>
          <w:sz w:val="26"/>
          <w:szCs w:val="26"/>
          <w:u w:val="single"/>
        </w:rPr>
        <w:t xml:space="preserve">n questo modo, </w:t>
      </w:r>
      <w:r w:rsidR="000307BF" w:rsidRPr="00B714F5">
        <w:rPr>
          <w:rFonts w:ascii="Georgia" w:hAnsi="Georgia"/>
          <w:color w:val="003366"/>
          <w:sz w:val="26"/>
          <w:szCs w:val="26"/>
          <w:u w:val="single"/>
        </w:rPr>
        <w:t xml:space="preserve">l’intervento </w:t>
      </w:r>
      <w:r w:rsidRPr="00B714F5">
        <w:rPr>
          <w:rFonts w:ascii="Georgia" w:hAnsi="Georgia"/>
          <w:color w:val="003366"/>
          <w:sz w:val="26"/>
          <w:szCs w:val="26"/>
          <w:u w:val="single"/>
        </w:rPr>
        <w:t xml:space="preserve">varato dal Senato </w:t>
      </w:r>
      <w:r w:rsidR="00355077" w:rsidRPr="00B714F5">
        <w:rPr>
          <w:rFonts w:ascii="Georgia" w:hAnsi="Georgia"/>
          <w:color w:val="003366"/>
          <w:sz w:val="26"/>
          <w:szCs w:val="26"/>
          <w:u w:val="single"/>
        </w:rPr>
        <w:t xml:space="preserve">assume un altro sapore rispetto all’esigenza di una </w:t>
      </w:r>
      <w:r w:rsidRPr="00B714F5">
        <w:rPr>
          <w:rFonts w:ascii="Georgia" w:hAnsi="Georgia"/>
          <w:color w:val="003366"/>
          <w:sz w:val="26"/>
          <w:szCs w:val="26"/>
          <w:u w:val="single"/>
        </w:rPr>
        <w:t>razionalizzazione</w:t>
      </w:r>
      <w:r w:rsidR="00355077" w:rsidRPr="00B714F5">
        <w:rPr>
          <w:rFonts w:ascii="Georgia" w:hAnsi="Georgia"/>
          <w:color w:val="003366"/>
          <w:sz w:val="26"/>
          <w:szCs w:val="26"/>
          <w:u w:val="single"/>
        </w:rPr>
        <w:t xml:space="preserve"> effettuata tenendo conto delle </w:t>
      </w:r>
      <w:r w:rsidR="000307BF" w:rsidRPr="00B714F5">
        <w:rPr>
          <w:rFonts w:ascii="Georgia" w:hAnsi="Georgia"/>
          <w:color w:val="003366"/>
          <w:sz w:val="26"/>
          <w:szCs w:val="26"/>
          <w:u w:val="single"/>
        </w:rPr>
        <w:t>peculiarità di carattere criminologico</w:t>
      </w:r>
      <w:r w:rsidRPr="00B714F5">
        <w:rPr>
          <w:rFonts w:ascii="Georgia" w:hAnsi="Georgia"/>
          <w:color w:val="003366"/>
          <w:sz w:val="26"/>
          <w:szCs w:val="26"/>
          <w:u w:val="single"/>
        </w:rPr>
        <w:t>; e</w:t>
      </w:r>
      <w:r w:rsidR="000307BF" w:rsidRPr="00B714F5">
        <w:rPr>
          <w:rFonts w:ascii="Georgia" w:hAnsi="Georgia"/>
          <w:color w:val="003366"/>
          <w:sz w:val="26"/>
          <w:szCs w:val="26"/>
          <w:u w:val="single"/>
        </w:rPr>
        <w:t>sso finisce con il rafforzare una incomprensibile disparità di trattamento, in mancanza di effettive esigenze di tutela della sicurezza pubblica</w:t>
      </w:r>
      <w:r>
        <w:rPr>
          <w:rFonts w:ascii="Georgia" w:hAnsi="Georgia"/>
          <w:color w:val="003366"/>
          <w:sz w:val="26"/>
          <w:szCs w:val="26"/>
          <w:u w:val="single"/>
        </w:rPr>
        <w:t>, se non la franca aspirazione di tutelare specifiche fasce sociali e criminali</w:t>
      </w:r>
      <w:r w:rsidR="000307BF" w:rsidRPr="00B714F5">
        <w:rPr>
          <w:rFonts w:ascii="Georgia" w:hAnsi="Georgia"/>
          <w:color w:val="003366"/>
          <w:sz w:val="26"/>
          <w:szCs w:val="26"/>
          <w:u w:val="single"/>
        </w:rPr>
        <w:t xml:space="preserve">. </w:t>
      </w:r>
    </w:p>
    <w:p w14:paraId="2126E88C" w14:textId="4721714E" w:rsidR="00554D24" w:rsidRPr="00554D24" w:rsidRDefault="005073C2" w:rsidP="006174F1">
      <w:pPr>
        <w:pStyle w:val="NormaleWeb"/>
        <w:shd w:val="clear" w:color="auto" w:fill="FFFFFF"/>
        <w:spacing w:before="0" w:after="0"/>
        <w:jc w:val="both"/>
        <w:rPr>
          <w:rFonts w:ascii="Georgia" w:hAnsi="Georgia"/>
          <w:b/>
          <w:color w:val="003366"/>
          <w:sz w:val="26"/>
          <w:szCs w:val="26"/>
        </w:rPr>
      </w:pPr>
      <w:r>
        <w:rPr>
          <w:rFonts w:ascii="Georgia" w:hAnsi="Georgia"/>
          <w:b/>
          <w:color w:val="003366"/>
          <w:sz w:val="26"/>
          <w:szCs w:val="26"/>
        </w:rPr>
        <w:t>Il nuovo procedimento</w:t>
      </w:r>
      <w:r w:rsidR="00C83569">
        <w:rPr>
          <w:rFonts w:ascii="Georgia" w:hAnsi="Georgia"/>
          <w:b/>
          <w:color w:val="003366"/>
          <w:sz w:val="26"/>
          <w:szCs w:val="26"/>
        </w:rPr>
        <w:t>,</w:t>
      </w:r>
      <w:r>
        <w:rPr>
          <w:rFonts w:ascii="Georgia" w:hAnsi="Georgia"/>
          <w:b/>
          <w:color w:val="003366"/>
          <w:sz w:val="26"/>
          <w:szCs w:val="26"/>
        </w:rPr>
        <w:t xml:space="preserve"> le risorse, </w:t>
      </w:r>
      <w:r w:rsidR="0009747E">
        <w:rPr>
          <w:rFonts w:ascii="Georgia" w:hAnsi="Georgia"/>
          <w:b/>
          <w:color w:val="003366"/>
          <w:sz w:val="26"/>
          <w:szCs w:val="26"/>
        </w:rPr>
        <w:t>l’istruttoria</w:t>
      </w:r>
    </w:p>
    <w:p w14:paraId="3B5297E7" w14:textId="26924CC8" w:rsidR="00A150AD" w:rsidRDefault="00FC055E"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L</w:t>
      </w:r>
      <w:r w:rsidR="00A150AD">
        <w:rPr>
          <w:rFonts w:ascii="Georgia" w:hAnsi="Georgia"/>
          <w:color w:val="003366"/>
          <w:sz w:val="26"/>
          <w:szCs w:val="26"/>
        </w:rPr>
        <w:t xml:space="preserve">a nuova disciplina </w:t>
      </w:r>
      <w:r>
        <w:rPr>
          <w:rFonts w:ascii="Georgia" w:hAnsi="Georgia"/>
          <w:color w:val="003366"/>
          <w:sz w:val="26"/>
          <w:szCs w:val="26"/>
        </w:rPr>
        <w:t xml:space="preserve">pone molteplici problemi </w:t>
      </w:r>
      <w:r w:rsidR="00A150AD">
        <w:rPr>
          <w:rFonts w:ascii="Georgia" w:hAnsi="Georgia"/>
          <w:color w:val="003366"/>
          <w:sz w:val="26"/>
          <w:szCs w:val="26"/>
        </w:rPr>
        <w:t>sotto il profilo operativo</w:t>
      </w:r>
      <w:r>
        <w:rPr>
          <w:rFonts w:ascii="Georgia" w:hAnsi="Georgia"/>
          <w:color w:val="003366"/>
          <w:sz w:val="26"/>
          <w:szCs w:val="26"/>
        </w:rPr>
        <w:t>,</w:t>
      </w:r>
      <w:r w:rsidR="00A150AD">
        <w:rPr>
          <w:rFonts w:ascii="Georgia" w:hAnsi="Georgia"/>
          <w:color w:val="003366"/>
          <w:sz w:val="26"/>
          <w:szCs w:val="26"/>
        </w:rPr>
        <w:t xml:space="preserve"> che </w:t>
      </w:r>
      <w:r w:rsidR="0094727F">
        <w:rPr>
          <w:rFonts w:ascii="Georgia" w:hAnsi="Georgia"/>
          <w:color w:val="003366"/>
          <w:sz w:val="26"/>
          <w:szCs w:val="26"/>
        </w:rPr>
        <w:t>dovrebbero</w:t>
      </w:r>
      <w:r w:rsidR="00A150AD">
        <w:rPr>
          <w:rFonts w:ascii="Georgia" w:hAnsi="Georgia"/>
          <w:color w:val="003366"/>
          <w:sz w:val="26"/>
          <w:szCs w:val="26"/>
        </w:rPr>
        <w:t xml:space="preserve"> essere corretti. </w:t>
      </w:r>
    </w:p>
    <w:p w14:paraId="711001CE" w14:textId="7CE2CE20" w:rsidR="001604DB" w:rsidRDefault="00B714F5"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 xml:space="preserve">Nonostante le pur </w:t>
      </w:r>
      <w:r w:rsidR="00C83569">
        <w:rPr>
          <w:rFonts w:ascii="Georgia" w:hAnsi="Georgia"/>
          <w:color w:val="003366"/>
          <w:sz w:val="26"/>
          <w:szCs w:val="26"/>
        </w:rPr>
        <w:t>funzionali</w:t>
      </w:r>
      <w:r>
        <w:rPr>
          <w:rFonts w:ascii="Georgia" w:hAnsi="Georgia"/>
          <w:color w:val="003366"/>
          <w:sz w:val="26"/>
          <w:szCs w:val="26"/>
        </w:rPr>
        <w:t xml:space="preserve"> correzioni disposte dal testo del Senato, </w:t>
      </w:r>
      <w:r w:rsidR="00A150AD">
        <w:rPr>
          <w:rFonts w:ascii="Georgia" w:hAnsi="Georgia"/>
          <w:color w:val="003366"/>
          <w:sz w:val="26"/>
          <w:szCs w:val="26"/>
        </w:rPr>
        <w:t xml:space="preserve">il procedimento descritto è </w:t>
      </w:r>
      <w:r w:rsidR="00C83569">
        <w:rPr>
          <w:rFonts w:ascii="Georgia" w:hAnsi="Georgia"/>
          <w:color w:val="003366"/>
          <w:sz w:val="26"/>
          <w:szCs w:val="26"/>
        </w:rPr>
        <w:t xml:space="preserve">ancora </w:t>
      </w:r>
      <w:r w:rsidR="00A150AD">
        <w:rPr>
          <w:rFonts w:ascii="Georgia" w:hAnsi="Georgia"/>
          <w:color w:val="003366"/>
          <w:sz w:val="26"/>
          <w:szCs w:val="26"/>
        </w:rPr>
        <w:t>molto gravoso e oneroso sotto il profilo istruttorio</w:t>
      </w:r>
      <w:r w:rsidR="00900817">
        <w:rPr>
          <w:rFonts w:ascii="Georgia" w:hAnsi="Georgia"/>
          <w:color w:val="003366"/>
          <w:sz w:val="26"/>
          <w:szCs w:val="26"/>
        </w:rPr>
        <w:t>, organizzativo</w:t>
      </w:r>
      <w:r w:rsidR="00A150AD">
        <w:rPr>
          <w:rFonts w:ascii="Georgia" w:hAnsi="Georgia"/>
          <w:color w:val="003366"/>
          <w:sz w:val="26"/>
          <w:szCs w:val="26"/>
        </w:rPr>
        <w:t xml:space="preserve"> e degli adempimenti del</w:t>
      </w:r>
      <w:r w:rsidR="0094727F">
        <w:rPr>
          <w:rFonts w:ascii="Georgia" w:hAnsi="Georgia"/>
          <w:color w:val="003366"/>
          <w:sz w:val="26"/>
          <w:szCs w:val="26"/>
        </w:rPr>
        <w:t xml:space="preserve"> </w:t>
      </w:r>
      <w:r w:rsidR="00190F83">
        <w:rPr>
          <w:rFonts w:ascii="Georgia" w:hAnsi="Georgia"/>
          <w:color w:val="003366"/>
          <w:sz w:val="26"/>
          <w:szCs w:val="26"/>
        </w:rPr>
        <w:t>T</w:t>
      </w:r>
      <w:r w:rsidR="0094727F">
        <w:rPr>
          <w:rFonts w:ascii="Georgia" w:hAnsi="Georgia"/>
          <w:color w:val="003366"/>
          <w:sz w:val="26"/>
          <w:szCs w:val="26"/>
        </w:rPr>
        <w:t xml:space="preserve">ribunale </w:t>
      </w:r>
      <w:r w:rsidR="00C83569">
        <w:rPr>
          <w:rFonts w:ascii="Georgia" w:hAnsi="Georgia"/>
          <w:color w:val="003366"/>
          <w:sz w:val="26"/>
          <w:szCs w:val="26"/>
        </w:rPr>
        <w:t xml:space="preserve">e dell’Ufficio </w:t>
      </w:r>
      <w:r w:rsidR="0094727F">
        <w:rPr>
          <w:rFonts w:ascii="Georgia" w:hAnsi="Georgia"/>
          <w:color w:val="003366"/>
          <w:sz w:val="26"/>
          <w:szCs w:val="26"/>
        </w:rPr>
        <w:t>di sorveglianza</w:t>
      </w:r>
      <w:r w:rsidR="00A150AD">
        <w:rPr>
          <w:rFonts w:ascii="Georgia" w:hAnsi="Georgia"/>
          <w:color w:val="003366"/>
          <w:sz w:val="26"/>
          <w:szCs w:val="26"/>
        </w:rPr>
        <w:t xml:space="preserve">. </w:t>
      </w:r>
      <w:r w:rsidR="003E0776">
        <w:rPr>
          <w:rFonts w:ascii="Georgia" w:hAnsi="Georgia"/>
          <w:color w:val="003366"/>
          <w:sz w:val="26"/>
          <w:szCs w:val="26"/>
        </w:rPr>
        <w:t xml:space="preserve">Anche la scansione cronologica dei passaggi istruttori risulta astratta e </w:t>
      </w:r>
      <w:r w:rsidR="001604DB">
        <w:rPr>
          <w:rFonts w:ascii="Georgia" w:hAnsi="Georgia"/>
          <w:color w:val="003366"/>
          <w:sz w:val="26"/>
          <w:szCs w:val="26"/>
        </w:rPr>
        <w:t xml:space="preserve">poco consapevole, attesa anche la complessità delle acquisizioni informative </w:t>
      </w:r>
      <w:r w:rsidR="0084172B">
        <w:rPr>
          <w:rFonts w:ascii="Georgia" w:hAnsi="Georgia"/>
          <w:color w:val="003366"/>
          <w:sz w:val="26"/>
          <w:szCs w:val="26"/>
        </w:rPr>
        <w:t>richieste</w:t>
      </w:r>
      <w:r w:rsidR="00A57C47">
        <w:rPr>
          <w:rFonts w:ascii="Georgia" w:hAnsi="Georgia"/>
          <w:color w:val="003366"/>
          <w:sz w:val="26"/>
          <w:szCs w:val="26"/>
        </w:rPr>
        <w:t xml:space="preserve"> e dei potenzialmente numerosi uffici requirenti coinvolti</w:t>
      </w:r>
      <w:r w:rsidR="001604DB">
        <w:rPr>
          <w:rFonts w:ascii="Georgia" w:hAnsi="Georgia"/>
          <w:color w:val="003366"/>
          <w:sz w:val="26"/>
          <w:szCs w:val="26"/>
        </w:rPr>
        <w:t xml:space="preserve">. </w:t>
      </w:r>
    </w:p>
    <w:p w14:paraId="12A621D6" w14:textId="0C574740" w:rsidR="0094727F" w:rsidRDefault="00C83569"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In generale, s</w:t>
      </w:r>
      <w:r w:rsidR="00A150AD">
        <w:rPr>
          <w:rFonts w:ascii="Georgia" w:hAnsi="Georgia"/>
          <w:color w:val="003366"/>
          <w:sz w:val="26"/>
          <w:szCs w:val="26"/>
        </w:rPr>
        <w:t>embra non essersi compreso come gli uffici e i tribunali di sorveglianza s</w:t>
      </w:r>
      <w:r w:rsidR="004335E2">
        <w:rPr>
          <w:rFonts w:ascii="Georgia" w:hAnsi="Georgia"/>
          <w:color w:val="003366"/>
          <w:sz w:val="26"/>
          <w:szCs w:val="26"/>
        </w:rPr>
        <w:t>ian</w:t>
      </w:r>
      <w:r w:rsidR="00A150AD">
        <w:rPr>
          <w:rFonts w:ascii="Georgia" w:hAnsi="Georgia"/>
          <w:color w:val="003366"/>
          <w:sz w:val="26"/>
          <w:szCs w:val="26"/>
        </w:rPr>
        <w:t xml:space="preserve">o già da tempo del tutto privi delle risorse </w:t>
      </w:r>
      <w:r w:rsidR="003E0776">
        <w:rPr>
          <w:rFonts w:ascii="Georgia" w:hAnsi="Georgia"/>
          <w:color w:val="003366"/>
          <w:sz w:val="26"/>
          <w:szCs w:val="26"/>
        </w:rPr>
        <w:t xml:space="preserve">umane e informatiche </w:t>
      </w:r>
      <w:r w:rsidR="00A150AD">
        <w:rPr>
          <w:rFonts w:ascii="Georgia" w:hAnsi="Georgia"/>
          <w:color w:val="003366"/>
          <w:sz w:val="26"/>
          <w:szCs w:val="26"/>
        </w:rPr>
        <w:t xml:space="preserve">necessarie per </w:t>
      </w:r>
      <w:r w:rsidR="00A150AD">
        <w:rPr>
          <w:rFonts w:ascii="Georgia" w:hAnsi="Georgia"/>
          <w:color w:val="003366"/>
          <w:sz w:val="26"/>
          <w:szCs w:val="26"/>
        </w:rPr>
        <w:lastRenderedPageBreak/>
        <w:t>adempiere alle esigenze di approfondimenti istruttori. Più che di una difficoltà si tratta di un fallimento, quanto me</w:t>
      </w:r>
      <w:r w:rsidR="0094727F">
        <w:rPr>
          <w:rFonts w:ascii="Georgia" w:hAnsi="Georgia"/>
          <w:color w:val="003366"/>
          <w:sz w:val="26"/>
          <w:szCs w:val="26"/>
        </w:rPr>
        <w:t xml:space="preserve">no nelle sedi più investite dal delicato segmento di cui parliamo. </w:t>
      </w:r>
      <w:r w:rsidR="004335E2">
        <w:rPr>
          <w:rFonts w:ascii="Georgia" w:hAnsi="Georgia"/>
          <w:color w:val="003366"/>
          <w:sz w:val="26"/>
          <w:szCs w:val="26"/>
        </w:rPr>
        <w:t xml:space="preserve">Qualsiasi riforma </w:t>
      </w:r>
      <w:r w:rsidR="00FC055E">
        <w:rPr>
          <w:rFonts w:ascii="Georgia" w:hAnsi="Georgia"/>
          <w:color w:val="003366"/>
          <w:sz w:val="26"/>
          <w:szCs w:val="26"/>
        </w:rPr>
        <w:t>che acuisca questa situazione senza fronteggiarla con risorse adeguate</w:t>
      </w:r>
      <w:r w:rsidR="004335E2">
        <w:rPr>
          <w:rFonts w:ascii="Georgia" w:hAnsi="Georgia"/>
          <w:color w:val="003366"/>
          <w:sz w:val="26"/>
          <w:szCs w:val="26"/>
        </w:rPr>
        <w:t xml:space="preserve"> naufraga prima ancora di essere varata.</w:t>
      </w:r>
      <w:r w:rsidR="00FC055E">
        <w:rPr>
          <w:rFonts w:ascii="Georgia" w:hAnsi="Georgia"/>
          <w:color w:val="003366"/>
          <w:sz w:val="26"/>
          <w:szCs w:val="26"/>
        </w:rPr>
        <w:t xml:space="preserve"> E si badi che il problema drammaticamente più grave non è quello del numero dei magistrati di sorveglianza, ma del personale amministrativo e delle risorse informatiche</w:t>
      </w:r>
      <w:r w:rsidR="003E0776">
        <w:rPr>
          <w:rFonts w:ascii="Georgia" w:hAnsi="Georgia"/>
          <w:color w:val="003366"/>
          <w:sz w:val="26"/>
          <w:szCs w:val="26"/>
        </w:rPr>
        <w:t xml:space="preserve"> e logistiche</w:t>
      </w:r>
      <w:r w:rsidR="00FC055E">
        <w:rPr>
          <w:rFonts w:ascii="Georgia" w:hAnsi="Georgia"/>
          <w:color w:val="003366"/>
          <w:sz w:val="26"/>
          <w:szCs w:val="26"/>
        </w:rPr>
        <w:t>.</w:t>
      </w:r>
    </w:p>
    <w:p w14:paraId="56C7E7E9" w14:textId="077A64A2" w:rsidR="00935782" w:rsidRDefault="00D332FD"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Il Senato ha eliminato il trasferimento di competenza alla sede collegiale del procedimento per la concessione dei permessi premio: se questo intervento ha risolto talun</w:t>
      </w:r>
      <w:r w:rsidR="00935782">
        <w:rPr>
          <w:rFonts w:ascii="Georgia" w:hAnsi="Georgia"/>
          <w:color w:val="003366"/>
          <w:sz w:val="26"/>
          <w:szCs w:val="26"/>
        </w:rPr>
        <w:t>e difficoltà e farraginosità</w:t>
      </w:r>
      <w:r>
        <w:rPr>
          <w:rFonts w:ascii="Georgia" w:hAnsi="Georgia"/>
          <w:color w:val="003366"/>
          <w:sz w:val="26"/>
          <w:szCs w:val="26"/>
        </w:rPr>
        <w:t xml:space="preserve"> applicativ</w:t>
      </w:r>
      <w:r w:rsidR="00935782">
        <w:rPr>
          <w:rFonts w:ascii="Georgia" w:hAnsi="Georgia"/>
          <w:color w:val="003366"/>
          <w:sz w:val="26"/>
          <w:szCs w:val="26"/>
        </w:rPr>
        <w:t>e puntualmente segnalate dal dibattito pubblico</w:t>
      </w:r>
      <w:r>
        <w:rPr>
          <w:rFonts w:ascii="Georgia" w:hAnsi="Georgia"/>
          <w:color w:val="003366"/>
          <w:sz w:val="26"/>
          <w:szCs w:val="26"/>
        </w:rPr>
        <w:t xml:space="preserve">, ha anche </w:t>
      </w:r>
      <w:r w:rsidR="00935782">
        <w:rPr>
          <w:rFonts w:ascii="Georgia" w:hAnsi="Georgia"/>
          <w:color w:val="003366"/>
          <w:sz w:val="26"/>
          <w:szCs w:val="26"/>
        </w:rPr>
        <w:t xml:space="preserve">eliminato il valore di maggiore ponderazione della decisione che aveva la disciplina proposta dal </w:t>
      </w:r>
      <w:proofErr w:type="gramStart"/>
      <w:r w:rsidR="00935782">
        <w:rPr>
          <w:rFonts w:ascii="Georgia" w:hAnsi="Georgia"/>
          <w:color w:val="003366"/>
          <w:sz w:val="26"/>
          <w:szCs w:val="26"/>
        </w:rPr>
        <w:t>D.L..</w:t>
      </w:r>
      <w:proofErr w:type="gramEnd"/>
    </w:p>
    <w:p w14:paraId="408EB202" w14:textId="609700F9" w:rsidR="00DE65A1" w:rsidRDefault="00935782"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 xml:space="preserve">In ogni caso, pur a seguito delle correzioni effettuate dal Senato, resta intatta </w:t>
      </w:r>
      <w:r w:rsidR="00C83569">
        <w:rPr>
          <w:rFonts w:ascii="Georgia" w:hAnsi="Georgia"/>
          <w:color w:val="003366"/>
          <w:sz w:val="26"/>
          <w:szCs w:val="26"/>
        </w:rPr>
        <w:t xml:space="preserve">quanto meno </w:t>
      </w:r>
      <w:r>
        <w:rPr>
          <w:rFonts w:ascii="Georgia" w:hAnsi="Georgia"/>
          <w:color w:val="003366"/>
          <w:sz w:val="26"/>
          <w:szCs w:val="26"/>
        </w:rPr>
        <w:t xml:space="preserve">l’esigenza che </w:t>
      </w:r>
      <w:r w:rsidR="00A57C47">
        <w:rPr>
          <w:rFonts w:ascii="Georgia" w:hAnsi="Georgia"/>
          <w:color w:val="003366"/>
          <w:sz w:val="26"/>
          <w:szCs w:val="26"/>
        </w:rPr>
        <w:t xml:space="preserve">il coinvolgimento degli uffici requirenti </w:t>
      </w:r>
      <w:r>
        <w:rPr>
          <w:rFonts w:ascii="Georgia" w:hAnsi="Georgia"/>
          <w:color w:val="003366"/>
          <w:sz w:val="26"/>
          <w:szCs w:val="26"/>
        </w:rPr>
        <w:t>periferici</w:t>
      </w:r>
      <w:r w:rsidR="00A57C47">
        <w:rPr>
          <w:rFonts w:ascii="Georgia" w:hAnsi="Georgia"/>
          <w:color w:val="003366"/>
          <w:sz w:val="26"/>
          <w:szCs w:val="26"/>
        </w:rPr>
        <w:t xml:space="preserve"> avvenga per il tramite della DNAA</w:t>
      </w:r>
      <w:r w:rsidR="00977FA3">
        <w:rPr>
          <w:rFonts w:ascii="Georgia" w:hAnsi="Georgia"/>
          <w:color w:val="003366"/>
          <w:sz w:val="26"/>
          <w:szCs w:val="26"/>
        </w:rPr>
        <w:t xml:space="preserve">, la quale dovrebbe farsi veicolo per </w:t>
      </w:r>
      <w:r>
        <w:rPr>
          <w:rFonts w:ascii="Georgia" w:hAnsi="Georgia"/>
          <w:color w:val="003366"/>
          <w:sz w:val="26"/>
          <w:szCs w:val="26"/>
        </w:rPr>
        <w:t xml:space="preserve">le informazioni e </w:t>
      </w:r>
      <w:r w:rsidR="00977FA3">
        <w:rPr>
          <w:rFonts w:ascii="Georgia" w:hAnsi="Georgia"/>
          <w:color w:val="003366"/>
          <w:sz w:val="26"/>
          <w:szCs w:val="26"/>
        </w:rPr>
        <w:t>i pareri (anche la facoltà dei pubblici ministeri distrettuali di partecipare all’udienza</w:t>
      </w:r>
      <w:r>
        <w:rPr>
          <w:rFonts w:ascii="Georgia" w:hAnsi="Georgia"/>
          <w:color w:val="003366"/>
          <w:sz w:val="26"/>
          <w:szCs w:val="26"/>
        </w:rPr>
        <w:t xml:space="preserve"> -sia pure da remoto-</w:t>
      </w:r>
      <w:r w:rsidR="00977FA3">
        <w:rPr>
          <w:rFonts w:ascii="Georgia" w:hAnsi="Georgia"/>
          <w:color w:val="003366"/>
          <w:sz w:val="26"/>
          <w:szCs w:val="26"/>
        </w:rPr>
        <w:t xml:space="preserve"> risulta </w:t>
      </w:r>
      <w:r>
        <w:rPr>
          <w:rFonts w:ascii="Georgia" w:hAnsi="Georgia"/>
          <w:color w:val="003366"/>
          <w:sz w:val="26"/>
          <w:szCs w:val="26"/>
        </w:rPr>
        <w:t xml:space="preserve">pur sempre </w:t>
      </w:r>
      <w:r w:rsidR="00977FA3">
        <w:rPr>
          <w:rFonts w:ascii="Georgia" w:hAnsi="Georgia"/>
          <w:color w:val="003366"/>
          <w:sz w:val="26"/>
          <w:szCs w:val="26"/>
        </w:rPr>
        <w:t>problematica sul piano organizzativo: si consideri che spesso si tratta dell’esecuzione di cumuli con sentenze di uffici giudiziari anche distrettuali diversi, mentre la missione della DNAA è proprio quella di un raccordo centralizzato di informazioni e competenze).</w:t>
      </w:r>
    </w:p>
    <w:p w14:paraId="11965949" w14:textId="7C2CAB73" w:rsidR="00B3721A" w:rsidRDefault="00C83569"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A</w:t>
      </w:r>
      <w:r w:rsidR="00B3721A">
        <w:rPr>
          <w:rFonts w:ascii="Georgia" w:hAnsi="Georgia"/>
          <w:color w:val="003366"/>
          <w:sz w:val="26"/>
          <w:szCs w:val="26"/>
        </w:rPr>
        <w:t xml:space="preserve">nche all’esito della correzione di tiro effettuata dal Senato, la procedura per la concessione dei permessi successivi al primo, </w:t>
      </w:r>
      <w:r w:rsidR="00B3721A" w:rsidRPr="00B3721A">
        <w:rPr>
          <w:rFonts w:ascii="Georgia" w:hAnsi="Georgia"/>
          <w:color w:val="003366"/>
          <w:sz w:val="26"/>
          <w:szCs w:val="26"/>
          <w:u w:val="single"/>
        </w:rPr>
        <w:t>ma soprattutto delle autorizzazioni al lavoro esterno</w:t>
      </w:r>
      <w:r w:rsidR="00B3721A">
        <w:rPr>
          <w:rFonts w:ascii="Georgia" w:hAnsi="Georgia"/>
          <w:color w:val="003366"/>
          <w:sz w:val="26"/>
          <w:szCs w:val="26"/>
        </w:rPr>
        <w:t xml:space="preserve"> successive alla prima, restano decisamente gravose per le fragilissime strutture degli uffici di sorveglianza. </w:t>
      </w:r>
    </w:p>
    <w:p w14:paraId="45CD4D45" w14:textId="26EAC143" w:rsidR="009151D2" w:rsidRDefault="009151D2" w:rsidP="006174F1">
      <w:pPr>
        <w:pStyle w:val="NormaleWeb"/>
        <w:shd w:val="clear" w:color="auto" w:fill="FFFFFF"/>
        <w:spacing w:before="0" w:after="0"/>
        <w:jc w:val="both"/>
        <w:rPr>
          <w:rFonts w:ascii="Georgia" w:hAnsi="Georgia"/>
          <w:color w:val="003366"/>
          <w:sz w:val="26"/>
          <w:szCs w:val="26"/>
        </w:rPr>
      </w:pPr>
      <w:r>
        <w:rPr>
          <w:rFonts w:ascii="Georgia" w:hAnsi="Georgia"/>
          <w:color w:val="003366"/>
          <w:sz w:val="26"/>
          <w:szCs w:val="26"/>
        </w:rPr>
        <w:t>Dr. Marco Patarnello, Tribunale di sorveglianza di Roma</w:t>
      </w:r>
    </w:p>
    <w:sectPr w:rsidR="009151D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F6F0" w14:textId="77777777" w:rsidR="00AB3E87" w:rsidRDefault="00AB3E87" w:rsidP="00551D5A">
      <w:pPr>
        <w:spacing w:after="0" w:line="240" w:lineRule="auto"/>
      </w:pPr>
      <w:r>
        <w:separator/>
      </w:r>
    </w:p>
  </w:endnote>
  <w:endnote w:type="continuationSeparator" w:id="0">
    <w:p w14:paraId="236304E0" w14:textId="77777777" w:rsidR="00AB3E87" w:rsidRDefault="00AB3E87" w:rsidP="0055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90D3" w14:textId="77777777" w:rsidR="00AB3E87" w:rsidRDefault="00AB3E87" w:rsidP="00551D5A">
      <w:pPr>
        <w:spacing w:after="0" w:line="240" w:lineRule="auto"/>
      </w:pPr>
      <w:r>
        <w:separator/>
      </w:r>
    </w:p>
  </w:footnote>
  <w:footnote w:type="continuationSeparator" w:id="0">
    <w:p w14:paraId="1E2889F3" w14:textId="77777777" w:rsidR="00AB3E87" w:rsidRDefault="00AB3E87" w:rsidP="00551D5A">
      <w:pPr>
        <w:spacing w:after="0" w:line="240" w:lineRule="auto"/>
      </w:pPr>
      <w:r>
        <w:continuationSeparator/>
      </w:r>
    </w:p>
  </w:footnote>
  <w:footnote w:id="1">
    <w:p w14:paraId="77C378DF" w14:textId="1B5A00CF" w:rsidR="008C0036" w:rsidRPr="008C0036" w:rsidRDefault="008C0036" w:rsidP="008C0036">
      <w:pPr>
        <w:pStyle w:val="Testonotaapidipagina"/>
        <w:jc w:val="both"/>
        <w:rPr>
          <w:rFonts w:ascii="Georgia" w:hAnsi="Georgia"/>
        </w:rPr>
      </w:pPr>
      <w:r>
        <w:rPr>
          <w:rStyle w:val="Rimandonotaapidipagina"/>
        </w:rPr>
        <w:footnoteRef/>
      </w:r>
      <w:r>
        <w:t xml:space="preserve"> </w:t>
      </w:r>
      <w:r>
        <w:rPr>
          <w:rFonts w:ascii="Georgia" w:hAnsi="Georgia"/>
        </w:rPr>
        <w:t>L’Ordinanza n. 97/2021 citata</w:t>
      </w:r>
      <w:r w:rsidR="004E3AF5">
        <w:rPr>
          <w:rFonts w:ascii="Georgia" w:hAnsi="Georgia"/>
        </w:rPr>
        <w:t>,</w:t>
      </w:r>
      <w:r>
        <w:rPr>
          <w:rFonts w:ascii="Georgia" w:hAnsi="Georgia"/>
        </w:rPr>
        <w:t xml:space="preserve"> al penultimo paragrafo del punto 8 del “Considerato in diritto”, riferendosi alle generalizzazioni che sottendono le massime di esperienza in questa materia, così si esprime</w:t>
      </w:r>
      <w:r w:rsidRPr="00F65EA5">
        <w:rPr>
          <w:rFonts w:ascii="Georgia" w:hAnsi="Georgia"/>
        </w:rPr>
        <w:t>: [</w:t>
      </w:r>
      <w:r w:rsidRPr="00F65EA5">
        <w:rPr>
          <w:rFonts w:ascii="Georgia" w:hAnsi="Georgia"/>
          <w:u w:val="single"/>
        </w:rPr>
        <w:t xml:space="preserve">Le ragioni di queste generalizzazioni] </w:t>
      </w:r>
      <w:r w:rsidRPr="00F65EA5">
        <w:rPr>
          <w:rFonts w:ascii="Georgia" w:hAnsi="Georgia"/>
          <w:i/>
          <w:u w:val="single"/>
        </w:rPr>
        <w:t xml:space="preserve">“…sono di notevolissima importanza e non si sono affatto affievolite in progresso di tempo. </w:t>
      </w:r>
      <w:proofErr w:type="gramStart"/>
      <w:r w:rsidRPr="00F65EA5">
        <w:rPr>
          <w:rFonts w:ascii="Georgia" w:hAnsi="Georgia"/>
          <w:i/>
          <w:u w:val="single"/>
        </w:rPr>
        <w:t>E’</w:t>
      </w:r>
      <w:proofErr w:type="gramEnd"/>
      <w:r w:rsidRPr="00F65EA5">
        <w:rPr>
          <w:rFonts w:ascii="Georgia" w:hAnsi="Georgia"/>
          <w:i/>
          <w:u w:val="single"/>
        </w:rPr>
        <w:t xml:space="preserve"> ben possibile che il vincolo associativo permanga inalterato anche in esito a lunghe carcerazioni, proprio per le caratteristiche del sodalizio criminale in questione, finché il soggetto non compia una scelta di radicale distacco, come quella che generalmente viene espressa dalla collaborazione con la giustizia</w:t>
      </w:r>
      <w:r w:rsidRPr="008C0036">
        <w:rPr>
          <w:rFonts w:ascii="Georgia" w:hAnsi="Georgia"/>
          <w:i/>
        </w:rPr>
        <w:t>”</w:t>
      </w:r>
      <w:r>
        <w:rPr>
          <w:rFonts w:ascii="Georgia" w:hAnsi="Georgia"/>
        </w:rPr>
        <w:t xml:space="preserve">.  </w:t>
      </w:r>
    </w:p>
  </w:footnote>
  <w:footnote w:id="2">
    <w:p w14:paraId="0A732F45" w14:textId="1CC2D79B" w:rsidR="00551D5A" w:rsidRPr="00633111" w:rsidRDefault="00551D5A" w:rsidP="00633111">
      <w:pPr>
        <w:pStyle w:val="Testonotaapidipagina"/>
        <w:jc w:val="both"/>
        <w:rPr>
          <w:rFonts w:ascii="Georgia" w:hAnsi="Georgia"/>
        </w:rPr>
      </w:pPr>
      <w:r w:rsidRPr="00633111">
        <w:rPr>
          <w:rStyle w:val="Rimandonotaapidipagina"/>
          <w:rFonts w:ascii="Georgia" w:hAnsi="Georgia"/>
        </w:rPr>
        <w:footnoteRef/>
      </w:r>
      <w:r w:rsidRPr="00633111">
        <w:rPr>
          <w:rFonts w:ascii="Georgia" w:hAnsi="Georgia"/>
        </w:rPr>
        <w:t xml:space="preserve"> Si badi che da un certo punto di vista potrebbe rivelarsi decisiva la semplice esplicitazione di un allargamento del concetto di “esigibilità della collaborazione”, includendovi anche </w:t>
      </w:r>
      <w:r w:rsidR="00633111" w:rsidRPr="00633111">
        <w:rPr>
          <w:rFonts w:ascii="Georgia" w:hAnsi="Georgia"/>
        </w:rPr>
        <w:t>ragionevoli (</w:t>
      </w:r>
      <w:r w:rsidR="003C5BD4">
        <w:rPr>
          <w:rFonts w:ascii="Georgia" w:hAnsi="Georgia"/>
        </w:rPr>
        <w:t>e/</w:t>
      </w:r>
      <w:r w:rsidR="00633111" w:rsidRPr="00633111">
        <w:rPr>
          <w:rFonts w:ascii="Georgia" w:hAnsi="Georgia"/>
        </w:rPr>
        <w:t>o specifici) profili soggettivi</w:t>
      </w:r>
      <w:r w:rsidR="00633111">
        <w:rPr>
          <w:rFonts w:ascii="Georgia" w:hAnsi="Georgia"/>
        </w:rPr>
        <w:t>.</w:t>
      </w:r>
    </w:p>
  </w:footnote>
  <w:footnote w:id="3">
    <w:p w14:paraId="31572136" w14:textId="577F8382" w:rsidR="002C3F05" w:rsidRPr="002C3F05" w:rsidRDefault="002C3F05" w:rsidP="002C3F05">
      <w:pPr>
        <w:pStyle w:val="Testonotaapidipagina"/>
        <w:jc w:val="both"/>
        <w:rPr>
          <w:rFonts w:ascii="Georgia" w:hAnsi="Georgia"/>
        </w:rPr>
      </w:pPr>
      <w:r>
        <w:rPr>
          <w:rStyle w:val="Rimandonotaapidipagina"/>
        </w:rPr>
        <w:footnoteRef/>
      </w:r>
      <w:r>
        <w:t xml:space="preserve"> </w:t>
      </w:r>
      <w:r>
        <w:rPr>
          <w:rFonts w:ascii="Georgia" w:hAnsi="Georgia"/>
        </w:rPr>
        <w:t xml:space="preserve">Punto 9, paragrafo 7, infine, del </w:t>
      </w:r>
      <w:r w:rsidR="0083173E">
        <w:rPr>
          <w:rFonts w:ascii="Georgia" w:hAnsi="Georgia"/>
        </w:rPr>
        <w:t>“</w:t>
      </w:r>
      <w:r>
        <w:rPr>
          <w:rFonts w:ascii="Georgia" w:hAnsi="Georgia"/>
        </w:rPr>
        <w:t>Considerato in diritto</w:t>
      </w:r>
      <w:r w:rsidR="0083173E">
        <w:rPr>
          <w:rFonts w:ascii="Georgia" w:hAnsi="Georgia"/>
        </w:rPr>
        <w:t>”</w:t>
      </w:r>
      <w:r>
        <w:rPr>
          <w:rFonts w:ascii="Georgia" w:hAnsi="Georgia"/>
        </w:rPr>
        <w:t xml:space="preserve"> dell’Ordinanza 97/2021</w:t>
      </w:r>
      <w:r w:rsidR="00B8058C">
        <w:rPr>
          <w:rFonts w:ascii="Georgia" w:hAnsi="Georg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F1"/>
    <w:rsid w:val="00014BF9"/>
    <w:rsid w:val="000307BF"/>
    <w:rsid w:val="000438A8"/>
    <w:rsid w:val="0009747E"/>
    <w:rsid w:val="000B1082"/>
    <w:rsid w:val="001604DB"/>
    <w:rsid w:val="0017092F"/>
    <w:rsid w:val="00190F83"/>
    <w:rsid w:val="001A68D4"/>
    <w:rsid w:val="001D4F23"/>
    <w:rsid w:val="001D7C1E"/>
    <w:rsid w:val="001F7CE9"/>
    <w:rsid w:val="00236C89"/>
    <w:rsid w:val="002527B7"/>
    <w:rsid w:val="0025703D"/>
    <w:rsid w:val="00263D91"/>
    <w:rsid w:val="002759CA"/>
    <w:rsid w:val="00292333"/>
    <w:rsid w:val="002C3F05"/>
    <w:rsid w:val="002C4628"/>
    <w:rsid w:val="002D25D6"/>
    <w:rsid w:val="002E143C"/>
    <w:rsid w:val="003058B1"/>
    <w:rsid w:val="00317F19"/>
    <w:rsid w:val="00350742"/>
    <w:rsid w:val="00355077"/>
    <w:rsid w:val="00367C27"/>
    <w:rsid w:val="0038341C"/>
    <w:rsid w:val="003A75A1"/>
    <w:rsid w:val="003C10BF"/>
    <w:rsid w:val="003C5BD4"/>
    <w:rsid w:val="003E0776"/>
    <w:rsid w:val="004313AC"/>
    <w:rsid w:val="004335E2"/>
    <w:rsid w:val="00453FFA"/>
    <w:rsid w:val="004A2CCC"/>
    <w:rsid w:val="004B1AE0"/>
    <w:rsid w:val="004E3AF5"/>
    <w:rsid w:val="005073C2"/>
    <w:rsid w:val="005148C6"/>
    <w:rsid w:val="00551D5A"/>
    <w:rsid w:val="00554D24"/>
    <w:rsid w:val="005973F3"/>
    <w:rsid w:val="005A3D78"/>
    <w:rsid w:val="005B5B6E"/>
    <w:rsid w:val="005B68C9"/>
    <w:rsid w:val="005E547F"/>
    <w:rsid w:val="006174F1"/>
    <w:rsid w:val="00621C26"/>
    <w:rsid w:val="00633111"/>
    <w:rsid w:val="0065569F"/>
    <w:rsid w:val="006D6EF9"/>
    <w:rsid w:val="006E19FE"/>
    <w:rsid w:val="006F1FE1"/>
    <w:rsid w:val="00745FA4"/>
    <w:rsid w:val="00746908"/>
    <w:rsid w:val="00746E55"/>
    <w:rsid w:val="00766EEE"/>
    <w:rsid w:val="00771AE6"/>
    <w:rsid w:val="00777C83"/>
    <w:rsid w:val="00780314"/>
    <w:rsid w:val="008037E6"/>
    <w:rsid w:val="008243B5"/>
    <w:rsid w:val="0083173E"/>
    <w:rsid w:val="0084172B"/>
    <w:rsid w:val="008734E3"/>
    <w:rsid w:val="008B0C56"/>
    <w:rsid w:val="008B642D"/>
    <w:rsid w:val="008C0036"/>
    <w:rsid w:val="008C3098"/>
    <w:rsid w:val="00900817"/>
    <w:rsid w:val="009151D2"/>
    <w:rsid w:val="00935782"/>
    <w:rsid w:val="009460F5"/>
    <w:rsid w:val="0094727F"/>
    <w:rsid w:val="009609BD"/>
    <w:rsid w:val="00977FA3"/>
    <w:rsid w:val="00982D15"/>
    <w:rsid w:val="009C516D"/>
    <w:rsid w:val="009F2171"/>
    <w:rsid w:val="00A150AD"/>
    <w:rsid w:val="00A57C47"/>
    <w:rsid w:val="00AB3E87"/>
    <w:rsid w:val="00AD3D12"/>
    <w:rsid w:val="00AF2C3F"/>
    <w:rsid w:val="00AF56DB"/>
    <w:rsid w:val="00B3660A"/>
    <w:rsid w:val="00B3721A"/>
    <w:rsid w:val="00B714F5"/>
    <w:rsid w:val="00B8058C"/>
    <w:rsid w:val="00BA05B8"/>
    <w:rsid w:val="00BE23E0"/>
    <w:rsid w:val="00C83569"/>
    <w:rsid w:val="00CB406D"/>
    <w:rsid w:val="00CE7CAE"/>
    <w:rsid w:val="00CF0694"/>
    <w:rsid w:val="00CF3E14"/>
    <w:rsid w:val="00D062D6"/>
    <w:rsid w:val="00D128DF"/>
    <w:rsid w:val="00D134D7"/>
    <w:rsid w:val="00D332FD"/>
    <w:rsid w:val="00D87FA4"/>
    <w:rsid w:val="00D900F5"/>
    <w:rsid w:val="00DD31D9"/>
    <w:rsid w:val="00DE1A2C"/>
    <w:rsid w:val="00DE65A1"/>
    <w:rsid w:val="00E41BD8"/>
    <w:rsid w:val="00E55FE0"/>
    <w:rsid w:val="00E748D8"/>
    <w:rsid w:val="00ED3FEB"/>
    <w:rsid w:val="00EE2801"/>
    <w:rsid w:val="00EE6060"/>
    <w:rsid w:val="00EF5C30"/>
    <w:rsid w:val="00F650F8"/>
    <w:rsid w:val="00F65EA5"/>
    <w:rsid w:val="00F72935"/>
    <w:rsid w:val="00FA1FDD"/>
    <w:rsid w:val="00FC055E"/>
    <w:rsid w:val="00FD1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3832"/>
  <w15:chartTrackingRefBased/>
  <w15:docId w15:val="{B305080B-85E5-4270-8200-263C278C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174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74F1"/>
    <w:rPr>
      <w:b/>
      <w:bCs/>
    </w:rPr>
  </w:style>
  <w:style w:type="paragraph" w:styleId="Testonotaapidipagina">
    <w:name w:val="footnote text"/>
    <w:basedOn w:val="Normale"/>
    <w:link w:val="TestonotaapidipaginaCarattere"/>
    <w:uiPriority w:val="99"/>
    <w:semiHidden/>
    <w:unhideWhenUsed/>
    <w:rsid w:val="00551D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51D5A"/>
    <w:rPr>
      <w:sz w:val="20"/>
      <w:szCs w:val="20"/>
    </w:rPr>
  </w:style>
  <w:style w:type="character" w:styleId="Rimandonotaapidipagina">
    <w:name w:val="footnote reference"/>
    <w:basedOn w:val="Carpredefinitoparagrafo"/>
    <w:uiPriority w:val="99"/>
    <w:semiHidden/>
    <w:unhideWhenUsed/>
    <w:rsid w:val="00551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BD25-11D2-4DBA-AE99-6431A018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2058</Words>
  <Characters>11737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Patarnello</dc:creator>
  <cp:keywords/>
  <dc:description/>
  <cp:lastModifiedBy>Marco Patarnello</cp:lastModifiedBy>
  <cp:revision>4</cp:revision>
  <cp:lastPrinted>2022-11-22T11:17:00Z</cp:lastPrinted>
  <dcterms:created xsi:type="dcterms:W3CDTF">2022-12-15T11:51:00Z</dcterms:created>
  <dcterms:modified xsi:type="dcterms:W3CDTF">2022-12-15T13:18:00Z</dcterms:modified>
</cp:coreProperties>
</file>